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29657755" w:displacedByCustomXml="next"/>
    <w:bookmarkEnd w:id="0" w:displacedByCustomXml="next"/>
    <w:sdt>
      <w:sdtPr>
        <w:rPr>
          <w:caps/>
        </w:rPr>
        <w:id w:val="30091833"/>
        <w:lock w:val="contentLocked"/>
        <w:placeholder>
          <w:docPart w:val="A81F602006EA4C16A9F3206BB0D96450"/>
        </w:placeholder>
        <w:group/>
      </w:sdtPr>
      <w:sdtEndPr/>
      <w:sdtContent>
        <w:p w14:paraId="6CDC8724" w14:textId="77777777" w:rsidR="00A50007" w:rsidRPr="0008176F" w:rsidRDefault="0008176F" w:rsidP="0008176F">
          <w:pPr>
            <w:pStyle w:val="NoSpacing"/>
            <w:jc w:val="center"/>
            <w:rPr>
              <w:caps/>
            </w:rPr>
          </w:pPr>
          <w:r w:rsidRPr="0008176F">
            <w:rPr>
              <w:caps/>
            </w:rPr>
            <w:t>University of Oklahoma</w:t>
          </w:r>
        </w:p>
        <w:p w14:paraId="633957ED" w14:textId="77777777" w:rsidR="0008176F" w:rsidRPr="0008176F" w:rsidRDefault="0008176F" w:rsidP="0008176F">
          <w:pPr>
            <w:pStyle w:val="NoSpacing"/>
            <w:jc w:val="center"/>
            <w:rPr>
              <w:caps/>
            </w:rPr>
          </w:pPr>
        </w:p>
        <w:p w14:paraId="29EF1603" w14:textId="77777777" w:rsidR="0008176F" w:rsidRPr="0008176F" w:rsidRDefault="0008176F" w:rsidP="0008176F">
          <w:pPr>
            <w:pStyle w:val="NoSpacing"/>
            <w:jc w:val="center"/>
            <w:rPr>
              <w:caps/>
            </w:rPr>
          </w:pPr>
          <w:r w:rsidRPr="0008176F">
            <w:rPr>
              <w:caps/>
            </w:rPr>
            <w:t>Graduate College</w:t>
          </w:r>
        </w:p>
      </w:sdtContent>
    </w:sdt>
    <w:p w14:paraId="542C2EAE" w14:textId="77777777" w:rsidR="0008176F" w:rsidRPr="0008176F" w:rsidRDefault="0008176F" w:rsidP="0008176F">
      <w:pPr>
        <w:pStyle w:val="NoSpacing"/>
        <w:jc w:val="center"/>
        <w:rPr>
          <w:caps/>
        </w:rPr>
      </w:pPr>
    </w:p>
    <w:p w14:paraId="3E07AEE4" w14:textId="77777777" w:rsidR="0008176F" w:rsidRPr="0008176F" w:rsidRDefault="0008176F" w:rsidP="0008176F">
      <w:pPr>
        <w:pStyle w:val="NoSpacing"/>
        <w:jc w:val="center"/>
        <w:rPr>
          <w:caps/>
        </w:rPr>
      </w:pPr>
    </w:p>
    <w:p w14:paraId="47CD26F6" w14:textId="77777777" w:rsidR="0008176F" w:rsidRPr="0008176F" w:rsidRDefault="0008176F" w:rsidP="0008176F">
      <w:pPr>
        <w:pStyle w:val="NoSpacing"/>
        <w:jc w:val="center"/>
        <w:rPr>
          <w:caps/>
        </w:rPr>
      </w:pPr>
    </w:p>
    <w:p w14:paraId="245C85CF" w14:textId="77777777" w:rsidR="0008176F" w:rsidRPr="0008176F" w:rsidRDefault="0008176F" w:rsidP="0008176F">
      <w:pPr>
        <w:pStyle w:val="NoSpacing"/>
        <w:jc w:val="center"/>
        <w:rPr>
          <w:caps/>
        </w:rPr>
      </w:pPr>
    </w:p>
    <w:p w14:paraId="0C8612E5" w14:textId="77777777" w:rsidR="0008176F" w:rsidRPr="0008176F" w:rsidRDefault="0008176F" w:rsidP="0008176F">
      <w:pPr>
        <w:pStyle w:val="NoSpacing"/>
        <w:jc w:val="center"/>
        <w:rPr>
          <w:caps/>
        </w:rPr>
      </w:pPr>
    </w:p>
    <w:p w14:paraId="0E8F939E" w14:textId="77777777" w:rsidR="0008176F" w:rsidRPr="0008176F" w:rsidRDefault="0008176F" w:rsidP="0008176F">
      <w:pPr>
        <w:pStyle w:val="NoSpacing"/>
        <w:jc w:val="center"/>
        <w:rPr>
          <w:caps/>
        </w:rPr>
      </w:pPr>
    </w:p>
    <w:p w14:paraId="351EBF42" w14:textId="77777777" w:rsidR="0008176F" w:rsidRPr="0008176F" w:rsidRDefault="0008176F" w:rsidP="0008176F">
      <w:pPr>
        <w:pStyle w:val="NoSpacing"/>
        <w:jc w:val="center"/>
        <w:rPr>
          <w:caps/>
        </w:rPr>
      </w:pPr>
    </w:p>
    <w:bookmarkStart w:id="1" w:name="_Hlk29392434" w:displacedByCustomXml="next"/>
    <w:sdt>
      <w:sdtPr>
        <w:rPr>
          <w:caps/>
        </w:rPr>
        <w:alias w:val="Click to enter dissertation title"/>
        <w:tag w:val="Click to enter dissertation title"/>
        <w:id w:val="30091832"/>
        <w:lock w:val="sdtLocked"/>
        <w:placeholder>
          <w:docPart w:val="A81F602006EA4C16A9F3206BB0D96450"/>
        </w:placeholder>
      </w:sdtPr>
      <w:sdtEndPr/>
      <w:sdtContent>
        <w:p w14:paraId="779C1CEB" w14:textId="341816D0" w:rsidR="0008176F" w:rsidRPr="0008176F" w:rsidRDefault="00CB18BD" w:rsidP="0008176F">
          <w:pPr>
            <w:pStyle w:val="NoSpacing"/>
            <w:spacing w:line="480" w:lineRule="auto"/>
            <w:jc w:val="center"/>
            <w:rPr>
              <w:caps/>
            </w:rPr>
          </w:pPr>
          <w:r w:rsidRPr="00CB18BD">
            <w:rPr>
              <w:caps/>
            </w:rPr>
            <w:t xml:space="preserve">Personalized Medicine: Developing Precision </w:t>
          </w:r>
          <w:r w:rsidR="00012F48">
            <w:rPr>
              <w:caps/>
            </w:rPr>
            <w:t xml:space="preserve">Antiviral/ Anticancer </w:t>
          </w:r>
          <w:r w:rsidRPr="00CB18BD">
            <w:rPr>
              <w:caps/>
            </w:rPr>
            <w:t>Therapeutics and Bio-Analytical Chemotherapeutic Drug Monitoring</w:t>
          </w:r>
        </w:p>
      </w:sdtContent>
    </w:sdt>
    <w:bookmarkEnd w:id="1"/>
    <w:p w14:paraId="3B0E4A53" w14:textId="77777777" w:rsidR="0008176F" w:rsidRPr="0008176F" w:rsidRDefault="0008176F" w:rsidP="0008176F">
      <w:pPr>
        <w:pStyle w:val="NoSpacing"/>
        <w:jc w:val="center"/>
        <w:rPr>
          <w:caps/>
        </w:rPr>
      </w:pPr>
    </w:p>
    <w:p w14:paraId="2E461BCF" w14:textId="77777777" w:rsidR="0008176F" w:rsidRPr="0008176F" w:rsidRDefault="0008176F" w:rsidP="0008176F">
      <w:pPr>
        <w:pStyle w:val="NoSpacing"/>
        <w:jc w:val="center"/>
        <w:rPr>
          <w:caps/>
        </w:rPr>
      </w:pPr>
    </w:p>
    <w:p w14:paraId="52A59CE1" w14:textId="77777777" w:rsidR="0008176F" w:rsidRPr="0008176F" w:rsidRDefault="0008176F" w:rsidP="0008176F">
      <w:pPr>
        <w:pStyle w:val="NoSpacing"/>
        <w:jc w:val="center"/>
        <w:rPr>
          <w:caps/>
        </w:rPr>
      </w:pPr>
    </w:p>
    <w:p w14:paraId="368044EC" w14:textId="77777777" w:rsidR="0008176F" w:rsidRPr="0008176F" w:rsidRDefault="0008176F" w:rsidP="0008176F">
      <w:pPr>
        <w:pStyle w:val="NoSpacing"/>
        <w:jc w:val="center"/>
        <w:rPr>
          <w:caps/>
        </w:rPr>
      </w:pPr>
    </w:p>
    <w:p w14:paraId="71E0DBC3" w14:textId="77777777" w:rsidR="0008176F" w:rsidRPr="0008176F" w:rsidRDefault="0008176F" w:rsidP="0008176F">
      <w:pPr>
        <w:pStyle w:val="NoSpacing"/>
        <w:jc w:val="center"/>
        <w:rPr>
          <w:caps/>
        </w:rPr>
      </w:pPr>
    </w:p>
    <w:p w14:paraId="5A5BB35C" w14:textId="77777777" w:rsidR="0008176F" w:rsidRPr="0008176F" w:rsidRDefault="0008176F" w:rsidP="0008176F">
      <w:pPr>
        <w:pStyle w:val="NoSpacing"/>
        <w:jc w:val="center"/>
        <w:rPr>
          <w:caps/>
        </w:rPr>
      </w:pPr>
    </w:p>
    <w:p w14:paraId="0AFCC371" w14:textId="02422F14" w:rsidR="0008176F" w:rsidRPr="0008176F" w:rsidRDefault="009425BE"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B18BD">
            <w:rPr>
              <w:caps/>
            </w:rPr>
            <w:t>Dissertation</w:t>
          </w:r>
        </w:sdtContent>
      </w:sdt>
    </w:p>
    <w:p w14:paraId="1DE27290"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1351ADBF" w14:textId="77777777" w:rsidR="0008176F" w:rsidRPr="0008176F" w:rsidRDefault="0008176F" w:rsidP="0008176F">
          <w:pPr>
            <w:pStyle w:val="NoSpacing"/>
            <w:jc w:val="center"/>
            <w:rPr>
              <w:caps/>
            </w:rPr>
          </w:pPr>
          <w:r w:rsidRPr="0008176F">
            <w:rPr>
              <w:caps/>
            </w:rPr>
            <w:t>submitted to the Graduate Faculty</w:t>
          </w:r>
        </w:p>
        <w:p w14:paraId="3F832B0A" w14:textId="77777777" w:rsidR="0008176F" w:rsidRDefault="0008176F" w:rsidP="0008176F">
          <w:pPr>
            <w:pStyle w:val="NoSpacing"/>
            <w:jc w:val="center"/>
          </w:pPr>
        </w:p>
        <w:p w14:paraId="2616F062" w14:textId="77777777" w:rsidR="0008176F" w:rsidRDefault="0008176F" w:rsidP="0008176F">
          <w:pPr>
            <w:pStyle w:val="NoSpacing"/>
            <w:jc w:val="center"/>
          </w:pPr>
          <w:r>
            <w:t>in partial fulfillment of the requirements for the</w:t>
          </w:r>
        </w:p>
        <w:p w14:paraId="59109998" w14:textId="77777777" w:rsidR="0008176F" w:rsidRDefault="0008176F" w:rsidP="0008176F">
          <w:pPr>
            <w:pStyle w:val="NoSpacing"/>
            <w:jc w:val="center"/>
          </w:pPr>
        </w:p>
        <w:p w14:paraId="6CE14CAF" w14:textId="77777777" w:rsidR="0008176F" w:rsidRDefault="0008176F" w:rsidP="0008176F">
          <w:pPr>
            <w:pStyle w:val="NoSpacing"/>
            <w:jc w:val="center"/>
          </w:pPr>
          <w:r>
            <w:t>Degree of</w:t>
          </w:r>
        </w:p>
      </w:sdtContent>
    </w:sdt>
    <w:p w14:paraId="1A47C811"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4ED2FCA2" w14:textId="78857519" w:rsidR="00746E16" w:rsidRDefault="00CB18BD" w:rsidP="00746E16">
          <w:pPr>
            <w:pStyle w:val="NoSpacing"/>
            <w:spacing w:line="480" w:lineRule="auto"/>
            <w:jc w:val="center"/>
            <w:rPr>
              <w:caps/>
            </w:rPr>
          </w:pPr>
          <w:r>
            <w:rPr>
              <w:caps/>
            </w:rPr>
            <w:t>Doctor of Philosophy</w:t>
          </w:r>
        </w:p>
      </w:sdtContent>
    </w:sdt>
    <w:p w14:paraId="0F329F22" w14:textId="77777777" w:rsidR="00730F0A" w:rsidRDefault="00730F0A" w:rsidP="0008176F">
      <w:pPr>
        <w:pStyle w:val="NoSpacing"/>
        <w:jc w:val="center"/>
      </w:pPr>
    </w:p>
    <w:p w14:paraId="240F8B62" w14:textId="77777777" w:rsidR="00730F0A" w:rsidRDefault="00730F0A" w:rsidP="0008176F">
      <w:pPr>
        <w:pStyle w:val="NoSpacing"/>
        <w:jc w:val="center"/>
      </w:pPr>
    </w:p>
    <w:p w14:paraId="0362F2A4" w14:textId="77777777" w:rsidR="00730F0A" w:rsidRDefault="00730F0A" w:rsidP="0008176F">
      <w:pPr>
        <w:pStyle w:val="NoSpacing"/>
        <w:jc w:val="center"/>
      </w:pPr>
    </w:p>
    <w:p w14:paraId="06032E5C" w14:textId="77777777" w:rsidR="00730F0A" w:rsidRDefault="00730F0A" w:rsidP="0008176F">
      <w:pPr>
        <w:pStyle w:val="NoSpacing"/>
        <w:jc w:val="center"/>
      </w:pPr>
    </w:p>
    <w:p w14:paraId="43163C6A" w14:textId="77777777" w:rsidR="00730F0A" w:rsidRDefault="00730F0A" w:rsidP="0008176F">
      <w:pPr>
        <w:pStyle w:val="NoSpacing"/>
        <w:jc w:val="center"/>
      </w:pPr>
    </w:p>
    <w:p w14:paraId="471882CD" w14:textId="77777777" w:rsidR="00730F0A" w:rsidRDefault="00730F0A" w:rsidP="0008176F">
      <w:pPr>
        <w:pStyle w:val="NoSpacing"/>
        <w:jc w:val="center"/>
      </w:pPr>
    </w:p>
    <w:p w14:paraId="125ED994" w14:textId="77777777" w:rsidR="00730F0A" w:rsidRDefault="00730F0A" w:rsidP="0008176F">
      <w:pPr>
        <w:pStyle w:val="NoSpacing"/>
        <w:jc w:val="center"/>
      </w:pPr>
    </w:p>
    <w:p w14:paraId="5BCDB3D8" w14:textId="77777777" w:rsidR="00730F0A" w:rsidRDefault="00730F0A" w:rsidP="0008176F">
      <w:pPr>
        <w:pStyle w:val="NoSpacing"/>
        <w:jc w:val="center"/>
      </w:pPr>
    </w:p>
    <w:p w14:paraId="7D793E55" w14:textId="77777777" w:rsidR="00730F0A" w:rsidRDefault="00730F0A" w:rsidP="0008176F">
      <w:pPr>
        <w:pStyle w:val="NoSpacing"/>
        <w:jc w:val="center"/>
      </w:pPr>
    </w:p>
    <w:p w14:paraId="2F592D0E" w14:textId="77777777" w:rsidR="00730F0A" w:rsidRDefault="00730F0A" w:rsidP="0008176F">
      <w:pPr>
        <w:pStyle w:val="NoSpacing"/>
        <w:jc w:val="center"/>
      </w:pPr>
      <w:r>
        <w:t>By</w:t>
      </w:r>
    </w:p>
    <w:p w14:paraId="0B22346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3A40FD61" w14:textId="6CDB94A7" w:rsidR="00746E16" w:rsidRDefault="00CB18BD" w:rsidP="00746E16">
          <w:pPr>
            <w:pStyle w:val="NoSpacing"/>
            <w:jc w:val="center"/>
            <w:rPr>
              <w:caps/>
            </w:rPr>
          </w:pPr>
          <w:r>
            <w:rPr>
              <w:caps/>
            </w:rPr>
            <w:t>Ryan Bensen</w:t>
          </w:r>
        </w:p>
      </w:sdtContent>
    </w:sdt>
    <w:sdt>
      <w:sdtPr>
        <w:id w:val="30091838"/>
        <w:lock w:val="contentLocked"/>
        <w:placeholder>
          <w:docPart w:val="A81F602006EA4C16A9F3206BB0D96450"/>
        </w:placeholder>
        <w:group/>
      </w:sdtPr>
      <w:sdtEndPr/>
      <w:sdtContent>
        <w:p w14:paraId="6A454149"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7DE67F8F" w14:textId="5C32D1BD" w:rsidR="00730F0A" w:rsidRDefault="00CB18BD" w:rsidP="00730F0A">
          <w:pPr>
            <w:pStyle w:val="NoSpacing"/>
            <w:jc w:val="center"/>
          </w:pPr>
          <w:r>
            <w:t>2020</w:t>
          </w:r>
        </w:p>
      </w:sdtContent>
    </w:sdt>
    <w:p w14:paraId="0EB87C53" w14:textId="3E1899C1" w:rsidR="00730F0A" w:rsidRDefault="00730F0A" w:rsidP="00730F0A">
      <w:pPr>
        <w:pStyle w:val="NoSpacing"/>
        <w:jc w:val="center"/>
      </w:pPr>
    </w:p>
    <w:p w14:paraId="56863ADE" w14:textId="77777777" w:rsidR="00730F0A" w:rsidRDefault="00730F0A" w:rsidP="00730F0A">
      <w:pPr>
        <w:pStyle w:val="NoSpacing"/>
        <w:jc w:val="center"/>
      </w:pPr>
    </w:p>
    <w:p w14:paraId="768D31C2" w14:textId="77777777" w:rsidR="00F93475" w:rsidRDefault="00F93475" w:rsidP="00730F0A">
      <w:pPr>
        <w:pStyle w:val="NoSpacing"/>
        <w:jc w:val="center"/>
      </w:pPr>
    </w:p>
    <w:p w14:paraId="21BADAE3" w14:textId="77777777" w:rsidR="00F93475" w:rsidRDefault="00F93475" w:rsidP="00730F0A">
      <w:pPr>
        <w:pStyle w:val="NoSpacing"/>
        <w:jc w:val="center"/>
      </w:pPr>
    </w:p>
    <w:p w14:paraId="186BF03D" w14:textId="77777777" w:rsidR="00730F0A" w:rsidRDefault="00730F0A" w:rsidP="00730F0A">
      <w:pPr>
        <w:pStyle w:val="NoSpacing"/>
        <w:jc w:val="center"/>
      </w:pPr>
    </w:p>
    <w:p w14:paraId="7FEC095B"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242847155"/>
            <w:placeholder>
              <w:docPart w:val="AC4659FEE55645ECB14EE4A82C1BD231"/>
            </w:placeholder>
          </w:sdtPr>
          <w:sdtEndPr/>
          <w:sdtContent>
            <w:p w14:paraId="1D2FE6EA" w14:textId="2A150F01" w:rsidR="00730F0A" w:rsidRPr="00730F0A" w:rsidRDefault="00E94DB0" w:rsidP="00730F0A">
              <w:pPr>
                <w:pStyle w:val="NoSpacing"/>
                <w:jc w:val="center"/>
                <w:rPr>
                  <w:caps/>
                </w:rPr>
              </w:pPr>
              <w:r w:rsidRPr="00E94DB0">
                <w:rPr>
                  <w:caps/>
                </w:rPr>
                <w:t xml:space="preserve">Personalized Medicine: Developing Precision </w:t>
              </w:r>
              <w:r w:rsidR="00012F48">
                <w:rPr>
                  <w:caps/>
                </w:rPr>
                <w:t>Antiviral/ Anticancer</w:t>
              </w:r>
              <w:r w:rsidR="00012F48" w:rsidRPr="00E94DB0">
                <w:rPr>
                  <w:caps/>
                </w:rPr>
                <w:t xml:space="preserve"> </w:t>
              </w:r>
              <w:r w:rsidRPr="00E94DB0">
                <w:rPr>
                  <w:caps/>
                </w:rPr>
                <w:t>Therapeutics and Bio-Analytical Chemotherapeutic Drug Monitoring</w:t>
              </w:r>
            </w:p>
          </w:sdtContent>
        </w:sdt>
      </w:sdtContent>
    </w:sdt>
    <w:p w14:paraId="51BA666A" w14:textId="77777777" w:rsidR="00730F0A" w:rsidRPr="00730F0A" w:rsidRDefault="00730F0A" w:rsidP="00730F0A">
      <w:pPr>
        <w:pStyle w:val="NoSpacing"/>
        <w:jc w:val="center"/>
        <w:rPr>
          <w:caps/>
        </w:rPr>
      </w:pPr>
    </w:p>
    <w:p w14:paraId="76F7CE51" w14:textId="77777777" w:rsidR="00730F0A" w:rsidRPr="00730F0A" w:rsidRDefault="00730F0A" w:rsidP="00730F0A">
      <w:pPr>
        <w:pStyle w:val="NoSpacing"/>
        <w:jc w:val="center"/>
        <w:rPr>
          <w:caps/>
        </w:rPr>
      </w:pPr>
    </w:p>
    <w:p w14:paraId="1BB2E327" w14:textId="1ADC0790" w:rsidR="00730F0A" w:rsidRPr="00730F0A" w:rsidRDefault="009425BE"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94DB0">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38C10E09" w14:textId="4DF8A259" w:rsidR="00746E16" w:rsidRDefault="00E94DB0" w:rsidP="00746E16">
          <w:pPr>
            <w:pStyle w:val="NoSpacing"/>
            <w:jc w:val="center"/>
            <w:rPr>
              <w:caps/>
            </w:rPr>
          </w:pPr>
          <w:r>
            <w:rPr>
              <w:caps/>
            </w:rPr>
            <w:t>Department of Chemistry and Biochemistry</w:t>
          </w:r>
        </w:p>
      </w:sdtContent>
    </w:sdt>
    <w:p w14:paraId="614431F4" w14:textId="77777777" w:rsidR="00730F0A" w:rsidRPr="00730F0A" w:rsidRDefault="00730F0A" w:rsidP="00730F0A">
      <w:pPr>
        <w:pStyle w:val="NoSpacing"/>
        <w:jc w:val="center"/>
        <w:rPr>
          <w:caps/>
        </w:rPr>
      </w:pPr>
    </w:p>
    <w:p w14:paraId="103D50CF" w14:textId="77777777" w:rsidR="00730F0A" w:rsidRPr="00730F0A" w:rsidRDefault="00730F0A" w:rsidP="00730F0A">
      <w:pPr>
        <w:pStyle w:val="NoSpacing"/>
        <w:jc w:val="center"/>
        <w:rPr>
          <w:caps/>
        </w:rPr>
      </w:pPr>
    </w:p>
    <w:p w14:paraId="1B51CFA5" w14:textId="77777777" w:rsidR="00730F0A" w:rsidRPr="00730F0A" w:rsidRDefault="00730F0A" w:rsidP="00730F0A">
      <w:pPr>
        <w:pStyle w:val="NoSpacing"/>
        <w:jc w:val="center"/>
        <w:rPr>
          <w:caps/>
        </w:rPr>
      </w:pPr>
    </w:p>
    <w:p w14:paraId="2C97BA7E" w14:textId="77777777" w:rsidR="00730F0A" w:rsidRDefault="00730F0A" w:rsidP="00730F0A">
      <w:pPr>
        <w:pStyle w:val="NoSpacing"/>
        <w:jc w:val="center"/>
        <w:rPr>
          <w:caps/>
        </w:rPr>
      </w:pPr>
    </w:p>
    <w:p w14:paraId="53DA4D89" w14:textId="77777777" w:rsidR="00730F0A" w:rsidRPr="00730F0A" w:rsidRDefault="00730F0A" w:rsidP="00730F0A">
      <w:pPr>
        <w:pStyle w:val="NoSpacing"/>
        <w:jc w:val="center"/>
        <w:rPr>
          <w:caps/>
        </w:rPr>
      </w:pPr>
    </w:p>
    <w:p w14:paraId="78DD71D5" w14:textId="77777777" w:rsidR="00730F0A" w:rsidRPr="00730F0A" w:rsidRDefault="00730F0A" w:rsidP="00730F0A">
      <w:pPr>
        <w:pStyle w:val="NoSpacing"/>
        <w:jc w:val="center"/>
        <w:rPr>
          <w:caps/>
        </w:rPr>
      </w:pPr>
    </w:p>
    <w:p w14:paraId="6264FC40" w14:textId="65D0BCEE" w:rsidR="00730F0A" w:rsidRPr="00730F0A" w:rsidRDefault="00730F0A" w:rsidP="00730F0A">
      <w:pPr>
        <w:pStyle w:val="NoSpacing"/>
        <w:jc w:val="center"/>
        <w:rPr>
          <w:caps/>
        </w:rPr>
      </w:pPr>
    </w:p>
    <w:p w14:paraId="413C515D" w14:textId="20EF9F74" w:rsidR="00730F0A" w:rsidRDefault="00730F0A" w:rsidP="00730F0A">
      <w:pPr>
        <w:pStyle w:val="NoSpacing"/>
        <w:jc w:val="center"/>
      </w:pPr>
      <w:r w:rsidRPr="00730F0A">
        <w:rPr>
          <w:caps/>
        </w:rPr>
        <w:t>By</w:t>
      </w:r>
      <w:r w:rsidR="00F84DA6">
        <w:t xml:space="preserve"> THE COMMITTEE CONSISTING OF</w:t>
      </w:r>
    </w:p>
    <w:p w14:paraId="6A6BE93E" w14:textId="77777777" w:rsidR="00BB4657" w:rsidRDefault="00730F0A" w:rsidP="00730F0A">
      <w:pPr>
        <w:pStyle w:val="NoSpacing"/>
        <w:jc w:val="right"/>
      </w:pPr>
      <w:r>
        <w:tab/>
      </w:r>
    </w:p>
    <w:p w14:paraId="483C4098" w14:textId="77777777" w:rsidR="00F84DA6" w:rsidRDefault="00F84DA6" w:rsidP="00730F0A">
      <w:pPr>
        <w:pStyle w:val="NoSpacing"/>
        <w:jc w:val="right"/>
      </w:pPr>
    </w:p>
    <w:p w14:paraId="420A265D" w14:textId="30F1D319" w:rsidR="00730F0A" w:rsidRPr="006B4721" w:rsidRDefault="00730F0A" w:rsidP="00730F0A">
      <w:pPr>
        <w:pStyle w:val="NoSpacing"/>
        <w:jc w:val="right"/>
      </w:pPr>
      <w:r>
        <w:tab/>
      </w:r>
      <w:r>
        <w:tab/>
      </w:r>
      <w:r>
        <w:tab/>
      </w:r>
    </w:p>
    <w:p w14:paraId="1A6EA5DD" w14:textId="11FD61D0" w:rsidR="00730F0A" w:rsidRDefault="009425BE"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E94DB0">
            <w:t>Anthony Burgett</w:t>
          </w:r>
        </w:sdtContent>
      </w:sdt>
      <w:r w:rsidR="00730F0A">
        <w:t>, Chair</w:t>
      </w:r>
    </w:p>
    <w:p w14:paraId="21DDCE3A" w14:textId="77777777" w:rsidR="00730F0A" w:rsidRDefault="00730F0A" w:rsidP="00730F0A">
      <w:pPr>
        <w:pStyle w:val="NoSpacing"/>
        <w:jc w:val="right"/>
      </w:pPr>
    </w:p>
    <w:p w14:paraId="553D50B9" w14:textId="77777777" w:rsidR="00730F0A" w:rsidRDefault="00730F0A" w:rsidP="00730F0A">
      <w:pPr>
        <w:pStyle w:val="NoSpacing"/>
        <w:jc w:val="right"/>
      </w:pPr>
    </w:p>
    <w:p w14:paraId="09C71253" w14:textId="77777777" w:rsidR="00D44992" w:rsidRDefault="00D44992" w:rsidP="00730F0A">
      <w:pPr>
        <w:pStyle w:val="NoSpacing"/>
        <w:jc w:val="right"/>
      </w:pPr>
    </w:p>
    <w:p w14:paraId="62FF506E" w14:textId="37B16453" w:rsidR="00730F0A" w:rsidRDefault="009425BE"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E94DB0">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E94DB0">
            <w:t>Christina Bourne</w:t>
          </w:r>
        </w:sdtContent>
      </w:sdt>
    </w:p>
    <w:p w14:paraId="77BD7C5A" w14:textId="77777777" w:rsidR="00730F0A" w:rsidRDefault="00730F0A" w:rsidP="00730F0A">
      <w:pPr>
        <w:pStyle w:val="NoSpacing"/>
        <w:jc w:val="right"/>
      </w:pPr>
    </w:p>
    <w:p w14:paraId="3B587438" w14:textId="77777777" w:rsidR="00730F0A" w:rsidRDefault="00730F0A" w:rsidP="00730F0A">
      <w:pPr>
        <w:pStyle w:val="NoSpacing"/>
        <w:jc w:val="right"/>
      </w:pPr>
    </w:p>
    <w:p w14:paraId="40D39963" w14:textId="77777777" w:rsidR="00D44992" w:rsidRDefault="00D44992" w:rsidP="00730F0A">
      <w:pPr>
        <w:pStyle w:val="NoSpacing"/>
        <w:jc w:val="right"/>
      </w:pPr>
    </w:p>
    <w:p w14:paraId="091C8D83" w14:textId="2FA79F96" w:rsidR="00730F0A" w:rsidRDefault="009425BE"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E94DB0">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E94DB0">
            <w:t>Rakhi Rajan</w:t>
          </w:r>
        </w:sdtContent>
      </w:sdt>
    </w:p>
    <w:p w14:paraId="276D8A05" w14:textId="77777777" w:rsidR="00730F0A" w:rsidRDefault="00730F0A" w:rsidP="00730F0A">
      <w:pPr>
        <w:pStyle w:val="NoSpacing"/>
        <w:jc w:val="right"/>
      </w:pPr>
    </w:p>
    <w:p w14:paraId="3054BAD5" w14:textId="77777777" w:rsidR="00730F0A" w:rsidRDefault="00730F0A" w:rsidP="00730F0A">
      <w:pPr>
        <w:pStyle w:val="NoSpacing"/>
        <w:jc w:val="right"/>
      </w:pPr>
    </w:p>
    <w:p w14:paraId="542CF171" w14:textId="77777777" w:rsidR="00D44992" w:rsidRDefault="00D44992" w:rsidP="00FF0F0F">
      <w:pPr>
        <w:pStyle w:val="NoSpacing"/>
        <w:jc w:val="right"/>
      </w:pPr>
    </w:p>
    <w:p w14:paraId="64385EFB" w14:textId="083D7224" w:rsidR="00FF0F0F" w:rsidRDefault="009425BE"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E94DB0">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E94DB0">
            <w:t>Zhibo Yang</w:t>
          </w:r>
        </w:sdtContent>
      </w:sdt>
    </w:p>
    <w:p w14:paraId="61A0B3A6" w14:textId="77777777" w:rsidR="00FF0F0F" w:rsidRDefault="00FF0F0F" w:rsidP="00FF0F0F">
      <w:pPr>
        <w:pStyle w:val="NoSpacing"/>
        <w:jc w:val="right"/>
      </w:pPr>
    </w:p>
    <w:p w14:paraId="6D18D9CB" w14:textId="77777777" w:rsidR="00FF0F0F" w:rsidRDefault="00FF0F0F" w:rsidP="00FF0F0F">
      <w:pPr>
        <w:pStyle w:val="NoSpacing"/>
        <w:jc w:val="right"/>
      </w:pPr>
    </w:p>
    <w:p w14:paraId="6D682F90" w14:textId="5B374B8C" w:rsidR="00FF0F0F" w:rsidRPr="006B4721" w:rsidRDefault="00FF0F0F" w:rsidP="00FF0F0F">
      <w:pPr>
        <w:pStyle w:val="NoSpacing"/>
        <w:jc w:val="right"/>
      </w:pPr>
    </w:p>
    <w:p w14:paraId="50F59A07" w14:textId="028260B6" w:rsidR="00FF0F0F" w:rsidRDefault="009425BE"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E94DB0">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E94DB0">
            <w:t>Cecil Lewis</w:t>
          </w:r>
        </w:sdtContent>
      </w:sdt>
    </w:p>
    <w:p w14:paraId="495DF311" w14:textId="23CD7B94" w:rsidR="00730F0A" w:rsidRDefault="00730F0A" w:rsidP="00E94DB0">
      <w:pPr>
        <w:pStyle w:val="NoSpacing"/>
      </w:pPr>
    </w:p>
    <w:p w14:paraId="1D0AB449" w14:textId="77777777" w:rsidR="00E94DB0" w:rsidRDefault="00E94DB0" w:rsidP="00E94DB0">
      <w:pPr>
        <w:pStyle w:val="NoSpacing"/>
      </w:pPr>
    </w:p>
    <w:p w14:paraId="3442A6B9" w14:textId="735A2F58" w:rsidR="00730F0A" w:rsidRPr="006B4721" w:rsidRDefault="00730F0A" w:rsidP="00730F0A">
      <w:pPr>
        <w:pStyle w:val="NoSpacing"/>
        <w:jc w:val="right"/>
      </w:pPr>
    </w:p>
    <w:p w14:paraId="12CB9A34" w14:textId="1B30026E" w:rsidR="00730F0A" w:rsidRDefault="00730F0A" w:rsidP="00656AAD">
      <w:pPr>
        <w:pStyle w:val="NoSpacing"/>
      </w:pPr>
    </w:p>
    <w:p w14:paraId="27E76BB9" w14:textId="77777777" w:rsidR="00730F0A" w:rsidRDefault="00730F0A" w:rsidP="00730F0A">
      <w:pPr>
        <w:pStyle w:val="NoSpacing"/>
        <w:jc w:val="center"/>
      </w:pPr>
    </w:p>
    <w:p w14:paraId="741C5FD6" w14:textId="77777777" w:rsidR="00730F0A" w:rsidRDefault="00730F0A" w:rsidP="00730F0A">
      <w:pPr>
        <w:pStyle w:val="NoSpacing"/>
        <w:jc w:val="center"/>
      </w:pPr>
    </w:p>
    <w:p w14:paraId="7F958774" w14:textId="77777777" w:rsidR="00730F0A" w:rsidRDefault="00730F0A" w:rsidP="00730F0A">
      <w:pPr>
        <w:pStyle w:val="NoSpacing"/>
        <w:jc w:val="center"/>
      </w:pPr>
    </w:p>
    <w:p w14:paraId="267A70F1" w14:textId="77777777" w:rsidR="00730F0A" w:rsidRDefault="00730F0A" w:rsidP="00730F0A">
      <w:pPr>
        <w:pStyle w:val="NoSpacing"/>
        <w:jc w:val="center"/>
      </w:pPr>
    </w:p>
    <w:p w14:paraId="424B9482" w14:textId="77777777" w:rsidR="00730F0A" w:rsidRDefault="00730F0A" w:rsidP="00730F0A">
      <w:pPr>
        <w:pStyle w:val="NoSpacing"/>
        <w:jc w:val="center"/>
      </w:pPr>
    </w:p>
    <w:p w14:paraId="688D1997" w14:textId="77777777" w:rsidR="00730F0A" w:rsidRDefault="00730F0A" w:rsidP="00730F0A">
      <w:pPr>
        <w:pStyle w:val="NoSpacing"/>
        <w:jc w:val="center"/>
      </w:pPr>
    </w:p>
    <w:p w14:paraId="081B91F2" w14:textId="77777777" w:rsidR="00730F0A" w:rsidRDefault="00730F0A" w:rsidP="00730F0A">
      <w:pPr>
        <w:pStyle w:val="NoSpacing"/>
        <w:jc w:val="center"/>
      </w:pPr>
    </w:p>
    <w:p w14:paraId="24BAAD75" w14:textId="77777777" w:rsidR="00730F0A" w:rsidRDefault="00730F0A" w:rsidP="00730F0A">
      <w:pPr>
        <w:pStyle w:val="NoSpacing"/>
        <w:jc w:val="center"/>
      </w:pPr>
    </w:p>
    <w:p w14:paraId="289D325A" w14:textId="77777777" w:rsidR="00730F0A" w:rsidRDefault="00730F0A" w:rsidP="00730F0A">
      <w:pPr>
        <w:pStyle w:val="NoSpacing"/>
        <w:jc w:val="center"/>
      </w:pPr>
    </w:p>
    <w:p w14:paraId="31A18029" w14:textId="77777777" w:rsidR="00730F0A" w:rsidRDefault="00730F0A" w:rsidP="00730F0A">
      <w:pPr>
        <w:pStyle w:val="NoSpacing"/>
        <w:jc w:val="center"/>
      </w:pPr>
    </w:p>
    <w:p w14:paraId="1BBE7A17" w14:textId="77777777" w:rsidR="00730F0A" w:rsidRDefault="00730F0A" w:rsidP="00730F0A">
      <w:pPr>
        <w:pStyle w:val="NoSpacing"/>
        <w:jc w:val="center"/>
      </w:pPr>
    </w:p>
    <w:p w14:paraId="755E8BFC" w14:textId="77777777" w:rsidR="00730F0A" w:rsidRDefault="00730F0A" w:rsidP="00730F0A">
      <w:pPr>
        <w:pStyle w:val="NoSpacing"/>
        <w:jc w:val="center"/>
      </w:pPr>
    </w:p>
    <w:p w14:paraId="472D3543" w14:textId="77777777" w:rsidR="00730F0A" w:rsidRDefault="00730F0A" w:rsidP="00730F0A">
      <w:pPr>
        <w:pStyle w:val="NoSpacing"/>
        <w:jc w:val="center"/>
      </w:pPr>
    </w:p>
    <w:p w14:paraId="2C6128C7" w14:textId="77777777" w:rsidR="00730F0A" w:rsidRDefault="00730F0A" w:rsidP="00730F0A">
      <w:pPr>
        <w:pStyle w:val="NoSpacing"/>
        <w:jc w:val="center"/>
      </w:pPr>
    </w:p>
    <w:p w14:paraId="2666212D" w14:textId="77777777" w:rsidR="00730F0A" w:rsidRDefault="00730F0A" w:rsidP="00730F0A">
      <w:pPr>
        <w:pStyle w:val="NoSpacing"/>
        <w:jc w:val="center"/>
      </w:pPr>
    </w:p>
    <w:p w14:paraId="37138EBE" w14:textId="77777777" w:rsidR="00730F0A" w:rsidRDefault="00730F0A" w:rsidP="00730F0A">
      <w:pPr>
        <w:pStyle w:val="NoSpacing"/>
        <w:jc w:val="center"/>
      </w:pPr>
    </w:p>
    <w:p w14:paraId="0457EF3C" w14:textId="77777777" w:rsidR="00730F0A" w:rsidRDefault="00730F0A" w:rsidP="00730F0A">
      <w:pPr>
        <w:pStyle w:val="NoSpacing"/>
        <w:jc w:val="center"/>
      </w:pPr>
    </w:p>
    <w:p w14:paraId="3C818CF7" w14:textId="77777777" w:rsidR="00730F0A" w:rsidRDefault="00730F0A" w:rsidP="00730F0A">
      <w:pPr>
        <w:pStyle w:val="NoSpacing"/>
        <w:jc w:val="center"/>
      </w:pPr>
    </w:p>
    <w:p w14:paraId="5109B419" w14:textId="77777777" w:rsidR="00730F0A" w:rsidRDefault="00730F0A" w:rsidP="00730F0A">
      <w:pPr>
        <w:pStyle w:val="NoSpacing"/>
        <w:jc w:val="center"/>
      </w:pPr>
    </w:p>
    <w:p w14:paraId="7C4F1126" w14:textId="77777777" w:rsidR="00730F0A" w:rsidRDefault="00730F0A" w:rsidP="00730F0A">
      <w:pPr>
        <w:pStyle w:val="NoSpacing"/>
        <w:jc w:val="center"/>
      </w:pPr>
    </w:p>
    <w:p w14:paraId="0051D87E" w14:textId="77777777" w:rsidR="00730F0A" w:rsidRDefault="00730F0A" w:rsidP="00730F0A">
      <w:pPr>
        <w:pStyle w:val="NoSpacing"/>
        <w:jc w:val="center"/>
      </w:pPr>
    </w:p>
    <w:p w14:paraId="5EEB0CA6" w14:textId="77777777" w:rsidR="00730F0A" w:rsidRDefault="00730F0A" w:rsidP="00730F0A">
      <w:pPr>
        <w:pStyle w:val="NoSpacing"/>
        <w:jc w:val="center"/>
      </w:pPr>
    </w:p>
    <w:p w14:paraId="7A5122F4" w14:textId="77777777" w:rsidR="00730F0A" w:rsidRDefault="00730F0A" w:rsidP="00730F0A">
      <w:pPr>
        <w:pStyle w:val="NoSpacing"/>
        <w:jc w:val="center"/>
      </w:pPr>
    </w:p>
    <w:p w14:paraId="15B6F363" w14:textId="77777777" w:rsidR="00730F0A" w:rsidRDefault="00730F0A" w:rsidP="00730F0A">
      <w:pPr>
        <w:pStyle w:val="NoSpacing"/>
        <w:jc w:val="center"/>
      </w:pPr>
    </w:p>
    <w:p w14:paraId="26A3E379" w14:textId="77777777" w:rsidR="00730F0A" w:rsidRDefault="00730F0A" w:rsidP="00730F0A">
      <w:pPr>
        <w:pStyle w:val="NoSpacing"/>
        <w:jc w:val="center"/>
      </w:pPr>
    </w:p>
    <w:p w14:paraId="785A6FDF" w14:textId="77777777" w:rsidR="00730F0A" w:rsidRDefault="00730F0A" w:rsidP="00730F0A">
      <w:pPr>
        <w:pStyle w:val="NoSpacing"/>
        <w:jc w:val="center"/>
      </w:pPr>
    </w:p>
    <w:p w14:paraId="4082B2D3" w14:textId="77777777" w:rsidR="00730F0A" w:rsidRDefault="00730F0A" w:rsidP="00730F0A">
      <w:pPr>
        <w:pStyle w:val="NoSpacing"/>
        <w:jc w:val="center"/>
      </w:pPr>
    </w:p>
    <w:p w14:paraId="71132962" w14:textId="77777777" w:rsidR="00730F0A" w:rsidRDefault="00730F0A" w:rsidP="00730F0A">
      <w:pPr>
        <w:pStyle w:val="NoSpacing"/>
        <w:jc w:val="center"/>
      </w:pPr>
    </w:p>
    <w:p w14:paraId="0727818D" w14:textId="77777777" w:rsidR="00730F0A" w:rsidRDefault="00730F0A" w:rsidP="00730F0A">
      <w:pPr>
        <w:pStyle w:val="NoSpacing"/>
        <w:jc w:val="center"/>
      </w:pPr>
    </w:p>
    <w:p w14:paraId="11A1B5E6" w14:textId="77777777" w:rsidR="00730F0A" w:rsidRDefault="00730F0A" w:rsidP="00730F0A">
      <w:pPr>
        <w:pStyle w:val="NoSpacing"/>
        <w:jc w:val="center"/>
      </w:pPr>
    </w:p>
    <w:p w14:paraId="03CBEA76" w14:textId="77777777" w:rsidR="00730F0A" w:rsidRDefault="00730F0A" w:rsidP="00730F0A">
      <w:pPr>
        <w:pStyle w:val="NoSpacing"/>
        <w:jc w:val="center"/>
      </w:pPr>
    </w:p>
    <w:p w14:paraId="40EE634B" w14:textId="77777777" w:rsidR="00730F0A" w:rsidRDefault="00730F0A" w:rsidP="00730F0A">
      <w:pPr>
        <w:pStyle w:val="NoSpacing"/>
        <w:jc w:val="center"/>
      </w:pPr>
    </w:p>
    <w:p w14:paraId="14641774" w14:textId="77777777" w:rsidR="00730F0A" w:rsidRDefault="00730F0A" w:rsidP="00730F0A">
      <w:pPr>
        <w:pStyle w:val="NoSpacing"/>
        <w:jc w:val="center"/>
      </w:pPr>
    </w:p>
    <w:p w14:paraId="5EE4837F" w14:textId="77777777" w:rsidR="00730F0A" w:rsidRDefault="00730F0A" w:rsidP="00730F0A">
      <w:pPr>
        <w:pStyle w:val="NoSpacing"/>
        <w:jc w:val="center"/>
      </w:pPr>
    </w:p>
    <w:p w14:paraId="7F958E7A" w14:textId="77777777" w:rsidR="00730F0A" w:rsidRDefault="00730F0A" w:rsidP="00730F0A">
      <w:pPr>
        <w:pStyle w:val="NoSpacing"/>
        <w:jc w:val="center"/>
      </w:pPr>
    </w:p>
    <w:p w14:paraId="2787DB61" w14:textId="77777777" w:rsidR="00730F0A" w:rsidRDefault="00730F0A" w:rsidP="00730F0A">
      <w:pPr>
        <w:pStyle w:val="NoSpacing"/>
        <w:jc w:val="center"/>
      </w:pPr>
    </w:p>
    <w:p w14:paraId="21F7D1DC" w14:textId="77777777" w:rsidR="00730F0A" w:rsidRDefault="00730F0A" w:rsidP="00730F0A">
      <w:pPr>
        <w:pStyle w:val="NoSpacing"/>
        <w:jc w:val="center"/>
      </w:pPr>
    </w:p>
    <w:p w14:paraId="3B3AB28C" w14:textId="77777777" w:rsidR="00730F0A" w:rsidRDefault="00730F0A" w:rsidP="00730F0A">
      <w:pPr>
        <w:pStyle w:val="NoSpacing"/>
        <w:jc w:val="center"/>
      </w:pPr>
    </w:p>
    <w:p w14:paraId="55E08597" w14:textId="77777777" w:rsidR="00730F0A" w:rsidRDefault="00730F0A" w:rsidP="00730F0A">
      <w:pPr>
        <w:pStyle w:val="NoSpacing"/>
        <w:jc w:val="center"/>
      </w:pPr>
    </w:p>
    <w:p w14:paraId="2171DECE" w14:textId="77777777" w:rsidR="00730F0A" w:rsidRDefault="00730F0A" w:rsidP="00730F0A">
      <w:pPr>
        <w:pStyle w:val="NoSpacing"/>
        <w:jc w:val="center"/>
      </w:pPr>
    </w:p>
    <w:p w14:paraId="287D3C5C" w14:textId="77777777" w:rsidR="00730F0A" w:rsidRDefault="00730F0A" w:rsidP="00730F0A">
      <w:pPr>
        <w:pStyle w:val="NoSpacing"/>
        <w:jc w:val="center"/>
      </w:pPr>
    </w:p>
    <w:p w14:paraId="67815FC0" w14:textId="77777777" w:rsidR="00730F0A" w:rsidRDefault="00730F0A" w:rsidP="00730F0A">
      <w:pPr>
        <w:pStyle w:val="NoSpacing"/>
        <w:jc w:val="center"/>
      </w:pPr>
    </w:p>
    <w:p w14:paraId="694329C8" w14:textId="5558AA48" w:rsidR="00730F0A" w:rsidRDefault="009425BE"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E94DB0">
            <w:rPr>
              <w:caps/>
            </w:rPr>
            <w:t>RYAN BENS</w:t>
          </w:r>
          <w:r w:rsidR="00B925E4">
            <w:rPr>
              <w:caps/>
            </w:rPr>
            <w:t>E</w:t>
          </w:r>
          <w:r w:rsidR="00E94DB0">
            <w:rPr>
              <w:caps/>
            </w:rPr>
            <w:t>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E94DB0">
            <w:t>2020</w:t>
          </w:r>
        </w:sdtContent>
      </w:sdt>
    </w:p>
    <w:p w14:paraId="50A6C01D" w14:textId="77777777" w:rsidR="00730F0A" w:rsidRDefault="00730F0A" w:rsidP="00730F0A">
      <w:pPr>
        <w:pStyle w:val="NoSpacing"/>
        <w:jc w:val="center"/>
      </w:pPr>
      <w:r>
        <w:t>All Rights Reserved.</w:t>
      </w:r>
    </w:p>
    <w:p w14:paraId="2824E5F0" w14:textId="04ED5E87"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14:paraId="395B8149" w14:textId="77777777" w:rsidR="00CA3D6F" w:rsidRDefault="00CA3D6F" w:rsidP="00CA3D6F">
      <w:pPr>
        <w:jc w:val="center"/>
        <w:rPr>
          <w:b/>
          <w:bCs/>
          <w:sz w:val="28"/>
          <w:szCs w:val="28"/>
        </w:rPr>
      </w:pPr>
      <w:r>
        <w:rPr>
          <w:b/>
          <w:bCs/>
          <w:sz w:val="28"/>
          <w:szCs w:val="28"/>
        </w:rPr>
        <w:lastRenderedPageBreak/>
        <w:t xml:space="preserve">Acknowledgments </w:t>
      </w:r>
    </w:p>
    <w:p w14:paraId="067BAF4E" w14:textId="77777777" w:rsidR="00CA3D6F" w:rsidRPr="00AD461B" w:rsidRDefault="00CA3D6F" w:rsidP="00CA3D6F">
      <w:pPr>
        <w:ind w:firstLine="720"/>
        <w:jc w:val="both"/>
      </w:pPr>
      <w:r w:rsidRPr="00AD461B">
        <w:t xml:space="preserve">I’d like to thank everyone in the Burgett lab for their continued support, numerous contributions, and overall friendly environment. A special thanks is needed for my mentor, Dr. Burgett, who continuously provided me training and guidance in all aspects of my scientific career. Furthermore, countless thanks are needed for Mr. Zachary Severance, who was my peer throughout all my studies, and I would not have been able to produce many of these results in chapter 2 without his assistance. On a similar note, a big thanks is need for Dr. Brett Roberts who produced many of the assays and data for chapter 2 as well. Thanks are also in order for Dr. Naga Rama Kothapalli for her continuing guidance and being a mentor. </w:t>
      </w:r>
    </w:p>
    <w:p w14:paraId="5200F862" w14:textId="77777777" w:rsidR="00CA3D6F" w:rsidRPr="00AD461B" w:rsidRDefault="00CA3D6F" w:rsidP="00CA3D6F">
      <w:pPr>
        <w:ind w:firstLine="720"/>
        <w:jc w:val="both"/>
      </w:pPr>
      <w:r w:rsidRPr="00AD461B">
        <w:t xml:space="preserve">None of these biological studies would have been able to be produced without the work from Dr. Anh Le – McClain, who isolated the OSW-1 compound, and synthesized both internal standards in chapter 4. Further thanks is needed for Mr. Cori Malinky for his synthesis in numerous molecules. </w:t>
      </w:r>
    </w:p>
    <w:p w14:paraId="0A45B886" w14:textId="77777777" w:rsidR="00CA3D6F" w:rsidRPr="00AD461B" w:rsidRDefault="00CA3D6F" w:rsidP="00CA3D6F">
      <w:pPr>
        <w:ind w:firstLine="720"/>
        <w:jc w:val="both"/>
      </w:pPr>
      <w:r w:rsidRPr="00AD461B">
        <w:t xml:space="preserve">I’d also have to give a massive thank you to our collaborator, Dr. Yang, for his guidance and availability for using his laboratory equipment throughout chapter 4. Thanks is needed to Dr. Standke for her work, training, assistance, and mentorship throughout all of chapter 4, none of the produced work would have been possible without her assistance. </w:t>
      </w:r>
    </w:p>
    <w:p w14:paraId="2FC495E4" w14:textId="77777777" w:rsidR="00CA3D6F" w:rsidRPr="00AD461B" w:rsidRDefault="00CA3D6F" w:rsidP="00CA3D6F">
      <w:pPr>
        <w:ind w:firstLine="720"/>
        <w:jc w:val="both"/>
      </w:pPr>
      <w:r w:rsidRPr="00AD461B">
        <w:t xml:space="preserve">I’d also like to thank my other collaborator, Dr. Acar, for all her assistance with the production of chapter 3. Specifically, I’d like to thank Gokhan for his numerous contributions and would obviously not have been able to be produced without his help. </w:t>
      </w:r>
    </w:p>
    <w:p w14:paraId="23B721EC" w14:textId="77777777" w:rsidR="00CA3D6F" w:rsidRPr="00AD461B" w:rsidRDefault="00CA3D6F" w:rsidP="00CA3D6F">
      <w:pPr>
        <w:ind w:firstLine="720"/>
        <w:jc w:val="both"/>
      </w:pPr>
      <w:r w:rsidRPr="00AD461B">
        <w:lastRenderedPageBreak/>
        <w:t xml:space="preserve">Thanks are also in order for the numerous professors which have graciously allowed me to use their equipment over the years: Dr. Duerfeldt, Dr. Cichewicz, Dr. Zgurskaya, Dr. Sims, Dr. Bourne, and Dr. Wu. </w:t>
      </w:r>
    </w:p>
    <w:p w14:paraId="439D2942" w14:textId="77777777" w:rsidR="00CA3D6F" w:rsidRPr="00AD461B" w:rsidRDefault="00CA3D6F" w:rsidP="00CA3D6F">
      <w:pPr>
        <w:ind w:firstLine="720"/>
        <w:jc w:val="both"/>
      </w:pPr>
      <w:r w:rsidRPr="00AD461B">
        <w:t xml:space="preserve">Lastly, I’d like to thank my committee for their support, guidance, and flexibility throughout my studies. </w:t>
      </w:r>
    </w:p>
    <w:p w14:paraId="119E0FAA" w14:textId="4077CC01" w:rsidR="00CA3D6F" w:rsidRDefault="00CA3D6F" w:rsidP="00012F48"/>
    <w:p w14:paraId="4EDA16BB" w14:textId="1FA6F201" w:rsidR="00CA3D6F" w:rsidRDefault="00CA3D6F" w:rsidP="00012F48"/>
    <w:p w14:paraId="629EE3AF" w14:textId="049189D1" w:rsidR="00CA3D6F" w:rsidRDefault="00CA3D6F" w:rsidP="00012F48"/>
    <w:p w14:paraId="5E60D736" w14:textId="442D2CFA" w:rsidR="00CA3D6F" w:rsidRDefault="00CA3D6F" w:rsidP="00012F48"/>
    <w:p w14:paraId="14233E0D" w14:textId="27103A49" w:rsidR="00CA3D6F" w:rsidRDefault="00CA3D6F" w:rsidP="00012F48"/>
    <w:p w14:paraId="3498D9E3" w14:textId="66EBAB5C" w:rsidR="00CA3D6F" w:rsidRDefault="00CA3D6F" w:rsidP="00012F48"/>
    <w:p w14:paraId="7A19D6B7" w14:textId="4C4F12B5" w:rsidR="00CA3D6F" w:rsidRDefault="00CA3D6F" w:rsidP="00012F48"/>
    <w:p w14:paraId="108D76B5" w14:textId="1E0FC623" w:rsidR="00CA3D6F" w:rsidRDefault="00CA3D6F" w:rsidP="00012F48"/>
    <w:p w14:paraId="5E30F206" w14:textId="16C1AAB2" w:rsidR="00CA3D6F" w:rsidRDefault="00CA3D6F" w:rsidP="00012F48"/>
    <w:p w14:paraId="1EBE3254" w14:textId="019D74D2" w:rsidR="00CA3D6F" w:rsidRDefault="00CA3D6F" w:rsidP="00012F48"/>
    <w:p w14:paraId="10974787" w14:textId="169FB21B" w:rsidR="00CA3D6F" w:rsidRDefault="00CA3D6F" w:rsidP="00012F48"/>
    <w:p w14:paraId="07806D4C" w14:textId="64EDB045" w:rsidR="00CA3D6F" w:rsidRDefault="00CA3D6F" w:rsidP="00012F48"/>
    <w:p w14:paraId="0D903D58" w14:textId="718E14E9" w:rsidR="00CA3D6F" w:rsidRDefault="00CA3D6F" w:rsidP="00012F48"/>
    <w:p w14:paraId="72C51478" w14:textId="0DAF3A1B" w:rsidR="00CA3D6F" w:rsidRDefault="00CA3D6F" w:rsidP="00012F48"/>
    <w:p w14:paraId="1654D0B0" w14:textId="4ED6B03A" w:rsidR="00CA3D6F" w:rsidRDefault="00CA3D6F" w:rsidP="00012F48"/>
    <w:p w14:paraId="1D337511" w14:textId="5A1ED867" w:rsidR="00CA3D6F" w:rsidRDefault="00CA3D6F" w:rsidP="00012F48"/>
    <w:p w14:paraId="6C60CF57" w14:textId="58FF3A55" w:rsidR="00CA3D6F" w:rsidRDefault="00CA3D6F" w:rsidP="00012F48"/>
    <w:p w14:paraId="526DC74A" w14:textId="77777777" w:rsidR="00CA3D6F" w:rsidRDefault="00CA3D6F" w:rsidP="00012F48"/>
    <w:p w14:paraId="547F7569" w14:textId="3D842577" w:rsidR="004A7222" w:rsidRPr="00CC595D" w:rsidRDefault="00775701" w:rsidP="00CC595D">
      <w:pPr>
        <w:jc w:val="center"/>
        <w:rPr>
          <w:b/>
          <w:bCs/>
          <w:sz w:val="28"/>
          <w:szCs w:val="28"/>
        </w:rPr>
      </w:pPr>
      <w:r w:rsidRPr="00CC595D">
        <w:rPr>
          <w:b/>
          <w:bCs/>
          <w:sz w:val="28"/>
          <w:szCs w:val="28"/>
        </w:rPr>
        <w:lastRenderedPageBreak/>
        <w:t>Table of Contents</w:t>
      </w:r>
    </w:p>
    <w:p w14:paraId="369A0B6F" w14:textId="4F7CEBEF" w:rsidR="009425BE"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9868127" w:history="1">
        <w:r w:rsidR="009425BE" w:rsidRPr="00894EDB">
          <w:rPr>
            <w:rStyle w:val="Hyperlink"/>
            <w:noProof/>
          </w:rPr>
          <w:t>List of Tables</w:t>
        </w:r>
        <w:r w:rsidR="009425BE">
          <w:rPr>
            <w:noProof/>
            <w:webHidden/>
          </w:rPr>
          <w:tab/>
        </w:r>
        <w:r w:rsidR="009425BE">
          <w:rPr>
            <w:noProof/>
            <w:webHidden/>
          </w:rPr>
          <w:fldChar w:fldCharType="begin"/>
        </w:r>
        <w:r w:rsidR="009425BE">
          <w:rPr>
            <w:noProof/>
            <w:webHidden/>
          </w:rPr>
          <w:instrText xml:space="preserve"> PAGEREF _Toc39868127 \h </w:instrText>
        </w:r>
        <w:r w:rsidR="009425BE">
          <w:rPr>
            <w:noProof/>
            <w:webHidden/>
          </w:rPr>
        </w:r>
        <w:r w:rsidR="009425BE">
          <w:rPr>
            <w:noProof/>
            <w:webHidden/>
          </w:rPr>
          <w:fldChar w:fldCharType="separate"/>
        </w:r>
        <w:r w:rsidR="009425BE">
          <w:rPr>
            <w:noProof/>
            <w:webHidden/>
          </w:rPr>
          <w:t>xi</w:t>
        </w:r>
        <w:r w:rsidR="009425BE">
          <w:rPr>
            <w:noProof/>
            <w:webHidden/>
          </w:rPr>
          <w:fldChar w:fldCharType="end"/>
        </w:r>
      </w:hyperlink>
    </w:p>
    <w:p w14:paraId="4EB57132" w14:textId="6EF0FA71" w:rsidR="009425BE" w:rsidRDefault="009425BE">
      <w:pPr>
        <w:pStyle w:val="TOC1"/>
        <w:rPr>
          <w:rFonts w:eastAsiaTheme="minorEastAsia" w:cstheme="minorBidi"/>
          <w:noProof/>
          <w:sz w:val="22"/>
          <w:szCs w:val="22"/>
          <w:lang w:bidi="ar-SA"/>
        </w:rPr>
      </w:pPr>
      <w:hyperlink w:anchor="_Toc39868128" w:history="1">
        <w:r w:rsidRPr="00894EDB">
          <w:rPr>
            <w:rStyle w:val="Hyperlink"/>
            <w:noProof/>
          </w:rPr>
          <w:t>List of Figures</w:t>
        </w:r>
        <w:r>
          <w:rPr>
            <w:noProof/>
            <w:webHidden/>
          </w:rPr>
          <w:tab/>
        </w:r>
        <w:r>
          <w:rPr>
            <w:noProof/>
            <w:webHidden/>
          </w:rPr>
          <w:fldChar w:fldCharType="begin"/>
        </w:r>
        <w:r>
          <w:rPr>
            <w:noProof/>
            <w:webHidden/>
          </w:rPr>
          <w:instrText xml:space="preserve"> PAGEREF _Toc39868128 \h </w:instrText>
        </w:r>
        <w:r>
          <w:rPr>
            <w:noProof/>
            <w:webHidden/>
          </w:rPr>
        </w:r>
        <w:r>
          <w:rPr>
            <w:noProof/>
            <w:webHidden/>
          </w:rPr>
          <w:fldChar w:fldCharType="separate"/>
        </w:r>
        <w:r>
          <w:rPr>
            <w:noProof/>
            <w:webHidden/>
          </w:rPr>
          <w:t>xii</w:t>
        </w:r>
        <w:r>
          <w:rPr>
            <w:noProof/>
            <w:webHidden/>
          </w:rPr>
          <w:fldChar w:fldCharType="end"/>
        </w:r>
      </w:hyperlink>
    </w:p>
    <w:p w14:paraId="21C47D22" w14:textId="5B336423" w:rsidR="009425BE" w:rsidRDefault="009425BE">
      <w:pPr>
        <w:pStyle w:val="TOC1"/>
        <w:rPr>
          <w:rFonts w:eastAsiaTheme="minorEastAsia" w:cstheme="minorBidi"/>
          <w:noProof/>
          <w:sz w:val="22"/>
          <w:szCs w:val="22"/>
          <w:lang w:bidi="ar-SA"/>
        </w:rPr>
      </w:pPr>
      <w:hyperlink w:anchor="_Toc39868129" w:history="1">
        <w:r w:rsidRPr="00894EDB">
          <w:rPr>
            <w:rStyle w:val="Hyperlink"/>
            <w:noProof/>
          </w:rPr>
          <w:t>Abstract</w:t>
        </w:r>
        <w:r>
          <w:rPr>
            <w:noProof/>
            <w:webHidden/>
          </w:rPr>
          <w:tab/>
        </w:r>
        <w:r>
          <w:rPr>
            <w:noProof/>
            <w:webHidden/>
          </w:rPr>
          <w:fldChar w:fldCharType="begin"/>
        </w:r>
        <w:r>
          <w:rPr>
            <w:noProof/>
            <w:webHidden/>
          </w:rPr>
          <w:instrText xml:space="preserve"> PAGEREF _Toc39868129 \h </w:instrText>
        </w:r>
        <w:r>
          <w:rPr>
            <w:noProof/>
            <w:webHidden/>
          </w:rPr>
        </w:r>
        <w:r>
          <w:rPr>
            <w:noProof/>
            <w:webHidden/>
          </w:rPr>
          <w:fldChar w:fldCharType="separate"/>
        </w:r>
        <w:r>
          <w:rPr>
            <w:noProof/>
            <w:webHidden/>
          </w:rPr>
          <w:t>xviii</w:t>
        </w:r>
        <w:r>
          <w:rPr>
            <w:noProof/>
            <w:webHidden/>
          </w:rPr>
          <w:fldChar w:fldCharType="end"/>
        </w:r>
      </w:hyperlink>
    </w:p>
    <w:p w14:paraId="0A013F65" w14:textId="4E4E453A" w:rsidR="009425BE" w:rsidRDefault="009425BE">
      <w:pPr>
        <w:pStyle w:val="TOC1"/>
        <w:rPr>
          <w:rFonts w:eastAsiaTheme="minorEastAsia" w:cstheme="minorBidi"/>
          <w:noProof/>
          <w:sz w:val="22"/>
          <w:szCs w:val="22"/>
          <w:lang w:bidi="ar-SA"/>
        </w:rPr>
      </w:pPr>
      <w:hyperlink w:anchor="_Toc39868130" w:history="1">
        <w:r w:rsidRPr="00894EDB">
          <w:rPr>
            <w:rStyle w:val="Hyperlink"/>
            <w:noProof/>
          </w:rPr>
          <w:t>Chapter 1: Introduction to Personalized Medicine</w:t>
        </w:r>
        <w:r>
          <w:rPr>
            <w:noProof/>
            <w:webHidden/>
          </w:rPr>
          <w:tab/>
        </w:r>
        <w:r>
          <w:rPr>
            <w:noProof/>
            <w:webHidden/>
          </w:rPr>
          <w:fldChar w:fldCharType="begin"/>
        </w:r>
        <w:r>
          <w:rPr>
            <w:noProof/>
            <w:webHidden/>
          </w:rPr>
          <w:instrText xml:space="preserve"> PAGEREF _Toc39868130 \h </w:instrText>
        </w:r>
        <w:r>
          <w:rPr>
            <w:noProof/>
            <w:webHidden/>
          </w:rPr>
        </w:r>
        <w:r>
          <w:rPr>
            <w:noProof/>
            <w:webHidden/>
          </w:rPr>
          <w:fldChar w:fldCharType="separate"/>
        </w:r>
        <w:r>
          <w:rPr>
            <w:noProof/>
            <w:webHidden/>
          </w:rPr>
          <w:t>1</w:t>
        </w:r>
        <w:r>
          <w:rPr>
            <w:noProof/>
            <w:webHidden/>
          </w:rPr>
          <w:fldChar w:fldCharType="end"/>
        </w:r>
      </w:hyperlink>
    </w:p>
    <w:p w14:paraId="6CE9C873" w14:textId="2B565271" w:rsidR="009425BE" w:rsidRDefault="009425BE">
      <w:pPr>
        <w:pStyle w:val="TOC2"/>
        <w:tabs>
          <w:tab w:val="right" w:leader="dot" w:pos="8486"/>
        </w:tabs>
        <w:rPr>
          <w:rFonts w:eastAsiaTheme="minorEastAsia" w:cstheme="minorBidi"/>
          <w:noProof/>
          <w:sz w:val="22"/>
          <w:szCs w:val="22"/>
          <w:lang w:bidi="ar-SA"/>
        </w:rPr>
      </w:pPr>
      <w:hyperlink w:anchor="_Toc39868131" w:history="1">
        <w:r w:rsidRPr="00894EDB">
          <w:rPr>
            <w:rStyle w:val="Hyperlink"/>
            <w:noProof/>
          </w:rPr>
          <w:t>1.1</w:t>
        </w:r>
        <w:r>
          <w:rPr>
            <w:rFonts w:eastAsiaTheme="minorEastAsia" w:cstheme="minorBidi"/>
            <w:noProof/>
            <w:sz w:val="22"/>
            <w:szCs w:val="22"/>
            <w:lang w:bidi="ar-SA"/>
          </w:rPr>
          <w:tab/>
        </w:r>
        <w:r w:rsidRPr="00894EDB">
          <w:rPr>
            <w:rStyle w:val="Hyperlink"/>
            <w:noProof/>
          </w:rPr>
          <w:t>Personalized Medicine as a New Paradigm in the Clinical Treatment of Human Disease</w:t>
        </w:r>
        <w:r>
          <w:rPr>
            <w:noProof/>
            <w:webHidden/>
          </w:rPr>
          <w:tab/>
        </w:r>
        <w:r>
          <w:rPr>
            <w:noProof/>
            <w:webHidden/>
          </w:rPr>
          <w:fldChar w:fldCharType="begin"/>
        </w:r>
        <w:r>
          <w:rPr>
            <w:noProof/>
            <w:webHidden/>
          </w:rPr>
          <w:instrText xml:space="preserve"> PAGEREF _Toc39868131 \h </w:instrText>
        </w:r>
        <w:r>
          <w:rPr>
            <w:noProof/>
            <w:webHidden/>
          </w:rPr>
        </w:r>
        <w:r>
          <w:rPr>
            <w:noProof/>
            <w:webHidden/>
          </w:rPr>
          <w:fldChar w:fldCharType="separate"/>
        </w:r>
        <w:r>
          <w:rPr>
            <w:noProof/>
            <w:webHidden/>
          </w:rPr>
          <w:t>1</w:t>
        </w:r>
        <w:r>
          <w:rPr>
            <w:noProof/>
            <w:webHidden/>
          </w:rPr>
          <w:fldChar w:fldCharType="end"/>
        </w:r>
      </w:hyperlink>
    </w:p>
    <w:p w14:paraId="5FBBDDE9" w14:textId="1E9B5694" w:rsidR="009425BE" w:rsidRDefault="009425BE">
      <w:pPr>
        <w:pStyle w:val="TOC2"/>
        <w:tabs>
          <w:tab w:val="right" w:leader="dot" w:pos="8486"/>
        </w:tabs>
        <w:rPr>
          <w:rFonts w:eastAsiaTheme="minorEastAsia" w:cstheme="minorBidi"/>
          <w:noProof/>
          <w:sz w:val="22"/>
          <w:szCs w:val="22"/>
          <w:lang w:bidi="ar-SA"/>
        </w:rPr>
      </w:pPr>
      <w:hyperlink w:anchor="_Toc39868132" w:history="1">
        <w:r w:rsidRPr="00894EDB">
          <w:rPr>
            <w:rStyle w:val="Hyperlink"/>
            <w:noProof/>
          </w:rPr>
          <w:t>1.2</w:t>
        </w:r>
        <w:r>
          <w:rPr>
            <w:rFonts w:eastAsiaTheme="minorEastAsia" w:cstheme="minorBidi"/>
            <w:noProof/>
            <w:sz w:val="22"/>
            <w:szCs w:val="22"/>
            <w:lang w:bidi="ar-SA"/>
          </w:rPr>
          <w:tab/>
        </w:r>
        <w:r w:rsidRPr="00894EDB">
          <w:rPr>
            <w:rStyle w:val="Hyperlink"/>
            <w:noProof/>
          </w:rPr>
          <w:t>Current Practices in Clinical Bioanalytical Methods in Drug Administration</w:t>
        </w:r>
        <w:r>
          <w:rPr>
            <w:noProof/>
            <w:webHidden/>
          </w:rPr>
          <w:tab/>
        </w:r>
        <w:r>
          <w:rPr>
            <w:noProof/>
            <w:webHidden/>
          </w:rPr>
          <w:fldChar w:fldCharType="begin"/>
        </w:r>
        <w:r>
          <w:rPr>
            <w:noProof/>
            <w:webHidden/>
          </w:rPr>
          <w:instrText xml:space="preserve"> PAGEREF _Toc39868132 \h </w:instrText>
        </w:r>
        <w:r>
          <w:rPr>
            <w:noProof/>
            <w:webHidden/>
          </w:rPr>
        </w:r>
        <w:r>
          <w:rPr>
            <w:noProof/>
            <w:webHidden/>
          </w:rPr>
          <w:fldChar w:fldCharType="separate"/>
        </w:r>
        <w:r>
          <w:rPr>
            <w:noProof/>
            <w:webHidden/>
          </w:rPr>
          <w:t>2</w:t>
        </w:r>
        <w:r>
          <w:rPr>
            <w:noProof/>
            <w:webHidden/>
          </w:rPr>
          <w:fldChar w:fldCharType="end"/>
        </w:r>
      </w:hyperlink>
    </w:p>
    <w:p w14:paraId="453D107B" w14:textId="32763538" w:rsidR="009425BE" w:rsidRDefault="009425BE">
      <w:pPr>
        <w:pStyle w:val="TOC2"/>
        <w:tabs>
          <w:tab w:val="right" w:leader="dot" w:pos="8486"/>
        </w:tabs>
        <w:rPr>
          <w:rFonts w:eastAsiaTheme="minorEastAsia" w:cstheme="minorBidi"/>
          <w:noProof/>
          <w:sz w:val="22"/>
          <w:szCs w:val="22"/>
          <w:lang w:bidi="ar-SA"/>
        </w:rPr>
      </w:pPr>
      <w:hyperlink w:anchor="_Toc39868133" w:history="1">
        <w:r w:rsidRPr="00894EDB">
          <w:rPr>
            <w:rStyle w:val="Hyperlink"/>
            <w:noProof/>
          </w:rPr>
          <w:t>1.3 The Oxysterol-Binding Proteins (OSBP/ORPs) As Potential Precision Drug Targets for Antiviral and Anticancer Drug Development</w:t>
        </w:r>
        <w:r>
          <w:rPr>
            <w:noProof/>
            <w:webHidden/>
          </w:rPr>
          <w:tab/>
        </w:r>
        <w:r>
          <w:rPr>
            <w:noProof/>
            <w:webHidden/>
          </w:rPr>
          <w:fldChar w:fldCharType="begin"/>
        </w:r>
        <w:r>
          <w:rPr>
            <w:noProof/>
            <w:webHidden/>
          </w:rPr>
          <w:instrText xml:space="preserve"> PAGEREF _Toc39868133 \h </w:instrText>
        </w:r>
        <w:r>
          <w:rPr>
            <w:noProof/>
            <w:webHidden/>
          </w:rPr>
        </w:r>
        <w:r>
          <w:rPr>
            <w:noProof/>
            <w:webHidden/>
          </w:rPr>
          <w:fldChar w:fldCharType="separate"/>
        </w:r>
        <w:r>
          <w:rPr>
            <w:noProof/>
            <w:webHidden/>
          </w:rPr>
          <w:t>4</w:t>
        </w:r>
        <w:r>
          <w:rPr>
            <w:noProof/>
            <w:webHidden/>
          </w:rPr>
          <w:fldChar w:fldCharType="end"/>
        </w:r>
      </w:hyperlink>
    </w:p>
    <w:p w14:paraId="52AE1A8B" w14:textId="51CFA264" w:rsidR="009425BE" w:rsidRDefault="009425BE">
      <w:pPr>
        <w:pStyle w:val="TOC3"/>
        <w:tabs>
          <w:tab w:val="right" w:leader="dot" w:pos="8486"/>
        </w:tabs>
        <w:rPr>
          <w:rFonts w:eastAsiaTheme="minorEastAsia" w:cstheme="minorBidi"/>
          <w:noProof/>
          <w:sz w:val="22"/>
          <w:szCs w:val="22"/>
          <w:lang w:bidi="ar-SA"/>
        </w:rPr>
      </w:pPr>
      <w:hyperlink w:anchor="_Toc39868134" w:history="1">
        <w:r w:rsidRPr="00894EDB">
          <w:rPr>
            <w:rStyle w:val="Hyperlink"/>
            <w:noProof/>
          </w:rPr>
          <w:t>OSBP Biology</w:t>
        </w:r>
        <w:r>
          <w:rPr>
            <w:noProof/>
            <w:webHidden/>
          </w:rPr>
          <w:tab/>
        </w:r>
        <w:r>
          <w:rPr>
            <w:noProof/>
            <w:webHidden/>
          </w:rPr>
          <w:fldChar w:fldCharType="begin"/>
        </w:r>
        <w:r>
          <w:rPr>
            <w:noProof/>
            <w:webHidden/>
          </w:rPr>
          <w:instrText xml:space="preserve"> PAGEREF _Toc39868134 \h </w:instrText>
        </w:r>
        <w:r>
          <w:rPr>
            <w:noProof/>
            <w:webHidden/>
          </w:rPr>
        </w:r>
        <w:r>
          <w:rPr>
            <w:noProof/>
            <w:webHidden/>
          </w:rPr>
          <w:fldChar w:fldCharType="separate"/>
        </w:r>
        <w:r>
          <w:rPr>
            <w:noProof/>
            <w:webHidden/>
          </w:rPr>
          <w:t>5</w:t>
        </w:r>
        <w:r>
          <w:rPr>
            <w:noProof/>
            <w:webHidden/>
          </w:rPr>
          <w:fldChar w:fldCharType="end"/>
        </w:r>
      </w:hyperlink>
    </w:p>
    <w:p w14:paraId="7C3D3ADB" w14:textId="7D29C94E" w:rsidR="009425BE" w:rsidRDefault="009425BE">
      <w:pPr>
        <w:pStyle w:val="TOC3"/>
        <w:tabs>
          <w:tab w:val="right" w:leader="dot" w:pos="8486"/>
        </w:tabs>
        <w:rPr>
          <w:rFonts w:eastAsiaTheme="minorEastAsia" w:cstheme="minorBidi"/>
          <w:noProof/>
          <w:sz w:val="22"/>
          <w:szCs w:val="22"/>
          <w:lang w:bidi="ar-SA"/>
        </w:rPr>
      </w:pPr>
      <w:hyperlink w:anchor="_Toc39868135" w:history="1">
        <w:r w:rsidRPr="00894EDB">
          <w:rPr>
            <w:rStyle w:val="Hyperlink"/>
            <w:noProof/>
          </w:rPr>
          <w:t>ORP4 Biology</w:t>
        </w:r>
        <w:r>
          <w:rPr>
            <w:noProof/>
            <w:webHidden/>
          </w:rPr>
          <w:tab/>
        </w:r>
        <w:r>
          <w:rPr>
            <w:noProof/>
            <w:webHidden/>
          </w:rPr>
          <w:fldChar w:fldCharType="begin"/>
        </w:r>
        <w:r>
          <w:rPr>
            <w:noProof/>
            <w:webHidden/>
          </w:rPr>
          <w:instrText xml:space="preserve"> PAGEREF _Toc39868135 \h </w:instrText>
        </w:r>
        <w:r>
          <w:rPr>
            <w:noProof/>
            <w:webHidden/>
          </w:rPr>
        </w:r>
        <w:r>
          <w:rPr>
            <w:noProof/>
            <w:webHidden/>
          </w:rPr>
          <w:fldChar w:fldCharType="separate"/>
        </w:r>
        <w:r>
          <w:rPr>
            <w:noProof/>
            <w:webHidden/>
          </w:rPr>
          <w:t>8</w:t>
        </w:r>
        <w:r>
          <w:rPr>
            <w:noProof/>
            <w:webHidden/>
          </w:rPr>
          <w:fldChar w:fldCharType="end"/>
        </w:r>
      </w:hyperlink>
    </w:p>
    <w:p w14:paraId="5407E722" w14:textId="39FB8275" w:rsidR="009425BE" w:rsidRDefault="009425BE">
      <w:pPr>
        <w:pStyle w:val="TOC2"/>
        <w:tabs>
          <w:tab w:val="right" w:leader="dot" w:pos="8486"/>
        </w:tabs>
        <w:rPr>
          <w:rFonts w:eastAsiaTheme="minorEastAsia" w:cstheme="minorBidi"/>
          <w:noProof/>
          <w:sz w:val="22"/>
          <w:szCs w:val="22"/>
          <w:lang w:bidi="ar-SA"/>
        </w:rPr>
      </w:pPr>
      <w:hyperlink w:anchor="_Toc39868136" w:history="1">
        <w:r w:rsidRPr="00894EDB">
          <w:rPr>
            <w:rStyle w:val="Hyperlink"/>
            <w:noProof/>
          </w:rPr>
          <w:t>1.4 The Antiviral and Anticancer Compound OSW-1 Targets OSBP and ORP4</w:t>
        </w:r>
        <w:r>
          <w:rPr>
            <w:noProof/>
            <w:webHidden/>
          </w:rPr>
          <w:tab/>
        </w:r>
        <w:r>
          <w:rPr>
            <w:noProof/>
            <w:webHidden/>
          </w:rPr>
          <w:fldChar w:fldCharType="begin"/>
        </w:r>
        <w:r>
          <w:rPr>
            <w:noProof/>
            <w:webHidden/>
          </w:rPr>
          <w:instrText xml:space="preserve"> PAGEREF _Toc39868136 \h </w:instrText>
        </w:r>
        <w:r>
          <w:rPr>
            <w:noProof/>
            <w:webHidden/>
          </w:rPr>
        </w:r>
        <w:r>
          <w:rPr>
            <w:noProof/>
            <w:webHidden/>
          </w:rPr>
          <w:fldChar w:fldCharType="separate"/>
        </w:r>
        <w:r>
          <w:rPr>
            <w:noProof/>
            <w:webHidden/>
          </w:rPr>
          <w:t>8</w:t>
        </w:r>
        <w:r>
          <w:rPr>
            <w:noProof/>
            <w:webHidden/>
          </w:rPr>
          <w:fldChar w:fldCharType="end"/>
        </w:r>
      </w:hyperlink>
    </w:p>
    <w:p w14:paraId="4E3ADBB1" w14:textId="1E4F48AE" w:rsidR="009425BE" w:rsidRDefault="009425BE">
      <w:pPr>
        <w:pStyle w:val="TOC2"/>
        <w:tabs>
          <w:tab w:val="right" w:leader="dot" w:pos="8486"/>
        </w:tabs>
        <w:rPr>
          <w:rFonts w:eastAsiaTheme="minorEastAsia" w:cstheme="minorBidi"/>
          <w:noProof/>
          <w:sz w:val="22"/>
          <w:szCs w:val="22"/>
          <w:lang w:bidi="ar-SA"/>
        </w:rPr>
      </w:pPr>
      <w:hyperlink w:anchor="_Toc39868137" w:history="1">
        <w:r w:rsidRPr="00894EDB">
          <w:rPr>
            <w:rStyle w:val="Hyperlink"/>
            <w:noProof/>
          </w:rPr>
          <w:t>1.5 Single Cell Bioanalytical Methods for Potential Use in Personalized Medicine</w:t>
        </w:r>
        <w:r>
          <w:rPr>
            <w:noProof/>
            <w:webHidden/>
          </w:rPr>
          <w:tab/>
        </w:r>
        <w:r>
          <w:rPr>
            <w:noProof/>
            <w:webHidden/>
          </w:rPr>
          <w:fldChar w:fldCharType="begin"/>
        </w:r>
        <w:r>
          <w:rPr>
            <w:noProof/>
            <w:webHidden/>
          </w:rPr>
          <w:instrText xml:space="preserve"> PAGEREF _Toc39868137 \h </w:instrText>
        </w:r>
        <w:r>
          <w:rPr>
            <w:noProof/>
            <w:webHidden/>
          </w:rPr>
        </w:r>
        <w:r>
          <w:rPr>
            <w:noProof/>
            <w:webHidden/>
          </w:rPr>
          <w:fldChar w:fldCharType="separate"/>
        </w:r>
        <w:r>
          <w:rPr>
            <w:noProof/>
            <w:webHidden/>
          </w:rPr>
          <w:t>9</w:t>
        </w:r>
        <w:r>
          <w:rPr>
            <w:noProof/>
            <w:webHidden/>
          </w:rPr>
          <w:fldChar w:fldCharType="end"/>
        </w:r>
      </w:hyperlink>
    </w:p>
    <w:p w14:paraId="430AF50F" w14:textId="3412051B" w:rsidR="009425BE" w:rsidRDefault="009425BE">
      <w:pPr>
        <w:pStyle w:val="TOC3"/>
        <w:tabs>
          <w:tab w:val="right" w:leader="dot" w:pos="8486"/>
        </w:tabs>
        <w:rPr>
          <w:rFonts w:eastAsiaTheme="minorEastAsia" w:cstheme="minorBidi"/>
          <w:noProof/>
          <w:sz w:val="22"/>
          <w:szCs w:val="22"/>
          <w:lang w:bidi="ar-SA"/>
        </w:rPr>
      </w:pPr>
      <w:hyperlink w:anchor="_Toc39868138" w:history="1">
        <w:r w:rsidRPr="00894EDB">
          <w:rPr>
            <w:rStyle w:val="Hyperlink"/>
            <w:noProof/>
          </w:rPr>
          <w:t>The Single-Probe as a Personalized Drug Monitoring Method</w:t>
        </w:r>
        <w:r>
          <w:rPr>
            <w:noProof/>
            <w:webHidden/>
          </w:rPr>
          <w:tab/>
        </w:r>
        <w:r>
          <w:rPr>
            <w:noProof/>
            <w:webHidden/>
          </w:rPr>
          <w:fldChar w:fldCharType="begin"/>
        </w:r>
        <w:r>
          <w:rPr>
            <w:noProof/>
            <w:webHidden/>
          </w:rPr>
          <w:instrText xml:space="preserve"> PAGEREF _Toc39868138 \h </w:instrText>
        </w:r>
        <w:r>
          <w:rPr>
            <w:noProof/>
            <w:webHidden/>
          </w:rPr>
        </w:r>
        <w:r>
          <w:rPr>
            <w:noProof/>
            <w:webHidden/>
          </w:rPr>
          <w:fldChar w:fldCharType="separate"/>
        </w:r>
        <w:r>
          <w:rPr>
            <w:noProof/>
            <w:webHidden/>
          </w:rPr>
          <w:t>10</w:t>
        </w:r>
        <w:r>
          <w:rPr>
            <w:noProof/>
            <w:webHidden/>
          </w:rPr>
          <w:fldChar w:fldCharType="end"/>
        </w:r>
      </w:hyperlink>
    </w:p>
    <w:p w14:paraId="16681F89" w14:textId="4A17FC66" w:rsidR="009425BE" w:rsidRDefault="009425BE">
      <w:pPr>
        <w:pStyle w:val="TOC2"/>
        <w:tabs>
          <w:tab w:val="right" w:leader="dot" w:pos="8486"/>
        </w:tabs>
        <w:rPr>
          <w:rFonts w:eastAsiaTheme="minorEastAsia" w:cstheme="minorBidi"/>
          <w:noProof/>
          <w:sz w:val="22"/>
          <w:szCs w:val="22"/>
          <w:lang w:bidi="ar-SA"/>
        </w:rPr>
      </w:pPr>
      <w:hyperlink w:anchor="_Toc39868139" w:history="1">
        <w:r w:rsidRPr="00894EDB">
          <w:rPr>
            <w:rStyle w:val="Hyperlink"/>
            <w:noProof/>
          </w:rPr>
          <w:t>1.6 Summary of Dissertation Research: New Precision Compounds Targeting OSBP and ORP4 and New Single Cell Mass Spectrometry for Chemotherapy Drug Administration</w:t>
        </w:r>
        <w:r>
          <w:rPr>
            <w:noProof/>
            <w:webHidden/>
          </w:rPr>
          <w:tab/>
        </w:r>
        <w:r>
          <w:rPr>
            <w:noProof/>
            <w:webHidden/>
          </w:rPr>
          <w:fldChar w:fldCharType="begin"/>
        </w:r>
        <w:r>
          <w:rPr>
            <w:noProof/>
            <w:webHidden/>
          </w:rPr>
          <w:instrText xml:space="preserve"> PAGEREF _Toc39868139 \h </w:instrText>
        </w:r>
        <w:r>
          <w:rPr>
            <w:noProof/>
            <w:webHidden/>
          </w:rPr>
        </w:r>
        <w:r>
          <w:rPr>
            <w:noProof/>
            <w:webHidden/>
          </w:rPr>
          <w:fldChar w:fldCharType="separate"/>
        </w:r>
        <w:r>
          <w:rPr>
            <w:noProof/>
            <w:webHidden/>
          </w:rPr>
          <w:t>11</w:t>
        </w:r>
        <w:r>
          <w:rPr>
            <w:noProof/>
            <w:webHidden/>
          </w:rPr>
          <w:fldChar w:fldCharType="end"/>
        </w:r>
      </w:hyperlink>
    </w:p>
    <w:p w14:paraId="338E9181" w14:textId="1CC6D1F4" w:rsidR="009425BE" w:rsidRDefault="009425BE">
      <w:pPr>
        <w:pStyle w:val="TOC1"/>
        <w:rPr>
          <w:rFonts w:eastAsiaTheme="minorEastAsia" w:cstheme="minorBidi"/>
          <w:noProof/>
          <w:sz w:val="22"/>
          <w:szCs w:val="22"/>
          <w:lang w:bidi="ar-SA"/>
        </w:rPr>
      </w:pPr>
      <w:hyperlink w:anchor="_Toc39868140" w:history="1">
        <w:r w:rsidRPr="00894EDB">
          <w:rPr>
            <w:rStyle w:val="Hyperlink"/>
            <w:noProof/>
          </w:rPr>
          <w:t>Chapter 2: Molecular Pharmacology of Antiviral Compound Targeting OSBP, Including OSW-1</w:t>
        </w:r>
        <w:r>
          <w:rPr>
            <w:noProof/>
            <w:webHidden/>
          </w:rPr>
          <w:tab/>
        </w:r>
        <w:r>
          <w:rPr>
            <w:noProof/>
            <w:webHidden/>
          </w:rPr>
          <w:fldChar w:fldCharType="begin"/>
        </w:r>
        <w:r>
          <w:rPr>
            <w:noProof/>
            <w:webHidden/>
          </w:rPr>
          <w:instrText xml:space="preserve"> PAGEREF _Toc39868140 \h </w:instrText>
        </w:r>
        <w:r>
          <w:rPr>
            <w:noProof/>
            <w:webHidden/>
          </w:rPr>
        </w:r>
        <w:r>
          <w:rPr>
            <w:noProof/>
            <w:webHidden/>
          </w:rPr>
          <w:fldChar w:fldCharType="separate"/>
        </w:r>
        <w:r>
          <w:rPr>
            <w:noProof/>
            <w:webHidden/>
          </w:rPr>
          <w:t>13</w:t>
        </w:r>
        <w:r>
          <w:rPr>
            <w:noProof/>
            <w:webHidden/>
          </w:rPr>
          <w:fldChar w:fldCharType="end"/>
        </w:r>
      </w:hyperlink>
    </w:p>
    <w:p w14:paraId="7F70C751" w14:textId="75FBFD8A" w:rsidR="009425BE" w:rsidRDefault="009425BE">
      <w:pPr>
        <w:pStyle w:val="TOC2"/>
        <w:tabs>
          <w:tab w:val="right" w:leader="dot" w:pos="8486"/>
        </w:tabs>
        <w:rPr>
          <w:rFonts w:eastAsiaTheme="minorEastAsia" w:cstheme="minorBidi"/>
          <w:noProof/>
          <w:sz w:val="22"/>
          <w:szCs w:val="22"/>
          <w:lang w:bidi="ar-SA"/>
        </w:rPr>
      </w:pPr>
      <w:hyperlink w:anchor="_Toc39868141" w:history="1">
        <w:r w:rsidRPr="00894EDB">
          <w:rPr>
            <w:rStyle w:val="Hyperlink"/>
            <w:noProof/>
          </w:rPr>
          <w:t>Abstract</w:t>
        </w:r>
        <w:r>
          <w:rPr>
            <w:noProof/>
            <w:webHidden/>
          </w:rPr>
          <w:tab/>
        </w:r>
        <w:r>
          <w:rPr>
            <w:noProof/>
            <w:webHidden/>
          </w:rPr>
          <w:fldChar w:fldCharType="begin"/>
        </w:r>
        <w:r>
          <w:rPr>
            <w:noProof/>
            <w:webHidden/>
          </w:rPr>
          <w:instrText xml:space="preserve"> PAGEREF _Toc39868141 \h </w:instrText>
        </w:r>
        <w:r>
          <w:rPr>
            <w:noProof/>
            <w:webHidden/>
          </w:rPr>
        </w:r>
        <w:r>
          <w:rPr>
            <w:noProof/>
            <w:webHidden/>
          </w:rPr>
          <w:fldChar w:fldCharType="separate"/>
        </w:r>
        <w:r>
          <w:rPr>
            <w:noProof/>
            <w:webHidden/>
          </w:rPr>
          <w:t>13</w:t>
        </w:r>
        <w:r>
          <w:rPr>
            <w:noProof/>
            <w:webHidden/>
          </w:rPr>
          <w:fldChar w:fldCharType="end"/>
        </w:r>
      </w:hyperlink>
    </w:p>
    <w:p w14:paraId="249B7D3E" w14:textId="3CFB9CD1" w:rsidR="009425BE" w:rsidRDefault="009425BE">
      <w:pPr>
        <w:pStyle w:val="TOC2"/>
        <w:tabs>
          <w:tab w:val="right" w:leader="dot" w:pos="8486"/>
        </w:tabs>
        <w:rPr>
          <w:rFonts w:eastAsiaTheme="minorEastAsia" w:cstheme="minorBidi"/>
          <w:noProof/>
          <w:sz w:val="22"/>
          <w:szCs w:val="22"/>
          <w:lang w:bidi="ar-SA"/>
        </w:rPr>
      </w:pPr>
      <w:hyperlink w:anchor="_Toc39868142" w:history="1">
        <w:r w:rsidRPr="00894EDB">
          <w:rPr>
            <w:rStyle w:val="Hyperlink"/>
            <w:noProof/>
          </w:rPr>
          <w:t>Allocation of Contribution</w:t>
        </w:r>
        <w:r>
          <w:rPr>
            <w:noProof/>
            <w:webHidden/>
          </w:rPr>
          <w:tab/>
        </w:r>
        <w:r>
          <w:rPr>
            <w:noProof/>
            <w:webHidden/>
          </w:rPr>
          <w:fldChar w:fldCharType="begin"/>
        </w:r>
        <w:r>
          <w:rPr>
            <w:noProof/>
            <w:webHidden/>
          </w:rPr>
          <w:instrText xml:space="preserve"> PAGEREF _Toc39868142 \h </w:instrText>
        </w:r>
        <w:r>
          <w:rPr>
            <w:noProof/>
            <w:webHidden/>
          </w:rPr>
        </w:r>
        <w:r>
          <w:rPr>
            <w:noProof/>
            <w:webHidden/>
          </w:rPr>
          <w:fldChar w:fldCharType="separate"/>
        </w:r>
        <w:r>
          <w:rPr>
            <w:noProof/>
            <w:webHidden/>
          </w:rPr>
          <w:t>13</w:t>
        </w:r>
        <w:r>
          <w:rPr>
            <w:noProof/>
            <w:webHidden/>
          </w:rPr>
          <w:fldChar w:fldCharType="end"/>
        </w:r>
      </w:hyperlink>
    </w:p>
    <w:p w14:paraId="7C206F17" w14:textId="2A2048FF" w:rsidR="009425BE" w:rsidRDefault="009425BE">
      <w:pPr>
        <w:pStyle w:val="TOC2"/>
        <w:tabs>
          <w:tab w:val="right" w:leader="dot" w:pos="8486"/>
        </w:tabs>
        <w:rPr>
          <w:rFonts w:eastAsiaTheme="minorEastAsia" w:cstheme="minorBidi"/>
          <w:noProof/>
          <w:sz w:val="22"/>
          <w:szCs w:val="22"/>
          <w:lang w:bidi="ar-SA"/>
        </w:rPr>
      </w:pPr>
      <w:hyperlink w:anchor="_Toc39868143" w:history="1">
        <w:r w:rsidRPr="00894EDB">
          <w:rPr>
            <w:rStyle w:val="Hyperlink"/>
            <w:noProof/>
          </w:rPr>
          <w:t>2.1 Introduction</w:t>
        </w:r>
        <w:r>
          <w:rPr>
            <w:noProof/>
            <w:webHidden/>
          </w:rPr>
          <w:tab/>
        </w:r>
        <w:r>
          <w:rPr>
            <w:noProof/>
            <w:webHidden/>
          </w:rPr>
          <w:fldChar w:fldCharType="begin"/>
        </w:r>
        <w:r>
          <w:rPr>
            <w:noProof/>
            <w:webHidden/>
          </w:rPr>
          <w:instrText xml:space="preserve"> PAGEREF _Toc39868143 \h </w:instrText>
        </w:r>
        <w:r>
          <w:rPr>
            <w:noProof/>
            <w:webHidden/>
          </w:rPr>
        </w:r>
        <w:r>
          <w:rPr>
            <w:noProof/>
            <w:webHidden/>
          </w:rPr>
          <w:fldChar w:fldCharType="separate"/>
        </w:r>
        <w:r>
          <w:rPr>
            <w:noProof/>
            <w:webHidden/>
          </w:rPr>
          <w:t>14</w:t>
        </w:r>
        <w:r>
          <w:rPr>
            <w:noProof/>
            <w:webHidden/>
          </w:rPr>
          <w:fldChar w:fldCharType="end"/>
        </w:r>
      </w:hyperlink>
    </w:p>
    <w:p w14:paraId="0352AEB5" w14:textId="56B97397" w:rsidR="009425BE" w:rsidRDefault="009425BE">
      <w:pPr>
        <w:pStyle w:val="TOC2"/>
        <w:tabs>
          <w:tab w:val="right" w:leader="dot" w:pos="8486"/>
        </w:tabs>
        <w:rPr>
          <w:rFonts w:eastAsiaTheme="minorEastAsia" w:cstheme="minorBidi"/>
          <w:noProof/>
          <w:sz w:val="22"/>
          <w:szCs w:val="22"/>
          <w:lang w:bidi="ar-SA"/>
        </w:rPr>
      </w:pPr>
      <w:hyperlink w:anchor="_Toc39868144" w:history="1">
        <w:r w:rsidRPr="00894EDB">
          <w:rPr>
            <w:rStyle w:val="Hyperlink"/>
            <w:noProof/>
          </w:rPr>
          <w:t>2.2 Methods</w:t>
        </w:r>
        <w:r>
          <w:rPr>
            <w:noProof/>
            <w:webHidden/>
          </w:rPr>
          <w:tab/>
        </w:r>
        <w:r>
          <w:rPr>
            <w:noProof/>
            <w:webHidden/>
          </w:rPr>
          <w:fldChar w:fldCharType="begin"/>
        </w:r>
        <w:r>
          <w:rPr>
            <w:noProof/>
            <w:webHidden/>
          </w:rPr>
          <w:instrText xml:space="preserve"> PAGEREF _Toc39868144 \h </w:instrText>
        </w:r>
        <w:r>
          <w:rPr>
            <w:noProof/>
            <w:webHidden/>
          </w:rPr>
        </w:r>
        <w:r>
          <w:rPr>
            <w:noProof/>
            <w:webHidden/>
          </w:rPr>
          <w:fldChar w:fldCharType="separate"/>
        </w:r>
        <w:r>
          <w:rPr>
            <w:noProof/>
            <w:webHidden/>
          </w:rPr>
          <w:t>16</w:t>
        </w:r>
        <w:r>
          <w:rPr>
            <w:noProof/>
            <w:webHidden/>
          </w:rPr>
          <w:fldChar w:fldCharType="end"/>
        </w:r>
      </w:hyperlink>
    </w:p>
    <w:p w14:paraId="16051838" w14:textId="30D3E97E" w:rsidR="009425BE" w:rsidRDefault="009425BE">
      <w:pPr>
        <w:pStyle w:val="TOC3"/>
        <w:tabs>
          <w:tab w:val="right" w:leader="dot" w:pos="8486"/>
        </w:tabs>
        <w:rPr>
          <w:rFonts w:eastAsiaTheme="minorEastAsia" w:cstheme="minorBidi"/>
          <w:noProof/>
          <w:sz w:val="22"/>
          <w:szCs w:val="22"/>
          <w:lang w:bidi="ar-SA"/>
        </w:rPr>
      </w:pPr>
      <w:hyperlink w:anchor="_Toc39868145" w:history="1">
        <w:r w:rsidRPr="00894EDB">
          <w:rPr>
            <w:rStyle w:val="Hyperlink"/>
            <w:noProof/>
          </w:rPr>
          <w:t>2.2.1 Cell Lines and Viruses</w:t>
        </w:r>
        <w:r>
          <w:rPr>
            <w:noProof/>
            <w:webHidden/>
          </w:rPr>
          <w:tab/>
        </w:r>
        <w:r>
          <w:rPr>
            <w:noProof/>
            <w:webHidden/>
          </w:rPr>
          <w:fldChar w:fldCharType="begin"/>
        </w:r>
        <w:r>
          <w:rPr>
            <w:noProof/>
            <w:webHidden/>
          </w:rPr>
          <w:instrText xml:space="preserve"> PAGEREF _Toc39868145 \h </w:instrText>
        </w:r>
        <w:r>
          <w:rPr>
            <w:noProof/>
            <w:webHidden/>
          </w:rPr>
        </w:r>
        <w:r>
          <w:rPr>
            <w:noProof/>
            <w:webHidden/>
          </w:rPr>
          <w:fldChar w:fldCharType="separate"/>
        </w:r>
        <w:r>
          <w:rPr>
            <w:noProof/>
            <w:webHidden/>
          </w:rPr>
          <w:t>16</w:t>
        </w:r>
        <w:r>
          <w:rPr>
            <w:noProof/>
            <w:webHidden/>
          </w:rPr>
          <w:fldChar w:fldCharType="end"/>
        </w:r>
      </w:hyperlink>
    </w:p>
    <w:p w14:paraId="5C7ED43E" w14:textId="53C6BF54" w:rsidR="009425BE" w:rsidRDefault="009425BE">
      <w:pPr>
        <w:pStyle w:val="TOC3"/>
        <w:tabs>
          <w:tab w:val="right" w:leader="dot" w:pos="8486"/>
        </w:tabs>
        <w:rPr>
          <w:rFonts w:eastAsiaTheme="minorEastAsia" w:cstheme="minorBidi"/>
          <w:noProof/>
          <w:sz w:val="22"/>
          <w:szCs w:val="22"/>
          <w:lang w:bidi="ar-SA"/>
        </w:rPr>
      </w:pPr>
      <w:hyperlink w:anchor="_Toc39868146" w:history="1">
        <w:r w:rsidRPr="00894EDB">
          <w:rPr>
            <w:rStyle w:val="Hyperlink"/>
            <w:noProof/>
          </w:rPr>
          <w:t>2.2.2 Cell Lysis</w:t>
        </w:r>
        <w:r>
          <w:rPr>
            <w:noProof/>
            <w:webHidden/>
          </w:rPr>
          <w:tab/>
        </w:r>
        <w:r>
          <w:rPr>
            <w:noProof/>
            <w:webHidden/>
          </w:rPr>
          <w:fldChar w:fldCharType="begin"/>
        </w:r>
        <w:r>
          <w:rPr>
            <w:noProof/>
            <w:webHidden/>
          </w:rPr>
          <w:instrText xml:space="preserve"> PAGEREF _Toc39868146 \h </w:instrText>
        </w:r>
        <w:r>
          <w:rPr>
            <w:noProof/>
            <w:webHidden/>
          </w:rPr>
        </w:r>
        <w:r>
          <w:rPr>
            <w:noProof/>
            <w:webHidden/>
          </w:rPr>
          <w:fldChar w:fldCharType="separate"/>
        </w:r>
        <w:r>
          <w:rPr>
            <w:noProof/>
            <w:webHidden/>
          </w:rPr>
          <w:t>16</w:t>
        </w:r>
        <w:r>
          <w:rPr>
            <w:noProof/>
            <w:webHidden/>
          </w:rPr>
          <w:fldChar w:fldCharType="end"/>
        </w:r>
      </w:hyperlink>
    </w:p>
    <w:p w14:paraId="08A12C56" w14:textId="3347D774" w:rsidR="009425BE" w:rsidRDefault="009425BE">
      <w:pPr>
        <w:pStyle w:val="TOC3"/>
        <w:tabs>
          <w:tab w:val="right" w:leader="dot" w:pos="8486"/>
        </w:tabs>
        <w:rPr>
          <w:rFonts w:eastAsiaTheme="minorEastAsia" w:cstheme="minorBidi"/>
          <w:noProof/>
          <w:sz w:val="22"/>
          <w:szCs w:val="22"/>
          <w:lang w:bidi="ar-SA"/>
        </w:rPr>
      </w:pPr>
      <w:hyperlink w:anchor="_Toc39868147" w:history="1">
        <w:r w:rsidRPr="00894EDB">
          <w:rPr>
            <w:rStyle w:val="Hyperlink"/>
            <w:noProof/>
          </w:rPr>
          <w:t>2.2.3 Immunoblotting</w:t>
        </w:r>
        <w:r>
          <w:rPr>
            <w:noProof/>
            <w:webHidden/>
          </w:rPr>
          <w:tab/>
        </w:r>
        <w:r>
          <w:rPr>
            <w:noProof/>
            <w:webHidden/>
          </w:rPr>
          <w:fldChar w:fldCharType="begin"/>
        </w:r>
        <w:r>
          <w:rPr>
            <w:noProof/>
            <w:webHidden/>
          </w:rPr>
          <w:instrText xml:space="preserve"> PAGEREF _Toc39868147 \h </w:instrText>
        </w:r>
        <w:r>
          <w:rPr>
            <w:noProof/>
            <w:webHidden/>
          </w:rPr>
        </w:r>
        <w:r>
          <w:rPr>
            <w:noProof/>
            <w:webHidden/>
          </w:rPr>
          <w:fldChar w:fldCharType="separate"/>
        </w:r>
        <w:r>
          <w:rPr>
            <w:noProof/>
            <w:webHidden/>
          </w:rPr>
          <w:t>17</w:t>
        </w:r>
        <w:r>
          <w:rPr>
            <w:noProof/>
            <w:webHidden/>
          </w:rPr>
          <w:fldChar w:fldCharType="end"/>
        </w:r>
      </w:hyperlink>
    </w:p>
    <w:p w14:paraId="2A2EA29B" w14:textId="270709D1" w:rsidR="009425BE" w:rsidRDefault="009425BE">
      <w:pPr>
        <w:pStyle w:val="TOC3"/>
        <w:tabs>
          <w:tab w:val="right" w:leader="dot" w:pos="8486"/>
        </w:tabs>
        <w:rPr>
          <w:rFonts w:eastAsiaTheme="minorEastAsia" w:cstheme="minorBidi"/>
          <w:noProof/>
          <w:sz w:val="22"/>
          <w:szCs w:val="22"/>
          <w:lang w:bidi="ar-SA"/>
        </w:rPr>
      </w:pPr>
      <w:hyperlink w:anchor="_Toc39868148" w:history="1">
        <w:r w:rsidRPr="00894EDB">
          <w:rPr>
            <w:rStyle w:val="Hyperlink"/>
            <w:noProof/>
          </w:rPr>
          <w:t>2.2.4 OSW-1 Compound Washout Treatments</w:t>
        </w:r>
        <w:r>
          <w:rPr>
            <w:noProof/>
            <w:webHidden/>
          </w:rPr>
          <w:tab/>
        </w:r>
        <w:r>
          <w:rPr>
            <w:noProof/>
            <w:webHidden/>
          </w:rPr>
          <w:fldChar w:fldCharType="begin"/>
        </w:r>
        <w:r>
          <w:rPr>
            <w:noProof/>
            <w:webHidden/>
          </w:rPr>
          <w:instrText xml:space="preserve"> PAGEREF _Toc39868148 \h </w:instrText>
        </w:r>
        <w:r>
          <w:rPr>
            <w:noProof/>
            <w:webHidden/>
          </w:rPr>
        </w:r>
        <w:r>
          <w:rPr>
            <w:noProof/>
            <w:webHidden/>
          </w:rPr>
          <w:fldChar w:fldCharType="separate"/>
        </w:r>
        <w:r>
          <w:rPr>
            <w:noProof/>
            <w:webHidden/>
          </w:rPr>
          <w:t>17</w:t>
        </w:r>
        <w:r>
          <w:rPr>
            <w:noProof/>
            <w:webHidden/>
          </w:rPr>
          <w:fldChar w:fldCharType="end"/>
        </w:r>
      </w:hyperlink>
    </w:p>
    <w:p w14:paraId="5A20D319" w14:textId="26098AFE" w:rsidR="009425BE" w:rsidRDefault="009425BE">
      <w:pPr>
        <w:pStyle w:val="TOC3"/>
        <w:tabs>
          <w:tab w:val="right" w:leader="dot" w:pos="8486"/>
        </w:tabs>
        <w:rPr>
          <w:rFonts w:eastAsiaTheme="minorEastAsia" w:cstheme="minorBidi"/>
          <w:noProof/>
          <w:sz w:val="22"/>
          <w:szCs w:val="22"/>
          <w:lang w:bidi="ar-SA"/>
        </w:rPr>
      </w:pPr>
      <w:hyperlink w:anchor="_Toc39868149" w:history="1">
        <w:r w:rsidRPr="00894EDB">
          <w:rPr>
            <w:rStyle w:val="Hyperlink"/>
            <w:noProof/>
          </w:rPr>
          <w:t>2.4.5 Deuterated OSW-1</w:t>
        </w:r>
        <w:r>
          <w:rPr>
            <w:noProof/>
            <w:webHidden/>
          </w:rPr>
          <w:tab/>
        </w:r>
        <w:r>
          <w:rPr>
            <w:noProof/>
            <w:webHidden/>
          </w:rPr>
          <w:fldChar w:fldCharType="begin"/>
        </w:r>
        <w:r>
          <w:rPr>
            <w:noProof/>
            <w:webHidden/>
          </w:rPr>
          <w:instrText xml:space="preserve"> PAGEREF _Toc39868149 \h </w:instrText>
        </w:r>
        <w:r>
          <w:rPr>
            <w:noProof/>
            <w:webHidden/>
          </w:rPr>
        </w:r>
        <w:r>
          <w:rPr>
            <w:noProof/>
            <w:webHidden/>
          </w:rPr>
          <w:fldChar w:fldCharType="separate"/>
        </w:r>
        <w:r>
          <w:rPr>
            <w:noProof/>
            <w:webHidden/>
          </w:rPr>
          <w:t>18</w:t>
        </w:r>
        <w:r>
          <w:rPr>
            <w:noProof/>
            <w:webHidden/>
          </w:rPr>
          <w:fldChar w:fldCharType="end"/>
        </w:r>
      </w:hyperlink>
    </w:p>
    <w:p w14:paraId="384F482A" w14:textId="7870E39F" w:rsidR="009425BE" w:rsidRDefault="009425BE">
      <w:pPr>
        <w:pStyle w:val="TOC3"/>
        <w:tabs>
          <w:tab w:val="right" w:leader="dot" w:pos="8486"/>
        </w:tabs>
        <w:rPr>
          <w:rFonts w:eastAsiaTheme="minorEastAsia" w:cstheme="minorBidi"/>
          <w:noProof/>
          <w:sz w:val="22"/>
          <w:szCs w:val="22"/>
          <w:lang w:bidi="ar-SA"/>
        </w:rPr>
      </w:pPr>
      <w:hyperlink w:anchor="_Toc39868150" w:history="1">
        <w:r w:rsidRPr="00894EDB">
          <w:rPr>
            <w:rStyle w:val="Hyperlink"/>
            <w:noProof/>
          </w:rPr>
          <w:t>2.2.6 OSW-1 Quantification</w:t>
        </w:r>
        <w:r>
          <w:rPr>
            <w:noProof/>
            <w:webHidden/>
          </w:rPr>
          <w:tab/>
        </w:r>
        <w:r>
          <w:rPr>
            <w:noProof/>
            <w:webHidden/>
          </w:rPr>
          <w:fldChar w:fldCharType="begin"/>
        </w:r>
        <w:r>
          <w:rPr>
            <w:noProof/>
            <w:webHidden/>
          </w:rPr>
          <w:instrText xml:space="preserve"> PAGEREF _Toc39868150 \h </w:instrText>
        </w:r>
        <w:r>
          <w:rPr>
            <w:noProof/>
            <w:webHidden/>
          </w:rPr>
        </w:r>
        <w:r>
          <w:rPr>
            <w:noProof/>
            <w:webHidden/>
          </w:rPr>
          <w:fldChar w:fldCharType="separate"/>
        </w:r>
        <w:r>
          <w:rPr>
            <w:noProof/>
            <w:webHidden/>
          </w:rPr>
          <w:t>18</w:t>
        </w:r>
        <w:r>
          <w:rPr>
            <w:noProof/>
            <w:webHidden/>
          </w:rPr>
          <w:fldChar w:fldCharType="end"/>
        </w:r>
      </w:hyperlink>
    </w:p>
    <w:p w14:paraId="5490442E" w14:textId="4DEB2F64" w:rsidR="009425BE" w:rsidRDefault="009425BE">
      <w:pPr>
        <w:pStyle w:val="TOC3"/>
        <w:tabs>
          <w:tab w:val="right" w:leader="dot" w:pos="8486"/>
        </w:tabs>
        <w:rPr>
          <w:rFonts w:eastAsiaTheme="minorEastAsia" w:cstheme="minorBidi"/>
          <w:noProof/>
          <w:sz w:val="22"/>
          <w:szCs w:val="22"/>
          <w:lang w:bidi="ar-SA"/>
        </w:rPr>
      </w:pPr>
      <w:hyperlink w:anchor="_Toc39868151" w:history="1">
        <w:r w:rsidRPr="00894EDB">
          <w:rPr>
            <w:rStyle w:val="Hyperlink"/>
            <w:noProof/>
          </w:rPr>
          <w:t>2.2.7 Calpain Analysis</w:t>
        </w:r>
        <w:r>
          <w:rPr>
            <w:noProof/>
            <w:webHidden/>
          </w:rPr>
          <w:tab/>
        </w:r>
        <w:r>
          <w:rPr>
            <w:noProof/>
            <w:webHidden/>
          </w:rPr>
          <w:fldChar w:fldCharType="begin"/>
        </w:r>
        <w:r>
          <w:rPr>
            <w:noProof/>
            <w:webHidden/>
          </w:rPr>
          <w:instrText xml:space="preserve"> PAGEREF _Toc39868151 \h </w:instrText>
        </w:r>
        <w:r>
          <w:rPr>
            <w:noProof/>
            <w:webHidden/>
          </w:rPr>
        </w:r>
        <w:r>
          <w:rPr>
            <w:noProof/>
            <w:webHidden/>
          </w:rPr>
          <w:fldChar w:fldCharType="separate"/>
        </w:r>
        <w:r>
          <w:rPr>
            <w:noProof/>
            <w:webHidden/>
          </w:rPr>
          <w:t>20</w:t>
        </w:r>
        <w:r>
          <w:rPr>
            <w:noProof/>
            <w:webHidden/>
          </w:rPr>
          <w:fldChar w:fldCharType="end"/>
        </w:r>
      </w:hyperlink>
    </w:p>
    <w:p w14:paraId="3D947925" w14:textId="6D995AE2" w:rsidR="009425BE" w:rsidRDefault="009425BE">
      <w:pPr>
        <w:pStyle w:val="TOC3"/>
        <w:tabs>
          <w:tab w:val="right" w:leader="dot" w:pos="8486"/>
        </w:tabs>
        <w:rPr>
          <w:rFonts w:eastAsiaTheme="minorEastAsia" w:cstheme="minorBidi"/>
          <w:noProof/>
          <w:sz w:val="22"/>
          <w:szCs w:val="22"/>
          <w:lang w:bidi="ar-SA"/>
        </w:rPr>
      </w:pPr>
      <w:hyperlink w:anchor="_Toc39868152" w:history="1">
        <w:r w:rsidRPr="00894EDB">
          <w:rPr>
            <w:rStyle w:val="Hyperlink"/>
            <w:noProof/>
          </w:rPr>
          <w:t>2.2.8 Antiviral Analysis</w:t>
        </w:r>
        <w:r>
          <w:rPr>
            <w:noProof/>
            <w:webHidden/>
          </w:rPr>
          <w:tab/>
        </w:r>
        <w:r>
          <w:rPr>
            <w:noProof/>
            <w:webHidden/>
          </w:rPr>
          <w:fldChar w:fldCharType="begin"/>
        </w:r>
        <w:r>
          <w:rPr>
            <w:noProof/>
            <w:webHidden/>
          </w:rPr>
          <w:instrText xml:space="preserve"> PAGEREF _Toc39868152 \h </w:instrText>
        </w:r>
        <w:r>
          <w:rPr>
            <w:noProof/>
            <w:webHidden/>
          </w:rPr>
        </w:r>
        <w:r>
          <w:rPr>
            <w:noProof/>
            <w:webHidden/>
          </w:rPr>
          <w:fldChar w:fldCharType="separate"/>
        </w:r>
        <w:r>
          <w:rPr>
            <w:noProof/>
            <w:webHidden/>
          </w:rPr>
          <w:t>20</w:t>
        </w:r>
        <w:r>
          <w:rPr>
            <w:noProof/>
            <w:webHidden/>
          </w:rPr>
          <w:fldChar w:fldCharType="end"/>
        </w:r>
      </w:hyperlink>
    </w:p>
    <w:p w14:paraId="03F85185" w14:textId="230ADE3F" w:rsidR="009425BE" w:rsidRDefault="009425BE">
      <w:pPr>
        <w:pStyle w:val="TOC3"/>
        <w:tabs>
          <w:tab w:val="right" w:leader="dot" w:pos="8486"/>
        </w:tabs>
        <w:rPr>
          <w:rFonts w:eastAsiaTheme="minorEastAsia" w:cstheme="minorBidi"/>
          <w:noProof/>
          <w:sz w:val="22"/>
          <w:szCs w:val="22"/>
          <w:lang w:bidi="ar-SA"/>
        </w:rPr>
      </w:pPr>
      <w:hyperlink w:anchor="_Toc39868153" w:history="1">
        <w:r w:rsidRPr="00894EDB">
          <w:rPr>
            <w:rStyle w:val="Hyperlink"/>
            <w:noProof/>
          </w:rPr>
          <w:t>2.2.9 Competitive Binding Assay</w:t>
        </w:r>
        <w:r>
          <w:rPr>
            <w:noProof/>
            <w:webHidden/>
          </w:rPr>
          <w:tab/>
        </w:r>
        <w:r>
          <w:rPr>
            <w:noProof/>
            <w:webHidden/>
          </w:rPr>
          <w:fldChar w:fldCharType="begin"/>
        </w:r>
        <w:r>
          <w:rPr>
            <w:noProof/>
            <w:webHidden/>
          </w:rPr>
          <w:instrText xml:space="preserve"> PAGEREF _Toc39868153 \h </w:instrText>
        </w:r>
        <w:r>
          <w:rPr>
            <w:noProof/>
            <w:webHidden/>
          </w:rPr>
        </w:r>
        <w:r>
          <w:rPr>
            <w:noProof/>
            <w:webHidden/>
          </w:rPr>
          <w:fldChar w:fldCharType="separate"/>
        </w:r>
        <w:r>
          <w:rPr>
            <w:noProof/>
            <w:webHidden/>
          </w:rPr>
          <w:t>22</w:t>
        </w:r>
        <w:r>
          <w:rPr>
            <w:noProof/>
            <w:webHidden/>
          </w:rPr>
          <w:fldChar w:fldCharType="end"/>
        </w:r>
      </w:hyperlink>
    </w:p>
    <w:p w14:paraId="685BFCF5" w14:textId="72760534" w:rsidR="009425BE" w:rsidRDefault="009425BE">
      <w:pPr>
        <w:pStyle w:val="TOC2"/>
        <w:tabs>
          <w:tab w:val="right" w:leader="dot" w:pos="8486"/>
        </w:tabs>
        <w:rPr>
          <w:rFonts w:eastAsiaTheme="minorEastAsia" w:cstheme="minorBidi"/>
          <w:noProof/>
          <w:sz w:val="22"/>
          <w:szCs w:val="22"/>
          <w:lang w:bidi="ar-SA"/>
        </w:rPr>
      </w:pPr>
      <w:hyperlink w:anchor="_Toc39868154" w:history="1">
        <w:r w:rsidRPr="00894EDB">
          <w:rPr>
            <w:rStyle w:val="Hyperlink"/>
            <w:noProof/>
          </w:rPr>
          <w:t>2.3 Results</w:t>
        </w:r>
        <w:r>
          <w:rPr>
            <w:noProof/>
            <w:webHidden/>
          </w:rPr>
          <w:tab/>
        </w:r>
        <w:r>
          <w:rPr>
            <w:noProof/>
            <w:webHidden/>
          </w:rPr>
          <w:fldChar w:fldCharType="begin"/>
        </w:r>
        <w:r>
          <w:rPr>
            <w:noProof/>
            <w:webHidden/>
          </w:rPr>
          <w:instrText xml:space="preserve"> PAGEREF _Toc39868154 \h </w:instrText>
        </w:r>
        <w:r>
          <w:rPr>
            <w:noProof/>
            <w:webHidden/>
          </w:rPr>
        </w:r>
        <w:r>
          <w:rPr>
            <w:noProof/>
            <w:webHidden/>
          </w:rPr>
          <w:fldChar w:fldCharType="separate"/>
        </w:r>
        <w:r>
          <w:rPr>
            <w:noProof/>
            <w:webHidden/>
          </w:rPr>
          <w:t>23</w:t>
        </w:r>
        <w:r>
          <w:rPr>
            <w:noProof/>
            <w:webHidden/>
          </w:rPr>
          <w:fldChar w:fldCharType="end"/>
        </w:r>
      </w:hyperlink>
    </w:p>
    <w:p w14:paraId="2C043233" w14:textId="324A7504" w:rsidR="009425BE" w:rsidRDefault="009425BE">
      <w:pPr>
        <w:pStyle w:val="TOC3"/>
        <w:tabs>
          <w:tab w:val="right" w:leader="dot" w:pos="8486"/>
        </w:tabs>
        <w:rPr>
          <w:rFonts w:eastAsiaTheme="minorEastAsia" w:cstheme="minorBidi"/>
          <w:noProof/>
          <w:sz w:val="22"/>
          <w:szCs w:val="22"/>
          <w:lang w:bidi="ar-SA"/>
        </w:rPr>
      </w:pPr>
      <w:hyperlink w:anchor="_Toc39868155" w:history="1">
        <w:r w:rsidRPr="00894EDB">
          <w:rPr>
            <w:rStyle w:val="Hyperlink"/>
            <w:noProof/>
          </w:rPr>
          <w:t>2.3.1 OSW-1 Treatment Selectively Degrades OSBP in Cells</w:t>
        </w:r>
        <w:r>
          <w:rPr>
            <w:noProof/>
            <w:webHidden/>
          </w:rPr>
          <w:tab/>
        </w:r>
        <w:r>
          <w:rPr>
            <w:noProof/>
            <w:webHidden/>
          </w:rPr>
          <w:fldChar w:fldCharType="begin"/>
        </w:r>
        <w:r>
          <w:rPr>
            <w:noProof/>
            <w:webHidden/>
          </w:rPr>
          <w:instrText xml:space="preserve"> PAGEREF _Toc39868155 \h </w:instrText>
        </w:r>
        <w:r>
          <w:rPr>
            <w:noProof/>
            <w:webHidden/>
          </w:rPr>
        </w:r>
        <w:r>
          <w:rPr>
            <w:noProof/>
            <w:webHidden/>
          </w:rPr>
          <w:fldChar w:fldCharType="separate"/>
        </w:r>
        <w:r>
          <w:rPr>
            <w:noProof/>
            <w:webHidden/>
          </w:rPr>
          <w:t>23</w:t>
        </w:r>
        <w:r>
          <w:rPr>
            <w:noProof/>
            <w:webHidden/>
          </w:rPr>
          <w:fldChar w:fldCharType="end"/>
        </w:r>
      </w:hyperlink>
    </w:p>
    <w:p w14:paraId="38069749" w14:textId="2CE2524B" w:rsidR="009425BE" w:rsidRDefault="009425BE">
      <w:pPr>
        <w:pStyle w:val="TOC3"/>
        <w:tabs>
          <w:tab w:val="right" w:leader="dot" w:pos="8486"/>
        </w:tabs>
        <w:rPr>
          <w:rFonts w:eastAsiaTheme="minorEastAsia" w:cstheme="minorBidi"/>
          <w:noProof/>
          <w:sz w:val="22"/>
          <w:szCs w:val="22"/>
          <w:lang w:bidi="ar-SA"/>
        </w:rPr>
      </w:pPr>
      <w:hyperlink w:anchor="_Toc39868156" w:history="1">
        <w:r w:rsidRPr="00894EDB">
          <w:rPr>
            <w:rStyle w:val="Hyperlink"/>
            <w:noProof/>
          </w:rPr>
          <w:t>2.5.2 OSBP Repression is Independent of Residual OSW-1.</w:t>
        </w:r>
        <w:r>
          <w:rPr>
            <w:noProof/>
            <w:webHidden/>
          </w:rPr>
          <w:tab/>
        </w:r>
        <w:r>
          <w:rPr>
            <w:noProof/>
            <w:webHidden/>
          </w:rPr>
          <w:fldChar w:fldCharType="begin"/>
        </w:r>
        <w:r>
          <w:rPr>
            <w:noProof/>
            <w:webHidden/>
          </w:rPr>
          <w:instrText xml:space="preserve"> PAGEREF _Toc39868156 \h </w:instrText>
        </w:r>
        <w:r>
          <w:rPr>
            <w:noProof/>
            <w:webHidden/>
          </w:rPr>
        </w:r>
        <w:r>
          <w:rPr>
            <w:noProof/>
            <w:webHidden/>
          </w:rPr>
          <w:fldChar w:fldCharType="separate"/>
        </w:r>
        <w:r>
          <w:rPr>
            <w:noProof/>
            <w:webHidden/>
          </w:rPr>
          <w:t>24</w:t>
        </w:r>
        <w:r>
          <w:rPr>
            <w:noProof/>
            <w:webHidden/>
          </w:rPr>
          <w:fldChar w:fldCharType="end"/>
        </w:r>
      </w:hyperlink>
    </w:p>
    <w:p w14:paraId="6FE68D4E" w14:textId="2682C7C0" w:rsidR="009425BE" w:rsidRDefault="009425BE">
      <w:pPr>
        <w:pStyle w:val="TOC3"/>
        <w:tabs>
          <w:tab w:val="right" w:leader="dot" w:pos="8486"/>
        </w:tabs>
        <w:rPr>
          <w:rFonts w:eastAsiaTheme="minorEastAsia" w:cstheme="minorBidi"/>
          <w:noProof/>
          <w:sz w:val="22"/>
          <w:szCs w:val="22"/>
          <w:lang w:bidi="ar-SA"/>
        </w:rPr>
      </w:pPr>
      <w:hyperlink w:anchor="_Toc39868157" w:history="1">
        <w:r w:rsidRPr="00894EDB">
          <w:rPr>
            <w:rStyle w:val="Hyperlink"/>
            <w:noProof/>
          </w:rPr>
          <w:t>2.3.3 OSBP Repression is independent of Calpain activity</w:t>
        </w:r>
        <w:r>
          <w:rPr>
            <w:noProof/>
            <w:webHidden/>
          </w:rPr>
          <w:tab/>
        </w:r>
        <w:r>
          <w:rPr>
            <w:noProof/>
            <w:webHidden/>
          </w:rPr>
          <w:fldChar w:fldCharType="begin"/>
        </w:r>
        <w:r>
          <w:rPr>
            <w:noProof/>
            <w:webHidden/>
          </w:rPr>
          <w:instrText xml:space="preserve"> PAGEREF _Toc39868157 \h </w:instrText>
        </w:r>
        <w:r>
          <w:rPr>
            <w:noProof/>
            <w:webHidden/>
          </w:rPr>
        </w:r>
        <w:r>
          <w:rPr>
            <w:noProof/>
            <w:webHidden/>
          </w:rPr>
          <w:fldChar w:fldCharType="separate"/>
        </w:r>
        <w:r>
          <w:rPr>
            <w:noProof/>
            <w:webHidden/>
          </w:rPr>
          <w:t>28</w:t>
        </w:r>
        <w:r>
          <w:rPr>
            <w:noProof/>
            <w:webHidden/>
          </w:rPr>
          <w:fldChar w:fldCharType="end"/>
        </w:r>
      </w:hyperlink>
    </w:p>
    <w:p w14:paraId="7AC7D59B" w14:textId="2AF4E029" w:rsidR="009425BE" w:rsidRDefault="009425BE">
      <w:pPr>
        <w:pStyle w:val="TOC3"/>
        <w:tabs>
          <w:tab w:val="right" w:leader="dot" w:pos="8486"/>
        </w:tabs>
        <w:rPr>
          <w:rFonts w:eastAsiaTheme="minorEastAsia" w:cstheme="minorBidi"/>
          <w:noProof/>
          <w:sz w:val="22"/>
          <w:szCs w:val="22"/>
          <w:lang w:bidi="ar-SA"/>
        </w:rPr>
      </w:pPr>
      <w:hyperlink w:anchor="_Toc39868158" w:history="1">
        <w:r w:rsidRPr="00894EDB">
          <w:rPr>
            <w:rStyle w:val="Hyperlink"/>
            <w:noProof/>
          </w:rPr>
          <w:t>2.5.4 OSW-1 and THEV2 bind OSBP and ORP4</w:t>
        </w:r>
        <w:r>
          <w:rPr>
            <w:noProof/>
            <w:webHidden/>
          </w:rPr>
          <w:tab/>
        </w:r>
        <w:r>
          <w:rPr>
            <w:noProof/>
            <w:webHidden/>
          </w:rPr>
          <w:fldChar w:fldCharType="begin"/>
        </w:r>
        <w:r>
          <w:rPr>
            <w:noProof/>
            <w:webHidden/>
          </w:rPr>
          <w:instrText xml:space="preserve"> PAGEREF _Toc39868158 \h </w:instrText>
        </w:r>
        <w:r>
          <w:rPr>
            <w:noProof/>
            <w:webHidden/>
          </w:rPr>
        </w:r>
        <w:r>
          <w:rPr>
            <w:noProof/>
            <w:webHidden/>
          </w:rPr>
          <w:fldChar w:fldCharType="separate"/>
        </w:r>
        <w:r>
          <w:rPr>
            <w:noProof/>
            <w:webHidden/>
          </w:rPr>
          <w:t>30</w:t>
        </w:r>
        <w:r>
          <w:rPr>
            <w:noProof/>
            <w:webHidden/>
          </w:rPr>
          <w:fldChar w:fldCharType="end"/>
        </w:r>
      </w:hyperlink>
    </w:p>
    <w:p w14:paraId="5F5A8747" w14:textId="2B584D6F" w:rsidR="009425BE" w:rsidRDefault="009425BE">
      <w:pPr>
        <w:pStyle w:val="TOC3"/>
        <w:tabs>
          <w:tab w:val="right" w:leader="dot" w:pos="8486"/>
        </w:tabs>
        <w:rPr>
          <w:rFonts w:eastAsiaTheme="minorEastAsia" w:cstheme="minorBidi"/>
          <w:noProof/>
          <w:sz w:val="22"/>
          <w:szCs w:val="22"/>
          <w:lang w:bidi="ar-SA"/>
        </w:rPr>
      </w:pPr>
      <w:hyperlink w:anchor="_Toc39868159" w:history="1">
        <w:r w:rsidRPr="00894EDB">
          <w:rPr>
            <w:rStyle w:val="Hyperlink"/>
            <w:noProof/>
          </w:rPr>
          <w:t>2.5.5 OSW-1 selectively exhibits prophylactic activity</w:t>
        </w:r>
        <w:r>
          <w:rPr>
            <w:noProof/>
            <w:webHidden/>
          </w:rPr>
          <w:tab/>
        </w:r>
        <w:r>
          <w:rPr>
            <w:noProof/>
            <w:webHidden/>
          </w:rPr>
          <w:fldChar w:fldCharType="begin"/>
        </w:r>
        <w:r>
          <w:rPr>
            <w:noProof/>
            <w:webHidden/>
          </w:rPr>
          <w:instrText xml:space="preserve"> PAGEREF _Toc39868159 \h </w:instrText>
        </w:r>
        <w:r>
          <w:rPr>
            <w:noProof/>
            <w:webHidden/>
          </w:rPr>
        </w:r>
        <w:r>
          <w:rPr>
            <w:noProof/>
            <w:webHidden/>
          </w:rPr>
          <w:fldChar w:fldCharType="separate"/>
        </w:r>
        <w:r>
          <w:rPr>
            <w:noProof/>
            <w:webHidden/>
          </w:rPr>
          <w:t>33</w:t>
        </w:r>
        <w:r>
          <w:rPr>
            <w:noProof/>
            <w:webHidden/>
          </w:rPr>
          <w:fldChar w:fldCharType="end"/>
        </w:r>
      </w:hyperlink>
    </w:p>
    <w:p w14:paraId="2F04A542" w14:textId="637B5D6C" w:rsidR="009425BE" w:rsidRDefault="009425BE">
      <w:pPr>
        <w:pStyle w:val="TOC2"/>
        <w:tabs>
          <w:tab w:val="right" w:leader="dot" w:pos="8486"/>
        </w:tabs>
        <w:rPr>
          <w:rFonts w:eastAsiaTheme="minorEastAsia" w:cstheme="minorBidi"/>
          <w:noProof/>
          <w:sz w:val="22"/>
          <w:szCs w:val="22"/>
          <w:lang w:bidi="ar-SA"/>
        </w:rPr>
      </w:pPr>
      <w:hyperlink w:anchor="_Toc39868160" w:history="1">
        <w:r w:rsidRPr="00894EDB">
          <w:rPr>
            <w:rStyle w:val="Hyperlink"/>
            <w:noProof/>
          </w:rPr>
          <w:t>2.4 Discussion</w:t>
        </w:r>
        <w:r>
          <w:rPr>
            <w:noProof/>
            <w:webHidden/>
          </w:rPr>
          <w:tab/>
        </w:r>
        <w:r>
          <w:rPr>
            <w:noProof/>
            <w:webHidden/>
          </w:rPr>
          <w:fldChar w:fldCharType="begin"/>
        </w:r>
        <w:r>
          <w:rPr>
            <w:noProof/>
            <w:webHidden/>
          </w:rPr>
          <w:instrText xml:space="preserve"> PAGEREF _Toc39868160 \h </w:instrText>
        </w:r>
        <w:r>
          <w:rPr>
            <w:noProof/>
            <w:webHidden/>
          </w:rPr>
        </w:r>
        <w:r>
          <w:rPr>
            <w:noProof/>
            <w:webHidden/>
          </w:rPr>
          <w:fldChar w:fldCharType="separate"/>
        </w:r>
        <w:r>
          <w:rPr>
            <w:noProof/>
            <w:webHidden/>
          </w:rPr>
          <w:t>35</w:t>
        </w:r>
        <w:r>
          <w:rPr>
            <w:noProof/>
            <w:webHidden/>
          </w:rPr>
          <w:fldChar w:fldCharType="end"/>
        </w:r>
      </w:hyperlink>
    </w:p>
    <w:p w14:paraId="60448F1F" w14:textId="7A6E9001" w:rsidR="009425BE" w:rsidRDefault="009425BE">
      <w:pPr>
        <w:pStyle w:val="TOC2"/>
        <w:tabs>
          <w:tab w:val="right" w:leader="dot" w:pos="8486"/>
        </w:tabs>
        <w:rPr>
          <w:rFonts w:eastAsiaTheme="minorEastAsia" w:cstheme="minorBidi"/>
          <w:noProof/>
          <w:sz w:val="22"/>
          <w:szCs w:val="22"/>
          <w:lang w:bidi="ar-SA"/>
        </w:rPr>
      </w:pPr>
      <w:hyperlink w:anchor="_Toc39868161" w:history="1">
        <w:r w:rsidRPr="00894EDB">
          <w:rPr>
            <w:rStyle w:val="Hyperlink"/>
            <w:noProof/>
          </w:rPr>
          <w:t>2.5 Conclusions</w:t>
        </w:r>
        <w:r>
          <w:rPr>
            <w:noProof/>
            <w:webHidden/>
          </w:rPr>
          <w:tab/>
        </w:r>
        <w:r>
          <w:rPr>
            <w:noProof/>
            <w:webHidden/>
          </w:rPr>
          <w:fldChar w:fldCharType="begin"/>
        </w:r>
        <w:r>
          <w:rPr>
            <w:noProof/>
            <w:webHidden/>
          </w:rPr>
          <w:instrText xml:space="preserve"> PAGEREF _Toc39868161 \h </w:instrText>
        </w:r>
        <w:r>
          <w:rPr>
            <w:noProof/>
            <w:webHidden/>
          </w:rPr>
        </w:r>
        <w:r>
          <w:rPr>
            <w:noProof/>
            <w:webHidden/>
          </w:rPr>
          <w:fldChar w:fldCharType="separate"/>
        </w:r>
        <w:r>
          <w:rPr>
            <w:noProof/>
            <w:webHidden/>
          </w:rPr>
          <w:t>36</w:t>
        </w:r>
        <w:r>
          <w:rPr>
            <w:noProof/>
            <w:webHidden/>
          </w:rPr>
          <w:fldChar w:fldCharType="end"/>
        </w:r>
      </w:hyperlink>
    </w:p>
    <w:p w14:paraId="4133704D" w14:textId="58FADA90" w:rsidR="009425BE" w:rsidRDefault="009425BE">
      <w:pPr>
        <w:pStyle w:val="TOC1"/>
        <w:rPr>
          <w:rFonts w:eastAsiaTheme="minorEastAsia" w:cstheme="minorBidi"/>
          <w:noProof/>
          <w:sz w:val="22"/>
          <w:szCs w:val="22"/>
          <w:lang w:bidi="ar-SA"/>
        </w:rPr>
      </w:pPr>
      <w:hyperlink w:anchor="_Toc39868162" w:history="1">
        <w:r w:rsidRPr="00894EDB">
          <w:rPr>
            <w:rStyle w:val="Hyperlink"/>
            <w:noProof/>
          </w:rPr>
          <w:t>Chapter 3: OSW-1 Compound Anti-cancer Development in Ovarian Cancer Targeting ORP4L Protein</w:t>
        </w:r>
        <w:r>
          <w:rPr>
            <w:noProof/>
            <w:webHidden/>
          </w:rPr>
          <w:tab/>
        </w:r>
        <w:r>
          <w:rPr>
            <w:noProof/>
            <w:webHidden/>
          </w:rPr>
          <w:fldChar w:fldCharType="begin"/>
        </w:r>
        <w:r>
          <w:rPr>
            <w:noProof/>
            <w:webHidden/>
          </w:rPr>
          <w:instrText xml:space="preserve"> PAGEREF _Toc39868162 \h </w:instrText>
        </w:r>
        <w:r>
          <w:rPr>
            <w:noProof/>
            <w:webHidden/>
          </w:rPr>
        </w:r>
        <w:r>
          <w:rPr>
            <w:noProof/>
            <w:webHidden/>
          </w:rPr>
          <w:fldChar w:fldCharType="separate"/>
        </w:r>
        <w:r>
          <w:rPr>
            <w:noProof/>
            <w:webHidden/>
          </w:rPr>
          <w:t>37</w:t>
        </w:r>
        <w:r>
          <w:rPr>
            <w:noProof/>
            <w:webHidden/>
          </w:rPr>
          <w:fldChar w:fldCharType="end"/>
        </w:r>
      </w:hyperlink>
    </w:p>
    <w:p w14:paraId="6D682438" w14:textId="56D7366D" w:rsidR="009425BE" w:rsidRDefault="009425BE">
      <w:pPr>
        <w:pStyle w:val="TOC2"/>
        <w:tabs>
          <w:tab w:val="right" w:leader="dot" w:pos="8486"/>
        </w:tabs>
        <w:rPr>
          <w:rFonts w:eastAsiaTheme="minorEastAsia" w:cstheme="minorBidi"/>
          <w:noProof/>
          <w:sz w:val="22"/>
          <w:szCs w:val="22"/>
          <w:lang w:bidi="ar-SA"/>
        </w:rPr>
      </w:pPr>
      <w:hyperlink w:anchor="_Toc39868163" w:history="1">
        <w:r w:rsidRPr="00894EDB">
          <w:rPr>
            <w:rStyle w:val="Hyperlink"/>
            <w:noProof/>
          </w:rPr>
          <w:t>Abstract</w:t>
        </w:r>
        <w:r>
          <w:rPr>
            <w:noProof/>
            <w:webHidden/>
          </w:rPr>
          <w:tab/>
        </w:r>
        <w:r>
          <w:rPr>
            <w:noProof/>
            <w:webHidden/>
          </w:rPr>
          <w:fldChar w:fldCharType="begin"/>
        </w:r>
        <w:r>
          <w:rPr>
            <w:noProof/>
            <w:webHidden/>
          </w:rPr>
          <w:instrText xml:space="preserve"> PAGEREF _Toc39868163 \h </w:instrText>
        </w:r>
        <w:r>
          <w:rPr>
            <w:noProof/>
            <w:webHidden/>
          </w:rPr>
        </w:r>
        <w:r>
          <w:rPr>
            <w:noProof/>
            <w:webHidden/>
          </w:rPr>
          <w:fldChar w:fldCharType="separate"/>
        </w:r>
        <w:r>
          <w:rPr>
            <w:noProof/>
            <w:webHidden/>
          </w:rPr>
          <w:t>37</w:t>
        </w:r>
        <w:r>
          <w:rPr>
            <w:noProof/>
            <w:webHidden/>
          </w:rPr>
          <w:fldChar w:fldCharType="end"/>
        </w:r>
      </w:hyperlink>
    </w:p>
    <w:p w14:paraId="4F4267E9" w14:textId="7D2DBF21" w:rsidR="009425BE" w:rsidRDefault="009425BE">
      <w:pPr>
        <w:pStyle w:val="TOC2"/>
        <w:tabs>
          <w:tab w:val="right" w:leader="dot" w:pos="8486"/>
        </w:tabs>
        <w:rPr>
          <w:rFonts w:eastAsiaTheme="minorEastAsia" w:cstheme="minorBidi"/>
          <w:noProof/>
          <w:sz w:val="22"/>
          <w:szCs w:val="22"/>
          <w:lang w:bidi="ar-SA"/>
        </w:rPr>
      </w:pPr>
      <w:hyperlink w:anchor="_Toc39868164" w:history="1">
        <w:r w:rsidRPr="00894EDB">
          <w:rPr>
            <w:rStyle w:val="Hyperlink"/>
            <w:noProof/>
          </w:rPr>
          <w:t>Allocation of Contribution</w:t>
        </w:r>
        <w:r>
          <w:rPr>
            <w:noProof/>
            <w:webHidden/>
          </w:rPr>
          <w:tab/>
        </w:r>
        <w:r>
          <w:rPr>
            <w:noProof/>
            <w:webHidden/>
          </w:rPr>
          <w:fldChar w:fldCharType="begin"/>
        </w:r>
        <w:r>
          <w:rPr>
            <w:noProof/>
            <w:webHidden/>
          </w:rPr>
          <w:instrText xml:space="preserve"> PAGEREF _Toc39868164 \h </w:instrText>
        </w:r>
        <w:r>
          <w:rPr>
            <w:noProof/>
            <w:webHidden/>
          </w:rPr>
        </w:r>
        <w:r>
          <w:rPr>
            <w:noProof/>
            <w:webHidden/>
          </w:rPr>
          <w:fldChar w:fldCharType="separate"/>
        </w:r>
        <w:r>
          <w:rPr>
            <w:noProof/>
            <w:webHidden/>
          </w:rPr>
          <w:t>37</w:t>
        </w:r>
        <w:r>
          <w:rPr>
            <w:noProof/>
            <w:webHidden/>
          </w:rPr>
          <w:fldChar w:fldCharType="end"/>
        </w:r>
      </w:hyperlink>
    </w:p>
    <w:p w14:paraId="41994151" w14:textId="708EF76A" w:rsidR="009425BE" w:rsidRDefault="009425BE">
      <w:pPr>
        <w:pStyle w:val="TOC2"/>
        <w:tabs>
          <w:tab w:val="right" w:leader="dot" w:pos="8486"/>
        </w:tabs>
        <w:rPr>
          <w:rFonts w:eastAsiaTheme="minorEastAsia" w:cstheme="minorBidi"/>
          <w:noProof/>
          <w:sz w:val="22"/>
          <w:szCs w:val="22"/>
          <w:lang w:bidi="ar-SA"/>
        </w:rPr>
      </w:pPr>
      <w:hyperlink w:anchor="_Toc39868165" w:history="1">
        <w:r w:rsidRPr="00894EDB">
          <w:rPr>
            <w:rStyle w:val="Hyperlink"/>
            <w:noProof/>
          </w:rPr>
          <w:t>3.1 Introduction</w:t>
        </w:r>
        <w:r>
          <w:rPr>
            <w:noProof/>
            <w:webHidden/>
          </w:rPr>
          <w:tab/>
        </w:r>
        <w:r>
          <w:rPr>
            <w:noProof/>
            <w:webHidden/>
          </w:rPr>
          <w:fldChar w:fldCharType="begin"/>
        </w:r>
        <w:r>
          <w:rPr>
            <w:noProof/>
            <w:webHidden/>
          </w:rPr>
          <w:instrText xml:space="preserve"> PAGEREF _Toc39868165 \h </w:instrText>
        </w:r>
        <w:r>
          <w:rPr>
            <w:noProof/>
            <w:webHidden/>
          </w:rPr>
        </w:r>
        <w:r>
          <w:rPr>
            <w:noProof/>
            <w:webHidden/>
          </w:rPr>
          <w:fldChar w:fldCharType="separate"/>
        </w:r>
        <w:r>
          <w:rPr>
            <w:noProof/>
            <w:webHidden/>
          </w:rPr>
          <w:t>38</w:t>
        </w:r>
        <w:r>
          <w:rPr>
            <w:noProof/>
            <w:webHidden/>
          </w:rPr>
          <w:fldChar w:fldCharType="end"/>
        </w:r>
      </w:hyperlink>
    </w:p>
    <w:p w14:paraId="2F6B9AF1" w14:textId="7674F787" w:rsidR="009425BE" w:rsidRDefault="009425BE">
      <w:pPr>
        <w:pStyle w:val="TOC3"/>
        <w:tabs>
          <w:tab w:val="right" w:leader="dot" w:pos="8486"/>
        </w:tabs>
        <w:rPr>
          <w:rFonts w:eastAsiaTheme="minorEastAsia" w:cstheme="minorBidi"/>
          <w:noProof/>
          <w:sz w:val="22"/>
          <w:szCs w:val="22"/>
          <w:lang w:bidi="ar-SA"/>
        </w:rPr>
      </w:pPr>
      <w:hyperlink w:anchor="_Toc39868166" w:history="1">
        <w:r w:rsidRPr="00894EDB">
          <w:rPr>
            <w:rStyle w:val="Hyperlink"/>
            <w:noProof/>
          </w:rPr>
          <w:t>3.1.1 Ovarian Cancer Background</w:t>
        </w:r>
        <w:r>
          <w:rPr>
            <w:noProof/>
            <w:webHidden/>
          </w:rPr>
          <w:tab/>
        </w:r>
        <w:r>
          <w:rPr>
            <w:noProof/>
            <w:webHidden/>
          </w:rPr>
          <w:fldChar w:fldCharType="begin"/>
        </w:r>
        <w:r>
          <w:rPr>
            <w:noProof/>
            <w:webHidden/>
          </w:rPr>
          <w:instrText xml:space="preserve"> PAGEREF _Toc39868166 \h </w:instrText>
        </w:r>
        <w:r>
          <w:rPr>
            <w:noProof/>
            <w:webHidden/>
          </w:rPr>
        </w:r>
        <w:r>
          <w:rPr>
            <w:noProof/>
            <w:webHidden/>
          </w:rPr>
          <w:fldChar w:fldCharType="separate"/>
        </w:r>
        <w:r>
          <w:rPr>
            <w:noProof/>
            <w:webHidden/>
          </w:rPr>
          <w:t>38</w:t>
        </w:r>
        <w:r>
          <w:rPr>
            <w:noProof/>
            <w:webHidden/>
          </w:rPr>
          <w:fldChar w:fldCharType="end"/>
        </w:r>
      </w:hyperlink>
    </w:p>
    <w:p w14:paraId="4E23D336" w14:textId="73A60962" w:rsidR="009425BE" w:rsidRDefault="009425BE">
      <w:pPr>
        <w:pStyle w:val="TOC3"/>
        <w:tabs>
          <w:tab w:val="right" w:leader="dot" w:pos="8486"/>
        </w:tabs>
        <w:rPr>
          <w:rFonts w:eastAsiaTheme="minorEastAsia" w:cstheme="minorBidi"/>
          <w:noProof/>
          <w:sz w:val="22"/>
          <w:szCs w:val="22"/>
          <w:lang w:bidi="ar-SA"/>
        </w:rPr>
      </w:pPr>
      <w:hyperlink w:anchor="_Toc39868167" w:history="1">
        <w:r w:rsidRPr="00894EDB">
          <w:rPr>
            <w:rStyle w:val="Hyperlink"/>
            <w:noProof/>
          </w:rPr>
          <w:t>3.1.2 ORP4 Biology</w:t>
        </w:r>
        <w:r>
          <w:rPr>
            <w:noProof/>
            <w:webHidden/>
          </w:rPr>
          <w:tab/>
        </w:r>
        <w:r>
          <w:rPr>
            <w:noProof/>
            <w:webHidden/>
          </w:rPr>
          <w:fldChar w:fldCharType="begin"/>
        </w:r>
        <w:r>
          <w:rPr>
            <w:noProof/>
            <w:webHidden/>
          </w:rPr>
          <w:instrText xml:space="preserve"> PAGEREF _Toc39868167 \h </w:instrText>
        </w:r>
        <w:r>
          <w:rPr>
            <w:noProof/>
            <w:webHidden/>
          </w:rPr>
        </w:r>
        <w:r>
          <w:rPr>
            <w:noProof/>
            <w:webHidden/>
          </w:rPr>
          <w:fldChar w:fldCharType="separate"/>
        </w:r>
        <w:r>
          <w:rPr>
            <w:noProof/>
            <w:webHidden/>
          </w:rPr>
          <w:t>39</w:t>
        </w:r>
        <w:r>
          <w:rPr>
            <w:noProof/>
            <w:webHidden/>
          </w:rPr>
          <w:fldChar w:fldCharType="end"/>
        </w:r>
      </w:hyperlink>
    </w:p>
    <w:p w14:paraId="4F6A9948" w14:textId="2E5881B9" w:rsidR="009425BE" w:rsidRDefault="009425BE">
      <w:pPr>
        <w:pStyle w:val="TOC2"/>
        <w:tabs>
          <w:tab w:val="right" w:leader="dot" w:pos="8486"/>
        </w:tabs>
        <w:rPr>
          <w:rFonts w:eastAsiaTheme="minorEastAsia" w:cstheme="minorBidi"/>
          <w:noProof/>
          <w:sz w:val="22"/>
          <w:szCs w:val="22"/>
          <w:lang w:bidi="ar-SA"/>
        </w:rPr>
      </w:pPr>
      <w:hyperlink w:anchor="_Toc39868168" w:history="1">
        <w:r w:rsidRPr="00894EDB">
          <w:rPr>
            <w:rStyle w:val="Hyperlink"/>
            <w:noProof/>
          </w:rPr>
          <w:t>3.2 Methods</w:t>
        </w:r>
        <w:r>
          <w:rPr>
            <w:noProof/>
            <w:webHidden/>
          </w:rPr>
          <w:tab/>
        </w:r>
        <w:r>
          <w:rPr>
            <w:noProof/>
            <w:webHidden/>
          </w:rPr>
          <w:fldChar w:fldCharType="begin"/>
        </w:r>
        <w:r>
          <w:rPr>
            <w:noProof/>
            <w:webHidden/>
          </w:rPr>
          <w:instrText xml:space="preserve"> PAGEREF _Toc39868168 \h </w:instrText>
        </w:r>
        <w:r>
          <w:rPr>
            <w:noProof/>
            <w:webHidden/>
          </w:rPr>
        </w:r>
        <w:r>
          <w:rPr>
            <w:noProof/>
            <w:webHidden/>
          </w:rPr>
          <w:fldChar w:fldCharType="separate"/>
        </w:r>
        <w:r>
          <w:rPr>
            <w:noProof/>
            <w:webHidden/>
          </w:rPr>
          <w:t>41</w:t>
        </w:r>
        <w:r>
          <w:rPr>
            <w:noProof/>
            <w:webHidden/>
          </w:rPr>
          <w:fldChar w:fldCharType="end"/>
        </w:r>
      </w:hyperlink>
    </w:p>
    <w:p w14:paraId="478730C1" w14:textId="20D8537D" w:rsidR="009425BE" w:rsidRDefault="009425BE">
      <w:pPr>
        <w:pStyle w:val="TOC3"/>
        <w:tabs>
          <w:tab w:val="right" w:leader="dot" w:pos="8486"/>
        </w:tabs>
        <w:rPr>
          <w:rFonts w:eastAsiaTheme="minorEastAsia" w:cstheme="minorBidi"/>
          <w:noProof/>
          <w:sz w:val="22"/>
          <w:szCs w:val="22"/>
          <w:lang w:bidi="ar-SA"/>
        </w:rPr>
      </w:pPr>
      <w:hyperlink w:anchor="_Toc39868169" w:history="1">
        <w:r w:rsidRPr="00894EDB">
          <w:rPr>
            <w:rStyle w:val="Hyperlink"/>
            <w:noProof/>
          </w:rPr>
          <w:t>3.2.1 Cell Culture</w:t>
        </w:r>
        <w:r>
          <w:rPr>
            <w:noProof/>
            <w:webHidden/>
          </w:rPr>
          <w:tab/>
        </w:r>
        <w:r>
          <w:rPr>
            <w:noProof/>
            <w:webHidden/>
          </w:rPr>
          <w:fldChar w:fldCharType="begin"/>
        </w:r>
        <w:r>
          <w:rPr>
            <w:noProof/>
            <w:webHidden/>
          </w:rPr>
          <w:instrText xml:space="preserve"> PAGEREF _Toc39868169 \h </w:instrText>
        </w:r>
        <w:r>
          <w:rPr>
            <w:noProof/>
            <w:webHidden/>
          </w:rPr>
        </w:r>
        <w:r>
          <w:rPr>
            <w:noProof/>
            <w:webHidden/>
          </w:rPr>
          <w:fldChar w:fldCharType="separate"/>
        </w:r>
        <w:r>
          <w:rPr>
            <w:noProof/>
            <w:webHidden/>
          </w:rPr>
          <w:t>41</w:t>
        </w:r>
        <w:r>
          <w:rPr>
            <w:noProof/>
            <w:webHidden/>
          </w:rPr>
          <w:fldChar w:fldCharType="end"/>
        </w:r>
      </w:hyperlink>
    </w:p>
    <w:p w14:paraId="28662E89" w14:textId="375A6537" w:rsidR="009425BE" w:rsidRDefault="009425BE">
      <w:pPr>
        <w:pStyle w:val="TOC3"/>
        <w:tabs>
          <w:tab w:val="right" w:leader="dot" w:pos="8486"/>
        </w:tabs>
        <w:rPr>
          <w:rFonts w:eastAsiaTheme="minorEastAsia" w:cstheme="minorBidi"/>
          <w:noProof/>
          <w:sz w:val="22"/>
          <w:szCs w:val="22"/>
          <w:lang w:bidi="ar-SA"/>
        </w:rPr>
      </w:pPr>
      <w:hyperlink w:anchor="_Toc39868170" w:history="1">
        <w:r w:rsidRPr="00894EDB">
          <w:rPr>
            <w:rStyle w:val="Hyperlink"/>
            <w:noProof/>
          </w:rPr>
          <w:t>3.2.2 2D Viability Assay</w:t>
        </w:r>
        <w:r>
          <w:rPr>
            <w:noProof/>
            <w:webHidden/>
          </w:rPr>
          <w:tab/>
        </w:r>
        <w:r>
          <w:rPr>
            <w:noProof/>
            <w:webHidden/>
          </w:rPr>
          <w:fldChar w:fldCharType="begin"/>
        </w:r>
        <w:r>
          <w:rPr>
            <w:noProof/>
            <w:webHidden/>
          </w:rPr>
          <w:instrText xml:space="preserve"> PAGEREF _Toc39868170 \h </w:instrText>
        </w:r>
        <w:r>
          <w:rPr>
            <w:noProof/>
            <w:webHidden/>
          </w:rPr>
        </w:r>
        <w:r>
          <w:rPr>
            <w:noProof/>
            <w:webHidden/>
          </w:rPr>
          <w:fldChar w:fldCharType="separate"/>
        </w:r>
        <w:r>
          <w:rPr>
            <w:noProof/>
            <w:webHidden/>
          </w:rPr>
          <w:t>41</w:t>
        </w:r>
        <w:r>
          <w:rPr>
            <w:noProof/>
            <w:webHidden/>
          </w:rPr>
          <w:fldChar w:fldCharType="end"/>
        </w:r>
      </w:hyperlink>
    </w:p>
    <w:p w14:paraId="7314101D" w14:textId="52948F0A" w:rsidR="009425BE" w:rsidRDefault="009425BE">
      <w:pPr>
        <w:pStyle w:val="TOC3"/>
        <w:tabs>
          <w:tab w:val="right" w:leader="dot" w:pos="8486"/>
        </w:tabs>
        <w:rPr>
          <w:rFonts w:eastAsiaTheme="minorEastAsia" w:cstheme="minorBidi"/>
          <w:noProof/>
          <w:sz w:val="22"/>
          <w:szCs w:val="22"/>
          <w:lang w:bidi="ar-SA"/>
        </w:rPr>
      </w:pPr>
      <w:hyperlink w:anchor="_Toc39868171" w:history="1">
        <w:r w:rsidRPr="00894EDB">
          <w:rPr>
            <w:rStyle w:val="Hyperlink"/>
            <w:noProof/>
          </w:rPr>
          <w:t>3.2.3 Spheroid Development</w:t>
        </w:r>
        <w:r>
          <w:rPr>
            <w:noProof/>
            <w:webHidden/>
          </w:rPr>
          <w:tab/>
        </w:r>
        <w:r>
          <w:rPr>
            <w:noProof/>
            <w:webHidden/>
          </w:rPr>
          <w:fldChar w:fldCharType="begin"/>
        </w:r>
        <w:r>
          <w:rPr>
            <w:noProof/>
            <w:webHidden/>
          </w:rPr>
          <w:instrText xml:space="preserve"> PAGEREF _Toc39868171 \h </w:instrText>
        </w:r>
        <w:r>
          <w:rPr>
            <w:noProof/>
            <w:webHidden/>
          </w:rPr>
        </w:r>
        <w:r>
          <w:rPr>
            <w:noProof/>
            <w:webHidden/>
          </w:rPr>
          <w:fldChar w:fldCharType="separate"/>
        </w:r>
        <w:r>
          <w:rPr>
            <w:noProof/>
            <w:webHidden/>
          </w:rPr>
          <w:t>41</w:t>
        </w:r>
        <w:r>
          <w:rPr>
            <w:noProof/>
            <w:webHidden/>
          </w:rPr>
          <w:fldChar w:fldCharType="end"/>
        </w:r>
      </w:hyperlink>
    </w:p>
    <w:p w14:paraId="63BB1A46" w14:textId="5D5595DA" w:rsidR="009425BE" w:rsidRDefault="009425BE">
      <w:pPr>
        <w:pStyle w:val="TOC3"/>
        <w:tabs>
          <w:tab w:val="right" w:leader="dot" w:pos="8486"/>
        </w:tabs>
        <w:rPr>
          <w:rFonts w:eastAsiaTheme="minorEastAsia" w:cstheme="minorBidi"/>
          <w:noProof/>
          <w:sz w:val="22"/>
          <w:szCs w:val="22"/>
          <w:lang w:bidi="ar-SA"/>
        </w:rPr>
      </w:pPr>
      <w:hyperlink w:anchor="_Toc39868172" w:history="1">
        <w:r w:rsidRPr="00894EDB">
          <w:rPr>
            <w:rStyle w:val="Hyperlink"/>
            <w:noProof/>
          </w:rPr>
          <w:t>3.2.4 3D Viability Assay</w:t>
        </w:r>
        <w:r>
          <w:rPr>
            <w:noProof/>
            <w:webHidden/>
          </w:rPr>
          <w:tab/>
        </w:r>
        <w:r>
          <w:rPr>
            <w:noProof/>
            <w:webHidden/>
          </w:rPr>
          <w:fldChar w:fldCharType="begin"/>
        </w:r>
        <w:r>
          <w:rPr>
            <w:noProof/>
            <w:webHidden/>
          </w:rPr>
          <w:instrText xml:space="preserve"> PAGEREF _Toc39868172 \h </w:instrText>
        </w:r>
        <w:r>
          <w:rPr>
            <w:noProof/>
            <w:webHidden/>
          </w:rPr>
        </w:r>
        <w:r>
          <w:rPr>
            <w:noProof/>
            <w:webHidden/>
          </w:rPr>
          <w:fldChar w:fldCharType="separate"/>
        </w:r>
        <w:r>
          <w:rPr>
            <w:noProof/>
            <w:webHidden/>
          </w:rPr>
          <w:t>42</w:t>
        </w:r>
        <w:r>
          <w:rPr>
            <w:noProof/>
            <w:webHidden/>
          </w:rPr>
          <w:fldChar w:fldCharType="end"/>
        </w:r>
      </w:hyperlink>
    </w:p>
    <w:p w14:paraId="1BEBE572" w14:textId="73E98480" w:rsidR="009425BE" w:rsidRDefault="009425BE">
      <w:pPr>
        <w:pStyle w:val="TOC3"/>
        <w:tabs>
          <w:tab w:val="right" w:leader="dot" w:pos="8486"/>
        </w:tabs>
        <w:rPr>
          <w:rFonts w:eastAsiaTheme="minorEastAsia" w:cstheme="minorBidi"/>
          <w:noProof/>
          <w:sz w:val="22"/>
          <w:szCs w:val="22"/>
          <w:lang w:bidi="ar-SA"/>
        </w:rPr>
      </w:pPr>
      <w:hyperlink w:anchor="_Toc39868173" w:history="1">
        <w:r w:rsidRPr="00894EDB">
          <w:rPr>
            <w:rStyle w:val="Hyperlink"/>
            <w:noProof/>
          </w:rPr>
          <w:t>3.2.5 Cell Lysis</w:t>
        </w:r>
        <w:r>
          <w:rPr>
            <w:noProof/>
            <w:webHidden/>
          </w:rPr>
          <w:tab/>
        </w:r>
        <w:r>
          <w:rPr>
            <w:noProof/>
            <w:webHidden/>
          </w:rPr>
          <w:fldChar w:fldCharType="begin"/>
        </w:r>
        <w:r>
          <w:rPr>
            <w:noProof/>
            <w:webHidden/>
          </w:rPr>
          <w:instrText xml:space="preserve"> PAGEREF _Toc39868173 \h </w:instrText>
        </w:r>
        <w:r>
          <w:rPr>
            <w:noProof/>
            <w:webHidden/>
          </w:rPr>
        </w:r>
        <w:r>
          <w:rPr>
            <w:noProof/>
            <w:webHidden/>
          </w:rPr>
          <w:fldChar w:fldCharType="separate"/>
        </w:r>
        <w:r>
          <w:rPr>
            <w:noProof/>
            <w:webHidden/>
          </w:rPr>
          <w:t>43</w:t>
        </w:r>
        <w:r>
          <w:rPr>
            <w:noProof/>
            <w:webHidden/>
          </w:rPr>
          <w:fldChar w:fldCharType="end"/>
        </w:r>
      </w:hyperlink>
    </w:p>
    <w:p w14:paraId="43CDFD1D" w14:textId="1C85F131" w:rsidR="009425BE" w:rsidRDefault="009425BE">
      <w:pPr>
        <w:pStyle w:val="TOC3"/>
        <w:tabs>
          <w:tab w:val="right" w:leader="dot" w:pos="8486"/>
        </w:tabs>
        <w:rPr>
          <w:rFonts w:eastAsiaTheme="minorEastAsia" w:cstheme="minorBidi"/>
          <w:noProof/>
          <w:sz w:val="22"/>
          <w:szCs w:val="22"/>
          <w:lang w:bidi="ar-SA"/>
        </w:rPr>
      </w:pPr>
      <w:hyperlink w:anchor="_Toc39868174" w:history="1">
        <w:r w:rsidRPr="00894EDB">
          <w:rPr>
            <w:rStyle w:val="Hyperlink"/>
            <w:noProof/>
          </w:rPr>
          <w:t>3.2.6 Immunoblotting</w:t>
        </w:r>
        <w:r>
          <w:rPr>
            <w:noProof/>
            <w:webHidden/>
          </w:rPr>
          <w:tab/>
        </w:r>
        <w:r>
          <w:rPr>
            <w:noProof/>
            <w:webHidden/>
          </w:rPr>
          <w:fldChar w:fldCharType="begin"/>
        </w:r>
        <w:r>
          <w:rPr>
            <w:noProof/>
            <w:webHidden/>
          </w:rPr>
          <w:instrText xml:space="preserve"> PAGEREF _Toc39868174 \h </w:instrText>
        </w:r>
        <w:r>
          <w:rPr>
            <w:noProof/>
            <w:webHidden/>
          </w:rPr>
        </w:r>
        <w:r>
          <w:rPr>
            <w:noProof/>
            <w:webHidden/>
          </w:rPr>
          <w:fldChar w:fldCharType="separate"/>
        </w:r>
        <w:r>
          <w:rPr>
            <w:noProof/>
            <w:webHidden/>
          </w:rPr>
          <w:t>43</w:t>
        </w:r>
        <w:r>
          <w:rPr>
            <w:noProof/>
            <w:webHidden/>
          </w:rPr>
          <w:fldChar w:fldCharType="end"/>
        </w:r>
      </w:hyperlink>
    </w:p>
    <w:p w14:paraId="50740BF0" w14:textId="3BF0FE4C" w:rsidR="009425BE" w:rsidRDefault="009425BE">
      <w:pPr>
        <w:pStyle w:val="TOC3"/>
        <w:tabs>
          <w:tab w:val="right" w:leader="dot" w:pos="8486"/>
        </w:tabs>
        <w:rPr>
          <w:rFonts w:eastAsiaTheme="minorEastAsia" w:cstheme="minorBidi"/>
          <w:noProof/>
          <w:sz w:val="22"/>
          <w:szCs w:val="22"/>
          <w:lang w:bidi="ar-SA"/>
        </w:rPr>
      </w:pPr>
      <w:hyperlink w:anchor="_Toc39868175" w:history="1">
        <w:r w:rsidRPr="00894EDB">
          <w:rPr>
            <w:rStyle w:val="Hyperlink"/>
            <w:noProof/>
          </w:rPr>
          <w:t>3.2.7 Trypan Blue Viability</w:t>
        </w:r>
        <w:r>
          <w:rPr>
            <w:noProof/>
            <w:webHidden/>
          </w:rPr>
          <w:tab/>
        </w:r>
        <w:r>
          <w:rPr>
            <w:noProof/>
            <w:webHidden/>
          </w:rPr>
          <w:fldChar w:fldCharType="begin"/>
        </w:r>
        <w:r>
          <w:rPr>
            <w:noProof/>
            <w:webHidden/>
          </w:rPr>
          <w:instrText xml:space="preserve"> PAGEREF _Toc39868175 \h </w:instrText>
        </w:r>
        <w:r>
          <w:rPr>
            <w:noProof/>
            <w:webHidden/>
          </w:rPr>
        </w:r>
        <w:r>
          <w:rPr>
            <w:noProof/>
            <w:webHidden/>
          </w:rPr>
          <w:fldChar w:fldCharType="separate"/>
        </w:r>
        <w:r>
          <w:rPr>
            <w:noProof/>
            <w:webHidden/>
          </w:rPr>
          <w:t>44</w:t>
        </w:r>
        <w:r>
          <w:rPr>
            <w:noProof/>
            <w:webHidden/>
          </w:rPr>
          <w:fldChar w:fldCharType="end"/>
        </w:r>
      </w:hyperlink>
    </w:p>
    <w:p w14:paraId="0EFADE31" w14:textId="3BDAC4AC" w:rsidR="009425BE" w:rsidRDefault="009425BE">
      <w:pPr>
        <w:pStyle w:val="TOC3"/>
        <w:tabs>
          <w:tab w:val="right" w:leader="dot" w:pos="8486"/>
        </w:tabs>
        <w:rPr>
          <w:rFonts w:eastAsiaTheme="minorEastAsia" w:cstheme="minorBidi"/>
          <w:noProof/>
          <w:sz w:val="22"/>
          <w:szCs w:val="22"/>
          <w:lang w:bidi="ar-SA"/>
        </w:rPr>
      </w:pPr>
      <w:hyperlink w:anchor="_Toc39868176" w:history="1">
        <w:r w:rsidRPr="00894EDB">
          <w:rPr>
            <w:rStyle w:val="Hyperlink"/>
            <w:noProof/>
          </w:rPr>
          <w:t>3.2.8 Delipidated FBS Media</w:t>
        </w:r>
        <w:r>
          <w:rPr>
            <w:noProof/>
            <w:webHidden/>
          </w:rPr>
          <w:tab/>
        </w:r>
        <w:r>
          <w:rPr>
            <w:noProof/>
            <w:webHidden/>
          </w:rPr>
          <w:fldChar w:fldCharType="begin"/>
        </w:r>
        <w:r>
          <w:rPr>
            <w:noProof/>
            <w:webHidden/>
          </w:rPr>
          <w:instrText xml:space="preserve"> PAGEREF _Toc39868176 \h </w:instrText>
        </w:r>
        <w:r>
          <w:rPr>
            <w:noProof/>
            <w:webHidden/>
          </w:rPr>
        </w:r>
        <w:r>
          <w:rPr>
            <w:noProof/>
            <w:webHidden/>
          </w:rPr>
          <w:fldChar w:fldCharType="separate"/>
        </w:r>
        <w:r>
          <w:rPr>
            <w:noProof/>
            <w:webHidden/>
          </w:rPr>
          <w:t>44</w:t>
        </w:r>
        <w:r>
          <w:rPr>
            <w:noProof/>
            <w:webHidden/>
          </w:rPr>
          <w:fldChar w:fldCharType="end"/>
        </w:r>
      </w:hyperlink>
    </w:p>
    <w:p w14:paraId="492AB5C6" w14:textId="1AB8EB55" w:rsidR="009425BE" w:rsidRDefault="009425BE">
      <w:pPr>
        <w:pStyle w:val="TOC3"/>
        <w:tabs>
          <w:tab w:val="right" w:leader="dot" w:pos="8486"/>
        </w:tabs>
        <w:rPr>
          <w:rFonts w:eastAsiaTheme="minorEastAsia" w:cstheme="minorBidi"/>
          <w:noProof/>
          <w:sz w:val="22"/>
          <w:szCs w:val="22"/>
          <w:lang w:bidi="ar-SA"/>
        </w:rPr>
      </w:pPr>
      <w:hyperlink w:anchor="_Toc39868177" w:history="1">
        <w:r w:rsidRPr="00894EDB">
          <w:rPr>
            <w:rStyle w:val="Hyperlink"/>
            <w:noProof/>
          </w:rPr>
          <w:t>3.2.9 Statistical Analysis</w:t>
        </w:r>
        <w:r>
          <w:rPr>
            <w:noProof/>
            <w:webHidden/>
          </w:rPr>
          <w:tab/>
        </w:r>
        <w:r>
          <w:rPr>
            <w:noProof/>
            <w:webHidden/>
          </w:rPr>
          <w:fldChar w:fldCharType="begin"/>
        </w:r>
        <w:r>
          <w:rPr>
            <w:noProof/>
            <w:webHidden/>
          </w:rPr>
          <w:instrText xml:space="preserve"> PAGEREF _Toc39868177 \h </w:instrText>
        </w:r>
        <w:r>
          <w:rPr>
            <w:noProof/>
            <w:webHidden/>
          </w:rPr>
        </w:r>
        <w:r>
          <w:rPr>
            <w:noProof/>
            <w:webHidden/>
          </w:rPr>
          <w:fldChar w:fldCharType="separate"/>
        </w:r>
        <w:r>
          <w:rPr>
            <w:noProof/>
            <w:webHidden/>
          </w:rPr>
          <w:t>44</w:t>
        </w:r>
        <w:r>
          <w:rPr>
            <w:noProof/>
            <w:webHidden/>
          </w:rPr>
          <w:fldChar w:fldCharType="end"/>
        </w:r>
      </w:hyperlink>
    </w:p>
    <w:p w14:paraId="068C3AB6" w14:textId="0BD8095C" w:rsidR="009425BE" w:rsidRDefault="009425BE">
      <w:pPr>
        <w:pStyle w:val="TOC2"/>
        <w:tabs>
          <w:tab w:val="right" w:leader="dot" w:pos="8486"/>
        </w:tabs>
        <w:rPr>
          <w:rFonts w:eastAsiaTheme="minorEastAsia" w:cstheme="minorBidi"/>
          <w:noProof/>
          <w:sz w:val="22"/>
          <w:szCs w:val="22"/>
          <w:lang w:bidi="ar-SA"/>
        </w:rPr>
      </w:pPr>
      <w:hyperlink w:anchor="_Toc39868178" w:history="1">
        <w:r w:rsidRPr="00894EDB">
          <w:rPr>
            <w:rStyle w:val="Hyperlink"/>
            <w:noProof/>
          </w:rPr>
          <w:t>3.3 Results</w:t>
        </w:r>
        <w:r>
          <w:rPr>
            <w:noProof/>
            <w:webHidden/>
          </w:rPr>
          <w:tab/>
        </w:r>
        <w:r>
          <w:rPr>
            <w:noProof/>
            <w:webHidden/>
          </w:rPr>
          <w:fldChar w:fldCharType="begin"/>
        </w:r>
        <w:r>
          <w:rPr>
            <w:noProof/>
            <w:webHidden/>
          </w:rPr>
          <w:instrText xml:space="preserve"> PAGEREF _Toc39868178 \h </w:instrText>
        </w:r>
        <w:r>
          <w:rPr>
            <w:noProof/>
            <w:webHidden/>
          </w:rPr>
        </w:r>
        <w:r>
          <w:rPr>
            <w:noProof/>
            <w:webHidden/>
          </w:rPr>
          <w:fldChar w:fldCharType="separate"/>
        </w:r>
        <w:r>
          <w:rPr>
            <w:noProof/>
            <w:webHidden/>
          </w:rPr>
          <w:t>45</w:t>
        </w:r>
        <w:r>
          <w:rPr>
            <w:noProof/>
            <w:webHidden/>
          </w:rPr>
          <w:fldChar w:fldCharType="end"/>
        </w:r>
      </w:hyperlink>
    </w:p>
    <w:p w14:paraId="4CB4FA0F" w14:textId="6C22474F" w:rsidR="009425BE" w:rsidRDefault="009425BE">
      <w:pPr>
        <w:pStyle w:val="TOC3"/>
        <w:tabs>
          <w:tab w:val="right" w:leader="dot" w:pos="8486"/>
        </w:tabs>
        <w:rPr>
          <w:rFonts w:eastAsiaTheme="minorEastAsia" w:cstheme="minorBidi"/>
          <w:noProof/>
          <w:sz w:val="22"/>
          <w:szCs w:val="22"/>
          <w:lang w:bidi="ar-SA"/>
        </w:rPr>
      </w:pPr>
      <w:hyperlink w:anchor="_Toc39868179" w:history="1">
        <w:r w:rsidRPr="00894EDB">
          <w:rPr>
            <w:rStyle w:val="Hyperlink"/>
            <w:noProof/>
          </w:rPr>
          <w:t>3.3.1 ORP4 is ubiquitously expressed in ovarian cancerous cells in vitro.</w:t>
        </w:r>
        <w:r>
          <w:rPr>
            <w:noProof/>
            <w:webHidden/>
          </w:rPr>
          <w:tab/>
        </w:r>
        <w:r>
          <w:rPr>
            <w:noProof/>
            <w:webHidden/>
          </w:rPr>
          <w:fldChar w:fldCharType="begin"/>
        </w:r>
        <w:r>
          <w:rPr>
            <w:noProof/>
            <w:webHidden/>
          </w:rPr>
          <w:instrText xml:space="preserve"> PAGEREF _Toc39868179 \h </w:instrText>
        </w:r>
        <w:r>
          <w:rPr>
            <w:noProof/>
            <w:webHidden/>
          </w:rPr>
        </w:r>
        <w:r>
          <w:rPr>
            <w:noProof/>
            <w:webHidden/>
          </w:rPr>
          <w:fldChar w:fldCharType="separate"/>
        </w:r>
        <w:r>
          <w:rPr>
            <w:noProof/>
            <w:webHidden/>
          </w:rPr>
          <w:t>45</w:t>
        </w:r>
        <w:r>
          <w:rPr>
            <w:noProof/>
            <w:webHidden/>
          </w:rPr>
          <w:fldChar w:fldCharType="end"/>
        </w:r>
      </w:hyperlink>
    </w:p>
    <w:p w14:paraId="55E9F627" w14:textId="7D3921FC" w:rsidR="009425BE" w:rsidRDefault="009425BE">
      <w:pPr>
        <w:pStyle w:val="TOC3"/>
        <w:tabs>
          <w:tab w:val="right" w:leader="dot" w:pos="8486"/>
        </w:tabs>
        <w:rPr>
          <w:rFonts w:eastAsiaTheme="minorEastAsia" w:cstheme="minorBidi"/>
          <w:noProof/>
          <w:sz w:val="22"/>
          <w:szCs w:val="22"/>
          <w:lang w:bidi="ar-SA"/>
        </w:rPr>
      </w:pPr>
      <w:hyperlink w:anchor="_Toc39868180" w:history="1">
        <w:r w:rsidRPr="00894EDB">
          <w:rPr>
            <w:rStyle w:val="Hyperlink"/>
            <w:noProof/>
          </w:rPr>
          <w:t>3.3.2 OSW-1 is a potent inhibitor of cancer cell proliferation.</w:t>
        </w:r>
        <w:r>
          <w:rPr>
            <w:noProof/>
            <w:webHidden/>
          </w:rPr>
          <w:tab/>
        </w:r>
        <w:r>
          <w:rPr>
            <w:noProof/>
            <w:webHidden/>
          </w:rPr>
          <w:fldChar w:fldCharType="begin"/>
        </w:r>
        <w:r>
          <w:rPr>
            <w:noProof/>
            <w:webHidden/>
          </w:rPr>
          <w:instrText xml:space="preserve"> PAGEREF _Toc39868180 \h </w:instrText>
        </w:r>
        <w:r>
          <w:rPr>
            <w:noProof/>
            <w:webHidden/>
          </w:rPr>
        </w:r>
        <w:r>
          <w:rPr>
            <w:noProof/>
            <w:webHidden/>
          </w:rPr>
          <w:fldChar w:fldCharType="separate"/>
        </w:r>
        <w:r>
          <w:rPr>
            <w:noProof/>
            <w:webHidden/>
          </w:rPr>
          <w:t>45</w:t>
        </w:r>
        <w:r>
          <w:rPr>
            <w:noProof/>
            <w:webHidden/>
          </w:rPr>
          <w:fldChar w:fldCharType="end"/>
        </w:r>
      </w:hyperlink>
    </w:p>
    <w:p w14:paraId="0B9514CE" w14:textId="6A814B49" w:rsidR="009425BE" w:rsidRDefault="009425BE">
      <w:pPr>
        <w:pStyle w:val="TOC3"/>
        <w:tabs>
          <w:tab w:val="right" w:leader="dot" w:pos="8486"/>
        </w:tabs>
        <w:rPr>
          <w:rFonts w:eastAsiaTheme="minorEastAsia" w:cstheme="minorBidi"/>
          <w:noProof/>
          <w:sz w:val="22"/>
          <w:szCs w:val="22"/>
          <w:lang w:bidi="ar-SA"/>
        </w:rPr>
      </w:pPr>
      <w:hyperlink w:anchor="_Toc39868181" w:history="1">
        <w:r w:rsidRPr="00894EDB">
          <w:rPr>
            <w:rStyle w:val="Hyperlink"/>
            <w:noProof/>
          </w:rPr>
          <w:t>3.3.3 Ovarian cancer cells produce in vitro spheroids.</w:t>
        </w:r>
        <w:r>
          <w:rPr>
            <w:noProof/>
            <w:webHidden/>
          </w:rPr>
          <w:tab/>
        </w:r>
        <w:r>
          <w:rPr>
            <w:noProof/>
            <w:webHidden/>
          </w:rPr>
          <w:fldChar w:fldCharType="begin"/>
        </w:r>
        <w:r>
          <w:rPr>
            <w:noProof/>
            <w:webHidden/>
          </w:rPr>
          <w:instrText xml:space="preserve"> PAGEREF _Toc39868181 \h </w:instrText>
        </w:r>
        <w:r>
          <w:rPr>
            <w:noProof/>
            <w:webHidden/>
          </w:rPr>
        </w:r>
        <w:r>
          <w:rPr>
            <w:noProof/>
            <w:webHidden/>
          </w:rPr>
          <w:fldChar w:fldCharType="separate"/>
        </w:r>
        <w:r>
          <w:rPr>
            <w:noProof/>
            <w:webHidden/>
          </w:rPr>
          <w:t>48</w:t>
        </w:r>
        <w:r>
          <w:rPr>
            <w:noProof/>
            <w:webHidden/>
          </w:rPr>
          <w:fldChar w:fldCharType="end"/>
        </w:r>
      </w:hyperlink>
    </w:p>
    <w:p w14:paraId="714BE61E" w14:textId="6B26EC9F" w:rsidR="009425BE" w:rsidRDefault="009425BE">
      <w:pPr>
        <w:pStyle w:val="TOC3"/>
        <w:tabs>
          <w:tab w:val="right" w:leader="dot" w:pos="8486"/>
        </w:tabs>
        <w:rPr>
          <w:rFonts w:eastAsiaTheme="minorEastAsia" w:cstheme="minorBidi"/>
          <w:noProof/>
          <w:sz w:val="22"/>
          <w:szCs w:val="22"/>
          <w:lang w:bidi="ar-SA"/>
        </w:rPr>
      </w:pPr>
      <w:hyperlink w:anchor="_Toc39868182" w:history="1">
        <w:r w:rsidRPr="00894EDB">
          <w:rPr>
            <w:rStyle w:val="Hyperlink"/>
            <w:noProof/>
          </w:rPr>
          <w:t>3.3.4 OSW-1 is a potent cytotoxic agent to ovarian spheroids in vitro</w:t>
        </w:r>
        <w:r>
          <w:rPr>
            <w:noProof/>
            <w:webHidden/>
          </w:rPr>
          <w:tab/>
        </w:r>
        <w:r>
          <w:rPr>
            <w:noProof/>
            <w:webHidden/>
          </w:rPr>
          <w:fldChar w:fldCharType="begin"/>
        </w:r>
        <w:r>
          <w:rPr>
            <w:noProof/>
            <w:webHidden/>
          </w:rPr>
          <w:instrText xml:space="preserve"> PAGEREF _Toc39868182 \h </w:instrText>
        </w:r>
        <w:r>
          <w:rPr>
            <w:noProof/>
            <w:webHidden/>
          </w:rPr>
        </w:r>
        <w:r>
          <w:rPr>
            <w:noProof/>
            <w:webHidden/>
          </w:rPr>
          <w:fldChar w:fldCharType="separate"/>
        </w:r>
        <w:r>
          <w:rPr>
            <w:noProof/>
            <w:webHidden/>
          </w:rPr>
          <w:t>50</w:t>
        </w:r>
        <w:r>
          <w:rPr>
            <w:noProof/>
            <w:webHidden/>
          </w:rPr>
          <w:fldChar w:fldCharType="end"/>
        </w:r>
      </w:hyperlink>
    </w:p>
    <w:p w14:paraId="07C81173" w14:textId="6C21B52C" w:rsidR="009425BE" w:rsidRDefault="009425BE">
      <w:pPr>
        <w:pStyle w:val="TOC3"/>
        <w:tabs>
          <w:tab w:val="right" w:leader="dot" w:pos="8486"/>
        </w:tabs>
        <w:rPr>
          <w:rFonts w:eastAsiaTheme="minorEastAsia" w:cstheme="minorBidi"/>
          <w:noProof/>
          <w:sz w:val="22"/>
          <w:szCs w:val="22"/>
          <w:lang w:bidi="ar-SA"/>
        </w:rPr>
      </w:pPr>
      <w:hyperlink w:anchor="_Toc39868183" w:history="1">
        <w:r w:rsidRPr="00894EDB">
          <w:rPr>
            <w:rStyle w:val="Hyperlink"/>
            <w:noProof/>
          </w:rPr>
          <w:t>3.3.5 OSW-1 toxicity is independent of OSBP degradation and correlates with ORP4L levels.</w:t>
        </w:r>
        <w:r>
          <w:rPr>
            <w:noProof/>
            <w:webHidden/>
          </w:rPr>
          <w:tab/>
        </w:r>
        <w:r>
          <w:rPr>
            <w:noProof/>
            <w:webHidden/>
          </w:rPr>
          <w:fldChar w:fldCharType="begin"/>
        </w:r>
        <w:r>
          <w:rPr>
            <w:noProof/>
            <w:webHidden/>
          </w:rPr>
          <w:instrText xml:space="preserve"> PAGEREF _Toc39868183 \h </w:instrText>
        </w:r>
        <w:r>
          <w:rPr>
            <w:noProof/>
            <w:webHidden/>
          </w:rPr>
        </w:r>
        <w:r>
          <w:rPr>
            <w:noProof/>
            <w:webHidden/>
          </w:rPr>
          <w:fldChar w:fldCharType="separate"/>
        </w:r>
        <w:r>
          <w:rPr>
            <w:noProof/>
            <w:webHidden/>
          </w:rPr>
          <w:t>53</w:t>
        </w:r>
        <w:r>
          <w:rPr>
            <w:noProof/>
            <w:webHidden/>
          </w:rPr>
          <w:fldChar w:fldCharType="end"/>
        </w:r>
      </w:hyperlink>
    </w:p>
    <w:p w14:paraId="215228B2" w14:textId="344984C6" w:rsidR="009425BE" w:rsidRDefault="009425BE">
      <w:pPr>
        <w:pStyle w:val="TOC3"/>
        <w:tabs>
          <w:tab w:val="right" w:leader="dot" w:pos="8486"/>
        </w:tabs>
        <w:rPr>
          <w:rFonts w:eastAsiaTheme="minorEastAsia" w:cstheme="minorBidi"/>
          <w:noProof/>
          <w:sz w:val="22"/>
          <w:szCs w:val="22"/>
          <w:lang w:bidi="ar-SA"/>
        </w:rPr>
      </w:pPr>
      <w:hyperlink w:anchor="_Toc39868184" w:history="1">
        <w:r w:rsidRPr="00894EDB">
          <w:rPr>
            <w:rStyle w:val="Hyperlink"/>
            <w:noProof/>
          </w:rPr>
          <w:t>3.3.6 OSW-1 toxicity is regulated based on extracellular lipids.</w:t>
        </w:r>
        <w:r>
          <w:rPr>
            <w:noProof/>
            <w:webHidden/>
          </w:rPr>
          <w:tab/>
        </w:r>
        <w:r>
          <w:rPr>
            <w:noProof/>
            <w:webHidden/>
          </w:rPr>
          <w:fldChar w:fldCharType="begin"/>
        </w:r>
        <w:r>
          <w:rPr>
            <w:noProof/>
            <w:webHidden/>
          </w:rPr>
          <w:instrText xml:space="preserve"> PAGEREF _Toc39868184 \h </w:instrText>
        </w:r>
        <w:r>
          <w:rPr>
            <w:noProof/>
            <w:webHidden/>
          </w:rPr>
        </w:r>
        <w:r>
          <w:rPr>
            <w:noProof/>
            <w:webHidden/>
          </w:rPr>
          <w:fldChar w:fldCharType="separate"/>
        </w:r>
        <w:r>
          <w:rPr>
            <w:noProof/>
            <w:webHidden/>
          </w:rPr>
          <w:t>54</w:t>
        </w:r>
        <w:r>
          <w:rPr>
            <w:noProof/>
            <w:webHidden/>
          </w:rPr>
          <w:fldChar w:fldCharType="end"/>
        </w:r>
      </w:hyperlink>
    </w:p>
    <w:p w14:paraId="67EFE5D1" w14:textId="539489DC" w:rsidR="009425BE" w:rsidRDefault="009425BE">
      <w:pPr>
        <w:pStyle w:val="TOC2"/>
        <w:tabs>
          <w:tab w:val="right" w:leader="dot" w:pos="8486"/>
        </w:tabs>
        <w:rPr>
          <w:rFonts w:eastAsiaTheme="minorEastAsia" w:cstheme="minorBidi"/>
          <w:noProof/>
          <w:sz w:val="22"/>
          <w:szCs w:val="22"/>
          <w:lang w:bidi="ar-SA"/>
        </w:rPr>
      </w:pPr>
      <w:hyperlink w:anchor="_Toc39868185" w:history="1">
        <w:r w:rsidRPr="00894EDB">
          <w:rPr>
            <w:rStyle w:val="Hyperlink"/>
            <w:noProof/>
          </w:rPr>
          <w:t>3.4 Discussion</w:t>
        </w:r>
        <w:r>
          <w:rPr>
            <w:noProof/>
            <w:webHidden/>
          </w:rPr>
          <w:tab/>
        </w:r>
        <w:r>
          <w:rPr>
            <w:noProof/>
            <w:webHidden/>
          </w:rPr>
          <w:fldChar w:fldCharType="begin"/>
        </w:r>
        <w:r>
          <w:rPr>
            <w:noProof/>
            <w:webHidden/>
          </w:rPr>
          <w:instrText xml:space="preserve"> PAGEREF _Toc39868185 \h </w:instrText>
        </w:r>
        <w:r>
          <w:rPr>
            <w:noProof/>
            <w:webHidden/>
          </w:rPr>
        </w:r>
        <w:r>
          <w:rPr>
            <w:noProof/>
            <w:webHidden/>
          </w:rPr>
          <w:fldChar w:fldCharType="separate"/>
        </w:r>
        <w:r>
          <w:rPr>
            <w:noProof/>
            <w:webHidden/>
          </w:rPr>
          <w:t>57</w:t>
        </w:r>
        <w:r>
          <w:rPr>
            <w:noProof/>
            <w:webHidden/>
          </w:rPr>
          <w:fldChar w:fldCharType="end"/>
        </w:r>
      </w:hyperlink>
    </w:p>
    <w:p w14:paraId="795062C2" w14:textId="28031F2E" w:rsidR="009425BE" w:rsidRDefault="009425BE">
      <w:pPr>
        <w:pStyle w:val="TOC2"/>
        <w:tabs>
          <w:tab w:val="right" w:leader="dot" w:pos="8486"/>
        </w:tabs>
        <w:rPr>
          <w:rFonts w:eastAsiaTheme="minorEastAsia" w:cstheme="minorBidi"/>
          <w:noProof/>
          <w:sz w:val="22"/>
          <w:szCs w:val="22"/>
          <w:lang w:bidi="ar-SA"/>
        </w:rPr>
      </w:pPr>
      <w:hyperlink w:anchor="_Toc39868186" w:history="1">
        <w:r w:rsidRPr="00894EDB">
          <w:rPr>
            <w:rStyle w:val="Hyperlink"/>
            <w:noProof/>
          </w:rPr>
          <w:t>3.5 Conclusions</w:t>
        </w:r>
        <w:r>
          <w:rPr>
            <w:noProof/>
            <w:webHidden/>
          </w:rPr>
          <w:tab/>
        </w:r>
        <w:r>
          <w:rPr>
            <w:noProof/>
            <w:webHidden/>
          </w:rPr>
          <w:fldChar w:fldCharType="begin"/>
        </w:r>
        <w:r>
          <w:rPr>
            <w:noProof/>
            <w:webHidden/>
          </w:rPr>
          <w:instrText xml:space="preserve"> PAGEREF _Toc39868186 \h </w:instrText>
        </w:r>
        <w:r>
          <w:rPr>
            <w:noProof/>
            <w:webHidden/>
          </w:rPr>
        </w:r>
        <w:r>
          <w:rPr>
            <w:noProof/>
            <w:webHidden/>
          </w:rPr>
          <w:fldChar w:fldCharType="separate"/>
        </w:r>
        <w:r>
          <w:rPr>
            <w:noProof/>
            <w:webHidden/>
          </w:rPr>
          <w:t>58</w:t>
        </w:r>
        <w:r>
          <w:rPr>
            <w:noProof/>
            <w:webHidden/>
          </w:rPr>
          <w:fldChar w:fldCharType="end"/>
        </w:r>
      </w:hyperlink>
    </w:p>
    <w:p w14:paraId="1BE99288" w14:textId="0737EFD8" w:rsidR="009425BE" w:rsidRDefault="009425BE">
      <w:pPr>
        <w:pStyle w:val="TOC1"/>
        <w:rPr>
          <w:rFonts w:eastAsiaTheme="minorEastAsia" w:cstheme="minorBidi"/>
          <w:noProof/>
          <w:sz w:val="22"/>
          <w:szCs w:val="22"/>
          <w:lang w:bidi="ar-SA"/>
        </w:rPr>
      </w:pPr>
      <w:hyperlink w:anchor="_Toc39868187" w:history="1">
        <w:r w:rsidRPr="00894EDB">
          <w:rPr>
            <w:rStyle w:val="Hyperlink"/>
            <w:noProof/>
          </w:rPr>
          <w:t>Chapter 4: Bio-Analytical Chemotherapeutic Drug Monitoring and Quantification of Gemcitabine in Single Cells</w:t>
        </w:r>
        <w:r>
          <w:rPr>
            <w:noProof/>
            <w:webHidden/>
          </w:rPr>
          <w:tab/>
        </w:r>
        <w:r>
          <w:rPr>
            <w:noProof/>
            <w:webHidden/>
          </w:rPr>
          <w:fldChar w:fldCharType="begin"/>
        </w:r>
        <w:r>
          <w:rPr>
            <w:noProof/>
            <w:webHidden/>
          </w:rPr>
          <w:instrText xml:space="preserve"> PAGEREF _Toc39868187 \h </w:instrText>
        </w:r>
        <w:r>
          <w:rPr>
            <w:noProof/>
            <w:webHidden/>
          </w:rPr>
        </w:r>
        <w:r>
          <w:rPr>
            <w:noProof/>
            <w:webHidden/>
          </w:rPr>
          <w:fldChar w:fldCharType="separate"/>
        </w:r>
        <w:r>
          <w:rPr>
            <w:noProof/>
            <w:webHidden/>
          </w:rPr>
          <w:t>60</w:t>
        </w:r>
        <w:r>
          <w:rPr>
            <w:noProof/>
            <w:webHidden/>
          </w:rPr>
          <w:fldChar w:fldCharType="end"/>
        </w:r>
      </w:hyperlink>
    </w:p>
    <w:p w14:paraId="6AA72E2A" w14:textId="30D1B88A" w:rsidR="009425BE" w:rsidRDefault="009425BE">
      <w:pPr>
        <w:pStyle w:val="TOC2"/>
        <w:tabs>
          <w:tab w:val="right" w:leader="dot" w:pos="8486"/>
        </w:tabs>
        <w:rPr>
          <w:rFonts w:eastAsiaTheme="minorEastAsia" w:cstheme="minorBidi"/>
          <w:noProof/>
          <w:sz w:val="22"/>
          <w:szCs w:val="22"/>
          <w:lang w:bidi="ar-SA"/>
        </w:rPr>
      </w:pPr>
      <w:hyperlink w:anchor="_Toc39868188" w:history="1">
        <w:r w:rsidRPr="00894EDB">
          <w:rPr>
            <w:rStyle w:val="Hyperlink"/>
            <w:noProof/>
          </w:rPr>
          <w:t>Abstract</w:t>
        </w:r>
        <w:r>
          <w:rPr>
            <w:noProof/>
            <w:webHidden/>
          </w:rPr>
          <w:tab/>
        </w:r>
        <w:r>
          <w:rPr>
            <w:noProof/>
            <w:webHidden/>
          </w:rPr>
          <w:fldChar w:fldCharType="begin"/>
        </w:r>
        <w:r>
          <w:rPr>
            <w:noProof/>
            <w:webHidden/>
          </w:rPr>
          <w:instrText xml:space="preserve"> PAGEREF _Toc39868188 \h </w:instrText>
        </w:r>
        <w:r>
          <w:rPr>
            <w:noProof/>
            <w:webHidden/>
          </w:rPr>
        </w:r>
        <w:r>
          <w:rPr>
            <w:noProof/>
            <w:webHidden/>
          </w:rPr>
          <w:fldChar w:fldCharType="separate"/>
        </w:r>
        <w:r>
          <w:rPr>
            <w:noProof/>
            <w:webHidden/>
          </w:rPr>
          <w:t>60</w:t>
        </w:r>
        <w:r>
          <w:rPr>
            <w:noProof/>
            <w:webHidden/>
          </w:rPr>
          <w:fldChar w:fldCharType="end"/>
        </w:r>
      </w:hyperlink>
    </w:p>
    <w:p w14:paraId="2AA2FB64" w14:textId="27CE489F" w:rsidR="009425BE" w:rsidRDefault="009425BE">
      <w:pPr>
        <w:pStyle w:val="TOC2"/>
        <w:tabs>
          <w:tab w:val="right" w:leader="dot" w:pos="8486"/>
        </w:tabs>
        <w:rPr>
          <w:rFonts w:eastAsiaTheme="minorEastAsia" w:cstheme="minorBidi"/>
          <w:noProof/>
          <w:sz w:val="22"/>
          <w:szCs w:val="22"/>
          <w:lang w:bidi="ar-SA"/>
        </w:rPr>
      </w:pPr>
      <w:hyperlink w:anchor="_Toc39868189" w:history="1">
        <w:r w:rsidRPr="00894EDB">
          <w:rPr>
            <w:rStyle w:val="Hyperlink"/>
            <w:noProof/>
          </w:rPr>
          <w:t>Allocation of Contribution</w:t>
        </w:r>
        <w:r>
          <w:rPr>
            <w:noProof/>
            <w:webHidden/>
          </w:rPr>
          <w:tab/>
        </w:r>
        <w:r>
          <w:rPr>
            <w:noProof/>
            <w:webHidden/>
          </w:rPr>
          <w:fldChar w:fldCharType="begin"/>
        </w:r>
        <w:r>
          <w:rPr>
            <w:noProof/>
            <w:webHidden/>
          </w:rPr>
          <w:instrText xml:space="preserve"> PAGEREF _Toc39868189 \h </w:instrText>
        </w:r>
        <w:r>
          <w:rPr>
            <w:noProof/>
            <w:webHidden/>
          </w:rPr>
        </w:r>
        <w:r>
          <w:rPr>
            <w:noProof/>
            <w:webHidden/>
          </w:rPr>
          <w:fldChar w:fldCharType="separate"/>
        </w:r>
        <w:r>
          <w:rPr>
            <w:noProof/>
            <w:webHidden/>
          </w:rPr>
          <w:t>60</w:t>
        </w:r>
        <w:r>
          <w:rPr>
            <w:noProof/>
            <w:webHidden/>
          </w:rPr>
          <w:fldChar w:fldCharType="end"/>
        </w:r>
      </w:hyperlink>
    </w:p>
    <w:p w14:paraId="49930804" w14:textId="50F499BB" w:rsidR="009425BE" w:rsidRDefault="009425BE">
      <w:pPr>
        <w:pStyle w:val="TOC2"/>
        <w:tabs>
          <w:tab w:val="right" w:leader="dot" w:pos="8486"/>
        </w:tabs>
        <w:rPr>
          <w:rFonts w:eastAsiaTheme="minorEastAsia" w:cstheme="minorBidi"/>
          <w:noProof/>
          <w:sz w:val="22"/>
          <w:szCs w:val="22"/>
          <w:lang w:bidi="ar-SA"/>
        </w:rPr>
      </w:pPr>
      <w:hyperlink w:anchor="_Toc39868190" w:history="1">
        <w:r w:rsidRPr="00894EDB">
          <w:rPr>
            <w:rStyle w:val="Hyperlink"/>
            <w:noProof/>
          </w:rPr>
          <w:t>4.1 Introduction</w:t>
        </w:r>
        <w:r>
          <w:rPr>
            <w:noProof/>
            <w:webHidden/>
          </w:rPr>
          <w:tab/>
        </w:r>
        <w:r>
          <w:rPr>
            <w:noProof/>
            <w:webHidden/>
          </w:rPr>
          <w:fldChar w:fldCharType="begin"/>
        </w:r>
        <w:r>
          <w:rPr>
            <w:noProof/>
            <w:webHidden/>
          </w:rPr>
          <w:instrText xml:space="preserve"> PAGEREF _Toc39868190 \h </w:instrText>
        </w:r>
        <w:r>
          <w:rPr>
            <w:noProof/>
            <w:webHidden/>
          </w:rPr>
        </w:r>
        <w:r>
          <w:rPr>
            <w:noProof/>
            <w:webHidden/>
          </w:rPr>
          <w:fldChar w:fldCharType="separate"/>
        </w:r>
        <w:r>
          <w:rPr>
            <w:noProof/>
            <w:webHidden/>
          </w:rPr>
          <w:t>61</w:t>
        </w:r>
        <w:r>
          <w:rPr>
            <w:noProof/>
            <w:webHidden/>
          </w:rPr>
          <w:fldChar w:fldCharType="end"/>
        </w:r>
      </w:hyperlink>
    </w:p>
    <w:p w14:paraId="28A74F61" w14:textId="41795A50" w:rsidR="009425BE" w:rsidRDefault="009425BE">
      <w:pPr>
        <w:pStyle w:val="TOC2"/>
        <w:tabs>
          <w:tab w:val="right" w:leader="dot" w:pos="8486"/>
        </w:tabs>
        <w:rPr>
          <w:rFonts w:eastAsiaTheme="minorEastAsia" w:cstheme="minorBidi"/>
          <w:noProof/>
          <w:sz w:val="22"/>
          <w:szCs w:val="22"/>
          <w:lang w:bidi="ar-SA"/>
        </w:rPr>
      </w:pPr>
      <w:hyperlink w:anchor="_Toc39868191" w:history="1">
        <w:r w:rsidRPr="00894EDB">
          <w:rPr>
            <w:rStyle w:val="Hyperlink"/>
            <w:noProof/>
          </w:rPr>
          <w:t>4.2 Methods</w:t>
        </w:r>
        <w:r>
          <w:rPr>
            <w:noProof/>
            <w:webHidden/>
          </w:rPr>
          <w:tab/>
        </w:r>
        <w:r>
          <w:rPr>
            <w:noProof/>
            <w:webHidden/>
          </w:rPr>
          <w:fldChar w:fldCharType="begin"/>
        </w:r>
        <w:r>
          <w:rPr>
            <w:noProof/>
            <w:webHidden/>
          </w:rPr>
          <w:instrText xml:space="preserve"> PAGEREF _Toc39868191 \h </w:instrText>
        </w:r>
        <w:r>
          <w:rPr>
            <w:noProof/>
            <w:webHidden/>
          </w:rPr>
        </w:r>
        <w:r>
          <w:rPr>
            <w:noProof/>
            <w:webHidden/>
          </w:rPr>
          <w:fldChar w:fldCharType="separate"/>
        </w:r>
        <w:r>
          <w:rPr>
            <w:noProof/>
            <w:webHidden/>
          </w:rPr>
          <w:t>64</w:t>
        </w:r>
        <w:r>
          <w:rPr>
            <w:noProof/>
            <w:webHidden/>
          </w:rPr>
          <w:fldChar w:fldCharType="end"/>
        </w:r>
      </w:hyperlink>
    </w:p>
    <w:p w14:paraId="359D127B" w14:textId="7B906241" w:rsidR="009425BE" w:rsidRDefault="009425BE">
      <w:pPr>
        <w:pStyle w:val="TOC3"/>
        <w:tabs>
          <w:tab w:val="right" w:leader="dot" w:pos="8486"/>
        </w:tabs>
        <w:rPr>
          <w:rFonts w:eastAsiaTheme="minorEastAsia" w:cstheme="minorBidi"/>
          <w:noProof/>
          <w:sz w:val="22"/>
          <w:szCs w:val="22"/>
          <w:lang w:bidi="ar-SA"/>
        </w:rPr>
      </w:pPr>
      <w:hyperlink w:anchor="_Toc39868192" w:history="1">
        <w:r w:rsidRPr="00894EDB">
          <w:rPr>
            <w:rStyle w:val="Hyperlink"/>
            <w:noProof/>
          </w:rPr>
          <w:t>4.2.1 Sample Preparation</w:t>
        </w:r>
        <w:r>
          <w:rPr>
            <w:noProof/>
            <w:webHidden/>
          </w:rPr>
          <w:tab/>
        </w:r>
        <w:r>
          <w:rPr>
            <w:noProof/>
            <w:webHidden/>
          </w:rPr>
          <w:fldChar w:fldCharType="begin"/>
        </w:r>
        <w:r>
          <w:rPr>
            <w:noProof/>
            <w:webHidden/>
          </w:rPr>
          <w:instrText xml:space="preserve"> PAGEREF _Toc39868192 \h </w:instrText>
        </w:r>
        <w:r>
          <w:rPr>
            <w:noProof/>
            <w:webHidden/>
          </w:rPr>
        </w:r>
        <w:r>
          <w:rPr>
            <w:noProof/>
            <w:webHidden/>
          </w:rPr>
          <w:fldChar w:fldCharType="separate"/>
        </w:r>
        <w:r>
          <w:rPr>
            <w:noProof/>
            <w:webHidden/>
          </w:rPr>
          <w:t>64</w:t>
        </w:r>
        <w:r>
          <w:rPr>
            <w:noProof/>
            <w:webHidden/>
          </w:rPr>
          <w:fldChar w:fldCharType="end"/>
        </w:r>
      </w:hyperlink>
    </w:p>
    <w:p w14:paraId="65DAD525" w14:textId="2A0ABCBC" w:rsidR="009425BE" w:rsidRDefault="009425BE">
      <w:pPr>
        <w:pStyle w:val="TOC3"/>
        <w:tabs>
          <w:tab w:val="right" w:leader="dot" w:pos="8486"/>
        </w:tabs>
        <w:rPr>
          <w:rFonts w:eastAsiaTheme="minorEastAsia" w:cstheme="minorBidi"/>
          <w:noProof/>
          <w:sz w:val="22"/>
          <w:szCs w:val="22"/>
          <w:lang w:bidi="ar-SA"/>
        </w:rPr>
      </w:pPr>
      <w:hyperlink w:anchor="_Toc39868193" w:history="1">
        <w:r w:rsidRPr="00894EDB">
          <w:rPr>
            <w:rStyle w:val="Hyperlink"/>
            <w:noProof/>
          </w:rPr>
          <w:t>4.2.2 Single Probe Fabrication</w:t>
        </w:r>
        <w:r>
          <w:rPr>
            <w:noProof/>
            <w:webHidden/>
          </w:rPr>
          <w:tab/>
        </w:r>
        <w:r>
          <w:rPr>
            <w:noProof/>
            <w:webHidden/>
          </w:rPr>
          <w:fldChar w:fldCharType="begin"/>
        </w:r>
        <w:r>
          <w:rPr>
            <w:noProof/>
            <w:webHidden/>
          </w:rPr>
          <w:instrText xml:space="preserve"> PAGEREF _Toc39868193 \h </w:instrText>
        </w:r>
        <w:r>
          <w:rPr>
            <w:noProof/>
            <w:webHidden/>
          </w:rPr>
        </w:r>
        <w:r>
          <w:rPr>
            <w:noProof/>
            <w:webHidden/>
          </w:rPr>
          <w:fldChar w:fldCharType="separate"/>
        </w:r>
        <w:r>
          <w:rPr>
            <w:noProof/>
            <w:webHidden/>
          </w:rPr>
          <w:t>65</w:t>
        </w:r>
        <w:r>
          <w:rPr>
            <w:noProof/>
            <w:webHidden/>
          </w:rPr>
          <w:fldChar w:fldCharType="end"/>
        </w:r>
      </w:hyperlink>
    </w:p>
    <w:p w14:paraId="172FCBD4" w14:textId="08E435A7" w:rsidR="009425BE" w:rsidRDefault="009425BE">
      <w:pPr>
        <w:pStyle w:val="TOC3"/>
        <w:tabs>
          <w:tab w:val="right" w:leader="dot" w:pos="8486"/>
        </w:tabs>
        <w:rPr>
          <w:rFonts w:eastAsiaTheme="minorEastAsia" w:cstheme="minorBidi"/>
          <w:noProof/>
          <w:sz w:val="22"/>
          <w:szCs w:val="22"/>
          <w:lang w:bidi="ar-SA"/>
        </w:rPr>
      </w:pPr>
      <w:hyperlink w:anchor="_Toc39868194" w:history="1">
        <w:r w:rsidRPr="00894EDB">
          <w:rPr>
            <w:rStyle w:val="Hyperlink"/>
            <w:noProof/>
          </w:rPr>
          <w:t>4.2.3 Glass Cell-Selection Probe Fabrication</w:t>
        </w:r>
        <w:r>
          <w:rPr>
            <w:noProof/>
            <w:webHidden/>
          </w:rPr>
          <w:tab/>
        </w:r>
        <w:r>
          <w:rPr>
            <w:noProof/>
            <w:webHidden/>
          </w:rPr>
          <w:fldChar w:fldCharType="begin"/>
        </w:r>
        <w:r>
          <w:rPr>
            <w:noProof/>
            <w:webHidden/>
          </w:rPr>
          <w:instrText xml:space="preserve"> PAGEREF _Toc39868194 \h </w:instrText>
        </w:r>
        <w:r>
          <w:rPr>
            <w:noProof/>
            <w:webHidden/>
          </w:rPr>
        </w:r>
        <w:r>
          <w:rPr>
            <w:noProof/>
            <w:webHidden/>
          </w:rPr>
          <w:fldChar w:fldCharType="separate"/>
        </w:r>
        <w:r>
          <w:rPr>
            <w:noProof/>
            <w:webHidden/>
          </w:rPr>
          <w:t>65</w:t>
        </w:r>
        <w:r>
          <w:rPr>
            <w:noProof/>
            <w:webHidden/>
          </w:rPr>
          <w:fldChar w:fldCharType="end"/>
        </w:r>
      </w:hyperlink>
    </w:p>
    <w:p w14:paraId="1FAB4043" w14:textId="083643A0" w:rsidR="009425BE" w:rsidRDefault="009425BE">
      <w:pPr>
        <w:pStyle w:val="TOC3"/>
        <w:tabs>
          <w:tab w:val="right" w:leader="dot" w:pos="8486"/>
        </w:tabs>
        <w:rPr>
          <w:rFonts w:eastAsiaTheme="minorEastAsia" w:cstheme="minorBidi"/>
          <w:noProof/>
          <w:sz w:val="22"/>
          <w:szCs w:val="22"/>
          <w:lang w:bidi="ar-SA"/>
        </w:rPr>
      </w:pPr>
      <w:hyperlink w:anchor="_Toc39868195" w:history="1">
        <w:r w:rsidRPr="00894EDB">
          <w:rPr>
            <w:rStyle w:val="Hyperlink"/>
            <w:noProof/>
          </w:rPr>
          <w:t>4.2.5 Single-Cell Mass Spectrometry Analysis</w:t>
        </w:r>
        <w:r>
          <w:rPr>
            <w:noProof/>
            <w:webHidden/>
          </w:rPr>
          <w:tab/>
        </w:r>
        <w:r>
          <w:rPr>
            <w:noProof/>
            <w:webHidden/>
          </w:rPr>
          <w:fldChar w:fldCharType="begin"/>
        </w:r>
        <w:r>
          <w:rPr>
            <w:noProof/>
            <w:webHidden/>
          </w:rPr>
          <w:instrText xml:space="preserve"> PAGEREF _Toc39868195 \h </w:instrText>
        </w:r>
        <w:r>
          <w:rPr>
            <w:noProof/>
            <w:webHidden/>
          </w:rPr>
        </w:r>
        <w:r>
          <w:rPr>
            <w:noProof/>
            <w:webHidden/>
          </w:rPr>
          <w:fldChar w:fldCharType="separate"/>
        </w:r>
        <w:r>
          <w:rPr>
            <w:noProof/>
            <w:webHidden/>
          </w:rPr>
          <w:t>66</w:t>
        </w:r>
        <w:r>
          <w:rPr>
            <w:noProof/>
            <w:webHidden/>
          </w:rPr>
          <w:fldChar w:fldCharType="end"/>
        </w:r>
      </w:hyperlink>
    </w:p>
    <w:p w14:paraId="07CCFF51" w14:textId="10F86967" w:rsidR="009425BE" w:rsidRDefault="009425BE">
      <w:pPr>
        <w:pStyle w:val="TOC3"/>
        <w:tabs>
          <w:tab w:val="right" w:leader="dot" w:pos="8486"/>
        </w:tabs>
        <w:rPr>
          <w:rFonts w:eastAsiaTheme="minorEastAsia" w:cstheme="minorBidi"/>
          <w:noProof/>
          <w:sz w:val="22"/>
          <w:szCs w:val="22"/>
          <w:lang w:bidi="ar-SA"/>
        </w:rPr>
      </w:pPr>
      <w:hyperlink w:anchor="_Toc39868196" w:history="1">
        <w:r w:rsidRPr="00894EDB">
          <w:rPr>
            <w:rStyle w:val="Hyperlink"/>
            <w:noProof/>
          </w:rPr>
          <w:t>4.2.6 Liquid-Chromatography Mass Spectrometry Analysis</w:t>
        </w:r>
        <w:r>
          <w:rPr>
            <w:noProof/>
            <w:webHidden/>
          </w:rPr>
          <w:tab/>
        </w:r>
        <w:r>
          <w:rPr>
            <w:noProof/>
            <w:webHidden/>
          </w:rPr>
          <w:fldChar w:fldCharType="begin"/>
        </w:r>
        <w:r>
          <w:rPr>
            <w:noProof/>
            <w:webHidden/>
          </w:rPr>
          <w:instrText xml:space="preserve"> PAGEREF _Toc39868196 \h </w:instrText>
        </w:r>
        <w:r>
          <w:rPr>
            <w:noProof/>
            <w:webHidden/>
          </w:rPr>
        </w:r>
        <w:r>
          <w:rPr>
            <w:noProof/>
            <w:webHidden/>
          </w:rPr>
          <w:fldChar w:fldCharType="separate"/>
        </w:r>
        <w:r>
          <w:rPr>
            <w:noProof/>
            <w:webHidden/>
          </w:rPr>
          <w:t>67</w:t>
        </w:r>
        <w:r>
          <w:rPr>
            <w:noProof/>
            <w:webHidden/>
          </w:rPr>
          <w:fldChar w:fldCharType="end"/>
        </w:r>
      </w:hyperlink>
    </w:p>
    <w:p w14:paraId="5E6B8A02" w14:textId="2D689E70" w:rsidR="009425BE" w:rsidRDefault="009425BE">
      <w:pPr>
        <w:pStyle w:val="TOC3"/>
        <w:tabs>
          <w:tab w:val="right" w:leader="dot" w:pos="8486"/>
        </w:tabs>
        <w:rPr>
          <w:rFonts w:eastAsiaTheme="minorEastAsia" w:cstheme="minorBidi"/>
          <w:noProof/>
          <w:sz w:val="22"/>
          <w:szCs w:val="22"/>
          <w:lang w:bidi="ar-SA"/>
        </w:rPr>
      </w:pPr>
      <w:hyperlink w:anchor="_Toc39868197" w:history="1">
        <w:r w:rsidRPr="00894EDB">
          <w:rPr>
            <w:rStyle w:val="Hyperlink"/>
            <w:noProof/>
          </w:rPr>
          <w:t>4.2.7 Isotopically-labeled Gemcitabine</w:t>
        </w:r>
        <w:r>
          <w:rPr>
            <w:noProof/>
            <w:webHidden/>
          </w:rPr>
          <w:tab/>
        </w:r>
        <w:r>
          <w:rPr>
            <w:noProof/>
            <w:webHidden/>
          </w:rPr>
          <w:fldChar w:fldCharType="begin"/>
        </w:r>
        <w:r>
          <w:rPr>
            <w:noProof/>
            <w:webHidden/>
          </w:rPr>
          <w:instrText xml:space="preserve"> PAGEREF _Toc39868197 \h </w:instrText>
        </w:r>
        <w:r>
          <w:rPr>
            <w:noProof/>
            <w:webHidden/>
          </w:rPr>
        </w:r>
        <w:r>
          <w:rPr>
            <w:noProof/>
            <w:webHidden/>
          </w:rPr>
          <w:fldChar w:fldCharType="separate"/>
        </w:r>
        <w:r>
          <w:rPr>
            <w:noProof/>
            <w:webHidden/>
          </w:rPr>
          <w:t>68</w:t>
        </w:r>
        <w:r>
          <w:rPr>
            <w:noProof/>
            <w:webHidden/>
          </w:rPr>
          <w:fldChar w:fldCharType="end"/>
        </w:r>
      </w:hyperlink>
    </w:p>
    <w:p w14:paraId="5E9A68C9" w14:textId="00377DBC" w:rsidR="009425BE" w:rsidRDefault="009425BE">
      <w:pPr>
        <w:pStyle w:val="TOC3"/>
        <w:tabs>
          <w:tab w:val="right" w:leader="dot" w:pos="8486"/>
        </w:tabs>
        <w:rPr>
          <w:rFonts w:eastAsiaTheme="minorEastAsia" w:cstheme="minorBidi"/>
          <w:noProof/>
          <w:sz w:val="22"/>
          <w:szCs w:val="22"/>
          <w:lang w:bidi="ar-SA"/>
        </w:rPr>
      </w:pPr>
      <w:hyperlink w:anchor="_Toc39868198" w:history="1">
        <w:r w:rsidRPr="00894EDB">
          <w:rPr>
            <w:rStyle w:val="Hyperlink"/>
            <w:noProof/>
          </w:rPr>
          <w:t>4.2.8 Statistical Analysis</w:t>
        </w:r>
        <w:r>
          <w:rPr>
            <w:noProof/>
            <w:webHidden/>
          </w:rPr>
          <w:tab/>
        </w:r>
        <w:r>
          <w:rPr>
            <w:noProof/>
            <w:webHidden/>
          </w:rPr>
          <w:fldChar w:fldCharType="begin"/>
        </w:r>
        <w:r>
          <w:rPr>
            <w:noProof/>
            <w:webHidden/>
          </w:rPr>
          <w:instrText xml:space="preserve"> PAGEREF _Toc39868198 \h </w:instrText>
        </w:r>
        <w:r>
          <w:rPr>
            <w:noProof/>
            <w:webHidden/>
          </w:rPr>
        </w:r>
        <w:r>
          <w:rPr>
            <w:noProof/>
            <w:webHidden/>
          </w:rPr>
          <w:fldChar w:fldCharType="separate"/>
        </w:r>
        <w:r>
          <w:rPr>
            <w:noProof/>
            <w:webHidden/>
          </w:rPr>
          <w:t>69</w:t>
        </w:r>
        <w:r>
          <w:rPr>
            <w:noProof/>
            <w:webHidden/>
          </w:rPr>
          <w:fldChar w:fldCharType="end"/>
        </w:r>
      </w:hyperlink>
    </w:p>
    <w:p w14:paraId="64B2BCBC" w14:textId="0BA2ADB9" w:rsidR="009425BE" w:rsidRDefault="009425BE">
      <w:pPr>
        <w:pStyle w:val="TOC2"/>
        <w:tabs>
          <w:tab w:val="right" w:leader="dot" w:pos="8486"/>
        </w:tabs>
        <w:rPr>
          <w:rFonts w:eastAsiaTheme="minorEastAsia" w:cstheme="minorBidi"/>
          <w:noProof/>
          <w:sz w:val="22"/>
          <w:szCs w:val="22"/>
          <w:lang w:bidi="ar-SA"/>
        </w:rPr>
      </w:pPr>
      <w:hyperlink w:anchor="_Toc39868199" w:history="1">
        <w:r w:rsidRPr="00894EDB">
          <w:rPr>
            <w:rStyle w:val="Hyperlink"/>
            <w:noProof/>
          </w:rPr>
          <w:t>4.3 Results</w:t>
        </w:r>
        <w:r>
          <w:rPr>
            <w:noProof/>
            <w:webHidden/>
          </w:rPr>
          <w:tab/>
        </w:r>
        <w:r>
          <w:rPr>
            <w:noProof/>
            <w:webHidden/>
          </w:rPr>
          <w:fldChar w:fldCharType="begin"/>
        </w:r>
        <w:r>
          <w:rPr>
            <w:noProof/>
            <w:webHidden/>
          </w:rPr>
          <w:instrText xml:space="preserve"> PAGEREF _Toc39868199 \h </w:instrText>
        </w:r>
        <w:r>
          <w:rPr>
            <w:noProof/>
            <w:webHidden/>
          </w:rPr>
        </w:r>
        <w:r>
          <w:rPr>
            <w:noProof/>
            <w:webHidden/>
          </w:rPr>
          <w:fldChar w:fldCharType="separate"/>
        </w:r>
        <w:r>
          <w:rPr>
            <w:noProof/>
            <w:webHidden/>
          </w:rPr>
          <w:t>70</w:t>
        </w:r>
        <w:r>
          <w:rPr>
            <w:noProof/>
            <w:webHidden/>
          </w:rPr>
          <w:fldChar w:fldCharType="end"/>
        </w:r>
      </w:hyperlink>
    </w:p>
    <w:p w14:paraId="37FF70B5" w14:textId="256182CD" w:rsidR="009425BE" w:rsidRDefault="009425BE">
      <w:pPr>
        <w:pStyle w:val="TOC3"/>
        <w:tabs>
          <w:tab w:val="right" w:leader="dot" w:pos="8486"/>
        </w:tabs>
        <w:rPr>
          <w:rFonts w:eastAsiaTheme="minorEastAsia" w:cstheme="minorBidi"/>
          <w:noProof/>
          <w:sz w:val="22"/>
          <w:szCs w:val="22"/>
          <w:lang w:bidi="ar-SA"/>
        </w:rPr>
      </w:pPr>
      <w:hyperlink w:anchor="_Toc39868200" w:history="1">
        <w:r w:rsidRPr="00894EDB">
          <w:rPr>
            <w:rStyle w:val="Hyperlink"/>
            <w:noProof/>
          </w:rPr>
          <w:t>4.3.1 The Integrated Cell Manipulation System</w:t>
        </w:r>
        <w:r>
          <w:rPr>
            <w:noProof/>
            <w:webHidden/>
          </w:rPr>
          <w:tab/>
        </w:r>
        <w:r>
          <w:rPr>
            <w:noProof/>
            <w:webHidden/>
          </w:rPr>
          <w:fldChar w:fldCharType="begin"/>
        </w:r>
        <w:r>
          <w:rPr>
            <w:noProof/>
            <w:webHidden/>
          </w:rPr>
          <w:instrText xml:space="preserve"> PAGEREF _Toc39868200 \h </w:instrText>
        </w:r>
        <w:r>
          <w:rPr>
            <w:noProof/>
            <w:webHidden/>
          </w:rPr>
        </w:r>
        <w:r>
          <w:rPr>
            <w:noProof/>
            <w:webHidden/>
          </w:rPr>
          <w:fldChar w:fldCharType="separate"/>
        </w:r>
        <w:r>
          <w:rPr>
            <w:noProof/>
            <w:webHidden/>
          </w:rPr>
          <w:t>70</w:t>
        </w:r>
        <w:r>
          <w:rPr>
            <w:noProof/>
            <w:webHidden/>
          </w:rPr>
          <w:fldChar w:fldCharType="end"/>
        </w:r>
      </w:hyperlink>
    </w:p>
    <w:p w14:paraId="5D93A59F" w14:textId="3B688F55" w:rsidR="009425BE" w:rsidRDefault="009425BE">
      <w:pPr>
        <w:pStyle w:val="TOC3"/>
        <w:tabs>
          <w:tab w:val="right" w:leader="dot" w:pos="8486"/>
        </w:tabs>
        <w:rPr>
          <w:rFonts w:eastAsiaTheme="minorEastAsia" w:cstheme="minorBidi"/>
          <w:noProof/>
          <w:sz w:val="22"/>
          <w:szCs w:val="22"/>
          <w:lang w:bidi="ar-SA"/>
        </w:rPr>
      </w:pPr>
      <w:hyperlink w:anchor="_Toc39868201" w:history="1">
        <w:r w:rsidRPr="00894EDB">
          <w:rPr>
            <w:rStyle w:val="Hyperlink"/>
            <w:noProof/>
          </w:rPr>
          <w:t>4.3.2 Adherent Cell Drug Identification</w:t>
        </w:r>
        <w:r>
          <w:rPr>
            <w:noProof/>
            <w:webHidden/>
          </w:rPr>
          <w:tab/>
        </w:r>
        <w:r>
          <w:rPr>
            <w:noProof/>
            <w:webHidden/>
          </w:rPr>
          <w:fldChar w:fldCharType="begin"/>
        </w:r>
        <w:r>
          <w:rPr>
            <w:noProof/>
            <w:webHidden/>
          </w:rPr>
          <w:instrText xml:space="preserve"> PAGEREF _Toc39868201 \h </w:instrText>
        </w:r>
        <w:r>
          <w:rPr>
            <w:noProof/>
            <w:webHidden/>
          </w:rPr>
        </w:r>
        <w:r>
          <w:rPr>
            <w:noProof/>
            <w:webHidden/>
          </w:rPr>
          <w:fldChar w:fldCharType="separate"/>
        </w:r>
        <w:r>
          <w:rPr>
            <w:noProof/>
            <w:webHidden/>
          </w:rPr>
          <w:t>74</w:t>
        </w:r>
        <w:r>
          <w:rPr>
            <w:noProof/>
            <w:webHidden/>
          </w:rPr>
          <w:fldChar w:fldCharType="end"/>
        </w:r>
      </w:hyperlink>
    </w:p>
    <w:p w14:paraId="0445A4C0" w14:textId="62D8A504" w:rsidR="009425BE" w:rsidRDefault="009425BE">
      <w:pPr>
        <w:pStyle w:val="TOC3"/>
        <w:tabs>
          <w:tab w:val="right" w:leader="dot" w:pos="8486"/>
        </w:tabs>
        <w:rPr>
          <w:rFonts w:eastAsiaTheme="minorEastAsia" w:cstheme="minorBidi"/>
          <w:noProof/>
          <w:sz w:val="22"/>
          <w:szCs w:val="22"/>
          <w:lang w:bidi="ar-SA"/>
        </w:rPr>
      </w:pPr>
      <w:hyperlink w:anchor="_Toc39868202" w:history="1">
        <w:r w:rsidRPr="00894EDB">
          <w:rPr>
            <w:rStyle w:val="Hyperlink"/>
            <w:noProof/>
          </w:rPr>
          <w:t>4.3.3 Metabolomic Analysis</w:t>
        </w:r>
        <w:r>
          <w:rPr>
            <w:noProof/>
            <w:webHidden/>
          </w:rPr>
          <w:tab/>
        </w:r>
        <w:r>
          <w:rPr>
            <w:noProof/>
            <w:webHidden/>
          </w:rPr>
          <w:fldChar w:fldCharType="begin"/>
        </w:r>
        <w:r>
          <w:rPr>
            <w:noProof/>
            <w:webHidden/>
          </w:rPr>
          <w:instrText xml:space="preserve"> PAGEREF _Toc39868202 \h </w:instrText>
        </w:r>
        <w:r>
          <w:rPr>
            <w:noProof/>
            <w:webHidden/>
          </w:rPr>
        </w:r>
        <w:r>
          <w:rPr>
            <w:noProof/>
            <w:webHidden/>
          </w:rPr>
          <w:fldChar w:fldCharType="separate"/>
        </w:r>
        <w:r>
          <w:rPr>
            <w:noProof/>
            <w:webHidden/>
          </w:rPr>
          <w:t>75</w:t>
        </w:r>
        <w:r>
          <w:rPr>
            <w:noProof/>
            <w:webHidden/>
          </w:rPr>
          <w:fldChar w:fldCharType="end"/>
        </w:r>
      </w:hyperlink>
    </w:p>
    <w:p w14:paraId="7ECE0102" w14:textId="1AC5F3FB" w:rsidR="009425BE" w:rsidRDefault="009425BE">
      <w:pPr>
        <w:pStyle w:val="TOC3"/>
        <w:tabs>
          <w:tab w:val="right" w:leader="dot" w:pos="8486"/>
        </w:tabs>
        <w:rPr>
          <w:rFonts w:eastAsiaTheme="minorEastAsia" w:cstheme="minorBidi"/>
          <w:noProof/>
          <w:sz w:val="22"/>
          <w:szCs w:val="22"/>
          <w:lang w:bidi="ar-SA"/>
        </w:rPr>
      </w:pPr>
      <w:hyperlink w:anchor="_Toc39868203" w:history="1">
        <w:r w:rsidRPr="00894EDB">
          <w:rPr>
            <w:rStyle w:val="Hyperlink"/>
            <w:noProof/>
          </w:rPr>
          <w:t>4.3.4 Single-Cell Drug Quantification</w:t>
        </w:r>
        <w:r>
          <w:rPr>
            <w:noProof/>
            <w:webHidden/>
          </w:rPr>
          <w:tab/>
        </w:r>
        <w:r>
          <w:rPr>
            <w:noProof/>
            <w:webHidden/>
          </w:rPr>
          <w:fldChar w:fldCharType="begin"/>
        </w:r>
        <w:r>
          <w:rPr>
            <w:noProof/>
            <w:webHidden/>
          </w:rPr>
          <w:instrText xml:space="preserve"> PAGEREF _Toc39868203 \h </w:instrText>
        </w:r>
        <w:r>
          <w:rPr>
            <w:noProof/>
            <w:webHidden/>
          </w:rPr>
        </w:r>
        <w:r>
          <w:rPr>
            <w:noProof/>
            <w:webHidden/>
          </w:rPr>
          <w:fldChar w:fldCharType="separate"/>
        </w:r>
        <w:r>
          <w:rPr>
            <w:noProof/>
            <w:webHidden/>
          </w:rPr>
          <w:t>77</w:t>
        </w:r>
        <w:r>
          <w:rPr>
            <w:noProof/>
            <w:webHidden/>
          </w:rPr>
          <w:fldChar w:fldCharType="end"/>
        </w:r>
      </w:hyperlink>
    </w:p>
    <w:p w14:paraId="4009B0D3" w14:textId="39CAAE44" w:rsidR="009425BE" w:rsidRDefault="009425BE">
      <w:pPr>
        <w:pStyle w:val="TOC3"/>
        <w:tabs>
          <w:tab w:val="right" w:leader="dot" w:pos="8486"/>
        </w:tabs>
        <w:rPr>
          <w:rFonts w:eastAsiaTheme="minorEastAsia" w:cstheme="minorBidi"/>
          <w:noProof/>
          <w:sz w:val="22"/>
          <w:szCs w:val="22"/>
          <w:lang w:bidi="ar-SA"/>
        </w:rPr>
      </w:pPr>
      <w:hyperlink w:anchor="_Toc39868204" w:history="1">
        <w:r w:rsidRPr="00894EDB">
          <w:rPr>
            <w:rStyle w:val="Hyperlink"/>
            <w:noProof/>
          </w:rPr>
          <w:t>4.3.5 Clinical Single-Cell Patient Isolated Drug Quantification</w:t>
        </w:r>
        <w:r>
          <w:rPr>
            <w:noProof/>
            <w:webHidden/>
          </w:rPr>
          <w:tab/>
        </w:r>
        <w:r>
          <w:rPr>
            <w:noProof/>
            <w:webHidden/>
          </w:rPr>
          <w:fldChar w:fldCharType="begin"/>
        </w:r>
        <w:r>
          <w:rPr>
            <w:noProof/>
            <w:webHidden/>
          </w:rPr>
          <w:instrText xml:space="preserve"> PAGEREF _Toc39868204 \h </w:instrText>
        </w:r>
        <w:r>
          <w:rPr>
            <w:noProof/>
            <w:webHidden/>
          </w:rPr>
        </w:r>
        <w:r>
          <w:rPr>
            <w:noProof/>
            <w:webHidden/>
          </w:rPr>
          <w:fldChar w:fldCharType="separate"/>
        </w:r>
        <w:r>
          <w:rPr>
            <w:noProof/>
            <w:webHidden/>
          </w:rPr>
          <w:t>81</w:t>
        </w:r>
        <w:r>
          <w:rPr>
            <w:noProof/>
            <w:webHidden/>
          </w:rPr>
          <w:fldChar w:fldCharType="end"/>
        </w:r>
      </w:hyperlink>
    </w:p>
    <w:p w14:paraId="4ED1554F" w14:textId="249A5B1B" w:rsidR="009425BE" w:rsidRDefault="009425BE">
      <w:pPr>
        <w:pStyle w:val="TOC2"/>
        <w:tabs>
          <w:tab w:val="right" w:leader="dot" w:pos="8486"/>
        </w:tabs>
        <w:rPr>
          <w:rFonts w:eastAsiaTheme="minorEastAsia" w:cstheme="minorBidi"/>
          <w:noProof/>
          <w:sz w:val="22"/>
          <w:szCs w:val="22"/>
          <w:lang w:bidi="ar-SA"/>
        </w:rPr>
      </w:pPr>
      <w:hyperlink w:anchor="_Toc39868205" w:history="1">
        <w:r w:rsidRPr="00894EDB">
          <w:rPr>
            <w:rStyle w:val="Hyperlink"/>
            <w:noProof/>
          </w:rPr>
          <w:t>4.4 Discussion</w:t>
        </w:r>
        <w:r>
          <w:rPr>
            <w:noProof/>
            <w:webHidden/>
          </w:rPr>
          <w:tab/>
        </w:r>
        <w:r>
          <w:rPr>
            <w:noProof/>
            <w:webHidden/>
          </w:rPr>
          <w:fldChar w:fldCharType="begin"/>
        </w:r>
        <w:r>
          <w:rPr>
            <w:noProof/>
            <w:webHidden/>
          </w:rPr>
          <w:instrText xml:space="preserve"> PAGEREF _Toc39868205 \h </w:instrText>
        </w:r>
        <w:r>
          <w:rPr>
            <w:noProof/>
            <w:webHidden/>
          </w:rPr>
        </w:r>
        <w:r>
          <w:rPr>
            <w:noProof/>
            <w:webHidden/>
          </w:rPr>
          <w:fldChar w:fldCharType="separate"/>
        </w:r>
        <w:r>
          <w:rPr>
            <w:noProof/>
            <w:webHidden/>
          </w:rPr>
          <w:t>83</w:t>
        </w:r>
        <w:r>
          <w:rPr>
            <w:noProof/>
            <w:webHidden/>
          </w:rPr>
          <w:fldChar w:fldCharType="end"/>
        </w:r>
      </w:hyperlink>
    </w:p>
    <w:p w14:paraId="4FC29C8D" w14:textId="5D828238" w:rsidR="009425BE" w:rsidRDefault="009425BE">
      <w:pPr>
        <w:pStyle w:val="TOC2"/>
        <w:tabs>
          <w:tab w:val="right" w:leader="dot" w:pos="8486"/>
        </w:tabs>
        <w:rPr>
          <w:rFonts w:eastAsiaTheme="minorEastAsia" w:cstheme="minorBidi"/>
          <w:noProof/>
          <w:sz w:val="22"/>
          <w:szCs w:val="22"/>
          <w:lang w:bidi="ar-SA"/>
        </w:rPr>
      </w:pPr>
      <w:hyperlink w:anchor="_Toc39868206" w:history="1">
        <w:r w:rsidRPr="00894EDB">
          <w:rPr>
            <w:rStyle w:val="Hyperlink"/>
            <w:noProof/>
          </w:rPr>
          <w:t>4.5 Conclusions</w:t>
        </w:r>
        <w:r>
          <w:rPr>
            <w:noProof/>
            <w:webHidden/>
          </w:rPr>
          <w:tab/>
        </w:r>
        <w:r>
          <w:rPr>
            <w:noProof/>
            <w:webHidden/>
          </w:rPr>
          <w:fldChar w:fldCharType="begin"/>
        </w:r>
        <w:r>
          <w:rPr>
            <w:noProof/>
            <w:webHidden/>
          </w:rPr>
          <w:instrText xml:space="preserve"> PAGEREF _Toc39868206 \h </w:instrText>
        </w:r>
        <w:r>
          <w:rPr>
            <w:noProof/>
            <w:webHidden/>
          </w:rPr>
        </w:r>
        <w:r>
          <w:rPr>
            <w:noProof/>
            <w:webHidden/>
          </w:rPr>
          <w:fldChar w:fldCharType="separate"/>
        </w:r>
        <w:r>
          <w:rPr>
            <w:noProof/>
            <w:webHidden/>
          </w:rPr>
          <w:t>84</w:t>
        </w:r>
        <w:r>
          <w:rPr>
            <w:noProof/>
            <w:webHidden/>
          </w:rPr>
          <w:fldChar w:fldCharType="end"/>
        </w:r>
      </w:hyperlink>
    </w:p>
    <w:p w14:paraId="77FCB9CA" w14:textId="3909D09C" w:rsidR="009425BE" w:rsidRDefault="009425BE">
      <w:pPr>
        <w:pStyle w:val="TOC1"/>
        <w:rPr>
          <w:rFonts w:eastAsiaTheme="minorEastAsia" w:cstheme="minorBidi"/>
          <w:noProof/>
          <w:sz w:val="22"/>
          <w:szCs w:val="22"/>
          <w:lang w:bidi="ar-SA"/>
        </w:rPr>
      </w:pPr>
      <w:hyperlink w:anchor="_Toc39868207" w:history="1">
        <w:r w:rsidRPr="00894EDB">
          <w:rPr>
            <w:rStyle w:val="Hyperlink"/>
            <w:noProof/>
          </w:rPr>
          <w:t>Chapter 5: Conclusions and Future Outlook</w:t>
        </w:r>
        <w:r>
          <w:rPr>
            <w:noProof/>
            <w:webHidden/>
          </w:rPr>
          <w:tab/>
        </w:r>
        <w:r>
          <w:rPr>
            <w:noProof/>
            <w:webHidden/>
          </w:rPr>
          <w:fldChar w:fldCharType="begin"/>
        </w:r>
        <w:r>
          <w:rPr>
            <w:noProof/>
            <w:webHidden/>
          </w:rPr>
          <w:instrText xml:space="preserve"> PAGEREF _Toc39868207 \h </w:instrText>
        </w:r>
        <w:r>
          <w:rPr>
            <w:noProof/>
            <w:webHidden/>
          </w:rPr>
        </w:r>
        <w:r>
          <w:rPr>
            <w:noProof/>
            <w:webHidden/>
          </w:rPr>
          <w:fldChar w:fldCharType="separate"/>
        </w:r>
        <w:r>
          <w:rPr>
            <w:noProof/>
            <w:webHidden/>
          </w:rPr>
          <w:t>85</w:t>
        </w:r>
        <w:r>
          <w:rPr>
            <w:noProof/>
            <w:webHidden/>
          </w:rPr>
          <w:fldChar w:fldCharType="end"/>
        </w:r>
      </w:hyperlink>
    </w:p>
    <w:p w14:paraId="35708227" w14:textId="6713387C" w:rsidR="009425BE" w:rsidRDefault="009425BE">
      <w:pPr>
        <w:pStyle w:val="TOC1"/>
        <w:rPr>
          <w:rFonts w:eastAsiaTheme="minorEastAsia" w:cstheme="minorBidi"/>
          <w:noProof/>
          <w:sz w:val="22"/>
          <w:szCs w:val="22"/>
          <w:lang w:bidi="ar-SA"/>
        </w:rPr>
      </w:pPr>
      <w:hyperlink w:anchor="_Toc39868208" w:history="1">
        <w:r w:rsidRPr="00894EDB">
          <w:rPr>
            <w:rStyle w:val="Hyperlink"/>
            <w:noProof/>
          </w:rPr>
          <w:t>References</w:t>
        </w:r>
        <w:r>
          <w:rPr>
            <w:noProof/>
            <w:webHidden/>
          </w:rPr>
          <w:tab/>
        </w:r>
        <w:r>
          <w:rPr>
            <w:noProof/>
            <w:webHidden/>
          </w:rPr>
          <w:fldChar w:fldCharType="begin"/>
        </w:r>
        <w:r>
          <w:rPr>
            <w:noProof/>
            <w:webHidden/>
          </w:rPr>
          <w:instrText xml:space="preserve"> PAGEREF _Toc39868208 \h </w:instrText>
        </w:r>
        <w:r>
          <w:rPr>
            <w:noProof/>
            <w:webHidden/>
          </w:rPr>
        </w:r>
        <w:r>
          <w:rPr>
            <w:noProof/>
            <w:webHidden/>
          </w:rPr>
          <w:fldChar w:fldCharType="separate"/>
        </w:r>
        <w:r>
          <w:rPr>
            <w:noProof/>
            <w:webHidden/>
          </w:rPr>
          <w:t>88</w:t>
        </w:r>
        <w:r>
          <w:rPr>
            <w:noProof/>
            <w:webHidden/>
          </w:rPr>
          <w:fldChar w:fldCharType="end"/>
        </w:r>
      </w:hyperlink>
    </w:p>
    <w:p w14:paraId="383DF11A" w14:textId="2F4E14F4" w:rsidR="009425BE" w:rsidRDefault="009425BE">
      <w:pPr>
        <w:pStyle w:val="TOC1"/>
        <w:tabs>
          <w:tab w:val="left" w:pos="3850"/>
        </w:tabs>
        <w:rPr>
          <w:rFonts w:eastAsiaTheme="minorEastAsia" w:cstheme="minorBidi"/>
          <w:noProof/>
          <w:sz w:val="22"/>
          <w:szCs w:val="22"/>
          <w:lang w:bidi="ar-SA"/>
        </w:rPr>
      </w:pPr>
      <w:hyperlink w:anchor="_Toc39868209" w:history="1">
        <w:r w:rsidRPr="00894EDB">
          <w:rPr>
            <w:rStyle w:val="Hyperlink"/>
            <w:noProof/>
          </w:rPr>
          <w:t xml:space="preserve">Appendix 1: Chapter 2 Supplemental </w:t>
        </w:r>
        <w:r>
          <w:rPr>
            <w:rFonts w:eastAsiaTheme="minorEastAsia" w:cstheme="minorBidi"/>
            <w:noProof/>
            <w:sz w:val="22"/>
            <w:szCs w:val="22"/>
            <w:lang w:bidi="ar-SA"/>
          </w:rPr>
          <w:tab/>
        </w:r>
        <w:r>
          <w:rPr>
            <w:noProof/>
            <w:webHidden/>
          </w:rPr>
          <w:tab/>
        </w:r>
        <w:r>
          <w:rPr>
            <w:noProof/>
            <w:webHidden/>
          </w:rPr>
          <w:fldChar w:fldCharType="begin"/>
        </w:r>
        <w:r>
          <w:rPr>
            <w:noProof/>
            <w:webHidden/>
          </w:rPr>
          <w:instrText xml:space="preserve"> PAGEREF _Toc39868209 \h </w:instrText>
        </w:r>
        <w:r>
          <w:rPr>
            <w:noProof/>
            <w:webHidden/>
          </w:rPr>
        </w:r>
        <w:r>
          <w:rPr>
            <w:noProof/>
            <w:webHidden/>
          </w:rPr>
          <w:fldChar w:fldCharType="separate"/>
        </w:r>
        <w:r>
          <w:rPr>
            <w:noProof/>
            <w:webHidden/>
          </w:rPr>
          <w:t>105</w:t>
        </w:r>
        <w:r>
          <w:rPr>
            <w:noProof/>
            <w:webHidden/>
          </w:rPr>
          <w:fldChar w:fldCharType="end"/>
        </w:r>
      </w:hyperlink>
    </w:p>
    <w:p w14:paraId="3B57519B" w14:textId="47D314FE" w:rsidR="009425BE" w:rsidRDefault="009425BE">
      <w:pPr>
        <w:pStyle w:val="TOC1"/>
        <w:rPr>
          <w:rFonts w:eastAsiaTheme="minorEastAsia" w:cstheme="minorBidi"/>
          <w:noProof/>
          <w:sz w:val="22"/>
          <w:szCs w:val="22"/>
          <w:lang w:bidi="ar-SA"/>
        </w:rPr>
      </w:pPr>
      <w:hyperlink w:anchor="_Toc39868210" w:history="1">
        <w:r w:rsidRPr="00894EDB">
          <w:rPr>
            <w:rStyle w:val="Hyperlink"/>
            <w:noProof/>
          </w:rPr>
          <w:t xml:space="preserve">Appendix 2: Chapter 3 Supplemental </w:t>
        </w:r>
        <w:r>
          <w:rPr>
            <w:noProof/>
            <w:webHidden/>
          </w:rPr>
          <w:tab/>
        </w:r>
        <w:r>
          <w:rPr>
            <w:noProof/>
            <w:webHidden/>
          </w:rPr>
          <w:fldChar w:fldCharType="begin"/>
        </w:r>
        <w:r>
          <w:rPr>
            <w:noProof/>
            <w:webHidden/>
          </w:rPr>
          <w:instrText xml:space="preserve"> PAGEREF _Toc39868210 \h </w:instrText>
        </w:r>
        <w:r>
          <w:rPr>
            <w:noProof/>
            <w:webHidden/>
          </w:rPr>
        </w:r>
        <w:r>
          <w:rPr>
            <w:noProof/>
            <w:webHidden/>
          </w:rPr>
          <w:fldChar w:fldCharType="separate"/>
        </w:r>
        <w:r>
          <w:rPr>
            <w:noProof/>
            <w:webHidden/>
          </w:rPr>
          <w:t>112</w:t>
        </w:r>
        <w:r>
          <w:rPr>
            <w:noProof/>
            <w:webHidden/>
          </w:rPr>
          <w:fldChar w:fldCharType="end"/>
        </w:r>
      </w:hyperlink>
    </w:p>
    <w:p w14:paraId="1FE27503" w14:textId="0DF2660D" w:rsidR="009425BE" w:rsidRDefault="009425BE">
      <w:pPr>
        <w:pStyle w:val="TOC1"/>
        <w:rPr>
          <w:rFonts w:eastAsiaTheme="minorEastAsia" w:cstheme="minorBidi"/>
          <w:noProof/>
          <w:sz w:val="22"/>
          <w:szCs w:val="22"/>
          <w:lang w:bidi="ar-SA"/>
        </w:rPr>
      </w:pPr>
      <w:hyperlink w:anchor="_Toc39868211" w:history="1">
        <w:r w:rsidRPr="00894EDB">
          <w:rPr>
            <w:rStyle w:val="Hyperlink"/>
            <w:noProof/>
          </w:rPr>
          <w:t>Appendix 3: Chapter 4 Supplemental</w:t>
        </w:r>
        <w:r>
          <w:rPr>
            <w:noProof/>
            <w:webHidden/>
          </w:rPr>
          <w:tab/>
        </w:r>
        <w:r>
          <w:rPr>
            <w:noProof/>
            <w:webHidden/>
          </w:rPr>
          <w:fldChar w:fldCharType="begin"/>
        </w:r>
        <w:r>
          <w:rPr>
            <w:noProof/>
            <w:webHidden/>
          </w:rPr>
          <w:instrText xml:space="preserve"> PAGEREF _Toc39868211 \h </w:instrText>
        </w:r>
        <w:r>
          <w:rPr>
            <w:noProof/>
            <w:webHidden/>
          </w:rPr>
        </w:r>
        <w:r>
          <w:rPr>
            <w:noProof/>
            <w:webHidden/>
          </w:rPr>
          <w:fldChar w:fldCharType="separate"/>
        </w:r>
        <w:r>
          <w:rPr>
            <w:noProof/>
            <w:webHidden/>
          </w:rPr>
          <w:t>115</w:t>
        </w:r>
        <w:r>
          <w:rPr>
            <w:noProof/>
            <w:webHidden/>
          </w:rPr>
          <w:fldChar w:fldCharType="end"/>
        </w:r>
      </w:hyperlink>
    </w:p>
    <w:p w14:paraId="4C5B65CC" w14:textId="774AF08B" w:rsidR="00DA1971" w:rsidRDefault="00F7122D" w:rsidP="00DA1971">
      <w:r>
        <w:fldChar w:fldCharType="end"/>
      </w:r>
      <w:r w:rsidR="00C92079">
        <w:t xml:space="preserve"> </w:t>
      </w:r>
    </w:p>
    <w:p w14:paraId="697704C3" w14:textId="689F6B4C" w:rsidR="004A7222" w:rsidRDefault="00DA1971" w:rsidP="000849BF">
      <w:pPr>
        <w:pStyle w:val="Heading1"/>
      </w:pPr>
      <w:r>
        <w:br w:type="page"/>
      </w:r>
      <w:bookmarkStart w:id="2" w:name="_Toc310579465"/>
      <w:bookmarkStart w:id="3" w:name="_Toc39868127"/>
      <w:r>
        <w:lastRenderedPageBreak/>
        <w:t>List of Tables</w:t>
      </w:r>
      <w:bookmarkEnd w:id="2"/>
      <w:bookmarkEnd w:id="3"/>
    </w:p>
    <w:p w14:paraId="03D3DFFA" w14:textId="496D449E" w:rsidR="009425BE"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9868212" w:history="1">
        <w:r w:rsidR="009425BE" w:rsidRPr="00467A4D">
          <w:rPr>
            <w:rStyle w:val="Hyperlink"/>
            <w:b/>
            <w:noProof/>
          </w:rPr>
          <w:t>Table 1</w:t>
        </w:r>
        <w:r w:rsidR="009425BE" w:rsidRPr="00467A4D">
          <w:rPr>
            <w:rStyle w:val="Hyperlink"/>
            <w:bCs/>
            <w:noProof/>
          </w:rPr>
          <w:t>: Quantification of intracellular gemcitabine in T24 and K562 cells using the Single-Probe (T24) or Single-probe/ICMP (K562) method</w:t>
        </w:r>
        <w:r w:rsidR="009425BE">
          <w:rPr>
            <w:noProof/>
            <w:webHidden/>
          </w:rPr>
          <w:tab/>
        </w:r>
        <w:r w:rsidR="009425BE">
          <w:rPr>
            <w:noProof/>
            <w:webHidden/>
          </w:rPr>
          <w:fldChar w:fldCharType="begin"/>
        </w:r>
        <w:r w:rsidR="009425BE">
          <w:rPr>
            <w:noProof/>
            <w:webHidden/>
          </w:rPr>
          <w:instrText xml:space="preserve"> PAGEREF _Toc39868212 \h </w:instrText>
        </w:r>
        <w:r w:rsidR="009425BE">
          <w:rPr>
            <w:noProof/>
            <w:webHidden/>
          </w:rPr>
        </w:r>
        <w:r w:rsidR="009425BE">
          <w:rPr>
            <w:noProof/>
            <w:webHidden/>
          </w:rPr>
          <w:fldChar w:fldCharType="separate"/>
        </w:r>
        <w:r w:rsidR="009425BE">
          <w:rPr>
            <w:noProof/>
            <w:webHidden/>
          </w:rPr>
          <w:t>76</w:t>
        </w:r>
        <w:r w:rsidR="009425BE">
          <w:rPr>
            <w:noProof/>
            <w:webHidden/>
          </w:rPr>
          <w:fldChar w:fldCharType="end"/>
        </w:r>
      </w:hyperlink>
    </w:p>
    <w:p w14:paraId="7244299F" w14:textId="68255019" w:rsidR="009425BE" w:rsidRDefault="009425BE">
      <w:pPr>
        <w:pStyle w:val="TableofFigures"/>
        <w:tabs>
          <w:tab w:val="right" w:leader="dot" w:pos="8486"/>
        </w:tabs>
        <w:rPr>
          <w:rFonts w:eastAsiaTheme="minorEastAsia" w:cstheme="minorBidi"/>
          <w:noProof/>
          <w:sz w:val="22"/>
          <w:szCs w:val="22"/>
          <w:lang w:bidi="ar-SA"/>
        </w:rPr>
      </w:pPr>
      <w:hyperlink w:anchor="_Toc39868213" w:history="1">
        <w:r w:rsidRPr="00467A4D">
          <w:rPr>
            <w:rStyle w:val="Hyperlink"/>
            <w:b/>
            <w:bCs/>
            <w:noProof/>
          </w:rPr>
          <w:t>Table 2:</w:t>
        </w:r>
        <w:r w:rsidRPr="00467A4D">
          <w:rPr>
            <w:rStyle w:val="Hyperlink"/>
            <w:noProof/>
          </w:rPr>
          <w:t xml:space="preserve"> Concentration of intracellular gemcitabine in K562 cells using SCMS and LCMS.</w:t>
        </w:r>
        <w:r>
          <w:rPr>
            <w:noProof/>
            <w:webHidden/>
          </w:rPr>
          <w:tab/>
        </w:r>
        <w:r>
          <w:rPr>
            <w:noProof/>
            <w:webHidden/>
          </w:rPr>
          <w:fldChar w:fldCharType="begin"/>
        </w:r>
        <w:r>
          <w:rPr>
            <w:noProof/>
            <w:webHidden/>
          </w:rPr>
          <w:instrText xml:space="preserve"> PAGEREF _Toc39868213 \h </w:instrText>
        </w:r>
        <w:r>
          <w:rPr>
            <w:noProof/>
            <w:webHidden/>
          </w:rPr>
        </w:r>
        <w:r>
          <w:rPr>
            <w:noProof/>
            <w:webHidden/>
          </w:rPr>
          <w:fldChar w:fldCharType="separate"/>
        </w:r>
        <w:r>
          <w:rPr>
            <w:noProof/>
            <w:webHidden/>
          </w:rPr>
          <w:t>81</w:t>
        </w:r>
        <w:r>
          <w:rPr>
            <w:noProof/>
            <w:webHidden/>
          </w:rPr>
          <w:fldChar w:fldCharType="end"/>
        </w:r>
      </w:hyperlink>
    </w:p>
    <w:p w14:paraId="6F8E52EA" w14:textId="24A47D4A" w:rsidR="00DE1EF7" w:rsidRDefault="00F7122D" w:rsidP="00DE1EF7">
      <w:r>
        <w:fldChar w:fldCharType="end"/>
      </w:r>
    </w:p>
    <w:p w14:paraId="631D5A33" w14:textId="2FBE40DB" w:rsidR="004A7222" w:rsidRPr="00EE3EDB" w:rsidRDefault="00DA1971" w:rsidP="000849BF">
      <w:pPr>
        <w:pStyle w:val="Heading1"/>
      </w:pPr>
      <w:r>
        <w:br w:type="page"/>
      </w:r>
      <w:bookmarkStart w:id="4" w:name="_Toc310579466"/>
      <w:bookmarkStart w:id="5" w:name="_Toc39868128"/>
      <w:sdt>
        <w:sdtPr>
          <w:rPr>
            <w:b w:val="0"/>
            <w:bCs w:val="0"/>
          </w:r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14:paraId="762838AB" w14:textId="21C2FC4C" w:rsidR="009425BE"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r:id="rId11" w:anchor="_Toc39868214" w:history="1">
        <w:r w:rsidR="009425BE" w:rsidRPr="00B944BD">
          <w:rPr>
            <w:rStyle w:val="Hyperlink"/>
            <w:noProof/>
          </w:rPr>
          <w:t>Figure 1: OSBP/ORP Binding Ligand 25-hydroxycholesterol (1) and OSW-1 (2)</w:t>
        </w:r>
        <w:r w:rsidR="009425BE">
          <w:rPr>
            <w:noProof/>
            <w:webHidden/>
          </w:rPr>
          <w:tab/>
        </w:r>
        <w:r w:rsidR="009425BE">
          <w:rPr>
            <w:noProof/>
            <w:webHidden/>
          </w:rPr>
          <w:fldChar w:fldCharType="begin"/>
        </w:r>
        <w:r w:rsidR="009425BE">
          <w:rPr>
            <w:noProof/>
            <w:webHidden/>
          </w:rPr>
          <w:instrText xml:space="preserve"> PAGEREF _Toc39868214 \h </w:instrText>
        </w:r>
        <w:r w:rsidR="009425BE">
          <w:rPr>
            <w:noProof/>
            <w:webHidden/>
          </w:rPr>
        </w:r>
        <w:r w:rsidR="009425BE">
          <w:rPr>
            <w:noProof/>
            <w:webHidden/>
          </w:rPr>
          <w:fldChar w:fldCharType="separate"/>
        </w:r>
        <w:r w:rsidR="009425BE">
          <w:rPr>
            <w:noProof/>
            <w:webHidden/>
          </w:rPr>
          <w:t>5</w:t>
        </w:r>
        <w:r w:rsidR="009425BE">
          <w:rPr>
            <w:noProof/>
            <w:webHidden/>
          </w:rPr>
          <w:fldChar w:fldCharType="end"/>
        </w:r>
      </w:hyperlink>
    </w:p>
    <w:p w14:paraId="0012FF85" w14:textId="13FC3CC6" w:rsidR="009425BE" w:rsidRDefault="009425BE">
      <w:pPr>
        <w:pStyle w:val="TableofFigures"/>
        <w:tabs>
          <w:tab w:val="right" w:leader="dot" w:pos="8486"/>
        </w:tabs>
        <w:rPr>
          <w:rFonts w:eastAsiaTheme="minorEastAsia" w:cstheme="minorBidi"/>
          <w:noProof/>
          <w:sz w:val="22"/>
          <w:szCs w:val="22"/>
          <w:lang w:bidi="ar-SA"/>
        </w:rPr>
      </w:pPr>
      <w:hyperlink r:id="rId12" w:anchor="_Toc39868215" w:history="1">
        <w:r w:rsidRPr="00B944BD">
          <w:rPr>
            <w:rStyle w:val="Hyperlink"/>
            <w:noProof/>
          </w:rPr>
          <w:t>Figure 2: Oxysterol-Binding Protein Family.</w:t>
        </w:r>
        <w:r w:rsidRPr="00B944BD">
          <w:rPr>
            <w:rStyle w:val="Hyperlink"/>
            <w:noProof/>
            <w:vertAlign w:val="superscript"/>
          </w:rPr>
          <w:t>142</w:t>
        </w:r>
        <w:r>
          <w:rPr>
            <w:noProof/>
            <w:webHidden/>
          </w:rPr>
          <w:tab/>
        </w:r>
        <w:r>
          <w:rPr>
            <w:noProof/>
            <w:webHidden/>
          </w:rPr>
          <w:fldChar w:fldCharType="begin"/>
        </w:r>
        <w:r>
          <w:rPr>
            <w:noProof/>
            <w:webHidden/>
          </w:rPr>
          <w:instrText xml:space="preserve"> PAGEREF _Toc39868215 \h </w:instrText>
        </w:r>
        <w:r>
          <w:rPr>
            <w:noProof/>
            <w:webHidden/>
          </w:rPr>
        </w:r>
        <w:r>
          <w:rPr>
            <w:noProof/>
            <w:webHidden/>
          </w:rPr>
          <w:fldChar w:fldCharType="separate"/>
        </w:r>
        <w:r>
          <w:rPr>
            <w:noProof/>
            <w:webHidden/>
          </w:rPr>
          <w:t>6</w:t>
        </w:r>
        <w:r>
          <w:rPr>
            <w:noProof/>
            <w:webHidden/>
          </w:rPr>
          <w:fldChar w:fldCharType="end"/>
        </w:r>
      </w:hyperlink>
    </w:p>
    <w:p w14:paraId="73E14D7B" w14:textId="68FCE4E4" w:rsidR="009425BE" w:rsidRDefault="009425BE">
      <w:pPr>
        <w:pStyle w:val="TableofFigures"/>
        <w:tabs>
          <w:tab w:val="right" w:leader="dot" w:pos="8486"/>
        </w:tabs>
        <w:rPr>
          <w:rFonts w:eastAsiaTheme="minorEastAsia" w:cstheme="minorBidi"/>
          <w:noProof/>
          <w:sz w:val="22"/>
          <w:szCs w:val="22"/>
          <w:lang w:bidi="ar-SA"/>
        </w:rPr>
      </w:pPr>
      <w:hyperlink r:id="rId13" w:anchor="_Toc39868216" w:history="1">
        <w:r w:rsidRPr="00B944BD">
          <w:rPr>
            <w:rStyle w:val="Hyperlink"/>
            <w:noProof/>
          </w:rPr>
          <w:t xml:space="preserve">Figure 3: </w:t>
        </w:r>
        <w:r w:rsidRPr="00B944BD">
          <w:rPr>
            <w:rStyle w:val="Hyperlink"/>
            <w:rFonts w:asciiTheme="majorHAnsi" w:hAnsiTheme="majorHAnsi" w:cstheme="majorHAnsi"/>
            <w:noProof/>
          </w:rPr>
          <w:t>Research Dissertation Schematic. Development of OSW-1 for antiviral/ anticancer therapeutic and methodology for gemcitabine chemotherapeutic monitoring.</w:t>
        </w:r>
        <w:r>
          <w:rPr>
            <w:noProof/>
            <w:webHidden/>
          </w:rPr>
          <w:tab/>
        </w:r>
        <w:r>
          <w:rPr>
            <w:noProof/>
            <w:webHidden/>
          </w:rPr>
          <w:fldChar w:fldCharType="begin"/>
        </w:r>
        <w:r>
          <w:rPr>
            <w:noProof/>
            <w:webHidden/>
          </w:rPr>
          <w:instrText xml:space="preserve"> PAGEREF _Toc39868216 \h </w:instrText>
        </w:r>
        <w:r>
          <w:rPr>
            <w:noProof/>
            <w:webHidden/>
          </w:rPr>
        </w:r>
        <w:r>
          <w:rPr>
            <w:noProof/>
            <w:webHidden/>
          </w:rPr>
          <w:fldChar w:fldCharType="separate"/>
        </w:r>
        <w:r>
          <w:rPr>
            <w:noProof/>
            <w:webHidden/>
          </w:rPr>
          <w:t>11</w:t>
        </w:r>
        <w:r>
          <w:rPr>
            <w:noProof/>
            <w:webHidden/>
          </w:rPr>
          <w:fldChar w:fldCharType="end"/>
        </w:r>
      </w:hyperlink>
    </w:p>
    <w:p w14:paraId="2566626B" w14:textId="5AF5CC2F" w:rsidR="009425BE" w:rsidRDefault="009425BE">
      <w:pPr>
        <w:pStyle w:val="TableofFigures"/>
        <w:tabs>
          <w:tab w:val="right" w:leader="dot" w:pos="8486"/>
        </w:tabs>
        <w:rPr>
          <w:rFonts w:eastAsiaTheme="minorEastAsia" w:cstheme="minorBidi"/>
          <w:noProof/>
          <w:sz w:val="22"/>
          <w:szCs w:val="22"/>
          <w:lang w:bidi="ar-SA"/>
        </w:rPr>
      </w:pPr>
      <w:hyperlink r:id="rId14" w:anchor="_Toc39868217" w:history="1">
        <w:r w:rsidRPr="00B944BD">
          <w:rPr>
            <w:rStyle w:val="Hyperlink"/>
            <w:noProof/>
          </w:rPr>
          <w:t>Figure 4: OSW-1 competitive binding to the human OSBP and ORP4 protein against 25-OHC.</w:t>
        </w:r>
        <w:r>
          <w:rPr>
            <w:noProof/>
            <w:webHidden/>
          </w:rPr>
          <w:tab/>
        </w:r>
        <w:r>
          <w:rPr>
            <w:noProof/>
            <w:webHidden/>
          </w:rPr>
          <w:fldChar w:fldCharType="begin"/>
        </w:r>
        <w:r>
          <w:rPr>
            <w:noProof/>
            <w:webHidden/>
          </w:rPr>
          <w:instrText xml:space="preserve"> PAGEREF _Toc39868217 \h </w:instrText>
        </w:r>
        <w:r>
          <w:rPr>
            <w:noProof/>
            <w:webHidden/>
          </w:rPr>
        </w:r>
        <w:r>
          <w:rPr>
            <w:noProof/>
            <w:webHidden/>
          </w:rPr>
          <w:fldChar w:fldCharType="separate"/>
        </w:r>
        <w:r>
          <w:rPr>
            <w:noProof/>
            <w:webHidden/>
          </w:rPr>
          <w:t>23</w:t>
        </w:r>
        <w:r>
          <w:rPr>
            <w:noProof/>
            <w:webHidden/>
          </w:rPr>
          <w:fldChar w:fldCharType="end"/>
        </w:r>
      </w:hyperlink>
    </w:p>
    <w:p w14:paraId="63DA785D" w14:textId="33EFE774" w:rsidR="009425BE" w:rsidRDefault="009425BE">
      <w:pPr>
        <w:pStyle w:val="TableofFigures"/>
        <w:tabs>
          <w:tab w:val="right" w:leader="dot" w:pos="8486"/>
        </w:tabs>
        <w:rPr>
          <w:rFonts w:eastAsiaTheme="minorEastAsia" w:cstheme="minorBidi"/>
          <w:noProof/>
          <w:sz w:val="22"/>
          <w:szCs w:val="22"/>
          <w:lang w:bidi="ar-SA"/>
        </w:rPr>
      </w:pPr>
      <w:hyperlink r:id="rId15" w:anchor="_Toc39868218" w:history="1">
        <w:r w:rsidRPr="00B944BD">
          <w:rPr>
            <w:rStyle w:val="Hyperlink"/>
            <w:noProof/>
          </w:rPr>
          <w:t>Figure 5: OSW-1 degrades the OSBP protein in a time and concentration dependent manner in HCT-116 cells  A) The OSW-1 molecule. B) OSBP and ORP4 Western blot following 1 nM OSW-1 treatment. C) A 6 h treatment of compound, followed by 3X wash and Western blot at the provided times. D) 1 nM OSW-1 treatment for the indicated time followed by 24 h recovery. E) 1 nM OSW-1 treatment for the indicated time followed by 24 h recovery. F)  1 hr treatment at indicated OSW-1 concentrations  followed by 24 hr recovery.</w:t>
        </w:r>
        <w:r>
          <w:rPr>
            <w:noProof/>
            <w:webHidden/>
          </w:rPr>
          <w:tab/>
        </w:r>
        <w:r>
          <w:rPr>
            <w:noProof/>
            <w:webHidden/>
          </w:rPr>
          <w:fldChar w:fldCharType="begin"/>
        </w:r>
        <w:r>
          <w:rPr>
            <w:noProof/>
            <w:webHidden/>
          </w:rPr>
          <w:instrText xml:space="preserve"> PAGEREF _Toc39868218 \h </w:instrText>
        </w:r>
        <w:r>
          <w:rPr>
            <w:noProof/>
            <w:webHidden/>
          </w:rPr>
        </w:r>
        <w:r>
          <w:rPr>
            <w:noProof/>
            <w:webHidden/>
          </w:rPr>
          <w:fldChar w:fldCharType="separate"/>
        </w:r>
        <w:r>
          <w:rPr>
            <w:noProof/>
            <w:webHidden/>
          </w:rPr>
          <w:t>25</w:t>
        </w:r>
        <w:r>
          <w:rPr>
            <w:noProof/>
            <w:webHidden/>
          </w:rPr>
          <w:fldChar w:fldCharType="end"/>
        </w:r>
      </w:hyperlink>
    </w:p>
    <w:p w14:paraId="4F486B4A" w14:textId="00876AA9" w:rsidR="009425BE" w:rsidRDefault="009425BE">
      <w:pPr>
        <w:pStyle w:val="TableofFigures"/>
        <w:tabs>
          <w:tab w:val="right" w:leader="dot" w:pos="8486"/>
        </w:tabs>
        <w:rPr>
          <w:rFonts w:eastAsiaTheme="minorEastAsia" w:cstheme="minorBidi"/>
          <w:noProof/>
          <w:sz w:val="22"/>
          <w:szCs w:val="22"/>
          <w:lang w:bidi="ar-SA"/>
        </w:rPr>
      </w:pPr>
      <w:hyperlink r:id="rId16" w:anchor="_Toc39868219" w:history="1">
        <w:r w:rsidRPr="00B944BD">
          <w:rPr>
            <w:rStyle w:val="Hyperlink"/>
            <w:noProof/>
          </w:rPr>
          <w:t>Figure 6: Liquid Chromatography Mass Spectrometry (LCMS) quantificaiton of OSW-1 at 0 h and 24 h post washout of a 100 nM treatment for 1 h. The deuterated OSW-1 analog (5 nM) is used as an internal standard for quantification.</w:t>
        </w:r>
        <w:r>
          <w:rPr>
            <w:noProof/>
            <w:webHidden/>
          </w:rPr>
          <w:tab/>
        </w:r>
        <w:r>
          <w:rPr>
            <w:noProof/>
            <w:webHidden/>
          </w:rPr>
          <w:fldChar w:fldCharType="begin"/>
        </w:r>
        <w:r>
          <w:rPr>
            <w:noProof/>
            <w:webHidden/>
          </w:rPr>
          <w:instrText xml:space="preserve"> PAGEREF _Toc39868219 \h </w:instrText>
        </w:r>
        <w:r>
          <w:rPr>
            <w:noProof/>
            <w:webHidden/>
          </w:rPr>
        </w:r>
        <w:r>
          <w:rPr>
            <w:noProof/>
            <w:webHidden/>
          </w:rPr>
          <w:fldChar w:fldCharType="separate"/>
        </w:r>
        <w:r>
          <w:rPr>
            <w:noProof/>
            <w:webHidden/>
          </w:rPr>
          <w:t>26</w:t>
        </w:r>
        <w:r>
          <w:rPr>
            <w:noProof/>
            <w:webHidden/>
          </w:rPr>
          <w:fldChar w:fldCharType="end"/>
        </w:r>
      </w:hyperlink>
    </w:p>
    <w:p w14:paraId="2848D81E" w14:textId="2A6BA8D6" w:rsidR="009425BE" w:rsidRDefault="009425BE">
      <w:pPr>
        <w:pStyle w:val="TableofFigures"/>
        <w:tabs>
          <w:tab w:val="right" w:leader="dot" w:pos="8486"/>
        </w:tabs>
        <w:rPr>
          <w:rFonts w:eastAsiaTheme="minorEastAsia" w:cstheme="minorBidi"/>
          <w:noProof/>
          <w:sz w:val="22"/>
          <w:szCs w:val="22"/>
          <w:lang w:bidi="ar-SA"/>
        </w:rPr>
      </w:pPr>
      <w:hyperlink r:id="rId17" w:anchor="_Toc39868220" w:history="1">
        <w:r w:rsidRPr="00B944BD">
          <w:rPr>
            <w:rStyle w:val="Hyperlink"/>
            <w:noProof/>
          </w:rPr>
          <w:t>Figure 7: Chromatogram of LCMS quantificaiton of OSW-1 (</w:t>
        </w:r>
        <w:r w:rsidRPr="00B944BD">
          <w:rPr>
            <w:rStyle w:val="Hyperlink"/>
            <w:i/>
            <w:iCs/>
            <w:noProof/>
          </w:rPr>
          <w:t xml:space="preserve">m/z </w:t>
        </w:r>
        <w:r w:rsidRPr="00B944BD">
          <w:rPr>
            <w:rStyle w:val="Hyperlink"/>
            <w:noProof/>
          </w:rPr>
          <w:t>895.44) at 0 h and 24 h post washout of a 100 nM treatment for 1 h. The deuterated OSW-1 analog (</w:t>
        </w:r>
        <w:r w:rsidRPr="00B944BD">
          <w:rPr>
            <w:rStyle w:val="Hyperlink"/>
            <w:i/>
            <w:iCs/>
            <w:noProof/>
          </w:rPr>
          <w:t xml:space="preserve">m/z </w:t>
        </w:r>
        <w:r w:rsidRPr="00B944BD">
          <w:rPr>
            <w:rStyle w:val="Hyperlink"/>
            <w:noProof/>
          </w:rPr>
          <w:t>898.46) (5 nM) is used as an internal standard for quantification.</w:t>
        </w:r>
        <w:r>
          <w:rPr>
            <w:noProof/>
            <w:webHidden/>
          </w:rPr>
          <w:tab/>
        </w:r>
        <w:r>
          <w:rPr>
            <w:noProof/>
            <w:webHidden/>
          </w:rPr>
          <w:fldChar w:fldCharType="begin"/>
        </w:r>
        <w:r>
          <w:rPr>
            <w:noProof/>
            <w:webHidden/>
          </w:rPr>
          <w:instrText xml:space="preserve"> PAGEREF _Toc39868220 \h </w:instrText>
        </w:r>
        <w:r>
          <w:rPr>
            <w:noProof/>
            <w:webHidden/>
          </w:rPr>
        </w:r>
        <w:r>
          <w:rPr>
            <w:noProof/>
            <w:webHidden/>
          </w:rPr>
          <w:fldChar w:fldCharType="separate"/>
        </w:r>
        <w:r>
          <w:rPr>
            <w:noProof/>
            <w:webHidden/>
          </w:rPr>
          <w:t>27</w:t>
        </w:r>
        <w:r>
          <w:rPr>
            <w:noProof/>
            <w:webHidden/>
          </w:rPr>
          <w:fldChar w:fldCharType="end"/>
        </w:r>
      </w:hyperlink>
    </w:p>
    <w:p w14:paraId="0D97AF66" w14:textId="635186FF" w:rsidR="009425BE" w:rsidRDefault="009425BE">
      <w:pPr>
        <w:pStyle w:val="TableofFigures"/>
        <w:tabs>
          <w:tab w:val="right" w:leader="dot" w:pos="8486"/>
        </w:tabs>
        <w:rPr>
          <w:rFonts w:eastAsiaTheme="minorEastAsia" w:cstheme="minorBidi"/>
          <w:noProof/>
          <w:sz w:val="22"/>
          <w:szCs w:val="22"/>
          <w:lang w:bidi="ar-SA"/>
        </w:rPr>
      </w:pPr>
      <w:hyperlink r:id="rId18" w:anchor="_Toc39868221" w:history="1">
        <w:r w:rsidRPr="00B944BD">
          <w:rPr>
            <w:rStyle w:val="Hyperlink"/>
            <w:noProof/>
          </w:rPr>
          <w:t>Figure 8: Single Cell Mass Spectrometry (SCMS) quantificaiton of OSW-1 at 0 hr and 24 hr post-washout of a 100 nM treatment for 1 hr. The deuterated OSW-1 analog (5 nM) is used as an internal standard for quantification.</w:t>
        </w:r>
        <w:r>
          <w:rPr>
            <w:noProof/>
            <w:webHidden/>
          </w:rPr>
          <w:tab/>
        </w:r>
        <w:r>
          <w:rPr>
            <w:noProof/>
            <w:webHidden/>
          </w:rPr>
          <w:fldChar w:fldCharType="begin"/>
        </w:r>
        <w:r>
          <w:rPr>
            <w:noProof/>
            <w:webHidden/>
          </w:rPr>
          <w:instrText xml:space="preserve"> PAGEREF _Toc39868221 \h </w:instrText>
        </w:r>
        <w:r>
          <w:rPr>
            <w:noProof/>
            <w:webHidden/>
          </w:rPr>
        </w:r>
        <w:r>
          <w:rPr>
            <w:noProof/>
            <w:webHidden/>
          </w:rPr>
          <w:fldChar w:fldCharType="separate"/>
        </w:r>
        <w:r>
          <w:rPr>
            <w:noProof/>
            <w:webHidden/>
          </w:rPr>
          <w:t>28</w:t>
        </w:r>
        <w:r>
          <w:rPr>
            <w:noProof/>
            <w:webHidden/>
          </w:rPr>
          <w:fldChar w:fldCharType="end"/>
        </w:r>
      </w:hyperlink>
    </w:p>
    <w:p w14:paraId="0F308DE3" w14:textId="15EBBEC6" w:rsidR="009425BE" w:rsidRDefault="009425BE">
      <w:pPr>
        <w:pStyle w:val="TableofFigures"/>
        <w:tabs>
          <w:tab w:val="right" w:leader="dot" w:pos="8486"/>
        </w:tabs>
        <w:rPr>
          <w:rFonts w:eastAsiaTheme="minorEastAsia" w:cstheme="minorBidi"/>
          <w:noProof/>
          <w:sz w:val="22"/>
          <w:szCs w:val="22"/>
          <w:lang w:bidi="ar-SA"/>
        </w:rPr>
      </w:pPr>
      <w:hyperlink r:id="rId19" w:anchor="_Toc39868222" w:history="1">
        <w:r w:rsidRPr="00B944BD">
          <w:rPr>
            <w:rStyle w:val="Hyperlink"/>
            <w:noProof/>
          </w:rPr>
          <w:t>Figure 9: Chromatogram of SCMS quantificaiton of OSW-1 (</w:t>
        </w:r>
        <w:r w:rsidRPr="00B944BD">
          <w:rPr>
            <w:rStyle w:val="Hyperlink"/>
            <w:i/>
            <w:iCs/>
            <w:noProof/>
          </w:rPr>
          <w:t xml:space="preserve">m/z </w:t>
        </w:r>
        <w:r w:rsidRPr="00B944BD">
          <w:rPr>
            <w:rStyle w:val="Hyperlink"/>
            <w:noProof/>
          </w:rPr>
          <w:t>895.44)  at 0 h and 24 h post washout of a 100 nM treatment for 1 h using an internal standard of deuterated OSW-1 (</w:t>
        </w:r>
        <w:r w:rsidRPr="00B944BD">
          <w:rPr>
            <w:rStyle w:val="Hyperlink"/>
            <w:i/>
            <w:iCs/>
            <w:noProof/>
          </w:rPr>
          <w:t xml:space="preserve">m/z </w:t>
        </w:r>
        <w:r w:rsidRPr="00B944BD">
          <w:rPr>
            <w:rStyle w:val="Hyperlink"/>
            <w:noProof/>
          </w:rPr>
          <w:t>898.46). Phosphatidylcholine (</w:t>
        </w:r>
        <w:r w:rsidRPr="00B944BD">
          <w:rPr>
            <w:rStyle w:val="Hyperlink"/>
            <w:i/>
            <w:iCs/>
            <w:noProof/>
          </w:rPr>
          <w:t xml:space="preserve">m/z </w:t>
        </w:r>
        <w:r w:rsidRPr="00B944BD">
          <w:rPr>
            <w:rStyle w:val="Hyperlink"/>
            <w:noProof/>
          </w:rPr>
          <w:t>782.56) is used as a marker of intraceullular content being analysed.</w:t>
        </w:r>
        <w:r>
          <w:rPr>
            <w:noProof/>
            <w:webHidden/>
          </w:rPr>
          <w:tab/>
        </w:r>
        <w:r>
          <w:rPr>
            <w:noProof/>
            <w:webHidden/>
          </w:rPr>
          <w:fldChar w:fldCharType="begin"/>
        </w:r>
        <w:r>
          <w:rPr>
            <w:noProof/>
            <w:webHidden/>
          </w:rPr>
          <w:instrText xml:space="preserve"> PAGEREF _Toc39868222 \h </w:instrText>
        </w:r>
        <w:r>
          <w:rPr>
            <w:noProof/>
            <w:webHidden/>
          </w:rPr>
        </w:r>
        <w:r>
          <w:rPr>
            <w:noProof/>
            <w:webHidden/>
          </w:rPr>
          <w:fldChar w:fldCharType="separate"/>
        </w:r>
        <w:r>
          <w:rPr>
            <w:noProof/>
            <w:webHidden/>
          </w:rPr>
          <w:t>29</w:t>
        </w:r>
        <w:r>
          <w:rPr>
            <w:noProof/>
            <w:webHidden/>
          </w:rPr>
          <w:fldChar w:fldCharType="end"/>
        </w:r>
      </w:hyperlink>
    </w:p>
    <w:p w14:paraId="54BFE8EC" w14:textId="68DD4B13" w:rsidR="009425BE" w:rsidRDefault="009425BE">
      <w:pPr>
        <w:pStyle w:val="TableofFigures"/>
        <w:tabs>
          <w:tab w:val="right" w:leader="dot" w:pos="8486"/>
        </w:tabs>
        <w:rPr>
          <w:rFonts w:eastAsiaTheme="minorEastAsia" w:cstheme="minorBidi"/>
          <w:noProof/>
          <w:sz w:val="22"/>
          <w:szCs w:val="22"/>
          <w:lang w:bidi="ar-SA"/>
        </w:rPr>
      </w:pPr>
      <w:hyperlink r:id="rId20" w:anchor="_Toc39868223" w:history="1">
        <w:r w:rsidRPr="00B944BD">
          <w:rPr>
            <w:rStyle w:val="Hyperlink"/>
            <w:noProof/>
          </w:rPr>
          <w:t xml:space="preserve">Figure 10: Western blot analysis of OSBP levels in HEK-293 cells of A) 24 h co-incubation of OSW-1 1 nM and calpain inhibitor ALLN 10 </w:t>
        </w:r>
        <w:r w:rsidRPr="00B944BD">
          <w:rPr>
            <w:rStyle w:val="Hyperlink"/>
            <w:rFonts w:cstheme="minorHAnsi"/>
            <w:noProof/>
          </w:rPr>
          <w:t>µ</w:t>
        </w:r>
        <w:r w:rsidRPr="00B944BD">
          <w:rPr>
            <w:rStyle w:val="Hyperlink"/>
            <w:noProof/>
          </w:rPr>
          <w:t>M, and B) following 6 h 1 nM treatment of OSW-1, washout, recovery for 24 h and treatment with calpain inhibitor, ALLN for an additional 24 h.</w:t>
        </w:r>
        <w:r>
          <w:rPr>
            <w:noProof/>
            <w:webHidden/>
          </w:rPr>
          <w:tab/>
        </w:r>
        <w:r>
          <w:rPr>
            <w:noProof/>
            <w:webHidden/>
          </w:rPr>
          <w:fldChar w:fldCharType="begin"/>
        </w:r>
        <w:r>
          <w:rPr>
            <w:noProof/>
            <w:webHidden/>
          </w:rPr>
          <w:instrText xml:space="preserve"> PAGEREF _Toc39868223 \h </w:instrText>
        </w:r>
        <w:r>
          <w:rPr>
            <w:noProof/>
            <w:webHidden/>
          </w:rPr>
        </w:r>
        <w:r>
          <w:rPr>
            <w:noProof/>
            <w:webHidden/>
          </w:rPr>
          <w:fldChar w:fldCharType="separate"/>
        </w:r>
        <w:r>
          <w:rPr>
            <w:noProof/>
            <w:webHidden/>
          </w:rPr>
          <w:t>30</w:t>
        </w:r>
        <w:r>
          <w:rPr>
            <w:noProof/>
            <w:webHidden/>
          </w:rPr>
          <w:fldChar w:fldCharType="end"/>
        </w:r>
      </w:hyperlink>
    </w:p>
    <w:p w14:paraId="61578D0F" w14:textId="02171F12" w:rsidR="009425BE" w:rsidRDefault="009425BE">
      <w:pPr>
        <w:pStyle w:val="TableofFigures"/>
        <w:tabs>
          <w:tab w:val="right" w:leader="dot" w:pos="8486"/>
        </w:tabs>
        <w:rPr>
          <w:rFonts w:eastAsiaTheme="minorEastAsia" w:cstheme="minorBidi"/>
          <w:noProof/>
          <w:sz w:val="22"/>
          <w:szCs w:val="22"/>
          <w:lang w:bidi="ar-SA"/>
        </w:rPr>
      </w:pPr>
      <w:hyperlink r:id="rId21" w:anchor="_Toc39868224" w:history="1">
        <w:r w:rsidRPr="00B944BD">
          <w:rPr>
            <w:rStyle w:val="Hyperlink"/>
            <w:noProof/>
          </w:rPr>
          <w:t>Figure 11: Competitive binding of OSW-1, THEV, TTP and ITZ to OSBP and ORP4 using the 25-OHC competitive binding assay. Example of results from one independent experiment shown.</w:t>
        </w:r>
        <w:r>
          <w:rPr>
            <w:noProof/>
            <w:webHidden/>
          </w:rPr>
          <w:tab/>
        </w:r>
        <w:r>
          <w:rPr>
            <w:noProof/>
            <w:webHidden/>
          </w:rPr>
          <w:fldChar w:fldCharType="begin"/>
        </w:r>
        <w:r>
          <w:rPr>
            <w:noProof/>
            <w:webHidden/>
          </w:rPr>
          <w:instrText xml:space="preserve"> PAGEREF _Toc39868224 \h </w:instrText>
        </w:r>
        <w:r>
          <w:rPr>
            <w:noProof/>
            <w:webHidden/>
          </w:rPr>
        </w:r>
        <w:r>
          <w:rPr>
            <w:noProof/>
            <w:webHidden/>
          </w:rPr>
          <w:fldChar w:fldCharType="separate"/>
        </w:r>
        <w:r>
          <w:rPr>
            <w:noProof/>
            <w:webHidden/>
          </w:rPr>
          <w:t>31</w:t>
        </w:r>
        <w:r>
          <w:rPr>
            <w:noProof/>
            <w:webHidden/>
          </w:rPr>
          <w:fldChar w:fldCharType="end"/>
        </w:r>
      </w:hyperlink>
    </w:p>
    <w:p w14:paraId="76CB64CB" w14:textId="0875B64A" w:rsidR="009425BE" w:rsidRDefault="009425BE">
      <w:pPr>
        <w:pStyle w:val="TableofFigures"/>
        <w:tabs>
          <w:tab w:val="right" w:leader="dot" w:pos="8486"/>
        </w:tabs>
        <w:rPr>
          <w:rFonts w:eastAsiaTheme="minorEastAsia" w:cstheme="minorBidi"/>
          <w:noProof/>
          <w:sz w:val="22"/>
          <w:szCs w:val="22"/>
          <w:lang w:bidi="ar-SA"/>
        </w:rPr>
      </w:pPr>
      <w:hyperlink r:id="rId22" w:anchor="_Toc39868225" w:history="1">
        <w:r w:rsidRPr="00B944BD">
          <w:rPr>
            <w:rStyle w:val="Hyperlink"/>
            <w:noProof/>
          </w:rPr>
          <w:t xml:space="preserve">Figure 12: Growth inhibition analysis of co-administration of OSW-1 with either 10 </w:t>
        </w:r>
        <w:r w:rsidRPr="00B944BD">
          <w:rPr>
            <w:rStyle w:val="Hyperlink"/>
            <w:rFonts w:cstheme="minorHAnsi"/>
            <w:noProof/>
          </w:rPr>
          <w:t>µ</w:t>
        </w:r>
        <w:r w:rsidRPr="00B944BD">
          <w:rPr>
            <w:rStyle w:val="Hyperlink"/>
            <w:noProof/>
          </w:rPr>
          <w:t>M of ITZ, TTP, or THEV2 following 48 h.</w:t>
        </w:r>
        <w:r>
          <w:rPr>
            <w:noProof/>
            <w:webHidden/>
          </w:rPr>
          <w:tab/>
        </w:r>
        <w:r>
          <w:rPr>
            <w:noProof/>
            <w:webHidden/>
          </w:rPr>
          <w:fldChar w:fldCharType="begin"/>
        </w:r>
        <w:r>
          <w:rPr>
            <w:noProof/>
            <w:webHidden/>
          </w:rPr>
          <w:instrText xml:space="preserve"> PAGEREF _Toc39868225 \h </w:instrText>
        </w:r>
        <w:r>
          <w:rPr>
            <w:noProof/>
            <w:webHidden/>
          </w:rPr>
        </w:r>
        <w:r>
          <w:rPr>
            <w:noProof/>
            <w:webHidden/>
          </w:rPr>
          <w:fldChar w:fldCharType="separate"/>
        </w:r>
        <w:r>
          <w:rPr>
            <w:noProof/>
            <w:webHidden/>
          </w:rPr>
          <w:t>32</w:t>
        </w:r>
        <w:r>
          <w:rPr>
            <w:noProof/>
            <w:webHidden/>
          </w:rPr>
          <w:fldChar w:fldCharType="end"/>
        </w:r>
      </w:hyperlink>
    </w:p>
    <w:p w14:paraId="73E6B29C" w14:textId="3313F0A1" w:rsidR="009425BE" w:rsidRDefault="009425BE">
      <w:pPr>
        <w:pStyle w:val="TableofFigures"/>
        <w:tabs>
          <w:tab w:val="right" w:leader="dot" w:pos="8486"/>
        </w:tabs>
        <w:rPr>
          <w:rFonts w:eastAsiaTheme="minorEastAsia" w:cstheme="minorBidi"/>
          <w:noProof/>
          <w:sz w:val="22"/>
          <w:szCs w:val="22"/>
          <w:lang w:bidi="ar-SA"/>
        </w:rPr>
      </w:pPr>
      <w:hyperlink r:id="rId23" w:anchor="_Toc39868226" w:history="1">
        <w:r w:rsidRPr="00B944BD">
          <w:rPr>
            <w:rStyle w:val="Hyperlink"/>
            <w:noProof/>
          </w:rPr>
          <w:t xml:space="preserve">Figure 13: A. Antiviral activity of TTP (10 </w:t>
        </w:r>
        <w:r w:rsidRPr="00B944BD">
          <w:rPr>
            <w:rStyle w:val="Hyperlink"/>
            <w:rFonts w:cstheme="minorHAnsi"/>
            <w:noProof/>
          </w:rPr>
          <w:t>µM)</w:t>
        </w:r>
        <w:r w:rsidRPr="00B944BD">
          <w:rPr>
            <w:rStyle w:val="Hyperlink"/>
            <w:noProof/>
          </w:rPr>
          <w:t xml:space="preserve">, ITZ (10 </w:t>
        </w:r>
        <w:r w:rsidRPr="00B944BD">
          <w:rPr>
            <w:rStyle w:val="Hyperlink"/>
            <w:rFonts w:cstheme="minorHAnsi"/>
            <w:noProof/>
          </w:rPr>
          <w:t>µM)</w:t>
        </w:r>
        <w:r w:rsidRPr="00B944BD">
          <w:rPr>
            <w:rStyle w:val="Hyperlink"/>
            <w:noProof/>
          </w:rPr>
          <w:t xml:space="preserve">, THEV2 (10 </w:t>
        </w:r>
        <w:r w:rsidRPr="00B944BD">
          <w:rPr>
            <w:rStyle w:val="Hyperlink"/>
            <w:rFonts w:cstheme="minorHAnsi"/>
            <w:noProof/>
          </w:rPr>
          <w:t>µM)</w:t>
        </w:r>
        <w:r w:rsidRPr="00B944BD">
          <w:rPr>
            <w:rStyle w:val="Hyperlink"/>
            <w:noProof/>
          </w:rPr>
          <w:t>, or OSW-1 (10 nM). Cells were inoculated with virus at an MOI of 1 and treated with compound for 10 h. B. Profilactic activity of each compound. Compounds were administered for 6 h, washed out, 24 h recovery, then infected with virus at MOI of 1 for 30 min infection with 10 h recovery. Data acquired by Dr. Blewit.</w:t>
        </w:r>
        <w:r>
          <w:rPr>
            <w:noProof/>
            <w:webHidden/>
          </w:rPr>
          <w:tab/>
        </w:r>
        <w:r>
          <w:rPr>
            <w:noProof/>
            <w:webHidden/>
          </w:rPr>
          <w:fldChar w:fldCharType="begin"/>
        </w:r>
        <w:r>
          <w:rPr>
            <w:noProof/>
            <w:webHidden/>
          </w:rPr>
          <w:instrText xml:space="preserve"> PAGEREF _Toc39868226 \h </w:instrText>
        </w:r>
        <w:r>
          <w:rPr>
            <w:noProof/>
            <w:webHidden/>
          </w:rPr>
        </w:r>
        <w:r>
          <w:rPr>
            <w:noProof/>
            <w:webHidden/>
          </w:rPr>
          <w:fldChar w:fldCharType="separate"/>
        </w:r>
        <w:r>
          <w:rPr>
            <w:noProof/>
            <w:webHidden/>
          </w:rPr>
          <w:t>33</w:t>
        </w:r>
        <w:r>
          <w:rPr>
            <w:noProof/>
            <w:webHidden/>
          </w:rPr>
          <w:fldChar w:fldCharType="end"/>
        </w:r>
      </w:hyperlink>
    </w:p>
    <w:p w14:paraId="745EF60B" w14:textId="6EFCB101" w:rsidR="009425BE" w:rsidRDefault="009425BE">
      <w:pPr>
        <w:pStyle w:val="TableofFigures"/>
        <w:tabs>
          <w:tab w:val="right" w:leader="dot" w:pos="8486"/>
        </w:tabs>
        <w:rPr>
          <w:rFonts w:eastAsiaTheme="minorEastAsia" w:cstheme="minorBidi"/>
          <w:noProof/>
          <w:sz w:val="22"/>
          <w:szCs w:val="22"/>
          <w:lang w:bidi="ar-SA"/>
        </w:rPr>
      </w:pPr>
      <w:hyperlink r:id="rId24" w:anchor="_Toc39868227" w:history="1">
        <w:r w:rsidRPr="00B944BD">
          <w:rPr>
            <w:rStyle w:val="Hyperlink"/>
            <w:noProof/>
          </w:rPr>
          <w:t xml:space="preserve">Figure 14: The antineoplastic compound, OSW-1, protein binding partner, ORP4, is a selectively expressed cancer protein. A.) The OSW-1 compound. B.) RNA expression </w:t>
        </w:r>
        <w:r w:rsidRPr="00B944BD">
          <w:rPr>
            <w:rStyle w:val="Hyperlink"/>
            <w:noProof/>
          </w:rPr>
          <w:lastRenderedPageBreak/>
          <w:t>in human tissues from the FANTOM5 dataset. C.) Patient percentage that have at least medium expression of ORP4 in cancer tissue. Data collected from the Human Protein Atlas. Patient samples ≥ 9. D.) Western blot of OSBP and ORP4 in all four ovarian cell lines. E.) Quantification of OSBP and ORP4 in ovarian cancer cell lines relative to SKOV-3.</w:t>
        </w:r>
        <w:r>
          <w:rPr>
            <w:noProof/>
            <w:webHidden/>
          </w:rPr>
          <w:tab/>
        </w:r>
        <w:r>
          <w:rPr>
            <w:noProof/>
            <w:webHidden/>
          </w:rPr>
          <w:fldChar w:fldCharType="begin"/>
        </w:r>
        <w:r>
          <w:rPr>
            <w:noProof/>
            <w:webHidden/>
          </w:rPr>
          <w:instrText xml:space="preserve"> PAGEREF _Toc39868227 \h </w:instrText>
        </w:r>
        <w:r>
          <w:rPr>
            <w:noProof/>
            <w:webHidden/>
          </w:rPr>
        </w:r>
        <w:r>
          <w:rPr>
            <w:noProof/>
            <w:webHidden/>
          </w:rPr>
          <w:fldChar w:fldCharType="separate"/>
        </w:r>
        <w:r>
          <w:rPr>
            <w:noProof/>
            <w:webHidden/>
          </w:rPr>
          <w:t>46</w:t>
        </w:r>
        <w:r>
          <w:rPr>
            <w:noProof/>
            <w:webHidden/>
          </w:rPr>
          <w:fldChar w:fldCharType="end"/>
        </w:r>
      </w:hyperlink>
    </w:p>
    <w:p w14:paraId="7A11E912" w14:textId="51849C81" w:rsidR="009425BE" w:rsidRDefault="009425BE">
      <w:pPr>
        <w:pStyle w:val="TableofFigures"/>
        <w:tabs>
          <w:tab w:val="right" w:leader="dot" w:pos="8486"/>
        </w:tabs>
        <w:rPr>
          <w:rFonts w:eastAsiaTheme="minorEastAsia" w:cstheme="minorBidi"/>
          <w:noProof/>
          <w:sz w:val="22"/>
          <w:szCs w:val="22"/>
          <w:lang w:bidi="ar-SA"/>
        </w:rPr>
      </w:pPr>
      <w:hyperlink r:id="rId25" w:anchor="_Toc39868228" w:history="1">
        <w:r w:rsidRPr="00B944BD">
          <w:rPr>
            <w:rStyle w:val="Hyperlink"/>
            <w:noProof/>
          </w:rPr>
          <w:t>Figure 15: OSW-1 is a cytotoxic agent to monolayer ovarian cancer cells. A-D) Growth inhibition curves of Paclitaxel, OSW-1, and Cisplatin in four ovarian cell lines. E) Table of GI</w:t>
        </w:r>
        <w:r w:rsidRPr="00B944BD">
          <w:rPr>
            <w:rStyle w:val="Hyperlink"/>
            <w:noProof/>
            <w:vertAlign w:val="subscript"/>
          </w:rPr>
          <w:t>50</w:t>
        </w:r>
        <w:r w:rsidRPr="00B944BD">
          <w:rPr>
            <w:rStyle w:val="Hyperlink"/>
            <w:noProof/>
          </w:rPr>
          <w:t xml:space="preserve"> values. Error shown as SD (n = 3).</w:t>
        </w:r>
        <w:r>
          <w:rPr>
            <w:noProof/>
            <w:webHidden/>
          </w:rPr>
          <w:tab/>
        </w:r>
        <w:r>
          <w:rPr>
            <w:noProof/>
            <w:webHidden/>
          </w:rPr>
          <w:fldChar w:fldCharType="begin"/>
        </w:r>
        <w:r>
          <w:rPr>
            <w:noProof/>
            <w:webHidden/>
          </w:rPr>
          <w:instrText xml:space="preserve"> PAGEREF _Toc39868228 \h </w:instrText>
        </w:r>
        <w:r>
          <w:rPr>
            <w:noProof/>
            <w:webHidden/>
          </w:rPr>
        </w:r>
        <w:r>
          <w:rPr>
            <w:noProof/>
            <w:webHidden/>
          </w:rPr>
          <w:fldChar w:fldCharType="separate"/>
        </w:r>
        <w:r>
          <w:rPr>
            <w:noProof/>
            <w:webHidden/>
          </w:rPr>
          <w:t>47</w:t>
        </w:r>
        <w:r>
          <w:rPr>
            <w:noProof/>
            <w:webHidden/>
          </w:rPr>
          <w:fldChar w:fldCharType="end"/>
        </w:r>
      </w:hyperlink>
    </w:p>
    <w:p w14:paraId="1C275918" w14:textId="156AB294" w:rsidR="009425BE" w:rsidRDefault="009425BE">
      <w:pPr>
        <w:pStyle w:val="TableofFigures"/>
        <w:tabs>
          <w:tab w:val="right" w:leader="dot" w:pos="8486"/>
        </w:tabs>
        <w:rPr>
          <w:rFonts w:eastAsiaTheme="minorEastAsia" w:cstheme="minorBidi"/>
          <w:noProof/>
          <w:sz w:val="22"/>
          <w:szCs w:val="22"/>
          <w:lang w:bidi="ar-SA"/>
        </w:rPr>
      </w:pPr>
      <w:hyperlink r:id="rId26" w:anchor="_Toc39868229" w:history="1">
        <w:r w:rsidRPr="00B944BD">
          <w:rPr>
            <w:rStyle w:val="Hyperlink"/>
            <w:noProof/>
          </w:rPr>
          <w:t xml:space="preserve">Figure 16: OVCAR-8 and SKOV-3 ovarian cancer cells form spheroids </w:t>
        </w:r>
        <w:r w:rsidRPr="00B944BD">
          <w:rPr>
            <w:rStyle w:val="Hyperlink"/>
            <w:i/>
            <w:iCs/>
            <w:noProof/>
          </w:rPr>
          <w:t>in vitro</w:t>
        </w:r>
        <w:r w:rsidRPr="00B944BD">
          <w:rPr>
            <w:rStyle w:val="Hyperlink"/>
            <w:noProof/>
          </w:rPr>
          <w:t>. A.) Schematic of spheroid formation in ovarian cell lines. B.) OVCAR-8 and SKOV-3 spheroid development over 7 days. White bar represents 250 µM. C.) Quantification of spheroid size over 7 days.</w:t>
        </w:r>
        <w:r>
          <w:rPr>
            <w:noProof/>
            <w:webHidden/>
          </w:rPr>
          <w:tab/>
        </w:r>
        <w:r>
          <w:rPr>
            <w:noProof/>
            <w:webHidden/>
          </w:rPr>
          <w:fldChar w:fldCharType="begin"/>
        </w:r>
        <w:r>
          <w:rPr>
            <w:noProof/>
            <w:webHidden/>
          </w:rPr>
          <w:instrText xml:space="preserve"> PAGEREF _Toc39868229 \h </w:instrText>
        </w:r>
        <w:r>
          <w:rPr>
            <w:noProof/>
            <w:webHidden/>
          </w:rPr>
        </w:r>
        <w:r>
          <w:rPr>
            <w:noProof/>
            <w:webHidden/>
          </w:rPr>
          <w:fldChar w:fldCharType="separate"/>
        </w:r>
        <w:r>
          <w:rPr>
            <w:noProof/>
            <w:webHidden/>
          </w:rPr>
          <w:t>49</w:t>
        </w:r>
        <w:r>
          <w:rPr>
            <w:noProof/>
            <w:webHidden/>
          </w:rPr>
          <w:fldChar w:fldCharType="end"/>
        </w:r>
      </w:hyperlink>
    </w:p>
    <w:p w14:paraId="2C91A372" w14:textId="1ACE9514" w:rsidR="009425BE" w:rsidRDefault="009425BE">
      <w:pPr>
        <w:pStyle w:val="TableofFigures"/>
        <w:tabs>
          <w:tab w:val="right" w:leader="dot" w:pos="8486"/>
        </w:tabs>
        <w:rPr>
          <w:rFonts w:eastAsiaTheme="minorEastAsia" w:cstheme="minorBidi"/>
          <w:noProof/>
          <w:sz w:val="22"/>
          <w:szCs w:val="22"/>
          <w:lang w:bidi="ar-SA"/>
        </w:rPr>
      </w:pPr>
      <w:hyperlink r:id="rId27" w:anchor="_Toc39868230" w:history="1">
        <w:r w:rsidRPr="00B944BD">
          <w:rPr>
            <w:rStyle w:val="Hyperlink"/>
            <w:noProof/>
          </w:rPr>
          <w:t xml:space="preserve">Figure 17: The OSW-1 compound is potent, cytotoxic agent to </w:t>
        </w:r>
        <w:r w:rsidRPr="00B944BD">
          <w:rPr>
            <w:rStyle w:val="Hyperlink"/>
            <w:i/>
            <w:iCs/>
            <w:noProof/>
          </w:rPr>
          <w:t xml:space="preserve">in vitro </w:t>
        </w:r>
        <w:r w:rsidRPr="00B944BD">
          <w:rPr>
            <w:rStyle w:val="Hyperlink"/>
            <w:noProof/>
          </w:rPr>
          <w:t>generated ovarian cancer spheroids. A.) OVCAR-8 spheroid images at 72 h post treatment. B.) SKOV-3 spheroid images at 72 h post treatment. C.) OVCAR-8 spheroid toxicity quantification relative to control using Cell-Titer Glo. (n = 3). D.) SKOV-3 spheroid toxicity quantification. (n =3).</w:t>
        </w:r>
        <w:r>
          <w:rPr>
            <w:noProof/>
            <w:webHidden/>
          </w:rPr>
          <w:tab/>
        </w:r>
        <w:r>
          <w:rPr>
            <w:noProof/>
            <w:webHidden/>
          </w:rPr>
          <w:fldChar w:fldCharType="begin"/>
        </w:r>
        <w:r>
          <w:rPr>
            <w:noProof/>
            <w:webHidden/>
          </w:rPr>
          <w:instrText xml:space="preserve"> PAGEREF _Toc39868230 \h </w:instrText>
        </w:r>
        <w:r>
          <w:rPr>
            <w:noProof/>
            <w:webHidden/>
          </w:rPr>
        </w:r>
        <w:r>
          <w:rPr>
            <w:noProof/>
            <w:webHidden/>
          </w:rPr>
          <w:fldChar w:fldCharType="separate"/>
        </w:r>
        <w:r>
          <w:rPr>
            <w:noProof/>
            <w:webHidden/>
          </w:rPr>
          <w:t>50</w:t>
        </w:r>
        <w:r>
          <w:rPr>
            <w:noProof/>
            <w:webHidden/>
          </w:rPr>
          <w:fldChar w:fldCharType="end"/>
        </w:r>
      </w:hyperlink>
    </w:p>
    <w:p w14:paraId="6A3808F4" w14:textId="6B9056B6" w:rsidR="009425BE" w:rsidRDefault="009425BE">
      <w:pPr>
        <w:pStyle w:val="TableofFigures"/>
        <w:tabs>
          <w:tab w:val="right" w:leader="dot" w:pos="8486"/>
        </w:tabs>
        <w:rPr>
          <w:rFonts w:eastAsiaTheme="minorEastAsia" w:cstheme="minorBidi"/>
          <w:noProof/>
          <w:sz w:val="22"/>
          <w:szCs w:val="22"/>
          <w:lang w:bidi="ar-SA"/>
        </w:rPr>
      </w:pPr>
      <w:hyperlink r:id="rId28" w:anchor="_Toc39868231" w:history="1">
        <w:r w:rsidRPr="00B944BD">
          <w:rPr>
            <w:rStyle w:val="Hyperlink"/>
            <w:noProof/>
          </w:rPr>
          <w:t>Figure 18: OSW-1 cellular morphology and viability. A) 40X magnification of OVCAR-8 and SKOV-3 monolayer (2D) following the provided treatments of OSW-1. B) Viability of each condition using a cell count with trypan blue cell viability.</w:t>
        </w:r>
        <w:r>
          <w:rPr>
            <w:noProof/>
            <w:webHidden/>
          </w:rPr>
          <w:tab/>
        </w:r>
        <w:r>
          <w:rPr>
            <w:noProof/>
            <w:webHidden/>
          </w:rPr>
          <w:fldChar w:fldCharType="begin"/>
        </w:r>
        <w:r>
          <w:rPr>
            <w:noProof/>
            <w:webHidden/>
          </w:rPr>
          <w:instrText xml:space="preserve"> PAGEREF _Toc39868231 \h </w:instrText>
        </w:r>
        <w:r>
          <w:rPr>
            <w:noProof/>
            <w:webHidden/>
          </w:rPr>
        </w:r>
        <w:r>
          <w:rPr>
            <w:noProof/>
            <w:webHidden/>
          </w:rPr>
          <w:fldChar w:fldCharType="separate"/>
        </w:r>
        <w:r>
          <w:rPr>
            <w:noProof/>
            <w:webHidden/>
          </w:rPr>
          <w:t>51</w:t>
        </w:r>
        <w:r>
          <w:rPr>
            <w:noProof/>
            <w:webHidden/>
          </w:rPr>
          <w:fldChar w:fldCharType="end"/>
        </w:r>
      </w:hyperlink>
    </w:p>
    <w:p w14:paraId="02BC6FDB" w14:textId="138E0CD7" w:rsidR="009425BE" w:rsidRDefault="009425BE">
      <w:pPr>
        <w:pStyle w:val="TableofFigures"/>
        <w:tabs>
          <w:tab w:val="right" w:leader="dot" w:pos="8486"/>
        </w:tabs>
        <w:rPr>
          <w:rFonts w:eastAsiaTheme="minorEastAsia" w:cstheme="minorBidi"/>
          <w:noProof/>
          <w:sz w:val="22"/>
          <w:szCs w:val="22"/>
          <w:lang w:bidi="ar-SA"/>
        </w:rPr>
      </w:pPr>
      <w:hyperlink r:id="rId29" w:anchor="_Toc39868232" w:history="1">
        <w:r w:rsidRPr="00B944BD">
          <w:rPr>
            <w:rStyle w:val="Hyperlink"/>
            <w:noProof/>
          </w:rPr>
          <w:t xml:space="preserve">Figure 19: Ovarian cancer viability is correlated with ORP4L degradation and independent of OSBP expression upon OSW-1 treatment. A.) OSBP and ORP4L </w:t>
        </w:r>
        <w:r w:rsidRPr="00B944BD">
          <w:rPr>
            <w:rStyle w:val="Hyperlink"/>
            <w:noProof/>
          </w:rPr>
          <w:lastRenderedPageBreak/>
          <w:t>protein expression in 2D and 3D following the provided treatments of OSW-1 for 48 h in SKOV-3 and B.) in OVCAR-8.</w:t>
        </w:r>
        <w:r>
          <w:rPr>
            <w:noProof/>
            <w:webHidden/>
          </w:rPr>
          <w:tab/>
        </w:r>
        <w:r>
          <w:rPr>
            <w:noProof/>
            <w:webHidden/>
          </w:rPr>
          <w:fldChar w:fldCharType="begin"/>
        </w:r>
        <w:r>
          <w:rPr>
            <w:noProof/>
            <w:webHidden/>
          </w:rPr>
          <w:instrText xml:space="preserve"> PAGEREF _Toc39868232 \h </w:instrText>
        </w:r>
        <w:r>
          <w:rPr>
            <w:noProof/>
            <w:webHidden/>
          </w:rPr>
        </w:r>
        <w:r>
          <w:rPr>
            <w:noProof/>
            <w:webHidden/>
          </w:rPr>
          <w:fldChar w:fldCharType="separate"/>
        </w:r>
        <w:r>
          <w:rPr>
            <w:noProof/>
            <w:webHidden/>
          </w:rPr>
          <w:t>52</w:t>
        </w:r>
        <w:r>
          <w:rPr>
            <w:noProof/>
            <w:webHidden/>
          </w:rPr>
          <w:fldChar w:fldCharType="end"/>
        </w:r>
      </w:hyperlink>
    </w:p>
    <w:p w14:paraId="121BD7AA" w14:textId="1419BB10" w:rsidR="009425BE" w:rsidRDefault="009425BE">
      <w:pPr>
        <w:pStyle w:val="TableofFigures"/>
        <w:tabs>
          <w:tab w:val="right" w:leader="dot" w:pos="8486"/>
        </w:tabs>
        <w:rPr>
          <w:rFonts w:eastAsiaTheme="minorEastAsia" w:cstheme="minorBidi"/>
          <w:noProof/>
          <w:sz w:val="22"/>
          <w:szCs w:val="22"/>
          <w:lang w:bidi="ar-SA"/>
        </w:rPr>
      </w:pPr>
      <w:hyperlink r:id="rId30" w:anchor="_Toc39868233" w:history="1">
        <w:r w:rsidRPr="00B944BD">
          <w:rPr>
            <w:rStyle w:val="Hyperlink"/>
            <w:noProof/>
          </w:rPr>
          <w:t>Figure 20: OSW-1 toxicity is potentiated in the absence of extracellular cholesterol.  A) Growth inhibition curves of 2D OVCAR-8 cells and B) SKOV-3 2D cells with OSW-1, Paclitaxel, or 25-hydroxycholesterol incubated in either normal media (RPMI with 10% FBS), Delipid media (RPMI with 10% Delipid FBS), or cholesterol media (RPMI with 10% Delipid FBS and 20 µg/mL cholesterol). C) Fold change quantification of GI</w:t>
        </w:r>
        <w:r w:rsidRPr="00B944BD">
          <w:rPr>
            <w:rStyle w:val="Hyperlink"/>
            <w:noProof/>
            <w:vertAlign w:val="subscript"/>
          </w:rPr>
          <w:t xml:space="preserve">50 </w:t>
        </w:r>
        <w:r w:rsidRPr="00B944BD">
          <w:rPr>
            <w:rStyle w:val="Hyperlink"/>
            <w:noProof/>
          </w:rPr>
          <w:t>values relative to normal media.</w:t>
        </w:r>
        <w:r>
          <w:rPr>
            <w:noProof/>
            <w:webHidden/>
          </w:rPr>
          <w:tab/>
        </w:r>
        <w:r>
          <w:rPr>
            <w:noProof/>
            <w:webHidden/>
          </w:rPr>
          <w:fldChar w:fldCharType="begin"/>
        </w:r>
        <w:r>
          <w:rPr>
            <w:noProof/>
            <w:webHidden/>
          </w:rPr>
          <w:instrText xml:space="preserve"> PAGEREF _Toc39868233 \h </w:instrText>
        </w:r>
        <w:r>
          <w:rPr>
            <w:noProof/>
            <w:webHidden/>
          </w:rPr>
        </w:r>
        <w:r>
          <w:rPr>
            <w:noProof/>
            <w:webHidden/>
          </w:rPr>
          <w:fldChar w:fldCharType="separate"/>
        </w:r>
        <w:r>
          <w:rPr>
            <w:noProof/>
            <w:webHidden/>
          </w:rPr>
          <w:t>55</w:t>
        </w:r>
        <w:r>
          <w:rPr>
            <w:noProof/>
            <w:webHidden/>
          </w:rPr>
          <w:fldChar w:fldCharType="end"/>
        </w:r>
      </w:hyperlink>
    </w:p>
    <w:p w14:paraId="512D4397" w14:textId="3C643C17" w:rsidR="009425BE" w:rsidRDefault="009425BE">
      <w:pPr>
        <w:pStyle w:val="TableofFigures"/>
        <w:tabs>
          <w:tab w:val="right" w:leader="dot" w:pos="8486"/>
        </w:tabs>
        <w:rPr>
          <w:rFonts w:eastAsiaTheme="minorEastAsia" w:cstheme="minorBidi"/>
          <w:noProof/>
          <w:sz w:val="22"/>
          <w:szCs w:val="22"/>
          <w:lang w:bidi="ar-SA"/>
        </w:rPr>
      </w:pPr>
      <w:hyperlink r:id="rId31" w:anchor="_Toc39868234" w:history="1">
        <w:r w:rsidRPr="00B944BD">
          <w:rPr>
            <w:rStyle w:val="Hyperlink"/>
            <w:rFonts w:ascii="Times New Roman" w:hAnsi="Times New Roman"/>
            <w:noProof/>
          </w:rPr>
          <w:t>Figure 21: The Single-Probe/ICMP Setup. A) The integrated cell manipulation platform (ICMP) Single-Probe coupled with the Mass Spectrometer. B) Schematic Representation of the Single-Probe coupled with the ICMP. C) 40X magnification of the cell-selection probe with K562 suspended cells.</w:t>
        </w:r>
        <w:r>
          <w:rPr>
            <w:noProof/>
            <w:webHidden/>
          </w:rPr>
          <w:tab/>
        </w:r>
        <w:r>
          <w:rPr>
            <w:noProof/>
            <w:webHidden/>
          </w:rPr>
          <w:fldChar w:fldCharType="begin"/>
        </w:r>
        <w:r>
          <w:rPr>
            <w:noProof/>
            <w:webHidden/>
          </w:rPr>
          <w:instrText xml:space="preserve"> PAGEREF _Toc39868234 \h </w:instrText>
        </w:r>
        <w:r>
          <w:rPr>
            <w:noProof/>
            <w:webHidden/>
          </w:rPr>
        </w:r>
        <w:r>
          <w:rPr>
            <w:noProof/>
            <w:webHidden/>
          </w:rPr>
          <w:fldChar w:fldCharType="separate"/>
        </w:r>
        <w:r>
          <w:rPr>
            <w:noProof/>
            <w:webHidden/>
          </w:rPr>
          <w:t>70</w:t>
        </w:r>
        <w:r>
          <w:rPr>
            <w:noProof/>
            <w:webHidden/>
          </w:rPr>
          <w:fldChar w:fldCharType="end"/>
        </w:r>
      </w:hyperlink>
    </w:p>
    <w:p w14:paraId="5086D67D" w14:textId="7293EB5F" w:rsidR="009425BE" w:rsidRDefault="009425BE">
      <w:pPr>
        <w:pStyle w:val="TableofFigures"/>
        <w:tabs>
          <w:tab w:val="right" w:leader="dot" w:pos="8486"/>
        </w:tabs>
        <w:rPr>
          <w:rFonts w:eastAsiaTheme="minorEastAsia" w:cstheme="minorBidi"/>
          <w:noProof/>
          <w:sz w:val="22"/>
          <w:szCs w:val="22"/>
          <w:lang w:bidi="ar-SA"/>
        </w:rPr>
      </w:pPr>
      <w:hyperlink r:id="rId32" w:anchor="_Toc39868235" w:history="1">
        <w:r w:rsidRPr="00B944BD">
          <w:rPr>
            <w:rStyle w:val="Hyperlink"/>
            <w:rFonts w:ascii="Times New Roman" w:hAnsi="Times New Roman"/>
            <w:noProof/>
          </w:rPr>
          <w:t>Figure 22: Lipid composition of a single, suspended K562 cell.  Zoomed-in mass spectrum from a single cell showing the representative species (m/z 750–850). Structure confirmation of the labeled ions were performed through MS/MS analysis</w:t>
        </w:r>
        <w:r>
          <w:rPr>
            <w:noProof/>
            <w:webHidden/>
          </w:rPr>
          <w:tab/>
        </w:r>
        <w:r>
          <w:rPr>
            <w:noProof/>
            <w:webHidden/>
          </w:rPr>
          <w:fldChar w:fldCharType="begin"/>
        </w:r>
        <w:r>
          <w:rPr>
            <w:noProof/>
            <w:webHidden/>
          </w:rPr>
          <w:instrText xml:space="preserve"> PAGEREF _Toc39868235 \h </w:instrText>
        </w:r>
        <w:r>
          <w:rPr>
            <w:noProof/>
            <w:webHidden/>
          </w:rPr>
        </w:r>
        <w:r>
          <w:rPr>
            <w:noProof/>
            <w:webHidden/>
          </w:rPr>
          <w:fldChar w:fldCharType="separate"/>
        </w:r>
        <w:r>
          <w:rPr>
            <w:noProof/>
            <w:webHidden/>
          </w:rPr>
          <w:t>71</w:t>
        </w:r>
        <w:r>
          <w:rPr>
            <w:noProof/>
            <w:webHidden/>
          </w:rPr>
          <w:fldChar w:fldCharType="end"/>
        </w:r>
      </w:hyperlink>
    </w:p>
    <w:p w14:paraId="5FDF630F" w14:textId="178C5812" w:rsidR="009425BE" w:rsidRDefault="009425BE">
      <w:pPr>
        <w:pStyle w:val="TableofFigures"/>
        <w:tabs>
          <w:tab w:val="right" w:leader="dot" w:pos="8486"/>
        </w:tabs>
        <w:rPr>
          <w:rFonts w:eastAsiaTheme="minorEastAsia" w:cstheme="minorBidi"/>
          <w:noProof/>
          <w:sz w:val="22"/>
          <w:szCs w:val="22"/>
          <w:lang w:bidi="ar-SA"/>
        </w:rPr>
      </w:pPr>
      <w:hyperlink r:id="rId33" w:anchor="_Toc39868236" w:history="1">
        <w:r w:rsidRPr="00B944BD">
          <w:rPr>
            <w:rStyle w:val="Hyperlink"/>
            <w:rFonts w:ascii="Times New Roman" w:hAnsi="Times New Roman"/>
            <w:noProof/>
          </w:rPr>
          <w:t>Figure 23: Mass Spectrum of Taxol from a single K562 cell. Zoomed-in mass spectra showing molecular profiles (m/z 800─900) for (A) untreated and (B) treated (100 nM Taxol for 24 hours) single K562 cells.</w:t>
        </w:r>
        <w:r>
          <w:rPr>
            <w:noProof/>
            <w:webHidden/>
          </w:rPr>
          <w:tab/>
        </w:r>
        <w:r>
          <w:rPr>
            <w:noProof/>
            <w:webHidden/>
          </w:rPr>
          <w:fldChar w:fldCharType="begin"/>
        </w:r>
        <w:r>
          <w:rPr>
            <w:noProof/>
            <w:webHidden/>
          </w:rPr>
          <w:instrText xml:space="preserve"> PAGEREF _Toc39868236 \h </w:instrText>
        </w:r>
        <w:r>
          <w:rPr>
            <w:noProof/>
            <w:webHidden/>
          </w:rPr>
        </w:r>
        <w:r>
          <w:rPr>
            <w:noProof/>
            <w:webHidden/>
          </w:rPr>
          <w:fldChar w:fldCharType="separate"/>
        </w:r>
        <w:r>
          <w:rPr>
            <w:noProof/>
            <w:webHidden/>
          </w:rPr>
          <w:t>72</w:t>
        </w:r>
        <w:r>
          <w:rPr>
            <w:noProof/>
            <w:webHidden/>
          </w:rPr>
          <w:fldChar w:fldCharType="end"/>
        </w:r>
      </w:hyperlink>
    </w:p>
    <w:p w14:paraId="17E814A3" w14:textId="3500ED0E" w:rsidR="009425BE" w:rsidRDefault="009425BE">
      <w:pPr>
        <w:pStyle w:val="TableofFigures"/>
        <w:tabs>
          <w:tab w:val="right" w:leader="dot" w:pos="8486"/>
        </w:tabs>
        <w:rPr>
          <w:rFonts w:eastAsiaTheme="minorEastAsia" w:cstheme="minorBidi"/>
          <w:noProof/>
          <w:sz w:val="22"/>
          <w:szCs w:val="22"/>
          <w:lang w:bidi="ar-SA"/>
        </w:rPr>
      </w:pPr>
      <w:hyperlink r:id="rId34" w:anchor="_Toc39868237" w:history="1">
        <w:r w:rsidRPr="00B944BD">
          <w:rPr>
            <w:rStyle w:val="Hyperlink"/>
            <w:rFonts w:ascii="Times New Roman" w:hAnsi="Times New Roman"/>
            <w:noProof/>
          </w:rPr>
          <w:t>Figure 24: Mass spectra obtained from individual K562 cells. (A) Spectrum from a single cell treated with 1 µM gemcitabine for 1 hr. (B) Spectrum for a cell exposed to 1 µM Taxol for 1 hr. (C) An individual cell treated with 100 nM OSW-1 for 4 hr.</w:t>
        </w:r>
        <w:r>
          <w:rPr>
            <w:noProof/>
            <w:webHidden/>
          </w:rPr>
          <w:tab/>
        </w:r>
        <w:r>
          <w:rPr>
            <w:noProof/>
            <w:webHidden/>
          </w:rPr>
          <w:fldChar w:fldCharType="begin"/>
        </w:r>
        <w:r>
          <w:rPr>
            <w:noProof/>
            <w:webHidden/>
          </w:rPr>
          <w:instrText xml:space="preserve"> PAGEREF _Toc39868237 \h </w:instrText>
        </w:r>
        <w:r>
          <w:rPr>
            <w:noProof/>
            <w:webHidden/>
          </w:rPr>
        </w:r>
        <w:r>
          <w:rPr>
            <w:noProof/>
            <w:webHidden/>
          </w:rPr>
          <w:fldChar w:fldCharType="separate"/>
        </w:r>
        <w:r>
          <w:rPr>
            <w:noProof/>
            <w:webHidden/>
          </w:rPr>
          <w:t>73</w:t>
        </w:r>
        <w:r>
          <w:rPr>
            <w:noProof/>
            <w:webHidden/>
          </w:rPr>
          <w:fldChar w:fldCharType="end"/>
        </w:r>
      </w:hyperlink>
    </w:p>
    <w:p w14:paraId="3D6C710E" w14:textId="00960FDB" w:rsidR="009425BE" w:rsidRDefault="009425BE">
      <w:pPr>
        <w:pStyle w:val="TableofFigures"/>
        <w:tabs>
          <w:tab w:val="right" w:leader="dot" w:pos="8486"/>
        </w:tabs>
        <w:rPr>
          <w:rFonts w:eastAsiaTheme="minorEastAsia" w:cstheme="minorBidi"/>
          <w:noProof/>
          <w:sz w:val="22"/>
          <w:szCs w:val="22"/>
          <w:lang w:bidi="ar-SA"/>
        </w:rPr>
      </w:pPr>
      <w:hyperlink r:id="rId35" w:anchor="_Toc39868238" w:history="1">
        <w:r w:rsidRPr="00B944BD">
          <w:rPr>
            <w:rStyle w:val="Hyperlink"/>
            <w:rFonts w:ascii="Times New Roman" w:hAnsi="Times New Roman"/>
            <w:noProof/>
          </w:rPr>
          <w:t>Figure 25: Metabolomic Anlalysis of individual K562 cells. PCA showing the overall difference of metabolomic compositions of single K562 cells in the control and drug treatment (100 nM Taxol for 24 h) groups.</w:t>
        </w:r>
        <w:r>
          <w:rPr>
            <w:noProof/>
            <w:webHidden/>
          </w:rPr>
          <w:tab/>
        </w:r>
        <w:r>
          <w:rPr>
            <w:noProof/>
            <w:webHidden/>
          </w:rPr>
          <w:fldChar w:fldCharType="begin"/>
        </w:r>
        <w:r>
          <w:rPr>
            <w:noProof/>
            <w:webHidden/>
          </w:rPr>
          <w:instrText xml:space="preserve"> PAGEREF _Toc39868238 \h </w:instrText>
        </w:r>
        <w:r>
          <w:rPr>
            <w:noProof/>
            <w:webHidden/>
          </w:rPr>
        </w:r>
        <w:r>
          <w:rPr>
            <w:noProof/>
            <w:webHidden/>
          </w:rPr>
          <w:fldChar w:fldCharType="separate"/>
        </w:r>
        <w:r>
          <w:rPr>
            <w:noProof/>
            <w:webHidden/>
          </w:rPr>
          <w:t>74</w:t>
        </w:r>
        <w:r>
          <w:rPr>
            <w:noProof/>
            <w:webHidden/>
          </w:rPr>
          <w:fldChar w:fldCharType="end"/>
        </w:r>
      </w:hyperlink>
    </w:p>
    <w:p w14:paraId="0439F6A3" w14:textId="03870FC6" w:rsidR="009425BE" w:rsidRDefault="009425BE">
      <w:pPr>
        <w:pStyle w:val="TableofFigures"/>
        <w:tabs>
          <w:tab w:val="right" w:leader="dot" w:pos="8486"/>
        </w:tabs>
        <w:rPr>
          <w:rFonts w:eastAsiaTheme="minorEastAsia" w:cstheme="minorBidi"/>
          <w:noProof/>
          <w:sz w:val="22"/>
          <w:szCs w:val="22"/>
          <w:lang w:bidi="ar-SA"/>
        </w:rPr>
      </w:pPr>
      <w:hyperlink r:id="rId36" w:anchor="_Toc39868239" w:history="1">
        <w:r w:rsidRPr="00B944BD">
          <w:rPr>
            <w:rStyle w:val="Hyperlink"/>
            <w:rFonts w:ascii="Times New Roman" w:hAnsi="Times New Roman"/>
            <w:noProof/>
          </w:rPr>
          <w:t>Figure 26: Quantification of intracellular gemcitabine. Scatter plot depicting the amount of drug (attomoles) measured at each treatment concentration for each gemcitabine-treated (1-h) cell. (A) T24 cells using the Single-probe method and (B) K562 cells using the Single-probe/ICMP method.</w:t>
        </w:r>
        <w:r>
          <w:rPr>
            <w:noProof/>
            <w:webHidden/>
          </w:rPr>
          <w:tab/>
        </w:r>
        <w:r>
          <w:rPr>
            <w:noProof/>
            <w:webHidden/>
          </w:rPr>
          <w:fldChar w:fldCharType="begin"/>
        </w:r>
        <w:r>
          <w:rPr>
            <w:noProof/>
            <w:webHidden/>
          </w:rPr>
          <w:instrText xml:space="preserve"> PAGEREF _Toc39868239 \h </w:instrText>
        </w:r>
        <w:r>
          <w:rPr>
            <w:noProof/>
            <w:webHidden/>
          </w:rPr>
        </w:r>
        <w:r>
          <w:rPr>
            <w:noProof/>
            <w:webHidden/>
          </w:rPr>
          <w:fldChar w:fldCharType="separate"/>
        </w:r>
        <w:r>
          <w:rPr>
            <w:noProof/>
            <w:webHidden/>
          </w:rPr>
          <w:t>75</w:t>
        </w:r>
        <w:r>
          <w:rPr>
            <w:noProof/>
            <w:webHidden/>
          </w:rPr>
          <w:fldChar w:fldCharType="end"/>
        </w:r>
      </w:hyperlink>
    </w:p>
    <w:p w14:paraId="3EB788CE" w14:textId="5E67B57E" w:rsidR="009425BE" w:rsidRDefault="009425BE">
      <w:pPr>
        <w:pStyle w:val="TableofFigures"/>
        <w:tabs>
          <w:tab w:val="right" w:leader="dot" w:pos="8486"/>
        </w:tabs>
        <w:rPr>
          <w:rFonts w:eastAsiaTheme="minorEastAsia" w:cstheme="minorBidi"/>
          <w:noProof/>
          <w:sz w:val="22"/>
          <w:szCs w:val="22"/>
          <w:lang w:bidi="ar-SA"/>
        </w:rPr>
      </w:pPr>
      <w:hyperlink r:id="rId37" w:anchor="_Toc39868240" w:history="1">
        <w:r w:rsidRPr="00B944BD">
          <w:rPr>
            <w:rStyle w:val="Hyperlink"/>
            <w:rFonts w:ascii="Times New Roman" w:hAnsi="Times New Roman"/>
            <w:noProof/>
          </w:rPr>
          <w:t>Figure 27: Gemcitabine spectra from patient isolated bladder cancer cell. Mass spectrum of gemcitabine and the inactive metabolite, dFdU, with 1 µM</w:t>
        </w:r>
        <w:r w:rsidRPr="00B944BD">
          <w:rPr>
            <w:rStyle w:val="Hyperlink"/>
            <w:rFonts w:ascii="Times New Roman" w:hAnsi="Times New Roman"/>
            <w:noProof/>
            <w:vertAlign w:val="superscript"/>
          </w:rPr>
          <w:t>15</w:t>
        </w:r>
        <w:r w:rsidRPr="00B944BD">
          <w:rPr>
            <w:rStyle w:val="Hyperlink"/>
            <w:rFonts w:ascii="Times New Roman" w:hAnsi="Times New Roman"/>
            <w:noProof/>
          </w:rPr>
          <w:t>N</w:t>
        </w:r>
        <w:r w:rsidRPr="00B944BD">
          <w:rPr>
            <w:rStyle w:val="Hyperlink"/>
            <w:rFonts w:ascii="Times New Roman" w:hAnsi="Times New Roman"/>
            <w:noProof/>
            <w:vertAlign w:val="subscript"/>
          </w:rPr>
          <w:t>3</w:t>
        </w:r>
        <w:r w:rsidRPr="00B944BD">
          <w:rPr>
            <w:rStyle w:val="Hyperlink"/>
            <w:rFonts w:ascii="Times New Roman" w:hAnsi="Times New Roman"/>
            <w:noProof/>
          </w:rPr>
          <w:t>-gemcitabine from an individual cell isolated from the urine of a bladder cancer patient one hour after a 1000 mg/m</w:t>
        </w:r>
        <w:r w:rsidRPr="00B944BD">
          <w:rPr>
            <w:rStyle w:val="Hyperlink"/>
            <w:rFonts w:ascii="Times New Roman" w:hAnsi="Times New Roman"/>
            <w:noProof/>
            <w:vertAlign w:val="superscript"/>
          </w:rPr>
          <w:t xml:space="preserve">2 </w:t>
        </w:r>
        <w:r w:rsidRPr="00B944BD">
          <w:rPr>
            <w:rStyle w:val="Hyperlink"/>
            <w:rFonts w:ascii="Times New Roman" w:hAnsi="Times New Roman"/>
            <w:noProof/>
          </w:rPr>
          <w:t>infusion of gemcitabine.</w:t>
        </w:r>
        <w:r>
          <w:rPr>
            <w:noProof/>
            <w:webHidden/>
          </w:rPr>
          <w:tab/>
        </w:r>
        <w:r>
          <w:rPr>
            <w:noProof/>
            <w:webHidden/>
          </w:rPr>
          <w:fldChar w:fldCharType="begin"/>
        </w:r>
        <w:r>
          <w:rPr>
            <w:noProof/>
            <w:webHidden/>
          </w:rPr>
          <w:instrText xml:space="preserve"> PAGEREF _Toc39868240 \h </w:instrText>
        </w:r>
        <w:r>
          <w:rPr>
            <w:noProof/>
            <w:webHidden/>
          </w:rPr>
        </w:r>
        <w:r>
          <w:rPr>
            <w:noProof/>
            <w:webHidden/>
          </w:rPr>
          <w:fldChar w:fldCharType="separate"/>
        </w:r>
        <w:r>
          <w:rPr>
            <w:noProof/>
            <w:webHidden/>
          </w:rPr>
          <w:t>78</w:t>
        </w:r>
        <w:r>
          <w:rPr>
            <w:noProof/>
            <w:webHidden/>
          </w:rPr>
          <w:fldChar w:fldCharType="end"/>
        </w:r>
      </w:hyperlink>
    </w:p>
    <w:p w14:paraId="22082C84" w14:textId="7BE6FE06" w:rsidR="009425BE" w:rsidRPr="009425BE" w:rsidRDefault="009425BE">
      <w:pPr>
        <w:pStyle w:val="TableofFigures"/>
        <w:tabs>
          <w:tab w:val="right" w:leader="dot" w:pos="8486"/>
        </w:tabs>
        <w:rPr>
          <w:rFonts w:eastAsiaTheme="minorEastAsia" w:cstheme="minorBidi"/>
          <w:noProof/>
          <w:sz w:val="22"/>
          <w:szCs w:val="22"/>
          <w:lang w:bidi="ar-SA"/>
        </w:rPr>
      </w:pPr>
      <w:hyperlink r:id="rId38" w:anchor="_Toc39868241" w:history="1">
        <w:r w:rsidRPr="009425BE">
          <w:rPr>
            <w:rStyle w:val="Hyperlink"/>
            <w:rFonts w:ascii="Times New Roman" w:hAnsi="Times New Roman"/>
            <w:noProof/>
          </w:rPr>
          <w:t>Figure 28: Mass spectrum of a single cell isolated from a bladder cancer patient qualitatively detecting phospholipids.</w:t>
        </w:r>
        <w:r w:rsidRPr="009425BE">
          <w:rPr>
            <w:noProof/>
            <w:webHidden/>
          </w:rPr>
          <w:tab/>
        </w:r>
        <w:r w:rsidRPr="009425BE">
          <w:rPr>
            <w:noProof/>
            <w:webHidden/>
          </w:rPr>
          <w:fldChar w:fldCharType="begin"/>
        </w:r>
        <w:r w:rsidRPr="009425BE">
          <w:rPr>
            <w:noProof/>
            <w:webHidden/>
          </w:rPr>
          <w:instrText xml:space="preserve"> PAGEREF _Toc39868241 \h </w:instrText>
        </w:r>
        <w:r w:rsidRPr="009425BE">
          <w:rPr>
            <w:noProof/>
            <w:webHidden/>
          </w:rPr>
        </w:r>
        <w:r w:rsidRPr="009425BE">
          <w:rPr>
            <w:noProof/>
            <w:webHidden/>
          </w:rPr>
          <w:fldChar w:fldCharType="separate"/>
        </w:r>
        <w:r w:rsidRPr="009425BE">
          <w:rPr>
            <w:noProof/>
            <w:webHidden/>
          </w:rPr>
          <w:t>79</w:t>
        </w:r>
        <w:r w:rsidRPr="009425BE">
          <w:rPr>
            <w:noProof/>
            <w:webHidden/>
          </w:rPr>
          <w:fldChar w:fldCharType="end"/>
        </w:r>
      </w:hyperlink>
    </w:p>
    <w:p w14:paraId="2EA08A16" w14:textId="5E241B05" w:rsidR="009425BE" w:rsidRPr="009425BE" w:rsidRDefault="009425BE">
      <w:pPr>
        <w:pStyle w:val="TableofFigures"/>
        <w:tabs>
          <w:tab w:val="right" w:leader="dot" w:pos="8486"/>
        </w:tabs>
        <w:rPr>
          <w:rFonts w:eastAsiaTheme="minorEastAsia" w:cstheme="minorBidi"/>
          <w:noProof/>
          <w:sz w:val="22"/>
          <w:szCs w:val="22"/>
          <w:lang w:bidi="ar-SA"/>
        </w:rPr>
      </w:pPr>
      <w:hyperlink r:id="rId39" w:anchor="_Toc39868242" w:history="1">
        <w:r w:rsidRPr="009425BE">
          <w:rPr>
            <w:rStyle w:val="Hyperlink"/>
            <w:rFonts w:ascii="Times New Roman" w:hAnsi="Times New Roman"/>
            <w:noProof/>
          </w:rPr>
          <w:t>Figure 29: MS/MS spectra of Gemcitabine. A) MS/MS spectra of gemcitabine analyzed from a single cell isolated from bladder cancer patient 1. B) MS/MS of gemcitabine from a spiked solution.</w:t>
        </w:r>
        <w:r w:rsidRPr="009425BE">
          <w:rPr>
            <w:noProof/>
            <w:webHidden/>
          </w:rPr>
          <w:tab/>
        </w:r>
        <w:r w:rsidRPr="009425BE">
          <w:rPr>
            <w:noProof/>
            <w:webHidden/>
          </w:rPr>
          <w:fldChar w:fldCharType="begin"/>
        </w:r>
        <w:r w:rsidRPr="009425BE">
          <w:rPr>
            <w:noProof/>
            <w:webHidden/>
          </w:rPr>
          <w:instrText xml:space="preserve"> PAGEREF _Toc39868242 \h </w:instrText>
        </w:r>
        <w:r w:rsidRPr="009425BE">
          <w:rPr>
            <w:noProof/>
            <w:webHidden/>
          </w:rPr>
        </w:r>
        <w:r w:rsidRPr="009425BE">
          <w:rPr>
            <w:noProof/>
            <w:webHidden/>
          </w:rPr>
          <w:fldChar w:fldCharType="separate"/>
        </w:r>
        <w:r w:rsidRPr="009425BE">
          <w:rPr>
            <w:noProof/>
            <w:webHidden/>
          </w:rPr>
          <w:t>80</w:t>
        </w:r>
        <w:r w:rsidRPr="009425BE">
          <w:rPr>
            <w:noProof/>
            <w:webHidden/>
          </w:rPr>
          <w:fldChar w:fldCharType="end"/>
        </w:r>
      </w:hyperlink>
    </w:p>
    <w:p w14:paraId="5FDE486E" w14:textId="07F660D3" w:rsidR="009425BE" w:rsidRPr="009425BE" w:rsidRDefault="009425BE">
      <w:pPr>
        <w:pStyle w:val="TableofFigures"/>
        <w:tabs>
          <w:tab w:val="right" w:leader="dot" w:pos="8486"/>
        </w:tabs>
        <w:rPr>
          <w:rFonts w:eastAsiaTheme="minorEastAsia" w:cstheme="minorBidi"/>
          <w:noProof/>
          <w:sz w:val="22"/>
          <w:szCs w:val="22"/>
          <w:lang w:bidi="ar-SA"/>
        </w:rPr>
      </w:pPr>
      <w:hyperlink r:id="rId40" w:anchor="_Toc39868243" w:history="1">
        <w:r w:rsidRPr="009425BE">
          <w:rPr>
            <w:rStyle w:val="Hyperlink"/>
            <w:rFonts w:ascii="Times New Roman" w:hAnsi="Times New Roman"/>
            <w:noProof/>
          </w:rPr>
          <w:t>Figure 30: 40X magnification of (A) K562 cells and (B) bladder cancer patient urinary cells.</w:t>
        </w:r>
        <w:r w:rsidRPr="009425BE">
          <w:rPr>
            <w:noProof/>
            <w:webHidden/>
          </w:rPr>
          <w:tab/>
        </w:r>
        <w:r w:rsidRPr="009425BE">
          <w:rPr>
            <w:noProof/>
            <w:webHidden/>
          </w:rPr>
          <w:fldChar w:fldCharType="begin"/>
        </w:r>
        <w:r w:rsidRPr="009425BE">
          <w:rPr>
            <w:noProof/>
            <w:webHidden/>
          </w:rPr>
          <w:instrText xml:space="preserve"> PAGEREF _Toc39868243 \h </w:instrText>
        </w:r>
        <w:r w:rsidRPr="009425BE">
          <w:rPr>
            <w:noProof/>
            <w:webHidden/>
          </w:rPr>
        </w:r>
        <w:r w:rsidRPr="009425BE">
          <w:rPr>
            <w:noProof/>
            <w:webHidden/>
          </w:rPr>
          <w:fldChar w:fldCharType="separate"/>
        </w:r>
        <w:r w:rsidRPr="009425BE">
          <w:rPr>
            <w:noProof/>
            <w:webHidden/>
          </w:rPr>
          <w:t>82</w:t>
        </w:r>
        <w:r w:rsidRPr="009425BE">
          <w:rPr>
            <w:noProof/>
            <w:webHidden/>
          </w:rPr>
          <w:fldChar w:fldCharType="end"/>
        </w:r>
      </w:hyperlink>
    </w:p>
    <w:p w14:paraId="6D8D8704" w14:textId="1B631C73" w:rsidR="009425BE" w:rsidRDefault="009425BE">
      <w:pPr>
        <w:pStyle w:val="TableofFigures"/>
        <w:tabs>
          <w:tab w:val="right" w:leader="dot" w:pos="8486"/>
        </w:tabs>
        <w:rPr>
          <w:rFonts w:eastAsiaTheme="minorEastAsia" w:cstheme="minorBidi"/>
          <w:noProof/>
          <w:sz w:val="22"/>
          <w:szCs w:val="22"/>
          <w:lang w:bidi="ar-SA"/>
        </w:rPr>
      </w:pPr>
      <w:hyperlink r:id="rId41" w:anchor="_Toc39868244" w:history="1">
        <w:r w:rsidRPr="00B944BD">
          <w:rPr>
            <w:rStyle w:val="Hyperlink"/>
            <w:noProof/>
          </w:rPr>
          <w:t>Figure 31: Full blots from Figure 5</w:t>
        </w:r>
        <w:r>
          <w:rPr>
            <w:noProof/>
            <w:webHidden/>
          </w:rPr>
          <w:tab/>
        </w:r>
        <w:r>
          <w:rPr>
            <w:noProof/>
            <w:webHidden/>
          </w:rPr>
          <w:fldChar w:fldCharType="begin"/>
        </w:r>
        <w:r>
          <w:rPr>
            <w:noProof/>
            <w:webHidden/>
          </w:rPr>
          <w:instrText xml:space="preserve"> PAGEREF _Toc39868244 \h </w:instrText>
        </w:r>
        <w:r>
          <w:rPr>
            <w:noProof/>
            <w:webHidden/>
          </w:rPr>
        </w:r>
        <w:r>
          <w:rPr>
            <w:noProof/>
            <w:webHidden/>
          </w:rPr>
          <w:fldChar w:fldCharType="separate"/>
        </w:r>
        <w:r>
          <w:rPr>
            <w:noProof/>
            <w:webHidden/>
          </w:rPr>
          <w:t>105</w:t>
        </w:r>
        <w:r>
          <w:rPr>
            <w:noProof/>
            <w:webHidden/>
          </w:rPr>
          <w:fldChar w:fldCharType="end"/>
        </w:r>
      </w:hyperlink>
    </w:p>
    <w:p w14:paraId="6981833C" w14:textId="27CC790C" w:rsidR="009425BE" w:rsidRDefault="009425BE">
      <w:pPr>
        <w:pStyle w:val="TableofFigures"/>
        <w:tabs>
          <w:tab w:val="right" w:leader="dot" w:pos="8486"/>
        </w:tabs>
        <w:rPr>
          <w:rFonts w:eastAsiaTheme="minorEastAsia" w:cstheme="minorBidi"/>
          <w:noProof/>
          <w:sz w:val="22"/>
          <w:szCs w:val="22"/>
          <w:lang w:bidi="ar-SA"/>
        </w:rPr>
      </w:pPr>
      <w:hyperlink r:id="rId42" w:anchor="_Toc39868245" w:history="1">
        <w:r w:rsidRPr="00B944BD">
          <w:rPr>
            <w:rStyle w:val="Hyperlink"/>
            <w:noProof/>
          </w:rPr>
          <w:t>Figure 32: Full blots from Figure 5</w:t>
        </w:r>
        <w:r>
          <w:rPr>
            <w:noProof/>
            <w:webHidden/>
          </w:rPr>
          <w:tab/>
        </w:r>
        <w:r>
          <w:rPr>
            <w:noProof/>
            <w:webHidden/>
          </w:rPr>
          <w:fldChar w:fldCharType="begin"/>
        </w:r>
        <w:r>
          <w:rPr>
            <w:noProof/>
            <w:webHidden/>
          </w:rPr>
          <w:instrText xml:space="preserve"> PAGEREF _Toc39868245 \h </w:instrText>
        </w:r>
        <w:r>
          <w:rPr>
            <w:noProof/>
            <w:webHidden/>
          </w:rPr>
        </w:r>
        <w:r>
          <w:rPr>
            <w:noProof/>
            <w:webHidden/>
          </w:rPr>
          <w:fldChar w:fldCharType="separate"/>
        </w:r>
        <w:r>
          <w:rPr>
            <w:noProof/>
            <w:webHidden/>
          </w:rPr>
          <w:t>106</w:t>
        </w:r>
        <w:r>
          <w:rPr>
            <w:noProof/>
            <w:webHidden/>
          </w:rPr>
          <w:fldChar w:fldCharType="end"/>
        </w:r>
      </w:hyperlink>
    </w:p>
    <w:p w14:paraId="28948C76" w14:textId="327AB21A" w:rsidR="009425BE" w:rsidRDefault="009425BE">
      <w:pPr>
        <w:pStyle w:val="TableofFigures"/>
        <w:tabs>
          <w:tab w:val="right" w:leader="dot" w:pos="8486"/>
        </w:tabs>
        <w:rPr>
          <w:rFonts w:eastAsiaTheme="minorEastAsia" w:cstheme="minorBidi"/>
          <w:noProof/>
          <w:sz w:val="22"/>
          <w:szCs w:val="22"/>
          <w:lang w:bidi="ar-SA"/>
        </w:rPr>
      </w:pPr>
      <w:hyperlink r:id="rId43" w:anchor="_Toc39868246" w:history="1">
        <w:r w:rsidRPr="00B944BD">
          <w:rPr>
            <w:rStyle w:val="Hyperlink"/>
            <w:noProof/>
          </w:rPr>
          <w:t>Figure 33: Full blots from Figure 5</w:t>
        </w:r>
        <w:r>
          <w:rPr>
            <w:noProof/>
            <w:webHidden/>
          </w:rPr>
          <w:tab/>
        </w:r>
        <w:r>
          <w:rPr>
            <w:noProof/>
            <w:webHidden/>
          </w:rPr>
          <w:fldChar w:fldCharType="begin"/>
        </w:r>
        <w:r>
          <w:rPr>
            <w:noProof/>
            <w:webHidden/>
          </w:rPr>
          <w:instrText xml:space="preserve"> PAGEREF _Toc39868246 \h </w:instrText>
        </w:r>
        <w:r>
          <w:rPr>
            <w:noProof/>
            <w:webHidden/>
          </w:rPr>
        </w:r>
        <w:r>
          <w:rPr>
            <w:noProof/>
            <w:webHidden/>
          </w:rPr>
          <w:fldChar w:fldCharType="separate"/>
        </w:r>
        <w:r>
          <w:rPr>
            <w:noProof/>
            <w:webHidden/>
          </w:rPr>
          <w:t>107</w:t>
        </w:r>
        <w:r>
          <w:rPr>
            <w:noProof/>
            <w:webHidden/>
          </w:rPr>
          <w:fldChar w:fldCharType="end"/>
        </w:r>
      </w:hyperlink>
    </w:p>
    <w:p w14:paraId="65DD416A" w14:textId="3F4A38E2" w:rsidR="009425BE" w:rsidRDefault="009425BE">
      <w:pPr>
        <w:pStyle w:val="TableofFigures"/>
        <w:tabs>
          <w:tab w:val="right" w:leader="dot" w:pos="8486"/>
        </w:tabs>
        <w:rPr>
          <w:rFonts w:eastAsiaTheme="minorEastAsia" w:cstheme="minorBidi"/>
          <w:noProof/>
          <w:sz w:val="22"/>
          <w:szCs w:val="22"/>
          <w:lang w:bidi="ar-SA"/>
        </w:rPr>
      </w:pPr>
      <w:hyperlink r:id="rId44" w:anchor="_Toc39868247" w:history="1">
        <w:r w:rsidRPr="00B944BD">
          <w:rPr>
            <w:rStyle w:val="Hyperlink"/>
            <w:noProof/>
          </w:rPr>
          <w:t>Figure 34: Full blots from Figure 5</w:t>
        </w:r>
        <w:r>
          <w:rPr>
            <w:noProof/>
            <w:webHidden/>
          </w:rPr>
          <w:tab/>
        </w:r>
        <w:r>
          <w:rPr>
            <w:noProof/>
            <w:webHidden/>
          </w:rPr>
          <w:fldChar w:fldCharType="begin"/>
        </w:r>
        <w:r>
          <w:rPr>
            <w:noProof/>
            <w:webHidden/>
          </w:rPr>
          <w:instrText xml:space="preserve"> PAGEREF _Toc39868247 \h </w:instrText>
        </w:r>
        <w:r>
          <w:rPr>
            <w:noProof/>
            <w:webHidden/>
          </w:rPr>
        </w:r>
        <w:r>
          <w:rPr>
            <w:noProof/>
            <w:webHidden/>
          </w:rPr>
          <w:fldChar w:fldCharType="separate"/>
        </w:r>
        <w:r>
          <w:rPr>
            <w:noProof/>
            <w:webHidden/>
          </w:rPr>
          <w:t>108</w:t>
        </w:r>
        <w:r>
          <w:rPr>
            <w:noProof/>
            <w:webHidden/>
          </w:rPr>
          <w:fldChar w:fldCharType="end"/>
        </w:r>
      </w:hyperlink>
    </w:p>
    <w:p w14:paraId="74236256" w14:textId="1237145D" w:rsidR="009425BE" w:rsidRDefault="009425BE">
      <w:pPr>
        <w:pStyle w:val="TableofFigures"/>
        <w:tabs>
          <w:tab w:val="right" w:leader="dot" w:pos="8486"/>
        </w:tabs>
        <w:rPr>
          <w:rFonts w:eastAsiaTheme="minorEastAsia" w:cstheme="minorBidi"/>
          <w:noProof/>
          <w:sz w:val="22"/>
          <w:szCs w:val="22"/>
          <w:lang w:bidi="ar-SA"/>
        </w:rPr>
      </w:pPr>
      <w:hyperlink r:id="rId45" w:anchor="_Toc39868248" w:history="1">
        <w:r w:rsidRPr="00B944BD">
          <w:rPr>
            <w:rStyle w:val="Hyperlink"/>
            <w:noProof/>
          </w:rPr>
          <w:t>Figure 35: Full blots from Figure 5</w:t>
        </w:r>
        <w:r>
          <w:rPr>
            <w:noProof/>
            <w:webHidden/>
          </w:rPr>
          <w:tab/>
        </w:r>
        <w:r>
          <w:rPr>
            <w:noProof/>
            <w:webHidden/>
          </w:rPr>
          <w:fldChar w:fldCharType="begin"/>
        </w:r>
        <w:r>
          <w:rPr>
            <w:noProof/>
            <w:webHidden/>
          </w:rPr>
          <w:instrText xml:space="preserve"> PAGEREF _Toc39868248 \h </w:instrText>
        </w:r>
        <w:r>
          <w:rPr>
            <w:noProof/>
            <w:webHidden/>
          </w:rPr>
        </w:r>
        <w:r>
          <w:rPr>
            <w:noProof/>
            <w:webHidden/>
          </w:rPr>
          <w:fldChar w:fldCharType="separate"/>
        </w:r>
        <w:r>
          <w:rPr>
            <w:noProof/>
            <w:webHidden/>
          </w:rPr>
          <w:t>109</w:t>
        </w:r>
        <w:r>
          <w:rPr>
            <w:noProof/>
            <w:webHidden/>
          </w:rPr>
          <w:fldChar w:fldCharType="end"/>
        </w:r>
      </w:hyperlink>
    </w:p>
    <w:p w14:paraId="0C806D7D" w14:textId="5F17BC64" w:rsidR="009425BE" w:rsidRDefault="009425BE">
      <w:pPr>
        <w:pStyle w:val="TableofFigures"/>
        <w:tabs>
          <w:tab w:val="right" w:leader="dot" w:pos="8486"/>
        </w:tabs>
        <w:rPr>
          <w:rFonts w:eastAsiaTheme="minorEastAsia" w:cstheme="minorBidi"/>
          <w:noProof/>
          <w:sz w:val="22"/>
          <w:szCs w:val="22"/>
          <w:lang w:bidi="ar-SA"/>
        </w:rPr>
      </w:pPr>
      <w:hyperlink r:id="rId46" w:anchor="_Toc39868249" w:history="1">
        <w:r w:rsidRPr="00B944BD">
          <w:rPr>
            <w:rStyle w:val="Hyperlink"/>
            <w:noProof/>
          </w:rPr>
          <w:t>Figure 36: Zoomed out spectra of Figure 8.</w:t>
        </w:r>
        <w:r>
          <w:rPr>
            <w:noProof/>
            <w:webHidden/>
          </w:rPr>
          <w:tab/>
        </w:r>
        <w:r>
          <w:rPr>
            <w:noProof/>
            <w:webHidden/>
          </w:rPr>
          <w:fldChar w:fldCharType="begin"/>
        </w:r>
        <w:r>
          <w:rPr>
            <w:noProof/>
            <w:webHidden/>
          </w:rPr>
          <w:instrText xml:space="preserve"> PAGEREF _Toc39868249 \h </w:instrText>
        </w:r>
        <w:r>
          <w:rPr>
            <w:noProof/>
            <w:webHidden/>
          </w:rPr>
        </w:r>
        <w:r>
          <w:rPr>
            <w:noProof/>
            <w:webHidden/>
          </w:rPr>
          <w:fldChar w:fldCharType="separate"/>
        </w:r>
        <w:r>
          <w:rPr>
            <w:noProof/>
            <w:webHidden/>
          </w:rPr>
          <w:t>110</w:t>
        </w:r>
        <w:r>
          <w:rPr>
            <w:noProof/>
            <w:webHidden/>
          </w:rPr>
          <w:fldChar w:fldCharType="end"/>
        </w:r>
      </w:hyperlink>
    </w:p>
    <w:p w14:paraId="35F50BC8" w14:textId="0783F7B3" w:rsidR="009425BE" w:rsidRDefault="009425BE">
      <w:pPr>
        <w:pStyle w:val="TableofFigures"/>
        <w:tabs>
          <w:tab w:val="right" w:leader="dot" w:pos="8486"/>
        </w:tabs>
        <w:rPr>
          <w:rFonts w:eastAsiaTheme="minorEastAsia" w:cstheme="minorBidi"/>
          <w:noProof/>
          <w:sz w:val="22"/>
          <w:szCs w:val="22"/>
          <w:lang w:bidi="ar-SA"/>
        </w:rPr>
      </w:pPr>
      <w:hyperlink r:id="rId47" w:anchor="_Toc39868250" w:history="1">
        <w:r w:rsidRPr="00B944BD">
          <w:rPr>
            <w:rStyle w:val="Hyperlink"/>
            <w:noProof/>
          </w:rPr>
          <w:t>Figure 37: Spectra of LCMS 100pM OSW-1 sample for limit of quantification</w:t>
        </w:r>
        <w:r>
          <w:rPr>
            <w:noProof/>
            <w:webHidden/>
          </w:rPr>
          <w:tab/>
        </w:r>
        <w:r>
          <w:rPr>
            <w:noProof/>
            <w:webHidden/>
          </w:rPr>
          <w:fldChar w:fldCharType="begin"/>
        </w:r>
        <w:r>
          <w:rPr>
            <w:noProof/>
            <w:webHidden/>
          </w:rPr>
          <w:instrText xml:space="preserve"> PAGEREF _Toc39868250 \h </w:instrText>
        </w:r>
        <w:r>
          <w:rPr>
            <w:noProof/>
            <w:webHidden/>
          </w:rPr>
        </w:r>
        <w:r>
          <w:rPr>
            <w:noProof/>
            <w:webHidden/>
          </w:rPr>
          <w:fldChar w:fldCharType="separate"/>
        </w:r>
        <w:r>
          <w:rPr>
            <w:noProof/>
            <w:webHidden/>
          </w:rPr>
          <w:t>111</w:t>
        </w:r>
        <w:r>
          <w:rPr>
            <w:noProof/>
            <w:webHidden/>
          </w:rPr>
          <w:fldChar w:fldCharType="end"/>
        </w:r>
      </w:hyperlink>
    </w:p>
    <w:p w14:paraId="14D1DA6A" w14:textId="798BE4D7" w:rsidR="009425BE" w:rsidRDefault="009425BE">
      <w:pPr>
        <w:pStyle w:val="TableofFigures"/>
        <w:tabs>
          <w:tab w:val="right" w:leader="dot" w:pos="8486"/>
        </w:tabs>
        <w:rPr>
          <w:rFonts w:eastAsiaTheme="minorEastAsia" w:cstheme="minorBidi"/>
          <w:noProof/>
          <w:sz w:val="22"/>
          <w:szCs w:val="22"/>
          <w:lang w:bidi="ar-SA"/>
        </w:rPr>
      </w:pPr>
      <w:hyperlink r:id="rId48" w:anchor="_Toc39868251" w:history="1">
        <w:r w:rsidRPr="00B944BD">
          <w:rPr>
            <w:rStyle w:val="Hyperlink"/>
            <w:noProof/>
          </w:rPr>
          <w:t>Figure 38: Spheroid Cytotoxicity and Protein levels. A) Spheroid images of SKOV-3 and OVCAR-8 treated with the provided concentration of compound at the provided times. B) Protein quantification of OSBP and ORP4L spheroid (3D) levels relative to monolayer (2D).</w:t>
        </w:r>
        <w:r>
          <w:rPr>
            <w:noProof/>
            <w:webHidden/>
          </w:rPr>
          <w:tab/>
        </w:r>
        <w:r>
          <w:rPr>
            <w:noProof/>
            <w:webHidden/>
          </w:rPr>
          <w:fldChar w:fldCharType="begin"/>
        </w:r>
        <w:r>
          <w:rPr>
            <w:noProof/>
            <w:webHidden/>
          </w:rPr>
          <w:instrText xml:space="preserve"> PAGEREF _Toc39868251 \h </w:instrText>
        </w:r>
        <w:r>
          <w:rPr>
            <w:noProof/>
            <w:webHidden/>
          </w:rPr>
        </w:r>
        <w:r>
          <w:rPr>
            <w:noProof/>
            <w:webHidden/>
          </w:rPr>
          <w:fldChar w:fldCharType="separate"/>
        </w:r>
        <w:r>
          <w:rPr>
            <w:noProof/>
            <w:webHidden/>
          </w:rPr>
          <w:t>112</w:t>
        </w:r>
        <w:r>
          <w:rPr>
            <w:noProof/>
            <w:webHidden/>
          </w:rPr>
          <w:fldChar w:fldCharType="end"/>
        </w:r>
      </w:hyperlink>
    </w:p>
    <w:p w14:paraId="51B4D76B" w14:textId="15CC5650" w:rsidR="009425BE" w:rsidRDefault="009425BE">
      <w:pPr>
        <w:pStyle w:val="TableofFigures"/>
        <w:tabs>
          <w:tab w:val="right" w:leader="dot" w:pos="8486"/>
        </w:tabs>
        <w:rPr>
          <w:rFonts w:eastAsiaTheme="minorEastAsia" w:cstheme="minorBidi"/>
          <w:noProof/>
          <w:sz w:val="22"/>
          <w:szCs w:val="22"/>
          <w:lang w:bidi="ar-SA"/>
        </w:rPr>
      </w:pPr>
      <w:hyperlink r:id="rId49" w:anchor="_Toc39868252" w:history="1">
        <w:r w:rsidRPr="00B944BD">
          <w:rPr>
            <w:rStyle w:val="Hyperlink"/>
            <w:noProof/>
          </w:rPr>
          <w:t>Figure 39: Full blot of Figure 15.</w:t>
        </w:r>
        <w:r>
          <w:rPr>
            <w:noProof/>
            <w:webHidden/>
          </w:rPr>
          <w:tab/>
        </w:r>
        <w:r>
          <w:rPr>
            <w:noProof/>
            <w:webHidden/>
          </w:rPr>
          <w:fldChar w:fldCharType="begin"/>
        </w:r>
        <w:r>
          <w:rPr>
            <w:noProof/>
            <w:webHidden/>
          </w:rPr>
          <w:instrText xml:space="preserve"> PAGEREF _Toc39868252 \h </w:instrText>
        </w:r>
        <w:r>
          <w:rPr>
            <w:noProof/>
            <w:webHidden/>
          </w:rPr>
        </w:r>
        <w:r>
          <w:rPr>
            <w:noProof/>
            <w:webHidden/>
          </w:rPr>
          <w:fldChar w:fldCharType="separate"/>
        </w:r>
        <w:r>
          <w:rPr>
            <w:noProof/>
            <w:webHidden/>
          </w:rPr>
          <w:t>113</w:t>
        </w:r>
        <w:r>
          <w:rPr>
            <w:noProof/>
            <w:webHidden/>
          </w:rPr>
          <w:fldChar w:fldCharType="end"/>
        </w:r>
      </w:hyperlink>
    </w:p>
    <w:p w14:paraId="21B90594" w14:textId="72B010FF" w:rsidR="009425BE" w:rsidRDefault="009425BE">
      <w:pPr>
        <w:pStyle w:val="TableofFigures"/>
        <w:tabs>
          <w:tab w:val="right" w:leader="dot" w:pos="8486"/>
        </w:tabs>
        <w:rPr>
          <w:rFonts w:eastAsiaTheme="minorEastAsia" w:cstheme="minorBidi"/>
          <w:noProof/>
          <w:sz w:val="22"/>
          <w:szCs w:val="22"/>
          <w:lang w:bidi="ar-SA"/>
        </w:rPr>
      </w:pPr>
      <w:hyperlink r:id="rId50" w:anchor="_Toc39868253" w:history="1">
        <w:r w:rsidRPr="00B944BD">
          <w:rPr>
            <w:rStyle w:val="Hyperlink"/>
            <w:noProof/>
          </w:rPr>
          <w:t>Figure 40: Full blots of Figure 20.</w:t>
        </w:r>
        <w:r>
          <w:rPr>
            <w:noProof/>
            <w:webHidden/>
          </w:rPr>
          <w:tab/>
        </w:r>
        <w:r>
          <w:rPr>
            <w:noProof/>
            <w:webHidden/>
          </w:rPr>
          <w:fldChar w:fldCharType="begin"/>
        </w:r>
        <w:r>
          <w:rPr>
            <w:noProof/>
            <w:webHidden/>
          </w:rPr>
          <w:instrText xml:space="preserve"> PAGEREF _Toc39868253 \h </w:instrText>
        </w:r>
        <w:r>
          <w:rPr>
            <w:noProof/>
            <w:webHidden/>
          </w:rPr>
        </w:r>
        <w:r>
          <w:rPr>
            <w:noProof/>
            <w:webHidden/>
          </w:rPr>
          <w:fldChar w:fldCharType="separate"/>
        </w:r>
        <w:r>
          <w:rPr>
            <w:noProof/>
            <w:webHidden/>
          </w:rPr>
          <w:t>114</w:t>
        </w:r>
        <w:r>
          <w:rPr>
            <w:noProof/>
            <w:webHidden/>
          </w:rPr>
          <w:fldChar w:fldCharType="end"/>
        </w:r>
      </w:hyperlink>
    </w:p>
    <w:p w14:paraId="5217D336" w14:textId="5B2F29DA" w:rsidR="009425BE" w:rsidRDefault="009425BE">
      <w:pPr>
        <w:pStyle w:val="TableofFigures"/>
        <w:tabs>
          <w:tab w:val="right" w:leader="dot" w:pos="8486"/>
        </w:tabs>
        <w:rPr>
          <w:rFonts w:eastAsiaTheme="minorEastAsia" w:cstheme="minorBidi"/>
          <w:noProof/>
          <w:sz w:val="22"/>
          <w:szCs w:val="22"/>
          <w:lang w:bidi="ar-SA"/>
        </w:rPr>
      </w:pPr>
      <w:hyperlink r:id="rId51" w:anchor="_Toc39868254" w:history="1">
        <w:r w:rsidRPr="00B944BD">
          <w:rPr>
            <w:rStyle w:val="Hyperlink"/>
            <w:noProof/>
          </w:rPr>
          <w:t>Figure 41: MS/MS verification of lipids with 10-40 manufacturer’s unit energy.</w:t>
        </w:r>
        <w:r>
          <w:rPr>
            <w:noProof/>
            <w:webHidden/>
          </w:rPr>
          <w:tab/>
        </w:r>
        <w:r>
          <w:rPr>
            <w:noProof/>
            <w:webHidden/>
          </w:rPr>
          <w:fldChar w:fldCharType="begin"/>
        </w:r>
        <w:r>
          <w:rPr>
            <w:noProof/>
            <w:webHidden/>
          </w:rPr>
          <w:instrText xml:space="preserve"> PAGEREF _Toc39868254 \h </w:instrText>
        </w:r>
        <w:r>
          <w:rPr>
            <w:noProof/>
            <w:webHidden/>
          </w:rPr>
        </w:r>
        <w:r>
          <w:rPr>
            <w:noProof/>
            <w:webHidden/>
          </w:rPr>
          <w:fldChar w:fldCharType="separate"/>
        </w:r>
        <w:r>
          <w:rPr>
            <w:noProof/>
            <w:webHidden/>
          </w:rPr>
          <w:t>115</w:t>
        </w:r>
        <w:r>
          <w:rPr>
            <w:noProof/>
            <w:webHidden/>
          </w:rPr>
          <w:fldChar w:fldCharType="end"/>
        </w:r>
      </w:hyperlink>
    </w:p>
    <w:p w14:paraId="770E8D4A" w14:textId="4721155B" w:rsidR="009425BE" w:rsidRDefault="009425BE">
      <w:pPr>
        <w:pStyle w:val="TableofFigures"/>
        <w:tabs>
          <w:tab w:val="right" w:leader="dot" w:pos="8486"/>
        </w:tabs>
        <w:rPr>
          <w:rFonts w:eastAsiaTheme="minorEastAsia" w:cstheme="minorBidi"/>
          <w:noProof/>
          <w:sz w:val="22"/>
          <w:szCs w:val="22"/>
          <w:lang w:bidi="ar-SA"/>
        </w:rPr>
      </w:pPr>
      <w:hyperlink r:id="rId52" w:anchor="_Toc39868255" w:history="1">
        <w:r w:rsidRPr="00B944BD">
          <w:rPr>
            <w:rStyle w:val="Hyperlink"/>
            <w:noProof/>
          </w:rPr>
          <w:t>Figure 42: MS/MS verification of lipids with 10-40 manufacturer’s unit energy.</w:t>
        </w:r>
        <w:r>
          <w:rPr>
            <w:noProof/>
            <w:webHidden/>
          </w:rPr>
          <w:tab/>
        </w:r>
        <w:r>
          <w:rPr>
            <w:noProof/>
            <w:webHidden/>
          </w:rPr>
          <w:fldChar w:fldCharType="begin"/>
        </w:r>
        <w:r>
          <w:rPr>
            <w:noProof/>
            <w:webHidden/>
          </w:rPr>
          <w:instrText xml:space="preserve"> PAGEREF _Toc39868255 \h </w:instrText>
        </w:r>
        <w:r>
          <w:rPr>
            <w:noProof/>
            <w:webHidden/>
          </w:rPr>
        </w:r>
        <w:r>
          <w:rPr>
            <w:noProof/>
            <w:webHidden/>
          </w:rPr>
          <w:fldChar w:fldCharType="separate"/>
        </w:r>
        <w:r>
          <w:rPr>
            <w:noProof/>
            <w:webHidden/>
          </w:rPr>
          <w:t>116</w:t>
        </w:r>
        <w:r>
          <w:rPr>
            <w:noProof/>
            <w:webHidden/>
          </w:rPr>
          <w:fldChar w:fldCharType="end"/>
        </w:r>
      </w:hyperlink>
    </w:p>
    <w:p w14:paraId="044F4573" w14:textId="15257652" w:rsidR="009425BE" w:rsidRDefault="009425BE">
      <w:pPr>
        <w:pStyle w:val="TableofFigures"/>
        <w:tabs>
          <w:tab w:val="right" w:leader="dot" w:pos="8486"/>
        </w:tabs>
        <w:rPr>
          <w:rFonts w:eastAsiaTheme="minorEastAsia" w:cstheme="minorBidi"/>
          <w:noProof/>
          <w:sz w:val="22"/>
          <w:szCs w:val="22"/>
          <w:lang w:bidi="ar-SA"/>
        </w:rPr>
      </w:pPr>
      <w:hyperlink r:id="rId53" w:anchor="_Toc39868256" w:history="1">
        <w:r w:rsidRPr="00B944BD">
          <w:rPr>
            <w:rStyle w:val="Hyperlink"/>
            <w:noProof/>
          </w:rPr>
          <w:t>Figure 43: MS/MS verification of lipids with 10-40 manufacturer’s unit energy.</w:t>
        </w:r>
        <w:r>
          <w:rPr>
            <w:noProof/>
            <w:webHidden/>
          </w:rPr>
          <w:tab/>
        </w:r>
        <w:r>
          <w:rPr>
            <w:noProof/>
            <w:webHidden/>
          </w:rPr>
          <w:fldChar w:fldCharType="begin"/>
        </w:r>
        <w:r>
          <w:rPr>
            <w:noProof/>
            <w:webHidden/>
          </w:rPr>
          <w:instrText xml:space="preserve"> PAGEREF _Toc39868256 \h </w:instrText>
        </w:r>
        <w:r>
          <w:rPr>
            <w:noProof/>
            <w:webHidden/>
          </w:rPr>
        </w:r>
        <w:r>
          <w:rPr>
            <w:noProof/>
            <w:webHidden/>
          </w:rPr>
          <w:fldChar w:fldCharType="separate"/>
        </w:r>
        <w:r>
          <w:rPr>
            <w:noProof/>
            <w:webHidden/>
          </w:rPr>
          <w:t>117</w:t>
        </w:r>
        <w:r>
          <w:rPr>
            <w:noProof/>
            <w:webHidden/>
          </w:rPr>
          <w:fldChar w:fldCharType="end"/>
        </w:r>
      </w:hyperlink>
    </w:p>
    <w:p w14:paraId="7028001A" w14:textId="23665C4E" w:rsidR="009425BE" w:rsidRDefault="009425BE">
      <w:pPr>
        <w:pStyle w:val="TableofFigures"/>
        <w:tabs>
          <w:tab w:val="right" w:leader="dot" w:pos="8486"/>
        </w:tabs>
        <w:rPr>
          <w:rFonts w:eastAsiaTheme="minorEastAsia" w:cstheme="minorBidi"/>
          <w:noProof/>
          <w:sz w:val="22"/>
          <w:szCs w:val="22"/>
          <w:lang w:bidi="ar-SA"/>
        </w:rPr>
      </w:pPr>
      <w:hyperlink r:id="rId54" w:anchor="_Toc39868257" w:history="1">
        <w:r w:rsidRPr="00B944BD">
          <w:rPr>
            <w:rStyle w:val="Hyperlink"/>
            <w:noProof/>
          </w:rPr>
          <w:t>Figure 44: MS/MS verification of lipids with 10-40 manufacturer’s unit energy.</w:t>
        </w:r>
        <w:r>
          <w:rPr>
            <w:noProof/>
            <w:webHidden/>
          </w:rPr>
          <w:tab/>
        </w:r>
        <w:r>
          <w:rPr>
            <w:noProof/>
            <w:webHidden/>
          </w:rPr>
          <w:fldChar w:fldCharType="begin"/>
        </w:r>
        <w:r>
          <w:rPr>
            <w:noProof/>
            <w:webHidden/>
          </w:rPr>
          <w:instrText xml:space="preserve"> PAGEREF _Toc39868257 \h </w:instrText>
        </w:r>
        <w:r>
          <w:rPr>
            <w:noProof/>
            <w:webHidden/>
          </w:rPr>
        </w:r>
        <w:r>
          <w:rPr>
            <w:noProof/>
            <w:webHidden/>
          </w:rPr>
          <w:fldChar w:fldCharType="separate"/>
        </w:r>
        <w:r>
          <w:rPr>
            <w:noProof/>
            <w:webHidden/>
          </w:rPr>
          <w:t>118</w:t>
        </w:r>
        <w:r>
          <w:rPr>
            <w:noProof/>
            <w:webHidden/>
          </w:rPr>
          <w:fldChar w:fldCharType="end"/>
        </w:r>
      </w:hyperlink>
    </w:p>
    <w:p w14:paraId="4998CF8B" w14:textId="6ADD9C87" w:rsidR="009425BE" w:rsidRDefault="009425BE">
      <w:pPr>
        <w:pStyle w:val="TableofFigures"/>
        <w:tabs>
          <w:tab w:val="right" w:leader="dot" w:pos="8486"/>
        </w:tabs>
        <w:rPr>
          <w:rFonts w:eastAsiaTheme="minorEastAsia" w:cstheme="minorBidi"/>
          <w:noProof/>
          <w:sz w:val="22"/>
          <w:szCs w:val="22"/>
          <w:lang w:bidi="ar-SA"/>
        </w:rPr>
      </w:pPr>
      <w:hyperlink r:id="rId55" w:anchor="_Toc39868258" w:history="1">
        <w:r w:rsidRPr="00B944BD">
          <w:rPr>
            <w:rStyle w:val="Hyperlink"/>
            <w:noProof/>
          </w:rPr>
          <w:t>Figure 45: MS/MS verification of lipids with 10-40 manufacturer’s unit energy.</w:t>
        </w:r>
        <w:r>
          <w:rPr>
            <w:noProof/>
            <w:webHidden/>
          </w:rPr>
          <w:tab/>
        </w:r>
        <w:r>
          <w:rPr>
            <w:noProof/>
            <w:webHidden/>
          </w:rPr>
          <w:fldChar w:fldCharType="begin"/>
        </w:r>
        <w:r>
          <w:rPr>
            <w:noProof/>
            <w:webHidden/>
          </w:rPr>
          <w:instrText xml:space="preserve"> PAGEREF _Toc39868258 \h </w:instrText>
        </w:r>
        <w:r>
          <w:rPr>
            <w:noProof/>
            <w:webHidden/>
          </w:rPr>
        </w:r>
        <w:r>
          <w:rPr>
            <w:noProof/>
            <w:webHidden/>
          </w:rPr>
          <w:fldChar w:fldCharType="separate"/>
        </w:r>
        <w:r>
          <w:rPr>
            <w:noProof/>
            <w:webHidden/>
          </w:rPr>
          <w:t>119</w:t>
        </w:r>
        <w:r>
          <w:rPr>
            <w:noProof/>
            <w:webHidden/>
          </w:rPr>
          <w:fldChar w:fldCharType="end"/>
        </w:r>
      </w:hyperlink>
    </w:p>
    <w:p w14:paraId="065EE922" w14:textId="700CAB91" w:rsidR="009425BE" w:rsidRDefault="009425BE">
      <w:pPr>
        <w:pStyle w:val="TableofFigures"/>
        <w:tabs>
          <w:tab w:val="right" w:leader="dot" w:pos="8486"/>
        </w:tabs>
        <w:rPr>
          <w:rFonts w:eastAsiaTheme="minorEastAsia" w:cstheme="minorBidi"/>
          <w:noProof/>
          <w:sz w:val="22"/>
          <w:szCs w:val="22"/>
          <w:lang w:bidi="ar-SA"/>
        </w:rPr>
      </w:pPr>
      <w:hyperlink r:id="rId56" w:anchor="_Toc39868259" w:history="1">
        <w:r w:rsidRPr="00B944BD">
          <w:rPr>
            <w:rStyle w:val="Hyperlink"/>
            <w:noProof/>
          </w:rPr>
          <w:t>Figure 46: Synthesis of stable-isotopically labeled Gemcitabine.</w:t>
        </w:r>
        <w:r>
          <w:rPr>
            <w:noProof/>
            <w:webHidden/>
          </w:rPr>
          <w:tab/>
        </w:r>
        <w:r>
          <w:rPr>
            <w:noProof/>
            <w:webHidden/>
          </w:rPr>
          <w:fldChar w:fldCharType="begin"/>
        </w:r>
        <w:r>
          <w:rPr>
            <w:noProof/>
            <w:webHidden/>
          </w:rPr>
          <w:instrText xml:space="preserve"> PAGEREF _Toc39868259 \h </w:instrText>
        </w:r>
        <w:r>
          <w:rPr>
            <w:noProof/>
            <w:webHidden/>
          </w:rPr>
        </w:r>
        <w:r>
          <w:rPr>
            <w:noProof/>
            <w:webHidden/>
          </w:rPr>
          <w:fldChar w:fldCharType="separate"/>
        </w:r>
        <w:r>
          <w:rPr>
            <w:noProof/>
            <w:webHidden/>
          </w:rPr>
          <w:t>120</w:t>
        </w:r>
        <w:r>
          <w:rPr>
            <w:noProof/>
            <w:webHidden/>
          </w:rPr>
          <w:fldChar w:fldCharType="end"/>
        </w:r>
      </w:hyperlink>
    </w:p>
    <w:p w14:paraId="02226478" w14:textId="35C0E970" w:rsidR="009425BE" w:rsidRDefault="009425BE">
      <w:pPr>
        <w:pStyle w:val="TableofFigures"/>
        <w:tabs>
          <w:tab w:val="right" w:leader="dot" w:pos="8486"/>
        </w:tabs>
        <w:rPr>
          <w:rFonts w:eastAsiaTheme="minorEastAsia" w:cstheme="minorBidi"/>
          <w:noProof/>
          <w:sz w:val="22"/>
          <w:szCs w:val="22"/>
          <w:lang w:bidi="ar-SA"/>
        </w:rPr>
      </w:pPr>
      <w:hyperlink r:id="rId57" w:anchor="_Toc39868260" w:history="1">
        <w:r w:rsidRPr="00B944BD">
          <w:rPr>
            <w:rStyle w:val="Hyperlink"/>
            <w:noProof/>
          </w:rPr>
          <w:t xml:space="preserve">Figure 47: </w:t>
        </w:r>
        <w:r w:rsidRPr="00B944BD">
          <w:rPr>
            <w:rStyle w:val="Hyperlink"/>
            <w:noProof/>
            <w:vertAlign w:val="superscript"/>
          </w:rPr>
          <w:t>1</w:t>
        </w:r>
        <w:r w:rsidRPr="00B944BD">
          <w:rPr>
            <w:rStyle w:val="Hyperlink"/>
            <w:noProof/>
          </w:rPr>
          <w:t>H NMR spectra of non-labeled gemcitabine (top) and labeled gemcitabine (bottom).</w:t>
        </w:r>
        <w:r>
          <w:rPr>
            <w:noProof/>
            <w:webHidden/>
          </w:rPr>
          <w:tab/>
        </w:r>
        <w:r>
          <w:rPr>
            <w:noProof/>
            <w:webHidden/>
          </w:rPr>
          <w:fldChar w:fldCharType="begin"/>
        </w:r>
        <w:r>
          <w:rPr>
            <w:noProof/>
            <w:webHidden/>
          </w:rPr>
          <w:instrText xml:space="preserve"> PAGEREF _Toc39868260 \h </w:instrText>
        </w:r>
        <w:r>
          <w:rPr>
            <w:noProof/>
            <w:webHidden/>
          </w:rPr>
        </w:r>
        <w:r>
          <w:rPr>
            <w:noProof/>
            <w:webHidden/>
          </w:rPr>
          <w:fldChar w:fldCharType="separate"/>
        </w:r>
        <w:r>
          <w:rPr>
            <w:noProof/>
            <w:webHidden/>
          </w:rPr>
          <w:t>121</w:t>
        </w:r>
        <w:r>
          <w:rPr>
            <w:noProof/>
            <w:webHidden/>
          </w:rPr>
          <w:fldChar w:fldCharType="end"/>
        </w:r>
      </w:hyperlink>
    </w:p>
    <w:p w14:paraId="7C74FC06" w14:textId="7410D6F6" w:rsidR="009425BE" w:rsidRDefault="009425BE">
      <w:pPr>
        <w:pStyle w:val="TableofFigures"/>
        <w:tabs>
          <w:tab w:val="right" w:leader="dot" w:pos="8486"/>
        </w:tabs>
        <w:rPr>
          <w:rFonts w:eastAsiaTheme="minorEastAsia" w:cstheme="minorBidi"/>
          <w:noProof/>
          <w:sz w:val="22"/>
          <w:szCs w:val="22"/>
          <w:lang w:bidi="ar-SA"/>
        </w:rPr>
      </w:pPr>
      <w:hyperlink r:id="rId58" w:anchor="_Toc39868261" w:history="1">
        <w:r w:rsidRPr="00B944BD">
          <w:rPr>
            <w:rStyle w:val="Hyperlink"/>
            <w:noProof/>
          </w:rPr>
          <w:t xml:space="preserve">Figure 48: </w:t>
        </w:r>
        <w:r w:rsidRPr="00B944BD">
          <w:rPr>
            <w:rStyle w:val="Hyperlink"/>
            <w:rFonts w:ascii="Arno Pro" w:eastAsia="Arial" w:hAnsi="Arno Pro" w:cs="Arial"/>
            <w:noProof/>
          </w:rPr>
          <w:t>Mass spectrum of gemcitabine and</w:t>
        </w:r>
        <w:r w:rsidRPr="00B944BD">
          <w:rPr>
            <w:rStyle w:val="Hyperlink"/>
            <w:rFonts w:ascii="Arno Pro" w:eastAsia="Arial" w:hAnsi="Arno Pro" w:cs="Arial"/>
            <w:noProof/>
            <w:vertAlign w:val="superscript"/>
          </w:rPr>
          <w:t xml:space="preserve"> 15</w:t>
        </w:r>
        <w:r w:rsidRPr="00B944BD">
          <w:rPr>
            <w:rStyle w:val="Hyperlink"/>
            <w:rFonts w:ascii="Arno Pro" w:eastAsia="Arial" w:hAnsi="Arno Pro" w:cs="Arial"/>
            <w:noProof/>
          </w:rPr>
          <w:t>N</w:t>
        </w:r>
        <w:r w:rsidRPr="00B944BD">
          <w:rPr>
            <w:rStyle w:val="Hyperlink"/>
            <w:rFonts w:ascii="Arno Pro" w:eastAsia="Arial" w:hAnsi="Arno Pro" w:cs="Arial"/>
            <w:noProof/>
            <w:vertAlign w:val="subscript"/>
          </w:rPr>
          <w:t>3</w:t>
        </w:r>
        <w:r w:rsidRPr="00B944BD">
          <w:rPr>
            <w:rStyle w:val="Hyperlink"/>
            <w:rFonts w:ascii="Arno Pro" w:eastAsia="Arial" w:hAnsi="Arno Pro" w:cs="Arial"/>
            <w:noProof/>
          </w:rPr>
          <w:t>-gemcitabine. (A) Spectra from a single T24 cell following 1 h 10 µM Gemcitabine treatment. (B) Spectra from a single K562 cell following 1 h 10 µM Gemcitabine treatment.</w:t>
        </w:r>
        <w:r>
          <w:rPr>
            <w:noProof/>
            <w:webHidden/>
          </w:rPr>
          <w:tab/>
        </w:r>
        <w:r>
          <w:rPr>
            <w:noProof/>
            <w:webHidden/>
          </w:rPr>
          <w:fldChar w:fldCharType="begin"/>
        </w:r>
        <w:r>
          <w:rPr>
            <w:noProof/>
            <w:webHidden/>
          </w:rPr>
          <w:instrText xml:space="preserve"> PAGEREF _Toc39868261 \h </w:instrText>
        </w:r>
        <w:r>
          <w:rPr>
            <w:noProof/>
            <w:webHidden/>
          </w:rPr>
        </w:r>
        <w:r>
          <w:rPr>
            <w:noProof/>
            <w:webHidden/>
          </w:rPr>
          <w:fldChar w:fldCharType="separate"/>
        </w:r>
        <w:r>
          <w:rPr>
            <w:noProof/>
            <w:webHidden/>
          </w:rPr>
          <w:t>122</w:t>
        </w:r>
        <w:r>
          <w:rPr>
            <w:noProof/>
            <w:webHidden/>
          </w:rPr>
          <w:fldChar w:fldCharType="end"/>
        </w:r>
      </w:hyperlink>
    </w:p>
    <w:p w14:paraId="2EF5675F" w14:textId="67739D9D" w:rsidR="009425BE" w:rsidRDefault="009425BE">
      <w:pPr>
        <w:pStyle w:val="TableofFigures"/>
        <w:tabs>
          <w:tab w:val="right" w:leader="dot" w:pos="8486"/>
        </w:tabs>
        <w:rPr>
          <w:rFonts w:eastAsiaTheme="minorEastAsia" w:cstheme="minorBidi"/>
          <w:noProof/>
          <w:sz w:val="22"/>
          <w:szCs w:val="22"/>
          <w:lang w:bidi="ar-SA"/>
        </w:rPr>
      </w:pPr>
      <w:hyperlink r:id="rId59" w:anchor="_Toc39868262" w:history="1">
        <w:r w:rsidRPr="00B944BD">
          <w:rPr>
            <w:rStyle w:val="Hyperlink"/>
            <w:noProof/>
          </w:rPr>
          <w:t xml:space="preserve">Figure 49: </w:t>
        </w:r>
        <w:r w:rsidRPr="00B944BD">
          <w:rPr>
            <w:rStyle w:val="Hyperlink"/>
            <w:rFonts w:ascii="Arno Pro" w:hAnsi="Arno Pro" w:cs="Arial"/>
            <w:noProof/>
          </w:rPr>
          <w:t xml:space="preserve">Spectra of Gemcitabine depicting the limit of quantification (LOQ) utilizing the single probe in a 5nM gemcitabine/ 100nM </w:t>
        </w:r>
        <w:r w:rsidRPr="00B944BD">
          <w:rPr>
            <w:rStyle w:val="Hyperlink"/>
            <w:rFonts w:ascii="Arno Pro" w:hAnsi="Arno Pro" w:cs="Arial"/>
            <w:noProof/>
            <w:vertAlign w:val="superscript"/>
          </w:rPr>
          <w:t>15</w:t>
        </w:r>
        <w:r w:rsidRPr="00B944BD">
          <w:rPr>
            <w:rStyle w:val="Hyperlink"/>
            <w:rFonts w:ascii="Arno Pro" w:hAnsi="Arno Pro" w:cs="Arial"/>
            <w:noProof/>
          </w:rPr>
          <w:t>N</w:t>
        </w:r>
        <w:r w:rsidRPr="00B944BD">
          <w:rPr>
            <w:rStyle w:val="Hyperlink"/>
            <w:rFonts w:ascii="Arno Pro" w:hAnsi="Arno Pro" w:cs="Arial"/>
            <w:noProof/>
            <w:vertAlign w:val="subscript"/>
          </w:rPr>
          <w:t>3</w:t>
        </w:r>
        <w:r w:rsidRPr="00B944BD">
          <w:rPr>
            <w:rStyle w:val="Hyperlink"/>
            <w:rFonts w:ascii="Arno Pro" w:hAnsi="Arno Pro" w:cs="Arial"/>
            <w:noProof/>
          </w:rPr>
          <w:t>-gemcitabine solution in acetonitrile.</w:t>
        </w:r>
        <w:r>
          <w:rPr>
            <w:noProof/>
            <w:webHidden/>
          </w:rPr>
          <w:tab/>
        </w:r>
        <w:r>
          <w:rPr>
            <w:noProof/>
            <w:webHidden/>
          </w:rPr>
          <w:fldChar w:fldCharType="begin"/>
        </w:r>
        <w:r>
          <w:rPr>
            <w:noProof/>
            <w:webHidden/>
          </w:rPr>
          <w:instrText xml:space="preserve"> PAGEREF _Toc39868262 \h </w:instrText>
        </w:r>
        <w:r>
          <w:rPr>
            <w:noProof/>
            <w:webHidden/>
          </w:rPr>
        </w:r>
        <w:r>
          <w:rPr>
            <w:noProof/>
            <w:webHidden/>
          </w:rPr>
          <w:fldChar w:fldCharType="separate"/>
        </w:r>
        <w:r>
          <w:rPr>
            <w:noProof/>
            <w:webHidden/>
          </w:rPr>
          <w:t>123</w:t>
        </w:r>
        <w:r>
          <w:rPr>
            <w:noProof/>
            <w:webHidden/>
          </w:rPr>
          <w:fldChar w:fldCharType="end"/>
        </w:r>
      </w:hyperlink>
    </w:p>
    <w:p w14:paraId="23BDA9C8" w14:textId="0B42A863" w:rsidR="00DA1971" w:rsidRDefault="00F7122D" w:rsidP="00012F48">
      <w:pPr>
        <w:pStyle w:val="Heading1"/>
      </w:pPr>
      <w:r>
        <w:fldChar w:fldCharType="end"/>
      </w:r>
      <w:r w:rsidR="00DA1971">
        <w:br w:type="page"/>
      </w:r>
      <w:bookmarkStart w:id="6" w:name="_Toc310579467"/>
      <w:bookmarkStart w:id="7" w:name="_Toc39868129"/>
      <w:r w:rsidR="00DA1971">
        <w:lastRenderedPageBreak/>
        <w:t>Abstract</w:t>
      </w:r>
      <w:bookmarkEnd w:id="6"/>
      <w:bookmarkEnd w:id="7"/>
    </w:p>
    <w:p w14:paraId="5CA24F33" w14:textId="7274B86D" w:rsidR="00DA1971" w:rsidRPr="000849BF" w:rsidRDefault="009E60F3">
      <w:pPr>
        <w:ind w:firstLine="720"/>
        <w:jc w:val="both"/>
        <w:rPr>
          <w:color w:val="FF0000"/>
        </w:rPr>
      </w:pPr>
      <w:r>
        <w:t xml:space="preserve">Personalized </w:t>
      </w:r>
      <w:r w:rsidR="00F531A9">
        <w:t>medicine, also known as precision medicine</w:t>
      </w:r>
      <w:r>
        <w:t xml:space="preserve">, </w:t>
      </w:r>
      <w:r w:rsidR="00F531A9">
        <w:t>is a</w:t>
      </w:r>
      <w:r w:rsidRPr="00E70F02">
        <w:t xml:space="preserve"> broad medica</w:t>
      </w:r>
      <w:r>
        <w:t xml:space="preserve">l </w:t>
      </w:r>
      <w:r w:rsidR="00F531A9">
        <w:t>paradigm</w:t>
      </w:r>
      <w:r>
        <w:t xml:space="preserve"> </w:t>
      </w:r>
      <w:r w:rsidRPr="00E70F02">
        <w:t xml:space="preserve">for tailoring patients’ treatments based upon their individual biological makeup to produce the most effective, safest </w:t>
      </w:r>
      <w:r>
        <w:t>clinical outcomes</w:t>
      </w:r>
      <w:r w:rsidR="00F531A9">
        <w:t>. Personalized medicine</w:t>
      </w:r>
      <w:r>
        <w:t xml:space="preserve"> has the potential for enhancing nearly all fields of human health</w:t>
      </w:r>
      <w:r w:rsidR="006649CC">
        <w:t xml:space="preserve"> but has gained particular traction in </w:t>
      </w:r>
      <w:r w:rsidR="00251CE8">
        <w:t>o</w:t>
      </w:r>
      <w:r w:rsidR="006649CC">
        <w:t>ncology,</w:t>
      </w:r>
      <w:r>
        <w:t xml:space="preserve"> a disease characterized by heterogeneity</w:t>
      </w:r>
      <w:r w:rsidR="00F531A9">
        <w:t xml:space="preserve"> within patient populations</w:t>
      </w:r>
      <w:r w:rsidR="006649CC">
        <w:t xml:space="preserve">. </w:t>
      </w:r>
      <w:r w:rsidR="00F531A9">
        <w:t>The application of p</w:t>
      </w:r>
      <w:r w:rsidR="006649CC">
        <w:t xml:space="preserve">ersonalized medicine </w:t>
      </w:r>
      <w:r w:rsidR="00F531A9">
        <w:t>in oncology requires both bioanalytical methods capable of</w:t>
      </w:r>
      <w:r w:rsidR="00CA3D6F">
        <w:t xml:space="preserve"> </w:t>
      </w:r>
      <w:r w:rsidR="00F531A9">
        <w:t>providing real-time, useful clinical information in individual patients and new precision drugs matched to individual patient’s clinical disease.  My</w:t>
      </w:r>
      <w:r w:rsidR="006649CC" w:rsidRPr="000E162A">
        <w:t xml:space="preserve"> dissertation research encompasses </w:t>
      </w:r>
      <w:r w:rsidR="00D1549E">
        <w:t xml:space="preserve">two main projects centered on personalized medicine. The first project is </w:t>
      </w:r>
      <w:r w:rsidR="006649CC" w:rsidRPr="000E162A">
        <w:t xml:space="preserve">the </w:t>
      </w:r>
      <w:r w:rsidR="00D1549E">
        <w:t xml:space="preserve">study of the molecular pharmacology of the antiviral and anticancer compound OSW-1. OSW-1 induces its antiviral activity through targeting oxysterol-binding protein (OSBP) and its anticancer activity through targeting OSBP-related protein 4 (ORP4). My research has established ORP4 as a potential personalized drug target in ovarian cancer, and OSW-1 as a potential lead target with potent anticancer activity in ovarian cell lines through targeting ORP4. The second major </w:t>
      </w:r>
      <w:r w:rsidR="009039AF">
        <w:t xml:space="preserve">development is a </w:t>
      </w:r>
      <w:r w:rsidR="00D1549E">
        <w:t xml:space="preserve">single cell mass spectrometry </w:t>
      </w:r>
      <w:r w:rsidR="009039AF">
        <w:t xml:space="preserve">method </w:t>
      </w:r>
      <w:r w:rsidR="00C06683">
        <w:t>capable of quantifying chemotherapy drug levels in individual cancer cells, including single cancer cells isolated from patient</w:t>
      </w:r>
      <w:r w:rsidR="00CC4F0D">
        <w:t>s. These discoveries have</w:t>
      </w:r>
      <w:r w:rsidR="009039AF">
        <w:t xml:space="preserve"> clear potential for developing clinically relevant, better personalized medicine through the development of optimal precision drug design and administration. </w:t>
      </w:r>
    </w:p>
    <w:p w14:paraId="3BF1E913" w14:textId="4A87563E" w:rsidR="00251CE8" w:rsidRDefault="00251CE8" w:rsidP="00251CE8">
      <w:pPr>
        <w:ind w:firstLine="720"/>
        <w:jc w:val="both"/>
      </w:pPr>
    </w:p>
    <w:p w14:paraId="45046848" w14:textId="5521713D" w:rsidR="00251CE8" w:rsidRDefault="00251CE8" w:rsidP="00251CE8">
      <w:pPr>
        <w:ind w:firstLine="720"/>
        <w:jc w:val="both"/>
      </w:pPr>
    </w:p>
    <w:p w14:paraId="4A6050B0" w14:textId="77777777" w:rsidR="009E60F3" w:rsidRDefault="009E60F3" w:rsidP="00DA1971"/>
    <w:p w14:paraId="454AE125" w14:textId="77777777" w:rsidR="009425BE" w:rsidRDefault="009425BE" w:rsidP="00012F48">
      <w:pPr>
        <w:pStyle w:val="Heading1"/>
        <w:sectPr w:rsidR="009425BE" w:rsidSect="009425BE">
          <w:footerReference w:type="default" r:id="rId60"/>
          <w:pgSz w:w="12240" w:h="15840" w:code="1"/>
          <w:pgMar w:top="1440" w:right="1440" w:bottom="1440" w:left="2304" w:header="720" w:footer="720" w:gutter="0"/>
          <w:pgNumType w:fmt="lowerRoman" w:start="4"/>
          <w:cols w:space="720"/>
          <w:docGrid w:linePitch="360"/>
        </w:sectPr>
      </w:pPr>
      <w:bookmarkStart w:id="8" w:name="_Toc310579468"/>
      <w:bookmarkStart w:id="9" w:name="_Hlk29394793"/>
    </w:p>
    <w:p w14:paraId="5B7489A2" w14:textId="2C6BF962" w:rsidR="00926BEA" w:rsidRPr="00926BEA" w:rsidRDefault="00DA1971" w:rsidP="00012F48">
      <w:pPr>
        <w:pStyle w:val="Heading1"/>
      </w:pPr>
      <w:bookmarkStart w:id="10" w:name="_Toc39868130"/>
      <w:r w:rsidRPr="000F56FF">
        <w:lastRenderedPageBreak/>
        <w:t>Chapter</w:t>
      </w:r>
      <w:r w:rsidR="002D3010">
        <w:t xml:space="preserve"> </w:t>
      </w:r>
      <w:r w:rsidR="002F5A8B">
        <w:t>1</w:t>
      </w:r>
      <w:r w:rsidR="002D3010">
        <w:t xml:space="preserve">: </w:t>
      </w:r>
      <w:bookmarkEnd w:id="8"/>
      <w:r w:rsidR="009C7566">
        <w:t>Introduction to Personalized Medicine</w:t>
      </w:r>
      <w:bookmarkEnd w:id="10"/>
    </w:p>
    <w:bookmarkEnd w:id="9"/>
    <w:p w14:paraId="45031E5B" w14:textId="0138182D" w:rsidR="00AC19AD" w:rsidRDefault="00D04F3C" w:rsidP="00926BEA">
      <w:pPr>
        <w:pStyle w:val="Heading2"/>
        <w:numPr>
          <w:ilvl w:val="1"/>
          <w:numId w:val="9"/>
        </w:numPr>
        <w:jc w:val="both"/>
      </w:pPr>
      <w:r>
        <w:t xml:space="preserve"> </w:t>
      </w:r>
      <w:bookmarkStart w:id="11" w:name="_Toc39868131"/>
      <w:r>
        <w:t>Personalized Medicine</w:t>
      </w:r>
      <w:r w:rsidR="00544EC0">
        <w:t xml:space="preserve"> as a New Paradigm in the Clinical Treatment of </w:t>
      </w:r>
      <w:r w:rsidR="00350AB1">
        <w:t>Human Disease</w:t>
      </w:r>
      <w:bookmarkEnd w:id="11"/>
      <w:r w:rsidR="00B319DD">
        <w:t xml:space="preserve"> </w:t>
      </w:r>
    </w:p>
    <w:p w14:paraId="4A295728" w14:textId="40E8DED5" w:rsidR="000E162A" w:rsidRPr="00E70F02" w:rsidRDefault="000E162A">
      <w:pPr>
        <w:ind w:firstLine="720"/>
        <w:jc w:val="both"/>
      </w:pPr>
      <w:bookmarkStart w:id="12" w:name="_Hlk38023234"/>
      <w:r w:rsidRPr="00E70F02">
        <w:t xml:space="preserve">Over the past few decades, an emerging amount of evidence </w:t>
      </w:r>
      <w:r>
        <w:t xml:space="preserve">have </w:t>
      </w:r>
      <w:r w:rsidRPr="00E70F02">
        <w:t>demonstrated the variability in drug responses between individuals.</w:t>
      </w:r>
      <w:r>
        <w:fldChar w:fldCharType="begin" w:fldLock="1"/>
      </w:r>
      <w:r>
        <w:instrText>ADDIN CSL_CITATION { "citationItems" : [ { "id" : "ITEM-1", "itemData" : { "ISSN" : "10521372", "PMID" : "21037908", "abstract" : "This article is the first in a three-part series on the topic of medicine that is geared toward the individual patient. Part 2 will explore key ethical, legal, and regulatory issues facing the future of personalized medicine, and Part 3 will cover the anticipated challenges in implementing pharmacogenomics and genetic testing into routine clinical practice.", "author" : [ { "dropping-particle" : "", "family" : "Vogenberg", "given" : "F. Randy", "non-dropping-particle" : "", "parse-names" : false, "suffix" : "" }, { "dropping-particle" : "", "family" : "Barash", "given" : "Carol Isaacson", "non-dropping-particle" : "", "parse-names" : false, "suffix" : "" }, { "dropping-particle" : "", "family" : "Pursel", "given" : "Michael", "non-dropping-particle" : "", "parse-names" : false, "suffix" : "" } ], "container-title" : "P and T", "id" : "ITEM-1", "issue" : "10", "issued" : { "date-parts" : [ [ "2010", "10" ] ] }, "page" : "560", "publisher" : "MediMedia, USA", "title" : "Personalized medicine - Part 1: Evolution and development into theranostics", "type" : "article", "volume" : "35" }, "uris" : [ "http://www.mendeley.com/documents/?uuid=8859da7c-84ab-3c66-8183-4d08b98e4d3e" ] } ], "mendeley" : { "formattedCitation" : "&lt;sup&gt;1&lt;/sup&gt;", "plainTextFormattedCitation" : "1", "previouslyFormattedCitation" : "&lt;sup&gt;1&lt;/sup&gt;" }, "properties" : { "noteIndex" : 0 }, "schema" : "https://github.com/citation-style-language/schema/raw/master/csl-citation.json" }</w:instrText>
      </w:r>
      <w:r>
        <w:fldChar w:fldCharType="separate"/>
      </w:r>
      <w:r w:rsidRPr="003920D8">
        <w:rPr>
          <w:noProof/>
          <w:vertAlign w:val="superscript"/>
        </w:rPr>
        <w:t>1</w:t>
      </w:r>
      <w:r>
        <w:fldChar w:fldCharType="end"/>
      </w:r>
      <w:r w:rsidRPr="00E70F02">
        <w:t xml:space="preserve"> This differential reaction to medication between individual patients has initiated the realization </w:t>
      </w:r>
      <w:r>
        <w:t>of the</w:t>
      </w:r>
      <w:r w:rsidRPr="00E70F02">
        <w:t xml:space="preserve"> importance </w:t>
      </w:r>
      <w:r>
        <w:t xml:space="preserve">of </w:t>
      </w:r>
      <w:r w:rsidRPr="00E70F02">
        <w:t xml:space="preserve">individual biological makeup </w:t>
      </w:r>
      <w:r>
        <w:t>in human medicine</w:t>
      </w:r>
      <w:r w:rsidRPr="00E70F02">
        <w:t>.</w:t>
      </w:r>
      <w:r>
        <w:fldChar w:fldCharType="begin" w:fldLock="1"/>
      </w:r>
      <w:r>
        <w:instrText>ADDIN CSL_CITATION { "citationItems" : [ { "id" : "ITEM-1", "itemData" : { "ISSN" : "10521372", "PMID" : "21037908", "abstract" : "This article is the first in a three-part series on the topic of medicine that is geared toward the individual patient. Part 2 will explore key ethical, legal, and regulatory issues facing the future of personalized medicine, and Part 3 will cover the anticipated challenges in implementing pharmacogenomics and genetic testing into routine clinical practice.", "author" : [ { "dropping-particle" : "", "family" : "Vogenberg", "given" : "F. Randy", "non-dropping-particle" : "", "parse-names" : false, "suffix" : "" }, { "dropping-particle" : "", "family" : "Barash", "given" : "Carol Isaacson", "non-dropping-particle" : "", "parse-names" : false, "suffix" : "" }, { "dropping-particle" : "", "family" : "Pursel", "given" : "Michael", "non-dropping-particle" : "", "parse-names" : false, "suffix" : "" } ], "container-title" : "P and T", "id" : "ITEM-1", "issue" : "10", "issued" : { "date-parts" : [ [ "2010", "10" ] ] }, "page" : "560", "publisher" : "MediMedia, USA", "title" : "Personalized medicine - Part 1: Evolution and development into theranostics", "type" : "article", "volume" : "35" }, "uris" : [ "http://www.mendeley.com/documents/?uuid=8859da7c-84ab-3c66-8183-4d08b98e4d3e" ] } ], "mendeley" : { "formattedCitation" : "&lt;sup&gt;1&lt;/sup&gt;", "plainTextFormattedCitation" : "1", "previouslyFormattedCitation" : "&lt;sup&gt;1&lt;/sup&gt;" }, "properties" : { "noteIndex" : 0 }, "schema" : "https://github.com/citation-style-language/schema/raw/master/csl-citation.json" }</w:instrText>
      </w:r>
      <w:r>
        <w:fldChar w:fldCharType="separate"/>
      </w:r>
      <w:r w:rsidRPr="003920D8">
        <w:rPr>
          <w:noProof/>
          <w:vertAlign w:val="superscript"/>
        </w:rPr>
        <w:t>1</w:t>
      </w:r>
      <w:r>
        <w:fldChar w:fldCharType="end"/>
      </w:r>
      <w:r w:rsidRPr="00E70F02">
        <w:t xml:space="preserve"> </w:t>
      </w:r>
      <w:r>
        <w:t>The new movement in p</w:t>
      </w:r>
      <w:r w:rsidRPr="00E70F02">
        <w:t>ersonalized medicine</w:t>
      </w:r>
      <w:r w:rsidR="00544EC0">
        <w:t xml:space="preserve"> (also frequently referred to as precision medicine)</w:t>
      </w:r>
      <w:r w:rsidRPr="00E70F02">
        <w:t xml:space="preserve"> encompasses a broad medica</w:t>
      </w:r>
      <w:r>
        <w:t>l approach</w:t>
      </w:r>
      <w:r w:rsidRPr="00E70F02">
        <w:t xml:space="preserve"> for tailoring patients’ treatments based upon their individual biological makeup to produce the most effective, safest </w:t>
      </w:r>
      <w:r>
        <w:t>clinical outcomes.</w:t>
      </w:r>
      <w:r>
        <w:fldChar w:fldCharType="begin" w:fldLock="1"/>
      </w:r>
      <w:r>
        <w:instrText>ADDIN CSL_CITATION { "citationItems" : [ { "id" : "ITEM-1", "itemData" : { "ISSN" : "10521372", "PMID" : "21037908", "abstract" : "This article is the first in a three-part series on the topic of medicine that is geared toward the individual patient. Part 2 will explore key ethical, legal, and regulatory issues facing the future of personalized medicine, and Part 3 will cover the anticipated challenges in implementing pharmacogenomics and genetic testing into routine clinical practice.", "author" : [ { "dropping-particle" : "", "family" : "Vogenberg", "given" : "F. Randy", "non-dropping-particle" : "", "parse-names" : false, "suffix" : "" }, { "dropping-particle" : "", "family" : "Barash", "given" : "Carol Isaacson", "non-dropping-particle" : "", "parse-names" : false, "suffix" : "" }, { "dropping-particle" : "", "family" : "Pursel", "given" : "Michael", "non-dropping-particle" : "", "parse-names" : false, "suffix" : "" } ], "container-title" : "P and T", "id" : "ITEM-1", "issue" : "10", "issued" : { "date-parts" : [ [ "2010", "10" ] ] }, "page" : "560", "publisher" : "MediMedia, USA", "title" : "Personalized medicine - Part 1: Evolution and development into theranostics", "type" : "article", "volume" : "35" }, "uris" : [ "http://www.mendeley.com/documents/?uuid=8859da7c-84ab-3c66-8183-4d08b98e4d3e" ] } ], "mendeley" : { "formattedCitation" : "&lt;sup&gt;1&lt;/sup&gt;", "plainTextFormattedCitation" : "1", "previouslyFormattedCitation" : "&lt;sup&gt;1&lt;/sup&gt;" }, "properties" : { "noteIndex" : 0 }, "schema" : "https://github.com/citation-style-language/schema/raw/master/csl-citation.json" }</w:instrText>
      </w:r>
      <w:r>
        <w:fldChar w:fldCharType="separate"/>
      </w:r>
      <w:r w:rsidRPr="003920D8">
        <w:rPr>
          <w:noProof/>
          <w:vertAlign w:val="superscript"/>
        </w:rPr>
        <w:t>1</w:t>
      </w:r>
      <w:r>
        <w:fldChar w:fldCharType="end"/>
      </w:r>
      <w:r>
        <w:t xml:space="preserve"> </w:t>
      </w:r>
      <w:r w:rsidR="00544EC0">
        <w:t>In</w:t>
      </w:r>
      <w:r w:rsidR="00544EC0" w:rsidRPr="00E70F02">
        <w:t xml:space="preserve"> 2015</w:t>
      </w:r>
      <w:r w:rsidR="00544EC0">
        <w:t>,</w:t>
      </w:r>
      <w:r w:rsidR="00544EC0" w:rsidRPr="00E70F02">
        <w:t xml:space="preserve"> President Obama enacted the Precision Medicine Initiative</w:t>
      </w:r>
      <w:r w:rsidR="00544EC0">
        <w:t xml:space="preserve"> with</w:t>
      </w:r>
      <w:r w:rsidR="00544EC0" w:rsidRPr="00E70F02">
        <w:t xml:space="preserve"> a mission to circumvent the “one pill treats all” approach through “enabling a new era of developing individualized care”.</w:t>
      </w:r>
      <w:r w:rsidR="00544EC0">
        <w:t xml:space="preserve"> </w:t>
      </w:r>
      <w:r w:rsidR="00E340C1">
        <w:t>Although n</w:t>
      </w:r>
      <w:r w:rsidR="00E340C1" w:rsidRPr="000E162A">
        <w:t>early all fields of human health could be enhanced through personalized medicine, oncology</w:t>
      </w:r>
      <w:r w:rsidR="00E340C1">
        <w:t xml:space="preserve"> is particularly in need of personalized medicine approaches.</w:t>
      </w:r>
      <w:r w:rsidR="00E9106F">
        <w:fldChar w:fldCharType="begin" w:fldLock="1"/>
      </w:r>
      <w:r w:rsidR="00E9106F">
        <w:instrText>ADDIN CSL_CITATION { "citationItems" : [ { "id" : "ITEM-1", "itemData" : { "DOI" : "10.1142/s2339547818300020", "ISSN" : "2339-5478", "abstract" : "Cancer is a devastating disease that takes the lives of hundreds of thousands of people every year. Due to disease heterogeneity, standard treatments, such as chemotherapy or radiation, are effective in only a subset of the patient population. Tumors can have different underlying genetic causes and may express different proteins in one patient versus another. This inherent variability of cancer lends itself to the growing field of precision and personalized medicine (PPM). There are many ongoing efforts to acquire PPM data in order to characterize molecular differences between tumors. Some PPM products are already available to link these differences to an effective drug. It is clear that PPM cancer treatments can result in immense patient benefits, and companies and regulatory agencies have begun to recognize this. However, broader changes to the healthcare and insurance systems must be addressed if PPM is to become part of standard cancer care.", "author" : [ { "dropping-particle" : "", "family" : "Krzyszczyk", "given" : "Paulina", "non-dropping-particle" : "", "parse-names" : false, "suffix" : "" }, { "dropping-particle" : "", "family" : "Acevedo", "given" : "Alison", "non-dropping-particle" : "", "parse-names" : false, "suffix" : "" }, { "dropping-particle" : "", "family" : "Davidoff", "given" : "Erika J.", "non-dropping-particle" : "", "parse-names" : false, "suffix" : "" }, { "dropping-particle" : "", "family" : "Timmins", "given" : "Lauren M.", "non-dropping-particle" : "", "parse-names" : false, "suffix" : "" }, { "dropping-particle" : "", "family" : "Marrero-Berrios", "given" : "Ileana", "non-dropping-particle" : "", "parse-names" : false, "suffix" : "" }, { "dropping-particle" : "", "family" : "Patel", "given" : "Misaal", "non-dropping-particle" : "", "parse-names" : false, "suffix" : "" }, { "dropping-particle" : "", "family" : "White", "given" : "Corina", "non-dropping-particle" : "", "parse-names" : false, "suffix" : "" }, { "dropping-particle" : "", "family" : "Lowe", "given" : "Christopher", "non-dropping-particle" : "", "parse-names" : false, "suffix" : "" }, { "dropping-particle" : "", "family" : "Sherba", "given" : "Joseph J.", "non-dropping-particle" : "", "parse-names" : false, "suffix" : "" }, { "dropping-particle" : "", "family" : "Hartmanshenn", "given" : "Clara", "non-dropping-particle" : "", "parse-names" : false, "suffix" : "" }, { "dropping-particle" : "", "family" : "O\u2019Neill", "given" : "Kate M.", "non-dropping-particle" : "", "parse-names" : false, "suffix" : "" }, { "dropping-particle" : "", "family" : "Balter", "given" : "Max L.", "non-dropping-particle" : "", "parse-names" : false, "suffix" : "" }, { "dropping-particle" : "", "family" : "Fritz", "given" : "Zachary R.", "non-dropping-particle" : "", "parse-names" : false, "suffix" : "" }, { "dropping-particle" : "", "family" : "Androulakis", "given" : "Ioannis P.", "non-dropping-particle" : "", "parse-names" : false, "suffix" : "" }, { "dropping-particle" : "", "family" : "Schloss", "given" : "Rene S.", "non-dropping-particle" : "", "parse-names" : false, "suffix" : "" }, { "dropping-particle" : "", "family" : "Yarmush", "given" : "Martin L.", "non-dropping-particle" : "", "parse-names" : false, "suffix" : "" } ], "container-title" : "TECHNOLOGY", "id" : "ITEM-1", "issue" : "03n04", "issued" : { "date-parts" : [ [ "2018", "9" ] ] }, "page" : "79-100", "publisher" : "World Scientific Pub Co Pte Lt", "title" : "The growing role of precision and personalized medicine for cancer treatment", "type" : "article-journal", "volume" : "06" }, "uris" : [ "http://www.mendeley.com/documents/?uuid=671ad564-752c-379a-9cc2-e6c8e6c7a891" ] } ], "mendeley" : { "formattedCitation" : "&lt;sup&gt;2&lt;/sup&gt;", "plainTextFormattedCitation" : "2", "previouslyFormattedCitation" : "&lt;sup&gt;2&lt;/sup&gt;" }, "properties" : { "noteIndex" : 0 }, "schema" : "https://github.com/citation-style-language/schema/raw/master/csl-citation.json" }</w:instrText>
      </w:r>
      <w:r w:rsidR="00E9106F">
        <w:fldChar w:fldCharType="separate"/>
      </w:r>
      <w:r w:rsidR="00E9106F" w:rsidRPr="00E9106F">
        <w:rPr>
          <w:noProof/>
          <w:vertAlign w:val="superscript"/>
        </w:rPr>
        <w:t>2</w:t>
      </w:r>
      <w:r w:rsidR="00E9106F">
        <w:fldChar w:fldCharType="end"/>
      </w:r>
      <w:r w:rsidR="00E340C1">
        <w:t xml:space="preserve"> Cancer is a disease characterized by extensive </w:t>
      </w:r>
      <w:r w:rsidR="00E340C1" w:rsidRPr="000E162A">
        <w:t>patient and disease heterogeneity</w:t>
      </w:r>
      <w:r w:rsidR="00E9106F">
        <w:fldChar w:fldCharType="begin" w:fldLock="1"/>
      </w:r>
      <w:r w:rsidR="00E9106F">
        <w:instrText>ADDIN CSL_CITATION { "citationItems" : [ { "id" : "ITEM-1", "itemData" : { "DOI" : "10.1142/s2339547818300020", "ISSN" : "2339-5478", "abstract" : "Cancer is a devastating disease that takes the lives of hundreds of thousands of people every year. Due to disease heterogeneity, standard treatments, such as chemotherapy or radiation, are effective in only a subset of the patient population. Tumors can have different underlying genetic causes and may express different proteins in one patient versus another. This inherent variability of cancer lends itself to the growing field of precision and personalized medicine (PPM). There are many ongoing efforts to acquire PPM data in order to characterize molecular differences between tumors. Some PPM products are already available to link these differences to an effective drug. It is clear that PPM cancer treatments can result in immense patient benefits, and companies and regulatory agencies have begun to recognize this. However, broader changes to the healthcare and insurance systems must be addressed if PPM is to become part of standard cancer care.", "author" : [ { "dropping-particle" : "", "family" : "Krzyszczyk", "given" : "Paulina", "non-dropping-particle" : "", "parse-names" : false, "suffix" : "" }, { "dropping-particle" : "", "family" : "Acevedo", "given" : "Alison", "non-dropping-particle" : "", "parse-names" : false, "suffix" : "" }, { "dropping-particle" : "", "family" : "Davidoff", "given" : "Erika J.", "non-dropping-particle" : "", "parse-names" : false, "suffix" : "" }, { "dropping-particle" : "", "family" : "Timmins", "given" : "Lauren M.", "non-dropping-particle" : "", "parse-names" : false, "suffix" : "" }, { "dropping-particle" : "", "family" : "Marrero-Berrios", "given" : "Ileana", "non-dropping-particle" : "", "parse-names" : false, "suffix" : "" }, { "dropping-particle" : "", "family" : "Patel", "given" : "Misaal", "non-dropping-particle" : "", "parse-names" : false, "suffix" : "" }, { "dropping-particle" : "", "family" : "White", "given" : "Corina", "non-dropping-particle" : "", "parse-names" : false, "suffix" : "" }, { "dropping-particle" : "", "family" : "Lowe", "given" : "Christopher", "non-dropping-particle" : "", "parse-names" : false, "suffix" : "" }, { "dropping-particle" : "", "family" : "Sherba", "given" : "Joseph J.", "non-dropping-particle" : "", "parse-names" : false, "suffix" : "" }, { "dropping-particle" : "", "family" : "Hartmanshenn", "given" : "Clara", "non-dropping-particle" : "", "parse-names" : false, "suffix" : "" }, { "dropping-particle" : "", "family" : "O\u2019Neill", "given" : "Kate M.", "non-dropping-particle" : "", "parse-names" : false, "suffix" : "" }, { "dropping-particle" : "", "family" : "Balter", "given" : "Max L.", "non-dropping-particle" : "", "parse-names" : false, "suffix" : "" }, { "dropping-particle" : "", "family" : "Fritz", "given" : "Zachary R.", "non-dropping-particle" : "", "parse-names" : false, "suffix" : "" }, { "dropping-particle" : "", "family" : "Androulakis", "given" : "Ioannis P.", "non-dropping-particle" : "", "parse-names" : false, "suffix" : "" }, { "dropping-particle" : "", "family" : "Schloss", "given" : "Rene S.", "non-dropping-particle" : "", "parse-names" : false, "suffix" : "" }, { "dropping-particle" : "", "family" : "Yarmush", "given" : "Martin L.", "non-dropping-particle" : "", "parse-names" : false, "suffix" : "" } ], "container-title" : "TECHNOLOGY", "id" : "ITEM-1", "issue" : "03n04", "issued" : { "date-parts" : [ [ "2018", "9" ] ] }, "page" : "79-100", "publisher" : "World Scientific Pub Co Pte Lt", "title" : "The growing role of precision and personalized medicine for cancer treatment", "type" : "article-journal", "volume" : "06" }, "uris" : [ "http://www.mendeley.com/documents/?uuid=671ad564-752c-379a-9cc2-e6c8e6c7a891" ] } ], "mendeley" : { "formattedCitation" : "&lt;sup&gt;2&lt;/sup&gt;", "plainTextFormattedCitation" : "2", "previouslyFormattedCitation" : "&lt;sup&gt;2&lt;/sup&gt;" }, "properties" : { "noteIndex" : 0 }, "schema" : "https://github.com/citation-style-language/schema/raw/master/csl-citation.json" }</w:instrText>
      </w:r>
      <w:r w:rsidR="00E9106F">
        <w:fldChar w:fldCharType="separate"/>
      </w:r>
      <w:r w:rsidR="00E9106F" w:rsidRPr="00E9106F">
        <w:rPr>
          <w:noProof/>
          <w:vertAlign w:val="superscript"/>
        </w:rPr>
        <w:t>2</w:t>
      </w:r>
      <w:r w:rsidR="00E9106F">
        <w:fldChar w:fldCharType="end"/>
      </w:r>
      <w:r w:rsidR="00E340C1">
        <w:t xml:space="preserve">, and therefore, the </w:t>
      </w:r>
      <w:r w:rsidR="00E340C1" w:rsidRPr="00E70F02">
        <w:t>“one pill treats all”</w:t>
      </w:r>
      <w:r w:rsidR="00E340C1">
        <w:t xml:space="preserve"> approach to medicine is not suitable for cancer treatment.</w:t>
      </w:r>
    </w:p>
    <w:p w14:paraId="44AD6C19" w14:textId="49B1527B" w:rsidR="000E162A" w:rsidRDefault="000E162A" w:rsidP="00926BEA">
      <w:pPr>
        <w:ind w:firstLine="720"/>
        <w:jc w:val="both"/>
      </w:pPr>
      <w:r w:rsidRPr="00E70F02">
        <w:t xml:space="preserve">The field of personalized medicine </w:t>
      </w:r>
      <w:r>
        <w:t xml:space="preserve">grew out of </w:t>
      </w:r>
      <w:r w:rsidRPr="00E70F02">
        <w:t xml:space="preserve">the development of genomic sequencing technologies and the full sequence of the human genome in the early 2000s. Although only about 0.1% of the 3 billion bases pairs of DNA differ from person to person, </w:t>
      </w:r>
      <w:r>
        <w:t>these</w:t>
      </w:r>
      <w:r w:rsidRPr="00E70F02">
        <w:t xml:space="preserve"> genetic </w:t>
      </w:r>
      <w:r>
        <w:t xml:space="preserve">differences are a </w:t>
      </w:r>
      <w:r w:rsidRPr="00E70F02">
        <w:t xml:space="preserve">significant cause </w:t>
      </w:r>
      <w:r>
        <w:t xml:space="preserve">of the different individual responses to </w:t>
      </w:r>
      <w:r w:rsidR="00C06683">
        <w:t>clinical medicine</w:t>
      </w:r>
      <w:r w:rsidRPr="00E70F02">
        <w:t>.</w:t>
      </w:r>
      <w:r w:rsidRPr="00E70F02">
        <w:fldChar w:fldCharType="begin" w:fldLock="1"/>
      </w:r>
      <w:r>
        <w:instrText>ADDIN CSL_CITATION { "citationItems" : [ { "id" : "ITEM-1", "itemData" : { "ISSN" : "10521372", "PMID" : "21037908", "abstract" : "This article is the first in a three-part series on the topic of medicine that is geared toward the individual patient. Part 2 will explore key ethical, legal, and regulatory issues facing the future of personalized medicine, and Part 3 will cover the anticipated challenges in implementing pharmacogenomics and genetic testing into routine clinical practice.", "author" : [ { "dropping-particle" : "", "family" : "Vogenberg", "given" : "F. Randy", "non-dropping-particle" : "", "parse-names" : false, "suffix" : "" }, { "dropping-particle" : "", "family" : "Barash", "given" : "Carol Isaacson", "non-dropping-particle" : "", "parse-names" : false, "suffix" : "" }, { "dropping-particle" : "", "family" : "Pursel", "given" : "Michael", "non-dropping-particle" : "", "parse-names" : false, "suffix" : "" } ], "container-title" : "P and T", "id" : "ITEM-1", "issue" : "10", "issued" : { "date-parts" : [ [ "2010", "10" ] ] }, "page" : "560", "publisher" : "MediMedia, USA", "title" : "Personalized medicine - Part 1: Evolution and development into theranostics", "type" : "article", "volume" : "35" }, "uris" : [ "http://www.mendeley.com/documents/?uuid=8859da7c-84ab-3c66-8183-4d08b98e4d3e" ] } ], "mendeley" : { "formattedCitation" : "&lt;sup&gt;1&lt;/sup&gt;", "plainTextFormattedCitation" : "1", "previouslyFormattedCitation" : "&lt;sup&gt;1&lt;/sup&gt;" }, "properties" : { "noteIndex" : 0 }, "schema" : "https://github.com/citation-style-language/schema/raw/master/csl-citation.json" }</w:instrText>
      </w:r>
      <w:r w:rsidRPr="00E70F02">
        <w:fldChar w:fldCharType="separate"/>
      </w:r>
      <w:r w:rsidRPr="003920D8">
        <w:rPr>
          <w:noProof/>
          <w:vertAlign w:val="superscript"/>
        </w:rPr>
        <w:t>1</w:t>
      </w:r>
      <w:r w:rsidRPr="00E70F02">
        <w:fldChar w:fldCharType="end"/>
      </w:r>
      <w:r w:rsidRPr="00E70F02">
        <w:t xml:space="preserve"> This understanding has introduced a new field of study called pharmacogenomics,</w:t>
      </w:r>
      <w:r w:rsidR="00C06683">
        <w:t xml:space="preserve"> which is</w:t>
      </w:r>
      <w:r w:rsidRPr="00E70F02">
        <w:t xml:space="preserve"> a field of science </w:t>
      </w:r>
      <w:r w:rsidR="00C06683">
        <w:t xml:space="preserve">determining </w:t>
      </w:r>
      <w:r w:rsidRPr="00E70F02">
        <w:t xml:space="preserve">how genetic variations in individuals affect their response to </w:t>
      </w:r>
      <w:r w:rsidR="00C06683">
        <w:t>therapeutic intervention</w:t>
      </w:r>
      <w:r w:rsidRPr="00E70F02">
        <w:t>. Many different genes</w:t>
      </w:r>
      <w:r>
        <w:t xml:space="preserve"> </w:t>
      </w:r>
      <w:r>
        <w:lastRenderedPageBreak/>
        <w:t>could</w:t>
      </w:r>
      <w:r w:rsidR="00C06683">
        <w:t>,</w:t>
      </w:r>
      <w:r w:rsidRPr="00E70F02">
        <w:t xml:space="preserve"> </w:t>
      </w:r>
      <w:r>
        <w:t>in concert</w:t>
      </w:r>
      <w:r w:rsidR="00C06683">
        <w:t>,</w:t>
      </w:r>
      <w:r>
        <w:t xml:space="preserve"> </w:t>
      </w:r>
      <w:r w:rsidRPr="00E70F02">
        <w:t xml:space="preserve">contribute </w:t>
      </w:r>
      <w:r w:rsidR="00C06683">
        <w:t>to</w:t>
      </w:r>
      <w:r w:rsidRPr="00E70F02">
        <w:t xml:space="preserve"> </w:t>
      </w:r>
      <w:r>
        <w:t xml:space="preserve">individual </w:t>
      </w:r>
      <w:r w:rsidRPr="00E70F02">
        <w:t>drug response</w:t>
      </w:r>
      <w:r>
        <w:t>s</w:t>
      </w:r>
      <w:r w:rsidRPr="00E70F02">
        <w:t xml:space="preserve">, </w:t>
      </w:r>
      <w:r>
        <w:t>making identifying s</w:t>
      </w:r>
      <w:r w:rsidRPr="00E70F02">
        <w:t>pecific gene</w:t>
      </w:r>
      <w:r>
        <w:t xml:space="preserve"> causing the responses difficult</w:t>
      </w:r>
      <w:r w:rsidR="00E9106F">
        <w:t>.</w:t>
      </w:r>
      <w:r w:rsidR="00E9106F">
        <w:fldChar w:fldCharType="begin" w:fldLock="1"/>
      </w:r>
      <w:r w:rsidR="00165BD7">
        <w:instrText>ADDIN CSL_CITATION { "citationItems" : [ { "id" : "ITEM-1", "itemData" : { "DOI" : "10.1038/537S60a", "ISSN" : "14764687", "abstract" : "Personalized prescribing is gaining momentum, but is there enough evidence for it to become standard clinical practice?", "author" : [ { "dropping-particle" : "", "family" : "Drew", "given" : "Liam", "non-dropping-particle" : "", "parse-names" : false, "suffix" : "" } ], "container-title" : "Nature", "id" : "ITEM-1", "issue" : "7619", "issued" : { "date-parts" : [ [ "2016", "9", "7" ] ] }, "page" : "S60-S62", "publisher" : "Nature Publishing Group", "title" : "Pharmacogenetics: The right drug for you", "type" : "article-journal", "volume" : "537" }, "uris" : [ "http://www.mendeley.com/documents/?uuid=3a08a9a2-68be-3cdf-b47c-99e208228227" ] } ], "mendeley" : { "formattedCitation" : "&lt;sup&gt;3&lt;/sup&gt;", "plainTextFormattedCitation" : "3", "previouslyFormattedCitation" : "&lt;sup&gt;3&lt;/sup&gt;" }, "properties" : { "noteIndex" : 0 }, "schema" : "https://github.com/citation-style-language/schema/raw/master/csl-citation.json" }</w:instrText>
      </w:r>
      <w:r w:rsidR="00E9106F">
        <w:fldChar w:fldCharType="separate"/>
      </w:r>
      <w:r w:rsidR="00E9106F" w:rsidRPr="00E9106F">
        <w:rPr>
          <w:noProof/>
          <w:vertAlign w:val="superscript"/>
        </w:rPr>
        <w:t>3</w:t>
      </w:r>
      <w:r w:rsidR="00E9106F">
        <w:fldChar w:fldCharType="end"/>
      </w:r>
      <w:r w:rsidR="00C06683">
        <w:t xml:space="preserve"> </w:t>
      </w:r>
      <w:r w:rsidRPr="00E70F02">
        <w:t xml:space="preserve"> </w:t>
      </w:r>
      <w:r w:rsidR="00C06683">
        <w:t>A clear</w:t>
      </w:r>
      <w:r w:rsidRPr="00E70F02">
        <w:t xml:space="preserve"> example of the genes that regulate a patient’s response to medicine are genes that code for cytochrome P450 (CYP 450) enzymes responsible for metabolizing, distributing, and excreting the vast majority of currently available drugs.</w:t>
      </w:r>
      <w:r>
        <w:fldChar w:fldCharType="begin" w:fldLock="1"/>
      </w:r>
      <w:r w:rsidR="00165BD7">
        <w:instrText>ADDIN CSL_CITATION { "citationItems" : [ { "id" : "ITEM-1", "itemData" : { "DOI" : "10.6004/jadpro.2013.4.4.7", "ISSN" : "21500878", "abstract" : "Cytochrome P450 (CYP) is a hemeprotein that plays a key role in the metabolism of drugs and other xenobiotics (Estabrook, 2003). Understanding the CYP system is essential for advanced practitioners (APs), as the consequences of drug-drug interactions can be profound. In this article, we will describe the CYP system, its potential for drug interactions, and the genetic polymorphisms that can exist in hematology/oncology patients. Drug metabolism occurs in many sites in the body, including the liver, intestinal wall, lungs, kidneys, and plasma. As the primary site of drug metabolism, the liver functions to detoxify and facilitate excretion of xenobiotics (foreign drugs or chemicals) by enzymatically converting lipid-soluble compounds to more water-soluble compounds. Drug metabolism is achieved through phase I reactions, phase II reactions, or both. The most common phase I reaction is oxidation, which is catalyzed by the CYP system (Gibson &amp; Skett, 2001). Klingenberg first discovered CYP in 1954 during his research on steroid hormone metabolism, when he extracted a novel protein from hepatocytes (Klingenberg, 1958). It was almost a decade later that the function and significance of CYP were determined. In 1963, Estabrook, Cooper, and Rosenthal described the role of CYP as a catalyst in steroid hormone synthesis and drug metabolism. Cooper and colleagues later confirmed CYP to be a key enzyme involved in drug and steroid hydroxylation reactions (Cooper, Levin, Narasimhulu, Rosenthal, &amp; Estabrook, 1965). Numerous CYP proteins have since been discovered and found to be widespread throughout the body, demonstrating significant involvement in chemical activation, deactivation, and carcinogenesis (Estabrook, 2003).", "author" : [ { "dropping-particle" : "", "family" : "McDonnell, PharmD, BCOP", "given" : "Anne M.", "non-dropping-particle" : "", "parse-names" : false, "suffix" : "" }, { "dropping-particle" : "", "family" : "Dang, PharmD, BCPS", "given" : "Cathyyen H.", "non-dropping-particle" : "", "parse-names" : false, "suffix" : "" } ], "container-title" : "Journal of the Advanced Practitioner in Oncology", "id" : "ITEM-1", "issue" : "4", "issued" : { "date-parts" : [ [ "2013", "8", "1" ] ] }, "page" : "263", "publisher" : "Harborside Press, LLC", "title" : "Basic Review of the Cytochrome P450 System", "type" : "article-journal", "volume" : "4" }, "uris" : [ "http://www.mendeley.com/documents/?uuid=7592e197-334a-30e3-89a7-272dab7702e8" ] } ], "mendeley" : { "formattedCitation" : "&lt;sup&gt;4&lt;/sup&gt;", "plainTextFormattedCitation" : "4", "previouslyFormattedCitation" : "&lt;sup&gt;4&lt;/sup&gt;" }, "properties" : { "noteIndex" : 0 }, "schema" : "https://github.com/citation-style-language/schema/raw/master/csl-citation.json" }</w:instrText>
      </w:r>
      <w:r>
        <w:fldChar w:fldCharType="separate"/>
      </w:r>
      <w:r w:rsidR="00E9106F" w:rsidRPr="00E9106F">
        <w:rPr>
          <w:noProof/>
          <w:vertAlign w:val="superscript"/>
        </w:rPr>
        <w:t>4</w:t>
      </w:r>
      <w:r>
        <w:fldChar w:fldCharType="end"/>
      </w:r>
      <w:r w:rsidRPr="00E70F02">
        <w:t xml:space="preserve"> </w:t>
      </w:r>
      <w:r w:rsidR="00C06683">
        <w:t>Minute</w:t>
      </w:r>
      <w:r w:rsidRPr="00E70F02">
        <w:t xml:space="preserve"> changes in the</w:t>
      </w:r>
      <w:r w:rsidR="00C06683">
        <w:t xml:space="preserve"> </w:t>
      </w:r>
      <w:r w:rsidRPr="00E70F02">
        <w:t>genes coding these enzymes</w:t>
      </w:r>
      <w:r w:rsidR="00C06683">
        <w:t>,</w:t>
      </w:r>
      <w:r w:rsidRPr="00E70F02">
        <w:t xml:space="preserve"> such as single nucleotide polymorphism (SNPs)</w:t>
      </w:r>
      <w:r w:rsidR="00C06683">
        <w:t>,</w:t>
      </w:r>
      <w:r w:rsidRPr="00E70F02">
        <w:t xml:space="preserve"> could have pronounced effect</w:t>
      </w:r>
      <w:r w:rsidR="00C06683">
        <w:t>s</w:t>
      </w:r>
      <w:r w:rsidRPr="00E70F02">
        <w:t xml:space="preserve"> </w:t>
      </w:r>
      <w:r w:rsidR="00C06683">
        <w:t>on P450 metabolism of</w:t>
      </w:r>
      <w:r>
        <w:t xml:space="preserve"> </w:t>
      </w:r>
      <w:r w:rsidRPr="00E70F02">
        <w:t>drug compounds</w:t>
      </w:r>
      <w:r>
        <w:t xml:space="preserve"> in individual patients.</w:t>
      </w:r>
      <w:bookmarkEnd w:id="12"/>
      <w:r>
        <w:t xml:space="preserve"> </w:t>
      </w:r>
    </w:p>
    <w:p w14:paraId="1DE84599" w14:textId="10F85443" w:rsidR="006B01D5" w:rsidRPr="000E162A" w:rsidRDefault="00544EC0" w:rsidP="000849BF">
      <w:pPr>
        <w:ind w:firstLine="360"/>
        <w:jc w:val="both"/>
      </w:pPr>
      <w:r w:rsidRPr="00E70F02">
        <w:t xml:space="preserve">Although </w:t>
      </w:r>
      <w:r w:rsidR="00A51D5B">
        <w:t xml:space="preserve">the </w:t>
      </w:r>
      <w:r w:rsidR="00A51D5B" w:rsidRPr="00E70F02">
        <w:t xml:space="preserve">“one pill treats all” </w:t>
      </w:r>
      <w:r w:rsidR="00E57044">
        <w:t>approach</w:t>
      </w:r>
      <w:r w:rsidR="00730B8F">
        <w:t xml:space="preserve"> for disease treatment</w:t>
      </w:r>
      <w:r w:rsidR="00E57044">
        <w:t xml:space="preserve"> still dominates modern medicine, recently many examples of </w:t>
      </w:r>
      <w:r w:rsidRPr="00E70F02">
        <w:t>therapies targeted to select populations of patients</w:t>
      </w:r>
      <w:r w:rsidR="00E57044">
        <w:t xml:space="preserve"> have been developed</w:t>
      </w:r>
      <w:r w:rsidRPr="00E70F02">
        <w:t xml:space="preserve">. Potentially the best example of </w:t>
      </w:r>
      <w:r w:rsidR="00E57044">
        <w:t xml:space="preserve">existing </w:t>
      </w:r>
      <w:r w:rsidRPr="00E70F02">
        <w:t>precision medic</w:t>
      </w:r>
      <w:r w:rsidR="00E57044">
        <w:t xml:space="preserve">ines is the </w:t>
      </w:r>
      <w:r w:rsidRPr="00E70F02">
        <w:t xml:space="preserve">treatment of chronic myeloid leukemia </w:t>
      </w:r>
      <w:r w:rsidR="00E57044">
        <w:t xml:space="preserve">(CLL) using the targeted drug Gleevec. </w:t>
      </w:r>
      <w:r w:rsidR="00E57044" w:rsidRPr="00E70F02">
        <w:fldChar w:fldCharType="begin" w:fldLock="1"/>
      </w:r>
      <w:r w:rsidR="00165BD7">
        <w:instrText>ADDIN CSL_CITATION { "citationItems" : [ { "id" : "ITEM-1", "itemData" : { "DOI" : "10.1016/S1471-4914(02)02305-5", "ISSN" : "1471-4914", "abstract" : "STI571 (Gleevec\u2122, imatinib mesylate) exemplifies the successful development of a rationally designed, molecularly targeted therapy for the treatment of a specific cancer. This article reviews the identification of Bcr-Abl as a therapeutic target in chronic myelogenous leukemia and the steps in the development of an agent to inactivate this abnormality. Issues related to clinical trials of molecularly targeted agents are discussed, including dose and patient selection and possible mechanisms of resistance to STI571. Finally, the potential use of STI571 with different tumors and the translation of this paradigm to other malignancies are explored.", "author" : [ { "dropping-particle" : "", "family" : "Druker", "given" : "Brian J.", "non-dropping-particle" : "", "parse-names" : false, "suffix" : "" } ], "container-title" : "Trends in Molecular Medicine", "id" : "ITEM-1", "issue" : "4", "issued" : { "date-parts" : [ [ "2002", "4", "1" ] ] }, "page" : "S14-S18", "publisher" : "Elsevier Current Trends", "title" : "STI571 (Gleevec\u2122) as a paradigm for cancer therapy", "type" : "article-journal", "volume" : "8" }, "uris" : [ "http://www.mendeley.com/documents/?uuid=30f12138-9b85-433e-9683-b0a5249e248c" ] } ], "mendeley" : { "formattedCitation" : "&lt;sup&gt;5&lt;/sup&gt;", "plainTextFormattedCitation" : "5", "previouslyFormattedCitation" : "&lt;sup&gt;5&lt;/sup&gt;" }, "properties" : { "noteIndex" : 0 }, "schema" : "https://github.com/citation-style-language/schema/raw/master/csl-citation.json" }</w:instrText>
      </w:r>
      <w:r w:rsidR="00E57044" w:rsidRPr="00E70F02">
        <w:fldChar w:fldCharType="separate"/>
      </w:r>
      <w:r w:rsidR="00E9106F" w:rsidRPr="00E9106F">
        <w:rPr>
          <w:noProof/>
          <w:vertAlign w:val="superscript"/>
        </w:rPr>
        <w:t>5</w:t>
      </w:r>
      <w:r w:rsidR="00E57044" w:rsidRPr="00E70F02">
        <w:fldChar w:fldCharType="end"/>
      </w:r>
      <w:r w:rsidR="00E57044">
        <w:t xml:space="preserve"> Most CLL cases arise from a chromosomal </w:t>
      </w:r>
      <w:r w:rsidRPr="00E70F02">
        <w:t xml:space="preserve">abnormality </w:t>
      </w:r>
      <w:r w:rsidR="00E57044">
        <w:t xml:space="preserve">producing a </w:t>
      </w:r>
      <w:r w:rsidRPr="00E70F02">
        <w:t xml:space="preserve">BCR-ABL1 fusion </w:t>
      </w:r>
      <w:r w:rsidR="00E57044">
        <w:t xml:space="preserve">protein, which is only present in the CLL cells. </w:t>
      </w:r>
      <w:r w:rsidR="00E57044" w:rsidRPr="00E70F02">
        <w:fldChar w:fldCharType="begin" w:fldLock="1"/>
      </w:r>
      <w:r w:rsidR="00165BD7">
        <w:instrText>ADDIN CSL_CITATION { "citationItems" : [ { "id" : "ITEM-1", "itemData" : { "DOI" : "10.1016/S1471-4914(02)02305-5", "ISSN" : "1471-4914", "abstract" : "STI571 (Gleevec\u2122, imatinib mesylate) exemplifies the successful development of a rationally designed, molecularly targeted therapy for the treatment of a specific cancer. This article reviews the identification of Bcr-Abl as a therapeutic target in chronic myelogenous leukemia and the steps in the development of an agent to inactivate this abnormality. Issues related to clinical trials of molecularly targeted agents are discussed, including dose and patient selection and possible mechanisms of resistance to STI571. Finally, the potential use of STI571 with different tumors and the translation of this paradigm to other malignancies are explored.", "author" : [ { "dropping-particle" : "", "family" : "Druker", "given" : "Brian J.", "non-dropping-particle" : "", "parse-names" : false, "suffix" : "" } ], "container-title" : "Trends in Molecular Medicine", "id" : "ITEM-1", "issue" : "4", "issued" : { "date-parts" : [ [ "2002", "4", "1" ] ] }, "page" : "S14-S18", "publisher" : "Elsevier Current Trends", "title" : "STI571 (Gleevec\u2122) as a paradigm for cancer therapy", "type" : "article-journal", "volume" : "8" }, "uris" : [ "http://www.mendeley.com/documents/?uuid=30f12138-9b85-433e-9683-b0a5249e248c" ] } ], "mendeley" : { "formattedCitation" : "&lt;sup&gt;5&lt;/sup&gt;", "plainTextFormattedCitation" : "5", "previouslyFormattedCitation" : "&lt;sup&gt;5&lt;/sup&gt;" }, "properties" : { "noteIndex" : 0 }, "schema" : "https://github.com/citation-style-language/schema/raw/master/csl-citation.json" }</w:instrText>
      </w:r>
      <w:r w:rsidR="00E57044" w:rsidRPr="00E70F02">
        <w:fldChar w:fldCharType="separate"/>
      </w:r>
      <w:r w:rsidR="00E9106F" w:rsidRPr="00E9106F">
        <w:rPr>
          <w:noProof/>
          <w:vertAlign w:val="superscript"/>
        </w:rPr>
        <w:t>5</w:t>
      </w:r>
      <w:r w:rsidR="00E57044" w:rsidRPr="00E70F02">
        <w:fldChar w:fldCharType="end"/>
      </w:r>
      <w:r w:rsidR="00E57044">
        <w:t xml:space="preserve"> The </w:t>
      </w:r>
      <w:r w:rsidRPr="00E70F02">
        <w:t>Gleevec</w:t>
      </w:r>
      <w:r w:rsidR="00E57044">
        <w:t xml:space="preserve"> drug targets and inhibits the BCR-ABL1 enzyme, blocking the CLL cell proliferation.</w:t>
      </w:r>
      <w:r w:rsidR="00E57044" w:rsidRPr="00E70F02">
        <w:fldChar w:fldCharType="begin" w:fldLock="1"/>
      </w:r>
      <w:r w:rsidR="00165BD7">
        <w:instrText>ADDIN CSL_CITATION { "citationItems" : [ { "id" : "ITEM-1", "itemData" : { "DOI" : "10.1016/S1471-4914(02)02305-5", "ISSN" : "1471-4914", "abstract" : "STI571 (Gleevec\u2122, imatinib mesylate) exemplifies the successful development of a rationally designed, molecularly targeted therapy for the treatment of a specific cancer. This article reviews the identification of Bcr-Abl as a therapeutic target in chronic myelogenous leukemia and the steps in the development of an agent to inactivate this abnormality. Issues related to clinical trials of molecularly targeted agents are discussed, including dose and patient selection and possible mechanisms of resistance to STI571. Finally, the potential use of STI571 with different tumors and the translation of this paradigm to other malignancies are explored.", "author" : [ { "dropping-particle" : "", "family" : "Druker", "given" : "Brian J.", "non-dropping-particle" : "", "parse-names" : false, "suffix" : "" } ], "container-title" : "Trends in Molecular Medicine", "id" : "ITEM-1", "issue" : "4", "issued" : { "date-parts" : [ [ "2002", "4", "1" ] ] }, "page" : "S14-S18", "publisher" : "Elsevier Current Trends", "title" : "STI571 (Gleevec\u2122) as a paradigm for cancer therapy", "type" : "article-journal", "volume" : "8" }, "uris" : [ "http://www.mendeley.com/documents/?uuid=30f12138-9b85-433e-9683-b0a5249e248c" ] } ], "mendeley" : { "formattedCitation" : "&lt;sup&gt;5&lt;/sup&gt;", "plainTextFormattedCitation" : "5", "previouslyFormattedCitation" : "&lt;sup&gt;5&lt;/sup&gt;" }, "properties" : { "noteIndex" : 0 }, "schema" : "https://github.com/citation-style-language/schema/raw/master/csl-citation.json" }</w:instrText>
      </w:r>
      <w:r w:rsidR="00E57044" w:rsidRPr="00E70F02">
        <w:fldChar w:fldCharType="separate"/>
      </w:r>
      <w:r w:rsidR="00E9106F" w:rsidRPr="00E9106F">
        <w:rPr>
          <w:noProof/>
          <w:vertAlign w:val="superscript"/>
        </w:rPr>
        <w:t>5</w:t>
      </w:r>
      <w:r w:rsidR="00E57044" w:rsidRPr="00E70F02">
        <w:fldChar w:fldCharType="end"/>
      </w:r>
      <w:r w:rsidR="008A4708">
        <w:t xml:space="preserve"> </w:t>
      </w:r>
      <w:r w:rsidR="00E57044">
        <w:t xml:space="preserve">Many precision cancer drugs are monoclonal antibodies targeting cancer-specific cell surface protein, such as the drug </w:t>
      </w:r>
      <w:r w:rsidRPr="00E70F02">
        <w:t>Herceptin</w:t>
      </w:r>
      <w:r w:rsidR="00E57044">
        <w:t xml:space="preserve"> which targets the HER2 protein present in the cell surface of many breast cancer cells.</w:t>
      </w:r>
      <w:r w:rsidRPr="00E70F02">
        <w:fldChar w:fldCharType="begin" w:fldLock="1"/>
      </w:r>
      <w:r w:rsidR="00165BD7">
        <w:instrText>ADDIN CSL_CITATION { "citationItems" : [ { "id" : "ITEM-1", "itemData" : { "ISSN" : "0093-7754", "PMID" : "10482195", "abstract" : "HER2 is a ligand-less member of the human epidermal growth factor receptor or ErbB family of tyrosine kinases. In normal biological systems, HER2 functions as a co-receptor for a multitude of epidermal growth factor-like ligands that bind and activate other HER family members. HER2 overexpression is observed in a number of human adenocarcinomas and results in constitutive HER2 activation. Specific targeting of these tumors can be accomplished with antibodies directed against the extracellular domain of the HER2 protein. One of these antibodies, 4D5, has been fully humanized and is termed trastuzumab (Herceptin; Genentech, San Francisco, CA). Treatment of HER2-overexpressing breast cancer cell lines with trastuzumab results in induction of p27KIP1 and the Rb-related protein, p130, which in turn significantly reduces the number of cells undergoing S-phase. A number of other phenotypic changes are observed in vitro as a consequence of trastuzumab binding to HER2-overexpressing cells. These phenotypic changes include downmodulation of the HER2 receptor, inhibition of tumor cell growth, reversed cytokine resistance, restored E-cadherin expression levels, and reduced vascular endothelial growth factor production. Interaction of trastuzumab with the human immune system via its human immunoglobulin G1 Fc domain may potentiate its antitumor activities. In vitro studies demonstrate that trastuzumab is very effective in mediating antibody-dependent cell-mediated cytotoxicity against HER2-overexpressing tumor targets. Trastuzumab treatment of mouse xenograft models results in marked suppression of tumor growth. When given in combination with standard cytotoxic chemotherapeutic agents, trastuzumab treatment generally results in statistically superior antitumor efficacy compared with either agent given alone. Taken together, these studies suggest that the mechanism of action of trastuzumab includes antagonizing the constitutive growth-signaling properties of the HER2 system, enlisting immune cells to attack and kill the tumor target, and augmenting chemotherapy-induced cytotoxicity.", "author" : [ { "dropping-particle" : "", "family" : "Sliwkowski", "given" : "M X", "non-dropping-particle" : "", "parse-names" : false, "suffix" : "" }, { "dropping-particle" : "", "family" : "Lofgren", "given" : "J A", "non-dropping-particle" : "", "parse-names" : false, "suffix" : "" }, { "dropping-particle" : "", "family" : "Lewis", "given" : "G D", "non-dropping-particle" : "", "parse-names" : false, "suffix" : "" }, { "dropping-particle" : "", "family" : "Hotaling", "given" : "T E", "non-dropping-particle" : "", "parse-names" : false, "suffix" : "" }, { "dropping-particle" : "", "family" : "Fendly", "given" : "B M", "non-dropping-particle" : "", "parse-names" : false, "suffix" : "" }, { "dropping-particle" : "", "family" : "Fox", "given" : "J A", "non-dropping-particle" : "", "parse-names" : false, "suffix" : "" } ], "container-title" : "Seminars in oncology", "id" : "ITEM-1", "issue" : "4 Suppl 12", "issued" : { "date-parts" : [ [ "1999", "8" ] ] }, "page" : "60-70", "title" : "Nonclinical studies addressing the mechanism of action of trastuzumab (Herceptin).", "type" : "article-journal", "volume" : "26" }, "uris" : [ "http://www.mendeley.com/documents/?uuid=ae07e7e1-4d48-4369-96a1-eb0ad8d95fc2" ] } ], "mendeley" : { "formattedCitation" : "&lt;sup&gt;6&lt;/sup&gt;", "plainTextFormattedCitation" : "6", "previouslyFormattedCitation" : "&lt;sup&gt;6&lt;/sup&gt;" }, "properties" : { "noteIndex" : 0 }, "schema" : "https://github.com/citation-style-language/schema/raw/master/csl-citation.json" }</w:instrText>
      </w:r>
      <w:r w:rsidRPr="00E70F02">
        <w:fldChar w:fldCharType="separate"/>
      </w:r>
      <w:r w:rsidR="00E9106F" w:rsidRPr="00E9106F">
        <w:rPr>
          <w:noProof/>
          <w:vertAlign w:val="superscript"/>
        </w:rPr>
        <w:t>6</w:t>
      </w:r>
      <w:r w:rsidRPr="00E70F02">
        <w:fldChar w:fldCharType="end"/>
      </w:r>
    </w:p>
    <w:p w14:paraId="5BCDAE96" w14:textId="77777777" w:rsidR="006649CC" w:rsidRPr="000E162A" w:rsidRDefault="006649CC" w:rsidP="000849BF">
      <w:pPr>
        <w:ind w:firstLine="360"/>
        <w:jc w:val="both"/>
      </w:pPr>
    </w:p>
    <w:p w14:paraId="36B0ECD7" w14:textId="42773820" w:rsidR="003659C5" w:rsidRDefault="00F74406" w:rsidP="00926BEA">
      <w:pPr>
        <w:pStyle w:val="Heading2"/>
        <w:numPr>
          <w:ilvl w:val="1"/>
          <w:numId w:val="9"/>
        </w:numPr>
        <w:jc w:val="both"/>
      </w:pPr>
      <w:bookmarkStart w:id="13" w:name="_Toc39868132"/>
      <w:r>
        <w:t xml:space="preserve">Current Practices in Clinical </w:t>
      </w:r>
      <w:r w:rsidR="00E5160A">
        <w:t>Bioanalytic</w:t>
      </w:r>
      <w:r>
        <w:t>al Methods in Drug Administration</w:t>
      </w:r>
      <w:bookmarkEnd w:id="13"/>
      <w:r>
        <w:t xml:space="preserve"> </w:t>
      </w:r>
      <w:r w:rsidR="00E5160A">
        <w:t xml:space="preserve"> </w:t>
      </w:r>
    </w:p>
    <w:p w14:paraId="50A63AB6" w14:textId="4A4DFA8E" w:rsidR="000E162A" w:rsidRPr="000E162A" w:rsidRDefault="00E5160A">
      <w:pPr>
        <w:ind w:firstLine="720"/>
        <w:jc w:val="both"/>
      </w:pPr>
      <w:r>
        <w:t>Beyond the development of new precision therapeutics, a</w:t>
      </w:r>
      <w:r w:rsidR="000E162A" w:rsidRPr="00E70F02">
        <w:t xml:space="preserve"> main obstacle halting the development of personalized medicine is </w:t>
      </w:r>
      <w:r w:rsidR="006A10F7">
        <w:t xml:space="preserve">the lack of bioanalytical </w:t>
      </w:r>
      <w:r w:rsidR="000E162A" w:rsidRPr="00E70F02">
        <w:t xml:space="preserve">technologies </w:t>
      </w:r>
      <w:r w:rsidR="006A10F7">
        <w:t xml:space="preserve">capable of providing </w:t>
      </w:r>
      <w:r w:rsidR="003152B3">
        <w:t>clinically relevant</w:t>
      </w:r>
      <w:r w:rsidR="006A10F7">
        <w:t xml:space="preserve"> information about an individual </w:t>
      </w:r>
      <w:r w:rsidR="00544EC0">
        <w:t xml:space="preserve">patient </w:t>
      </w:r>
      <w:r w:rsidR="006A10F7">
        <w:t>in real-tim</w:t>
      </w:r>
      <w:r>
        <w:t xml:space="preserve">e. </w:t>
      </w:r>
      <w:r w:rsidR="008A4708">
        <w:t xml:space="preserve">The absence of methods capable of guiding the </w:t>
      </w:r>
      <w:r w:rsidR="000E162A" w:rsidRPr="000E162A">
        <w:t>personaliz</w:t>
      </w:r>
      <w:r>
        <w:t xml:space="preserve">ation of </w:t>
      </w:r>
      <w:r w:rsidR="000E162A" w:rsidRPr="000E162A">
        <w:t xml:space="preserve">drug </w:t>
      </w:r>
      <w:r w:rsidR="000E162A" w:rsidRPr="000E162A">
        <w:lastRenderedPageBreak/>
        <w:t>administration and</w:t>
      </w:r>
      <w:r>
        <w:t xml:space="preserve"> treatment monitoring</w:t>
      </w:r>
      <w:r w:rsidR="008A4708">
        <w:t xml:space="preserve"> continues the “</w:t>
      </w:r>
      <w:r w:rsidR="008A4708" w:rsidRPr="00E70F02">
        <w:t>one pill treats all</w:t>
      </w:r>
      <w:r w:rsidR="008A4708">
        <w:t xml:space="preserve">” approach to medicine, especially in the treatment of cancer. </w:t>
      </w:r>
      <w:r w:rsidR="000E162A" w:rsidRPr="000E162A">
        <w:t xml:space="preserve"> </w:t>
      </w:r>
      <w:r w:rsidR="008A4708">
        <w:t>T</w:t>
      </w:r>
      <w:r w:rsidR="000E162A" w:rsidRPr="000E162A">
        <w:t>herapeutic Drug Monitoring (TDM)</w:t>
      </w:r>
      <w:r w:rsidR="008A4708">
        <w:t xml:space="preserve"> is the existing method used to monitor drug levels in patients.</w:t>
      </w:r>
      <w:r w:rsidR="008A4708" w:rsidRPr="000E162A">
        <w:fldChar w:fldCharType="begin" w:fldLock="1"/>
      </w:r>
      <w:r w:rsidR="00165BD7">
        <w:instrText>ADDIN CSL_CITATION { "citationItems" : [ { "id" : "ITEM-1", "itemData" : { "DOI" : "10.3904/kjim.2009.24.1.1", "ISSN" : "12263303", "abstract" : "Therapeutic drug monitoring (TDM) is the clinical practice of measuring specific drugs at designated intervals to maintain a constant concentration in a patient's bloodstream, thereby optimizing individual dosage regimens. It is unnecessary to employ TDM for the majority of medications, and it is used mainly for monitoring drugs with narrow therapeutic ranges, drugs with marked pharmacokinetic variability, medications for which target concentrations are difficult to monitor, and drugs known to cause therapeutic and adverse effects. The process of TDM is predicated on the assumption that there is a definable relationship between dose and plasma or blood drug concentration, and between concentration and therapeutic effects. TDM begins when the drug is first prescribed, and involves determining an initial dosage regimen appropriate for the clinical condition and such patient characteristics as age, weight, organ function, and concomitant drug therapy. When interpreting concentration measurements, factors that need to be considered include the sampling time in relation to drug dose, dosage history, patient response, and the desired medicinal targets. The goal of TDM is to use appropriate concentrations of difficult-to-manage medications to optimize clinical outcomes in patients in various clinical situations.", "author" : [ { "dropping-particle" : "", "family" : "Kang", "given" : "Ju Seop", "non-dropping-particle" : "", "parse-names" : false, "suffix" : "" }, { "dropping-particle" : "", "family" : "Lee", "given" : "Min Ho", "non-dropping-particle" : "", "parse-names" : false, "suffix" : "" } ], "container-title" : "Korean Journal of Internal Medicine", "id" : "ITEM-1", "issue" : "1", "issued" : { "date-parts" : [ [ "2009" ] ] }, "page" : "1-10", "publisher" : "Korean Association of Internal Medicine", "title" : "Overview of therapeutic drug monitoring", "type" : "article", "volume" : "24" }, "uris" : [ "http://www.mendeley.com/documents/?uuid=ada9c0a8-e972-3f11-a25f-8b320089bd61" ] } ], "mendeley" : { "formattedCitation" : "&lt;sup&gt;7&lt;/sup&gt;", "plainTextFormattedCitation" : "7", "previouslyFormattedCitation" : "&lt;sup&gt;7&lt;/sup&gt;" }, "properties" : { "noteIndex" : 0 }, "schema" : "https://github.com/citation-style-language/schema/raw/master/csl-citation.json" }</w:instrText>
      </w:r>
      <w:r w:rsidR="008A4708" w:rsidRPr="000E162A">
        <w:fldChar w:fldCharType="separate"/>
      </w:r>
      <w:r w:rsidR="00E9106F" w:rsidRPr="00E9106F">
        <w:rPr>
          <w:noProof/>
          <w:vertAlign w:val="superscript"/>
        </w:rPr>
        <w:t>7</w:t>
      </w:r>
      <w:r w:rsidR="008A4708" w:rsidRPr="000E162A">
        <w:fldChar w:fldCharType="end"/>
      </w:r>
      <w:r w:rsidR="008A4708">
        <w:t xml:space="preserve"> </w:t>
      </w:r>
      <w:r w:rsidR="008A4708" w:rsidRPr="000E162A">
        <w:t>TDM</w:t>
      </w:r>
      <w:r w:rsidR="000E162A" w:rsidRPr="000E162A">
        <w:t xml:space="preserve"> is defined as a clinical laboratory technique of individualizing drug dosage through monitoring and maintaining plasma and blood concentrations within a therapeutic window.</w:t>
      </w:r>
      <w:r w:rsidR="000E162A" w:rsidRPr="000E162A">
        <w:fldChar w:fldCharType="begin" w:fldLock="1"/>
      </w:r>
      <w:r w:rsidR="00165BD7">
        <w:instrText>ADDIN CSL_CITATION { "citationItems" : [ { "id" : "ITEM-1", "itemData" : { "DOI" : "10.3904/kjim.2009.24.1.1", "ISSN" : "12263303", "abstract" : "Therapeutic drug monitoring (TDM) is the clinical practice of measuring specific drugs at designated intervals to maintain a constant concentration in a patient's bloodstream, thereby optimizing individual dosage regimens. It is unnecessary to employ TDM for the majority of medications, and it is used mainly for monitoring drugs with narrow therapeutic ranges, drugs with marked pharmacokinetic variability, medications for which target concentrations are difficult to monitor, and drugs known to cause therapeutic and adverse effects. The process of TDM is predicated on the assumption that there is a definable relationship between dose and plasma or blood drug concentration, and between concentration and therapeutic effects. TDM begins when the drug is first prescribed, and involves determining an initial dosage regimen appropriate for the clinical condition and such patient characteristics as age, weight, organ function, and concomitant drug therapy. When interpreting concentration measurements, factors that need to be considered include the sampling time in relation to drug dose, dosage history, patient response, and the desired medicinal targets. The goal of TDM is to use appropriate concentrations of difficult-to-manage medications to optimize clinical outcomes in patients in various clinical situations.", "author" : [ { "dropping-particle" : "", "family" : "Kang", "given" : "Ju Seop", "non-dropping-particle" : "", "parse-names" : false, "suffix" : "" }, { "dropping-particle" : "", "family" : "Lee", "given" : "Min Ho", "non-dropping-particle" : "", "parse-names" : false, "suffix" : "" } ], "container-title" : "Korean Journal of Internal Medicine", "id" : "ITEM-1", "issue" : "1", "issued" : { "date-parts" : [ [ "2009" ] ] }, "page" : "1-10", "publisher" : "Korean Association of Internal Medicine", "title" : "Overview of therapeutic drug monitoring", "type" : "article", "volume" : "24" }, "uris" : [ "http://www.mendeley.com/documents/?uuid=ada9c0a8-e972-3f11-a25f-8b320089bd61" ] } ], "mendeley" : { "formattedCitation" : "&lt;sup&gt;7&lt;/sup&gt;", "plainTextFormattedCitation" : "7", "previouslyFormattedCitation" : "&lt;sup&gt;7&lt;/sup&gt;" }, "properties" : { "noteIndex" : 0 }, "schema" : "https://github.com/citation-style-language/schema/raw/master/csl-citation.json" }</w:instrText>
      </w:r>
      <w:r w:rsidR="000E162A" w:rsidRPr="000E162A">
        <w:fldChar w:fldCharType="separate"/>
      </w:r>
      <w:r w:rsidR="00E9106F" w:rsidRPr="00E9106F">
        <w:rPr>
          <w:noProof/>
          <w:vertAlign w:val="superscript"/>
        </w:rPr>
        <w:t>7</w:t>
      </w:r>
      <w:r w:rsidR="000E162A" w:rsidRPr="000E162A">
        <w:fldChar w:fldCharType="end"/>
      </w:r>
      <w:r w:rsidR="000E162A" w:rsidRPr="000E162A">
        <w:t xml:space="preserve"> The advantages of TDM was established in the 1970’s when therapeutic ranges were established and the incidences of toxicity for digoxin, phenytoin, lithium, and theophylline could be reduced.</w:t>
      </w:r>
      <w:r w:rsidR="000E162A" w:rsidRPr="000E162A">
        <w:fldChar w:fldCharType="begin" w:fldLock="1"/>
      </w:r>
      <w:r w:rsidR="00165BD7">
        <w:instrText>ADDIN CSL_CITATION { "citationItems" : [ { "id" : "ITEM-1", "itemData" : { "DOI" : "10.7326/0003-4819-80-4-516", "ISSN" : "00034819", "author" : [ { "dropping-particle" : "", "family" : "Duhme", "given" : "D. W.", "non-dropping-particle" : "", "parse-names" : false, "suffix" : "" }, { "dropping-particle" : "", "family" : "Greenblatt", "given" : "D. J.", "non-dropping-particle" : "", "parse-names" : false, "suffix" : "" }, { "dropping-particle" : "", "family" : "Koch-Weser", "given" : "J.", "non-dropping-particle" : "", "parse-names" : false, "suffix" : "" } ], "container-title" : "Annals of internal medicine", "id" : "ITEM-1", "issue" : "4", "issued" : { "date-parts" : [ [ "1974", "4" ] ] }, "page" : "516-519", "title" : "Reduction of digoxin toxicity associated with measurement of serum levels. A report from the Boston Collaborative Drug Surveillance Program.", "type" : "article-journal", "volume" : "80" }, "uris" : [ "http://www.mendeley.com/documents/?uuid=1cbf96de-87d2-39ee-a265-493a5195eaaf" ] }, { "id" : "ITEM-2", "itemData" : { "DOI" : "10.1016/S0009-9236(96)90192-7", "ISSN" : "00099236", "author" : [ { "dropping-particle" : "", "family" : "Atkinson", "given" : "Jr", "non-dropping-particle" : "", "parse-names" : false, "suffix" : "" }, { "dropping-particle" : "", "family" : "Nordstrom", "given" : "K.", "non-dropping-particle" : "", "parse-names" : false, "suffix" : "" } ], "container-title" : "Clinical Pharmacology and Therapeutics", "id" : "ITEM-2", "issue" : "4", "issued" : { "date-parts" : [ [ "1996", "10" ] ] }, "page" : "363-367", "title" : "The challenge of in-hospital medication use: An opportunity for clinical pharmacology", "type" : "article", "volume" : "60" }, "uris" : [ "http://www.mendeley.com/documents/?uuid=671a556d-62f1-3d97-a499-3f92328c0b0e" ] }, { "id" : "ITEM-3", "itemData" : { "DOI" : "10.1046/j.1365-2125.2001.0520s1003.x", "ISSN" : "0306-5251", "author" : [ { "dropping-particle" : "", "family" : "Shenfi;eld", "given" : "Gillian M.", "non-dropping-particle" : "", "parse-names" : false, "suffix" : "" } ], "container-title" : "British Journal of Clinical Pharmacology", "id" : "ITEM-3", "issue" : "S1", "issued" : { "date-parts" : [ [ "2001", "9" ] ] }, "page" : "3-4", "publisher" : "Wiley-Blackwell", "title" : "Therapeutic drug monitoring beyond 2000", "type" : "article-journal", "volume" : "52" }, "uris" : [ "http://www.mendeley.com/documents/?uuid=fa1dce61-f7ca-3bb7-832d-3256b3c45d68" ] } ], "mendeley" : { "formattedCitation" : "&lt;sup&gt;8\u201310&lt;/sup&gt;", "plainTextFormattedCitation" : "8\u201310", "previouslyFormattedCitation" : "&lt;sup&gt;8\u201310&lt;/sup&gt;" }, "properties" : { "noteIndex" : 0 }, "schema" : "https://github.com/citation-style-language/schema/raw/master/csl-citation.json" }</w:instrText>
      </w:r>
      <w:r w:rsidR="000E162A" w:rsidRPr="000E162A">
        <w:fldChar w:fldCharType="separate"/>
      </w:r>
      <w:r w:rsidR="00E9106F" w:rsidRPr="00E9106F">
        <w:rPr>
          <w:noProof/>
          <w:vertAlign w:val="superscript"/>
        </w:rPr>
        <w:t>8–10</w:t>
      </w:r>
      <w:r w:rsidR="000E162A" w:rsidRPr="000E162A">
        <w:fldChar w:fldCharType="end"/>
      </w:r>
      <w:r w:rsidR="000E162A" w:rsidRPr="000E162A">
        <w:t xml:space="preserve">  Today, TDM is mostly performed on patient’s blood samples and quantified using a variant of immunobinding assay procedures such as fluorescent polarization immunoassay (FPIA), enzyme immunoassay (EMIT) or enzyme-linked immunosorbent assay (ELISA).</w:t>
      </w:r>
      <w:r w:rsidR="00F74406" w:rsidRPr="00F74406">
        <w:t xml:space="preserve"> </w:t>
      </w:r>
      <w:r w:rsidR="00F74406" w:rsidRPr="000E162A">
        <w:fldChar w:fldCharType="begin" w:fldLock="1"/>
      </w:r>
      <w:r w:rsidR="00165BD7">
        <w:instrText>ADDIN CSL_CITATION { "citationItems" : [ { "id" : "ITEM-1", "itemData" : { "DOI" : "10.3904/kjim.2009.24.1.1", "ISSN" : "12263303", "abstract" : "Therapeutic drug monitoring (TDM) is the clinical practice of measuring specific drugs at designated intervals to maintain a constant concentration in a patient's bloodstream, thereby optimizing individual dosage regimens. It is unnecessary to employ TDM for the majority of medications, and it is used mainly for monitoring drugs with narrow therapeutic ranges, drugs with marked pharmacokinetic variability, medications for which target concentrations are difficult to monitor, and drugs known to cause therapeutic and adverse effects. The process of TDM is predicated on the assumption that there is a definable relationship between dose and plasma or blood drug concentration, and between concentration and therapeutic effects. TDM begins when the drug is first prescribed, and involves determining an initial dosage regimen appropriate for the clinical condition and such patient characteristics as age, weight, organ function, and concomitant drug therapy. When interpreting concentration measurements, factors that need to be considered include the sampling time in relation to drug dose, dosage history, patient response, and the desired medicinal targets. The goal of TDM is to use appropriate concentrations of difficult-to-manage medications to optimize clinical outcomes in patients in various clinical situations.", "author" : [ { "dropping-particle" : "", "family" : "Kang", "given" : "Ju Seop", "non-dropping-particle" : "", "parse-names" : false, "suffix" : "" }, { "dropping-particle" : "", "family" : "Lee", "given" : "Min Ho", "non-dropping-particle" : "", "parse-names" : false, "suffix" : "" } ], "container-title" : "Korean Journal of Internal Medicine", "id" : "ITEM-1", "issue" : "1", "issued" : { "date-parts" : [ [ "2009" ] ] }, "page" : "1-10", "publisher" : "Korean Association of Internal Medicine", "title" : "Overview of therapeutic drug monitoring", "type" : "article", "volume" : "24" }, "uris" : [ "http://www.mendeley.com/documents/?uuid=ada9c0a8-e972-3f11-a25f-8b320089bd61" ] }, { "id" : "ITEM-2", "itemData" : { "DOI" : "10.1111/j.1528-1157.1975.tb06064.x", "ISSN" : "0013-9580", "author" : [ { "dropping-particle" : "", "family" : "Glazko", "given" : "Anthony J.", "non-dropping-particle" : "", "parse-names" : false, "suffix" : "" } ], "container-title" : "Epilepsia", "id" : "ITEM-2", "issue" : "2", "issued" : { "date-parts" : [ [ "1975", "6", "1" ] ] }, "page" : "367-391", "publisher" : "John Wiley &amp; Sons, Ltd", "title" : "Antiepileptic Drugs: Biotransformation, Metabolism, and Serum Half-Life", "type" : "article-journal", "volume" : "16" }, "uris" : [ "http://www.mendeley.com/documents/?uuid=09f118d3-b905-3aae-9e46-1bd9daa3df25" ] }, { "id" : "ITEM-3", "itemData" : { "DOI" : "10.1097/00007691-200206000-00017", "ISSN" : "01634356", "abstract" : "The authors evaluated the fluorescence polarization (FP) assay on the COBAS INTEGRA 700 using COBAS INTEGRA reagent system cassettes for estimating the antiepileptic drugs valproic acid, phenytoin, carbamazepine, and phenobarbital in serum. The study comprised the determination of precision, method comparison performed against a conventional HPLC assay and linearity studies, according to the National Committee for Clinical Laboratory Standards (NCCLS) protocols. Precision results were well acceptable for all FP assays. Intra-assay coefficients of variation (CVs) were from 1.3% to 2.4% for valproic acid, from 0.8% to 2.8% for phenytoin, from 1.7% to 3.3% for carbamazepine, and from 1.3% to 2.3% for phenobarbital. Interassay CVs for these drugs ranged from 1.5% to 2.6%, from 2.9% to 6.5%, from 1.8% to 3.7% and from 1.5% to 3.2%, respectively. Results of the FP assays showed excellent correlation with those from HPLC: r = 0.99 for valproic acid, r = 0.98 for phenytoin, r = 0.98 for carbamazepine and r = 0.99 for phenobarbital. Linearity was satisfactory, with all CVs below the acceptable level. With the COBAS INTEGRA 700 analyzer FP assays are fully automated, which is less laborious and saves time compared with HPLC. Moreover, the fast measuring procedure is convenient in short turnaround time (STAT) analysis. It is an analytically reliable and rapid system, which can be used successfully for the therapeutic monitoring of antiepileptic drugs in serum.", "author" : [ { "dropping-particle" : "", "family" : "Steijns", "given" : "Linda S.W.", "non-dropping-particle" : "", "parse-names" : false, "suffix" : "" }, { "dropping-particle" : "", "family" : "Bouw", "given" : "Jan", "non-dropping-particle" : "", "parse-names" : false, "suffix" : "" }, { "dropping-particle" : "", "family" : "Weide", "given" : "Jan", "non-dropping-particle" : "Van der", "parse-names" : false, "suffix" : "" } ], "container-title" : "Therapeutic Drug Monitoring", "id" : "ITEM-3", "issue" : "3", "issued" : { "date-parts" : [ [ "2002", "6" ] ] }, "page" : "432-435", "title" : "Evaluation of fluorescence polarization assays for measuring valproic acid, phenytoin, carbamazepine and phenobarbital in serum", "type" : "article-journal", "volume" : "24" }, "uris" : [ "http://www.mendeley.com/documents/?uuid=97bca5c1-48c8-3b27-b410-a4e0a121824d" ] } ], "mendeley" : { "formattedCitation" : "&lt;sup&gt;7,11,12&lt;/sup&gt;", "plainTextFormattedCitation" : "7,11,12", "previouslyFormattedCitation" : "&lt;sup&gt;7,11,12&lt;/sup&gt;" }, "properties" : { "noteIndex" : 0 }, "schema" : "https://github.com/citation-style-language/schema/raw/master/csl-citation.json" }</w:instrText>
      </w:r>
      <w:r w:rsidR="00F74406" w:rsidRPr="000E162A">
        <w:fldChar w:fldCharType="separate"/>
      </w:r>
      <w:r w:rsidR="00E9106F" w:rsidRPr="00E9106F">
        <w:rPr>
          <w:noProof/>
          <w:vertAlign w:val="superscript"/>
        </w:rPr>
        <w:t>7,11,12</w:t>
      </w:r>
      <w:r w:rsidR="00F74406" w:rsidRPr="000E162A">
        <w:fldChar w:fldCharType="end"/>
      </w:r>
      <w:r w:rsidR="000E162A" w:rsidRPr="000E162A">
        <w:t xml:space="preserve"> Although these assays produce quick results through commercial products, due to their antibody targeting methodologies, they are susceptible to cross-reactivity creating falsely elevated drug concentrations.</w:t>
      </w:r>
      <w:r w:rsidR="000E162A" w:rsidRPr="000E162A">
        <w:fldChar w:fldCharType="begin" w:fldLock="1"/>
      </w:r>
      <w:r w:rsidR="00165BD7">
        <w:instrText>ADDIN CSL_CITATION { "citationItems" : [ { "id" : "ITEM-1", "itemData" : { "DOI" : "10.3904/kjim.2009.24.1.1", "ISSN" : "12263303", "abstract" : "Therapeutic drug monitoring (TDM) is the clinical practice of measuring specific drugs at designated intervals to maintain a constant concentration in a patient's bloodstream, thereby optimizing individual dosage regimens. It is unnecessary to employ TDM for the majority of medications, and it is used mainly for monitoring drugs with narrow therapeutic ranges, drugs with marked pharmacokinetic variability, medications for which target concentrations are difficult to monitor, and drugs known to cause therapeutic and adverse effects. The process of TDM is predicated on the assumption that there is a definable relationship between dose and plasma or blood drug concentration, and between concentration and therapeutic effects. TDM begins when the drug is first prescribed, and involves determining an initial dosage regimen appropriate for the clinical condition and such patient characteristics as age, weight, organ function, and concomitant drug therapy. When interpreting concentration measurements, factors that need to be considered include the sampling time in relation to drug dose, dosage history, patient response, and the desired medicinal targets. The goal of TDM is to use appropriate concentrations of difficult-to-manage medications to optimize clinical outcomes in patients in various clinical situations.", "author" : [ { "dropping-particle" : "", "family" : "Kang", "given" : "Ju Seop", "non-dropping-particle" : "", "parse-names" : false, "suffix" : "" }, { "dropping-particle" : "", "family" : "Lee", "given" : "Min Ho", "non-dropping-particle" : "", "parse-names" : false, "suffix" : "" } ], "container-title" : "Korean Journal of Internal Medicine", "id" : "ITEM-1", "issue" : "1", "issued" : { "date-parts" : [ [ "2009" ] ] }, "page" : "1-10", "publisher" : "Korean Association of Internal Medicine", "title" : "Overview of therapeutic drug monitoring", "type" : "article", "volume" : "24" }, "uris" : [ "http://www.mendeley.com/documents/?uuid=ada9c0a8-e972-3f11-a25f-8b320089bd61" ] }, { "id" : "ITEM-2", "itemData" : { "DOI" : "10.1111/j.1528-1157.1975.tb06064.x", "ISSN" : "0013-9580", "author" : [ { "dropping-particle" : "", "family" : "Glazko", "given" : "Anthony J.", "non-dropping-particle" : "", "parse-names" : false, "suffix" : "" } ], "container-title" : "Epilepsia", "id" : "ITEM-2", "issue" : "2", "issued" : { "date-parts" : [ [ "1975", "6", "1" ] ] }, "page" : "367-391", "publisher" : "John Wiley &amp; Sons, Ltd", "title" : "Antiepileptic Drugs: Biotransformation, Metabolism, and Serum Half-Life", "type" : "article-journal", "volume" : "16" }, "uris" : [ "http://www.mendeley.com/documents/?uuid=09f118d3-b905-3aae-9e46-1bd9daa3df25" ] }, { "id" : "ITEM-3", "itemData" : { "DOI" : "10.1097/00007691-200206000-00017", "ISSN" : "01634356", "abstract" : "The authors evaluated the fluorescence polarization (FP) assay on the COBAS INTEGRA 700 using COBAS INTEGRA reagent system cassettes for estimating the antiepileptic drugs valproic acid, phenytoin, carbamazepine, and phenobarbital in serum. The study comprised the determination of precision, method comparison performed against a conventional HPLC assay and linearity studies, according to the National Committee for Clinical Laboratory Standards (NCCLS) protocols. Precision results were well acceptable for all FP assays. Intra-assay coefficients of variation (CVs) were from 1.3% to 2.4% for valproic acid, from 0.8% to 2.8% for phenytoin, from 1.7% to 3.3% for carbamazepine, and from 1.3% to 2.3% for phenobarbital. Interassay CVs for these drugs ranged from 1.5% to 2.6%, from 2.9% to 6.5%, from 1.8% to 3.7% and from 1.5% to 3.2%, respectively. Results of the FP assays showed excellent correlation with those from HPLC: r = 0.99 for valproic acid, r = 0.98 for phenytoin, r = 0.98 for carbamazepine and r = 0.99 for phenobarbital. Linearity was satisfactory, with all CVs below the acceptable level. With the COBAS INTEGRA 700 analyzer FP assays are fully automated, which is less laborious and saves time compared with HPLC. Moreover, the fast measuring procedure is convenient in short turnaround time (STAT) analysis. It is an analytically reliable and rapid system, which can be used successfully for the therapeutic monitoring of antiepileptic drugs in serum.", "author" : [ { "dropping-particle" : "", "family" : "Steijns", "given" : "Linda S.W.", "non-dropping-particle" : "", "parse-names" : false, "suffix" : "" }, { "dropping-particle" : "", "family" : "Bouw", "given" : "Jan", "non-dropping-particle" : "", "parse-names" : false, "suffix" : "" }, { "dropping-particle" : "", "family" : "Weide", "given" : "Jan", "non-dropping-particle" : "Van der", "parse-names" : false, "suffix" : "" } ], "container-title" : "Therapeutic Drug Monitoring", "id" : "ITEM-3", "issue" : "3", "issued" : { "date-parts" : [ [ "2002", "6" ] ] }, "page" : "432-435", "title" : "Evaluation of fluorescence polarization assays for measuring valproic acid, phenytoin, carbamazepine and phenobarbital in serum", "type" : "article-journal", "volume" : "24" }, "uris" : [ "http://www.mendeley.com/documents/?uuid=97bca5c1-48c8-3b27-b410-a4e0a121824d" ] } ], "mendeley" : { "formattedCitation" : "&lt;sup&gt;7,11,12&lt;/sup&gt;", "plainTextFormattedCitation" : "7,11,12", "previouslyFormattedCitation" : "&lt;sup&gt;7,11,12&lt;/sup&gt;" }, "properties" : { "noteIndex" : 0 }, "schema" : "https://github.com/citation-style-language/schema/raw/master/csl-citation.json" }</w:instrText>
      </w:r>
      <w:r w:rsidR="000E162A" w:rsidRPr="000E162A">
        <w:fldChar w:fldCharType="separate"/>
      </w:r>
      <w:r w:rsidR="00E9106F" w:rsidRPr="00E9106F">
        <w:rPr>
          <w:noProof/>
          <w:vertAlign w:val="superscript"/>
        </w:rPr>
        <w:t>7,11,12</w:t>
      </w:r>
      <w:r w:rsidR="000E162A" w:rsidRPr="000E162A">
        <w:fldChar w:fldCharType="end"/>
      </w:r>
      <w:r w:rsidR="000E162A" w:rsidRPr="000E162A">
        <w:t xml:space="preserve">  </w:t>
      </w:r>
    </w:p>
    <w:p w14:paraId="142742F8" w14:textId="29FC3875" w:rsidR="000E162A" w:rsidRDefault="000E162A" w:rsidP="00926BEA">
      <w:pPr>
        <w:ind w:firstLine="720"/>
        <w:jc w:val="both"/>
      </w:pPr>
      <w:r w:rsidRPr="000E162A">
        <w:t>The application of TDM is also hindered due to the vast degree of specialists needed to accurately administer a personalized treatment course.</w:t>
      </w:r>
      <w:r w:rsidR="00165BD7">
        <w:fldChar w:fldCharType="begin" w:fldLock="1"/>
      </w:r>
      <w:r w:rsidR="00165BD7">
        <w:instrText>ADDIN CSL_CITATION { "citationItems" : [ { "id" : "ITEM-1", "itemData" : { "DOI" : "10.3904/kjim.2009.24.1.1", "ISSN" : "12263303", "abstract" : "Therapeutic drug monitoring (TDM) is the clinical practice of measuring specific drugs at designated intervals to maintain a constant concentration in a patient's bloodstream, thereby optimizing individual dosage regimens. It is unnecessary to employ TDM for the majority of medications, and it is used mainly for monitoring drugs with narrow therapeutic ranges, drugs with marked pharmacokinetic variability, medications for which target concentrations are difficult to monitor, and drugs known to cause therapeutic and adverse effects. The process of TDM is predicated on the assumption that there is a definable relationship between dose and plasma or blood drug concentration, and between concentration and therapeutic effects. TDM begins when the drug is first prescribed, and involves determining an initial dosage regimen appropriate for the clinical condition and such patient characteristics as age, weight, organ function, and concomitant drug therapy. When interpreting concentration measurements, factors that need to be considered include the sampling time in relation to drug dose, dosage history, patient response, and the desired medicinal targets. The goal of TDM is to use appropriate concentrations of difficult-to-manage medications to optimize clinical outcomes in patients in various clinical situations.", "author" : [ { "dropping-particle" : "", "family" : "Kang", "given" : "Ju Seop", "non-dropping-particle" : "", "parse-names" : false, "suffix" : "" }, { "dropping-particle" : "", "family" : "Lee", "given" : "Min Ho", "non-dropping-particle" : "", "parse-names" : false, "suffix" : "" } ], "container-title" : "Korean Journal of Internal Medicine", "id" : "ITEM-1", "issue" : "1", "issued" : { "date-parts" : [ [ "2009" ] ] }, "page" : "1-10", "publisher" : "Korean Association of Internal Medicine", "title" : "Overview of therapeutic drug monitoring", "type" : "article", "volume" : "24" }, "uris" : [ "http://www.mendeley.com/documents/?uuid=ada9c0a8-e972-3f11-a25f-8b320089bd61" ] } ], "mendeley" : { "formattedCitation" : "&lt;sup&gt;7&lt;/sup&gt;", "plainTextFormattedCitation" : "7", "previouslyFormattedCitation" : "&lt;sup&gt;7&lt;/sup&gt;" }, "properties" : { "noteIndex" : 0 }, "schema" : "https://github.com/citation-style-language/schema/raw/master/csl-citation.json" }</w:instrText>
      </w:r>
      <w:r w:rsidR="00165BD7">
        <w:fldChar w:fldCharType="separate"/>
      </w:r>
      <w:r w:rsidR="00165BD7" w:rsidRPr="00165BD7">
        <w:rPr>
          <w:noProof/>
          <w:vertAlign w:val="superscript"/>
        </w:rPr>
        <w:t>7</w:t>
      </w:r>
      <w:r w:rsidR="00165BD7">
        <w:fldChar w:fldCharType="end"/>
      </w:r>
      <w:r w:rsidR="00E9106F">
        <w:t xml:space="preserve"> </w:t>
      </w:r>
      <w:r w:rsidRPr="000E162A">
        <w:t>An interdisciplinary cohort of professionals consisting of scientists, clinicians, nurses, pharmacists, and analytical chemists are needed to work together to successfully administer an appropriate treatment course in a timely manner</w:t>
      </w:r>
      <w:r w:rsidR="00165BD7">
        <w:t>.</w:t>
      </w:r>
      <w:r w:rsidR="00165BD7">
        <w:fldChar w:fldCharType="begin" w:fldLock="1"/>
      </w:r>
      <w:r w:rsidR="00165BD7">
        <w:instrText>ADDIN CSL_CITATION { "citationItems" : [ { "id" : "ITEM-1", "itemData" : { "DOI" : "10.3904/kjim.2009.24.1.1", "ISSN" : "12263303", "abstract" : "Therapeutic drug monitoring (TDM) is the clinical practice of measuring specific drugs at designated intervals to maintain a constant concentration in a patient's bloodstream, thereby optimizing individual dosage regimens. It is unnecessary to employ TDM for the majority of medications, and it is used mainly for monitoring drugs with narrow therapeutic ranges, drugs with marked pharmacokinetic variability, medications for which target concentrations are difficult to monitor, and drugs known to cause therapeutic and adverse effects. The process of TDM is predicated on the assumption that there is a definable relationship between dose and plasma or blood drug concentration, and between concentration and therapeutic effects. TDM begins when the drug is first prescribed, and involves determining an initial dosage regimen appropriate for the clinical condition and such patient characteristics as age, weight, organ function, and concomitant drug therapy. When interpreting concentration measurements, factors that need to be considered include the sampling time in relation to drug dose, dosage history, patient response, and the desired medicinal targets. The goal of TDM is to use appropriate concentrations of difficult-to-manage medications to optimize clinical outcomes in patients in various clinical situations.", "author" : [ { "dropping-particle" : "", "family" : "Kang", "given" : "Ju Seop", "non-dropping-particle" : "", "parse-names" : false, "suffix" : "" }, { "dropping-particle" : "", "family" : "Lee", "given" : "Min Ho", "non-dropping-particle" : "", "parse-names" : false, "suffix" : "" } ], "container-title" : "Korean Journal of Internal Medicine", "id" : "ITEM-1", "issue" : "1", "issued" : { "date-parts" : [ [ "2009" ] ] }, "page" : "1-10", "publisher" : "Korean Association of Internal Medicine", "title" : "Overview of therapeutic drug monitoring", "type" : "article", "volume" : "24" }, "uris" : [ "http://www.mendeley.com/documents/?uuid=ada9c0a8-e972-3f11-a25f-8b320089bd61" ] } ], "mendeley" : { "formattedCitation" : "&lt;sup&gt;7&lt;/sup&gt;", "plainTextFormattedCitation" : "7", "previouslyFormattedCitation" : "&lt;sup&gt;7&lt;/sup&gt;" }, "properties" : { "noteIndex" : 0 }, "schema" : "https://github.com/citation-style-language/schema/raw/master/csl-citation.json" }</w:instrText>
      </w:r>
      <w:r w:rsidR="00165BD7">
        <w:fldChar w:fldCharType="separate"/>
      </w:r>
      <w:r w:rsidR="00165BD7" w:rsidRPr="00165BD7">
        <w:rPr>
          <w:noProof/>
          <w:vertAlign w:val="superscript"/>
        </w:rPr>
        <w:t>7</w:t>
      </w:r>
      <w:r w:rsidR="00165BD7">
        <w:fldChar w:fldCharType="end"/>
      </w:r>
      <w:r w:rsidR="00165BD7">
        <w:t xml:space="preserve"> </w:t>
      </w:r>
      <w:r w:rsidRPr="000E162A">
        <w:t>Furthermore, a cost-effective methodology is needed to keep the price of treatment to a minimum.</w:t>
      </w:r>
      <w:r w:rsidR="00165BD7">
        <w:fldChar w:fldCharType="begin" w:fldLock="1"/>
      </w:r>
      <w:r w:rsidR="00165BD7">
        <w:instrText>ADDIN CSL_CITATION { "citationItems" : [ { "id" : "ITEM-1", "itemData" : { "DOI" : "10.3904/kjim.2009.24.1.1", "ISSN" : "12263303", "abstract" : "Therapeutic drug monitoring (TDM) is the clinical practice of measuring specific drugs at designated intervals to maintain a constant concentration in a patient's bloodstream, thereby optimizing individual dosage regimens. It is unnecessary to employ TDM for the majority of medications, and it is used mainly for monitoring drugs with narrow therapeutic ranges, drugs with marked pharmacokinetic variability, medications for which target concentrations are difficult to monitor, and drugs known to cause therapeutic and adverse effects. The process of TDM is predicated on the assumption that there is a definable relationship between dose and plasma or blood drug concentration, and between concentration and therapeutic effects. TDM begins when the drug is first prescribed, and involves determining an initial dosage regimen appropriate for the clinical condition and such patient characteristics as age, weight, organ function, and concomitant drug therapy. When interpreting concentration measurements, factors that need to be considered include the sampling time in relation to drug dose, dosage history, patient response, and the desired medicinal targets. The goal of TDM is to use appropriate concentrations of difficult-to-manage medications to optimize clinical outcomes in patients in various clinical situations.", "author" : [ { "dropping-particle" : "", "family" : "Kang", "given" : "Ju Seop", "non-dropping-particle" : "", "parse-names" : false, "suffix" : "" }, { "dropping-particle" : "", "family" : "Lee", "given" : "Min Ho", "non-dropping-particle" : "", "parse-names" : false, "suffix" : "" } ], "container-title" : "Korean Journal of Internal Medicine", "id" : "ITEM-1", "issue" : "1", "issued" : { "date-parts" : [ [ "2009" ] ] }, "page" : "1-10", "publisher" : "Korean Association of Internal Medicine", "title" : "Overview of therapeutic drug monitoring", "type" : "article", "volume" : "24" }, "uris" : [ "http://www.mendeley.com/documents/?uuid=ada9c0a8-e972-3f11-a25f-8b320089bd61" ] } ], "mendeley" : { "formattedCitation" : "&lt;sup&gt;7&lt;/sup&gt;", "plainTextFormattedCitation" : "7", "previouslyFormattedCitation" : "&lt;sup&gt;7&lt;/sup&gt;" }, "properties" : { "noteIndex" : 0 }, "schema" : "https://github.com/citation-style-language/schema/raw/master/csl-citation.json" }</w:instrText>
      </w:r>
      <w:r w:rsidR="00165BD7">
        <w:fldChar w:fldCharType="separate"/>
      </w:r>
      <w:r w:rsidR="00165BD7" w:rsidRPr="00165BD7">
        <w:rPr>
          <w:noProof/>
          <w:vertAlign w:val="superscript"/>
        </w:rPr>
        <w:t>7</w:t>
      </w:r>
      <w:r w:rsidR="00165BD7">
        <w:fldChar w:fldCharType="end"/>
      </w:r>
      <w:r w:rsidR="00165BD7">
        <w:t xml:space="preserve"> </w:t>
      </w:r>
      <w:r w:rsidRPr="000E162A">
        <w:t>Because of these difficulties, the standard use of TDM is at a minimum in the clinical setting.</w:t>
      </w:r>
      <w:r w:rsidR="00165BD7">
        <w:fldChar w:fldCharType="begin" w:fldLock="1"/>
      </w:r>
      <w:r w:rsidR="00CB7208">
        <w:instrText>ADDIN CSL_CITATION { "citationItems" : [ { "id" : "ITEM-1", "itemData" : { "DOI" : "10.3904/kjim.2009.24.1.1", "ISSN" : "12263303", "abstract" : "Therapeutic drug monitoring (TDM) is the clinical practice of measuring specific drugs at designated intervals to maintain a constant concentration in a patient's bloodstream, thereby optimizing individual dosage regimens. It is unnecessary to employ TDM for the majority of medications, and it is used mainly for monitoring drugs with narrow therapeutic ranges, drugs with marked pharmacokinetic variability, medications for which target concentrations are difficult to monitor, and drugs known to cause therapeutic and adverse effects. The process of TDM is predicated on the assumption that there is a definable relationship between dose and plasma or blood drug concentration, and between concentration and therapeutic effects. TDM begins when the drug is first prescribed, and involves determining an initial dosage regimen appropriate for the clinical condition and such patient characteristics as age, weight, organ function, and concomitant drug therapy. When interpreting concentration measurements, factors that need to be considered include the sampling time in relation to drug dose, dosage history, patient response, and the desired medicinal targets. The goal of TDM is to use appropriate concentrations of difficult-to-manage medications to optimize clinical outcomes in patients in various clinical situations.", "author" : [ { "dropping-particle" : "", "family" : "Kang", "given" : "Ju Seop", "non-dropping-particle" : "", "parse-names" : false, "suffix" : "" }, { "dropping-particle" : "", "family" : "Lee", "given" : "Min Ho", "non-dropping-particle" : "", "parse-names" : false, "suffix" : "" } ], "container-title" : "Korean Journal of Internal Medicine", "id" : "ITEM-1", "issue" : "1", "issued" : { "date-parts" : [ [ "2009" ] ] }, "page" : "1-10", "publisher" : "Korean Association of Internal Medicine", "title" : "Overview of therapeutic drug monitoring", "type" : "article", "volume" : "24" }, "uris" : [ "http://www.mendeley.com/documents/?uuid=ada9c0a8-e972-3f11-a25f-8b320089bd61" ] } ], "mendeley" : { "formattedCitation" : "&lt;sup&gt;7&lt;/sup&gt;", "plainTextFormattedCitation" : "7", "previouslyFormattedCitation" : "&lt;sup&gt;7&lt;/sup&gt;" }, "properties" : { "noteIndex" : 0 }, "schema" : "https://github.com/citation-style-language/schema/raw/master/csl-citation.json" }</w:instrText>
      </w:r>
      <w:r w:rsidR="00165BD7">
        <w:fldChar w:fldCharType="separate"/>
      </w:r>
      <w:r w:rsidR="00165BD7" w:rsidRPr="00165BD7">
        <w:rPr>
          <w:noProof/>
          <w:vertAlign w:val="superscript"/>
        </w:rPr>
        <w:t>7</w:t>
      </w:r>
      <w:r w:rsidR="00165BD7">
        <w:fldChar w:fldCharType="end"/>
      </w:r>
    </w:p>
    <w:p w14:paraId="4C20D772" w14:textId="4C0EB2DA" w:rsidR="00604E4A" w:rsidRDefault="00165BD7" w:rsidP="00CB7208">
      <w:pPr>
        <w:ind w:firstLine="720"/>
        <w:jc w:val="both"/>
      </w:pPr>
      <w:r>
        <w:t>Current applications of TDM in oncology are further hindered due to the lack of personalization through not consider</w:t>
      </w:r>
      <w:r w:rsidR="004C736F">
        <w:t>ing</w:t>
      </w:r>
      <w:r>
        <w:t xml:space="preserve"> an individual’s unique cancer and drug uptak</w:t>
      </w:r>
      <w:r w:rsidR="004C736F">
        <w:t xml:space="preserve">e into the cancerous tumor cells. Because of an individual’s pharmacokinetic/ </w:t>
      </w:r>
      <w:r w:rsidR="004C736F">
        <w:lastRenderedPageBreak/>
        <w:t>pharmacodynamic capabilities, the drug concentration measured in the plasma may not predict the drug concentration in the tumor and tumor cells.</w:t>
      </w:r>
      <w:r w:rsidR="00CB7208">
        <w:fldChar w:fldCharType="begin" w:fldLock="1"/>
      </w:r>
      <w:r w:rsidR="00CB7208">
        <w:instrText>ADDIN CSL_CITATION { "citationItems" : [ { "id" : "ITEM-1", "itemData" : { "DOI" : "10.1177/1078155207081133", "ISSN" : "10781552", "abstract" : "Therapeutic drug monitoring is not routinely used for chemotherapy agents. There are Several reasons, but one major drawback is the lack of established therapeutic Concentration ranges. Combination chemotherapy makes the establishment of Therapeutic ranges for individual drugs difficult, the concentration-effect relationship for a single drug may not be the same as when that drug is used in a drug combination. Pharmacokinetic optimization protocols for many classes of cytotoxic compounds exist in specialized centers, and some of these protocols are now part of large multicentre trials. Nonetheless, TDM clearly has the potential to improve the clinical use of chemotherapy gents, most of which have very narrow therapeutic indices and highly variable pharmacokinetics. A substantial body of literature accumulating during the past 15 years demonstrates relationships between systemic exposure to various chemotherapy agents and their toxic or therapeutic effects. This article reviews TDM concepts in addition to tools based on pharmacokinetic modeling of chemotherapy agents. The administered dose of chemotherapy agents is sometimes adjusted individually using either a priori or a posteriori methods. These models can only be applied by using the same dose and schedule as the original study. Bayesian estimation offers more flexibility in blood sampling times and, owing to its precision and to the amount of information provided is the method of choice for ensuring that a given patient benefits from the desired systemic exposure. Moreover, the role and application of Pharmacogenetics as a tool for individualizing chemotheraphy is discussed highlighting the agents and mechanisms that have been well studied and defined and their relevance to clinical practice. Finally, this paper address issues critical to the optimal use of TDM in a clinical setting, and the role of clinical pharmacist in this regard. In addition, it discusses future developments in this field that can contribute to improving cancer chemotheraphy In terms of patient outcome and survival. \u00a9 Sage Publications 2007.", "author" : [ { "dropping-particle" : "", "family" : "Alnaim", "given" : "Lamya", "non-dropping-particle" : "", "parse-names" : false, "suffix" : "" } ], "container-title" : "Journal of Oncology Pharmacy Practice", "id" : "ITEM-1", "issue" : "4", "issued" : { "date-parts" : [ [ "2007", "12" ] ] }, "page" : "207-221", "title" : "Therapeutic drug monitoring of cancer chemotherapy", "type" : "article", "volume" : "13" }, "uris" : [ "http://www.mendeley.com/documents/?uuid=4339ff05-b5ec-36de-8174-0cb237f44367" ] }, { "id" : "ITEM-2", "itemData" : { "DOI" : "10.1016/J.EJCA.2014.04.013", "ISSN" : "0959-8049", "abstract" : "Therapeutic drug monitoring (TDM) can be defined as the measurement of drug in biological samples to individualise treatment by adapting drug dose to improve efficacy and/or reduce toxicity. The cytotoxic drugs are characterised by steep dose\u2013response relationships and narrow therapeutic windows. Inter-individual pharmacokinetic (PK) variability is often substantial. There are, however, a multitude of reasons why TDM has never been fully implemented in daily oncology practice. These include difficulties in establishing appropriate concentration target, common use of combination chemotherapies and the paucity of published data from pharmacological trials. The situation is different with targeted therapies. The large interindividual PK variability is influenced by the pharmacogenetic background of the patient (e.g. cytochrome P450 and ABC transporters polymorphisms), patient characteristics such as adherence to treatment and environmental factors (drug\u2013drug interactions). Retrospective studies have shown that targeted drug exposure correlates with treatment response in various cancers. Evidence for imatinib currently exists, others are emerging for compounds including nilotinib, dasatinib, erlotinib, sunitinib, sorafenib and mammalian target of rapamycin (mTOR) inhibitors. Applications for TDM during oral targeted therapies may best be reserved for particular situations including lack of therapeutic response, severe or unexpected toxicities, anticipated drug\u2013drug interactions and concerns over adherence treatment. There are still few data with monoclonal antibodies (mAbs) in favour of TDM approaches, even if data showed encouraging results with rituximab and cetuximab. TDM of mAbs is not yet supported by scientific evidence. Considerable effort should be made for targeted therapies to better define concentration\u2013effect relationships and to perform comparative randomised trials of classic dosing versus pharmacokinetically-guided adaptive dosing.", "author" : [ { "dropping-particle" : "", "family" : "Bardin", "given" : "Christophe", "non-dropping-particle" : "", "parse-names" : false, "suffix" : "" }, { "dropping-particle" : "", "family" : "Veal", "given" : "Gareth", "non-dropping-particle" : "", "parse-names" : false, "suffix" : "" }, { "dropping-particle" : "", "family" : "Paci", "given" : "Angelo", "non-dropping-particle" : "", "parse-names" : false, "suffix" : "" }, { "dropping-particle" : "", "family" : "Chatelut", "given" : "Etienne", "non-dropping-particle" : "", "parse-names" : false, "suffix" : "" }, { "dropping-particle" : "", "family" : "Astier", "given" : "Alain", "non-dropping-particle" : "", "parse-names" : false, "suffix" : "" }, { "dropping-particle" : "", "family" : "Lev\u00eaque", "given" : "Dominique", "non-dropping-particle" : "", "parse-names" : false, "suffix" : "" }, { "dropping-particle" : "", "family" : "Widmer", "given" : "Nicolas", "non-dropping-particle" : "", "parse-names" : false, "suffix" : "" }, { "dropping-particle" : "", "family" : "Beijnen", "given" : "Jos", "non-dropping-particle" : "", "parse-names" : false, "suffix" : "" } ], "container-title" : "European Journal of Cancer", "id" : "ITEM-2", "issue" : "12", "issued" : { "date-parts" : [ [ "2014", "8", "1" ] ] }, "page" : "2005-2009", "publisher" : "Pergamon", "title" : "Therapeutic drug monitoring in cancer \u2013 Are we missing a trick?", "type" : "article-journal", "volume" : "50" }, "uris" : [ "http://www.mendeley.com/documents/?uuid=727518bf-0b57-4c2b-baf2-a885dad6e766" ] } ], "mendeley" : { "formattedCitation" : "&lt;sup&gt;13,14&lt;/sup&gt;", "plainTextFormattedCitation" : "13,14", "previouslyFormattedCitation" : "&lt;sup&gt;13,14&lt;/sup&gt;" }, "properties" : { "noteIndex" : 0 }, "schema" : "https://github.com/citation-style-language/schema/raw/master/csl-citation.json" }</w:instrText>
      </w:r>
      <w:r w:rsidR="00CB7208">
        <w:fldChar w:fldCharType="separate"/>
      </w:r>
      <w:r w:rsidR="00CB7208" w:rsidRPr="00CB7208">
        <w:rPr>
          <w:noProof/>
          <w:vertAlign w:val="superscript"/>
        </w:rPr>
        <w:t>13,14</w:t>
      </w:r>
      <w:r w:rsidR="00CB7208">
        <w:fldChar w:fldCharType="end"/>
      </w:r>
      <w:r w:rsidR="004C736F">
        <w:t xml:space="preserve"> Furthermore, tumor cells are a complex, heterogenous mixture of cells consisting of</w:t>
      </w:r>
      <w:r w:rsidR="00604E4A" w:rsidRPr="00604E4A">
        <w:t xml:space="preserve"> </w:t>
      </w:r>
      <w:r w:rsidR="00604E4A">
        <w:t xml:space="preserve">multidrug-resistant (MDR) </w:t>
      </w:r>
      <w:r w:rsidR="004C736F">
        <w:t>cancer and non-cancer cells</w:t>
      </w:r>
      <w:r w:rsidR="00604E4A">
        <w:t>.</w:t>
      </w:r>
      <w:r w:rsidR="00CB7208">
        <w:fldChar w:fldCharType="begin" w:fldLock="1"/>
      </w:r>
      <w:r w:rsidR="00CB7208">
        <w:instrText>ADDIN CSL_CITATION { "citationItems" : [ { "id" : "ITEM-1", "itemData" : { "DOI" : "10.1242/jcs.116392", "ISSN" : "00219533", "abstract" : "Cancers are not just masses of malignant cells but complex \u2018rogue\u2019 organs, to which many other cells are recruited and can be corrupted by the transformed cells. Interactions between malignant and non-transformed cells create the tumor microenvironment (TME). The non-malignant cells of the TME", "author" : [ { "dropping-particle" : "", "family" : "Balkwill", "given" : "Frances R.", "non-dropping-particle" : "", "parse-names" : false, "suffix" : "" }, { "dropping-particle" : "", "family" : "Capasso", "given" : "Melania", "non-dropping-particle" : "", "parse-names" : false, "suffix" : "" }, { "dropping-particle" : "", "family" : "Hagemann", "given" : "Thorsten", "non-dropping-particle" : "", "parse-names" : false, "suffix" : "" } ], "container-title" : "Journal of Cell Science", "id" : "ITEM-1", "issue" : "23", "issued" : { "date-parts" : [ [ "2012", "12", "1" ] ] }, "page" : "5591-5596", "publisher" : "The Company of Biologists Ltd", "title" : "The tumor microenvironment at a glance", "type" : "article-journal", "volume" : "125" }, "uris" : [ "http://www.mendeley.com/documents/?uuid=08870737-8fd6-30b6-aea0-bba7b904e738" ] } ], "mendeley" : { "formattedCitation" : "&lt;sup&gt;15&lt;/sup&gt;", "plainTextFormattedCitation" : "15", "previouslyFormattedCitation" : "&lt;sup&gt;15&lt;/sup&gt;" }, "properties" : { "noteIndex" : 0 }, "schema" : "https://github.com/citation-style-language/schema/raw/master/csl-citation.json" }</w:instrText>
      </w:r>
      <w:r w:rsidR="00CB7208">
        <w:fldChar w:fldCharType="separate"/>
      </w:r>
      <w:r w:rsidR="00CB7208" w:rsidRPr="00CB7208">
        <w:rPr>
          <w:noProof/>
          <w:vertAlign w:val="superscript"/>
        </w:rPr>
        <w:t>15</w:t>
      </w:r>
      <w:r w:rsidR="00CB7208">
        <w:fldChar w:fldCharType="end"/>
      </w:r>
      <w:r w:rsidR="00604E4A">
        <w:t xml:space="preserve"> These </w:t>
      </w:r>
      <w:r w:rsidR="004C736F">
        <w:t xml:space="preserve">(MDR) </w:t>
      </w:r>
      <w:r w:rsidR="00604E4A">
        <w:t>cells can engage P-glycoprotein pumps to extrude drugs outside of the cells, further creating a difference in drug concentration in the tumor cells compared to the blood serum.</w:t>
      </w:r>
      <w:r w:rsidR="00CB7208">
        <w:fldChar w:fldCharType="begin" w:fldLock="1"/>
      </w:r>
      <w:r w:rsidR="00CB7208">
        <w:instrText>ADDIN CSL_CITATION { "citationItems" : [ { "id" : "ITEM-1", "itemData" : { "DOI" : "10.3390/ph9040071", "ISSN" : "1424-8247", "author" : [ { "dropping-particle" : "", "family" : "Lopes-Rodrigues", "given" : "Vanessa", "non-dropping-particle" : "", "parse-names" : false, "suffix" : "" }, { "dropping-particle" : "", "family" : "Sousa", "given" : "Em\u00edlia", "non-dropping-particle" : "", "parse-names" : false, "suffix" : "" }, { "dropping-particle" : "", "family" : "Vasconcelos", "given" : "M.", "non-dropping-particle" : "", "parse-names" : false, "suffix" : "" } ], "container-title" : "Pharmaceuticals", "id" : "ITEM-1", "issue" : "4", "issued" : { "date-parts" : [ [ "2016", "11", "10" ] ] }, "page" : "71", "title" : "Curcumin as a Modulator of P-Glycoprotein in Cancer: Challenges and Perspectives", "type" : "article-journal", "volume" : "9" }, "uris" : [ "http://www.mendeley.com/documents/?uuid=9f8c4e56-8320-4a44-9d65-dece109524b9" ] } ], "mendeley" : { "formattedCitation" : "&lt;sup&gt;16&lt;/sup&gt;", "plainTextFormattedCitation" : "16", "previouslyFormattedCitation" : "&lt;sup&gt;16&lt;/sup&gt;" }, "properties" : { "noteIndex" : 0 }, "schema" : "https://github.com/citation-style-language/schema/raw/master/csl-citation.json" }</w:instrText>
      </w:r>
      <w:r w:rsidR="00CB7208">
        <w:fldChar w:fldCharType="separate"/>
      </w:r>
      <w:r w:rsidR="00CB7208" w:rsidRPr="00CB7208">
        <w:rPr>
          <w:noProof/>
          <w:vertAlign w:val="superscript"/>
        </w:rPr>
        <w:t>16</w:t>
      </w:r>
      <w:r w:rsidR="00CB7208">
        <w:fldChar w:fldCharType="end"/>
      </w:r>
      <w:r w:rsidR="00604E4A">
        <w:t xml:space="preserve"> A bioanalytical method capable of quantifying drug compound in individual cancer cells in a time efficient and non-invasive manner would prove a valuable personalized tool for assessing individual TDM. </w:t>
      </w:r>
    </w:p>
    <w:p w14:paraId="26B96998" w14:textId="76EF0A30" w:rsidR="00F85696" w:rsidRDefault="00F85696" w:rsidP="000849BF">
      <w:pPr>
        <w:ind w:firstLine="720"/>
        <w:jc w:val="both"/>
      </w:pPr>
    </w:p>
    <w:p w14:paraId="0110A022" w14:textId="384EFE3B" w:rsidR="000E162A" w:rsidRDefault="000E162A" w:rsidP="00926BEA">
      <w:pPr>
        <w:pStyle w:val="Heading2"/>
        <w:jc w:val="both"/>
      </w:pPr>
      <w:bookmarkStart w:id="14" w:name="_Toc39868133"/>
      <w:r>
        <w:t>1.</w:t>
      </w:r>
      <w:r w:rsidR="00E340C1">
        <w:t>3</w:t>
      </w:r>
      <w:r>
        <w:t xml:space="preserve"> </w:t>
      </w:r>
      <w:r w:rsidR="00E340C1">
        <w:t>The Oxysterol-Binding Proteins (OSBP/ORPs) As Potential Precision Drug Targets for Ant</w:t>
      </w:r>
      <w:r w:rsidR="00210FE0">
        <w:t>i</w:t>
      </w:r>
      <w:r w:rsidR="00E340C1">
        <w:t>viral and Anticancer Drug Development</w:t>
      </w:r>
      <w:bookmarkEnd w:id="14"/>
      <w:r w:rsidR="00E340C1">
        <w:t xml:space="preserve"> </w:t>
      </w:r>
    </w:p>
    <w:p w14:paraId="3A698A7C" w14:textId="5BAB7931" w:rsidR="00304D44" w:rsidRDefault="000E162A" w:rsidP="00CC595D">
      <w:pPr>
        <w:ind w:firstLine="720"/>
        <w:jc w:val="both"/>
      </w:pPr>
      <w:r w:rsidRPr="000E162A">
        <w:t>O</w:t>
      </w:r>
      <w:r w:rsidR="00304D44">
        <w:t>xysterol-binding proteins (OSBP)</w:t>
      </w:r>
      <w:r w:rsidRPr="000E162A">
        <w:t xml:space="preserve"> and OSBP-related proteins (ORPs) comprise a family of proteins conserved in all eukaryotes, from yeast to humans.</w:t>
      </w:r>
      <w:r w:rsidRPr="000E162A">
        <w:fldChar w:fldCharType="begin" w:fldLock="1"/>
      </w:r>
      <w:r w:rsidR="00CB7208">
        <w:instrText>ADDIN CSL_CITATION { "citationItems" : [ { "id" : "ITEM-1", "itemData" : { "DOI" : "10.1016/bs.ircmb.2015.09.006", "ISBN" : "9780128047071", "ISSN" : "19376448", "PMID" : "26811291", "abstract" : "Oxysterol-binding protein (OSBP) and its related protein homologs, ORPs, constitute a conserved family of lipid-binding/transfer proteins (LTPs) expressed ubiquitously in eukaryotes. The ligand-binding domain of ORPs accommodates cholesterol and oxysterols, but also glycerophospholipids, particularly phosphatidylinositol-4-phosphate (PI4P). ORPs have been implicated as intracellular lipid sensors or transporters. Most ORPs carry targeting determinants for the endoplasmic reticulum (ER) and non-ER organelle membrane. ORPs are located and function at membrane contact sites (MCSs), at which ER is closely apposed with other organelle limiting membranes. Such sites have roles in lipid transport and metabolism, control of Ca2+ fluxes, and signaling events. ORPs are postulated either to transport lipids over MCSs to maintain the distinct lipid compositions of organelle membranes, or to control the activity of enzymes/protein complexes with functions in signaling and lipid metabolism. ORPs may transfer PI4P and another lipid class bidirectionally. Transport of PI4P followed by its hydrolysis would in this model provide the energy for transfer of the other lipid against its concentration gradient. Control of organelle lipid compositions by OSBP/ORPs is important for the life cycles of several pathogenic viruses. Targeting ORPs with small-molecular antagonists is proposed as a new strategy to combat viral infections. Several ORPs are reported to modulate vesicle transport along the secretory or endocytic pathways. Moreover, antagonists of certain ORPs inhibit cancer cell proliferation. Thus, ORPs are LTPs, which mediate interorganelle lipid transport and coordinate lipid signals with a variety of cellular regimes. \u00a9 2016 Elsevier Inc.", "author" : [ { "dropping-particle" : "", "family" : "Kentala", "given" : "Henriikka", "non-dropping-particle" : "", "parse-names" : false, "suffix" : "" }, { "dropping-particle" : "", "family" : "Weber-Boyvat", "given" : "Marion", "non-dropping-particle" : "", "parse-names" : false, "suffix" : "" }, { "dropping-particle" : "", "family" : "Olkkonen", "given" : "Vesa M.", "non-dropping-particle" : "", "parse-names" : false, "suffix" : "" } ], "container-title" : "International Review of Cell and Molecular Biology", "id" : "ITEM-1", "issued" : { "date-parts" : [ [ "2016" ] ] }, "page" : "299-340", "publisher" : "Elsevier Inc.", "title" : "OSBP-Related Protein Family: Mediators of Lipid Transport and Signaling at Membrane Contact Sites", "type" : "chapter", "volume" : "321" }, "uris" : [ "http://www.mendeley.com/documents/?uuid=7c663f30-c65b-31df-9a8a-64082bbf3669" ] }, { "id" : "ITEM-2", "itemData" : { "DOI" : "10.1007/s00018-018-2795-y", "ISSN" : "14209071", "abstract" : "Oxysterol-binding protein (OSBP) and OSBP-related proteins (ORPs) constitute a large eukaryotic gene family that transports and regulates the metabolism of sterols and phospholipids. The original classification of the family based on oxysterol-binding activity belies the complex dual lipid-binding specificity of the conserved OSBP homology domain (OHD). Additional protein- and membrane-interacting modules mediate the targeting of select OSBP/ORPs to membrane contact sites between organelles, thus positioning the OHD between opposing membranes for lipid transfer and metabolic regulation. This unique subcellular location, coupled with diverse ligand preferences and tissue distribution, has identified OSBP/ORPs as key arbiters of membrane composition and function. Here, we will review how molecular models of OSBP/ORP-mediated intracellular lipid transport and regulation at membrane contact sites relate to their emerging roles in cellular and organismal functions.", "author" : [ { "dropping-particle" : "", "family" : "Pietrangelo", "given" : "Antonietta", "non-dropping-particle" : "", "parse-names" : false, "suffix" : "" }, { "dropping-particle" : "", "family" : "Ridgway", "given" : "Neale D.", "non-dropping-particle" : "", "parse-names" : false, "suffix" : "" } ], "container-title" : "Cellular and Molecular Life Sciences", "id" : "ITEM-2", "issue" : "17", "issued" : { "date-parts" : [ [ "2018", "9", "1" ] ] }, "page" : "3079-3098", "publisher" : "Birkhauser Verlag AG", "title" : "Bridging the molecular and biological functions of the oxysterol-binding protein family", "type" : "article", "volume" : "75" }, "uris" : [ "http://www.mendeley.com/documents/?uuid=b5d23489-ce39-3f8d-9504-f06dc51ec0a6" ] } ], "mendeley" : { "formattedCitation" : "&lt;sup&gt;17,18&lt;/sup&gt;", "plainTextFormattedCitation" : "17,18", "previouslyFormattedCitation" : "&lt;sup&gt;17,18&lt;/sup&gt;" }, "properties" : { "noteIndex" : 0 }, "schema" : "https://github.com/citation-style-language/schema/raw/master/csl-citation.json" }</w:instrText>
      </w:r>
      <w:r w:rsidRPr="000E162A">
        <w:fldChar w:fldCharType="separate"/>
      </w:r>
      <w:r w:rsidR="00CB7208" w:rsidRPr="00CB7208">
        <w:rPr>
          <w:noProof/>
          <w:vertAlign w:val="superscript"/>
        </w:rPr>
        <w:t>17,18</w:t>
      </w:r>
      <w:r w:rsidRPr="000E162A">
        <w:fldChar w:fldCharType="end"/>
      </w:r>
      <w:r w:rsidRPr="000E162A">
        <w:t xml:space="preserve"> OSBP, the OSBP/ORP member first identified, was discovered as a high affinity binder of oxysterols </w:t>
      </w:r>
      <w:r w:rsidRPr="000E162A">
        <w:rPr>
          <w:i/>
          <w:iCs/>
        </w:rPr>
        <w:t>in vitro</w:t>
      </w:r>
      <w:r w:rsidRPr="000E162A">
        <w:t xml:space="preserve">. </w:t>
      </w:r>
      <w:r w:rsidRPr="000E162A">
        <w:fldChar w:fldCharType="begin" w:fldLock="1"/>
      </w:r>
      <w:r w:rsidR="00CB7208">
        <w:instrText>ADDIN CSL_CITATION { "citationItems" : [ { "id" : "ITEM-1", "itemData" : { "ISSN" : "00219258", "PMID" : "6490619", "abstract" : "Support for the role of a cytosolic oxysterol-binding protein in the regulation of 3-hydroxy-3-methylglutaryl coenzyme A (HMG-CoA) reductase was obtained by correlating the relative binding affinities of a wide range of oxysterols to their potency in suppressing HMG-CoA reductase activity in mouse fibroblast cell cultures. Forty-seven oxysterols encompassing a 100-fold range of activity in both assays were tested and the two parameters were closely correlated for 35 of the sterols. Twelve sterols showed poor binding when compared to their ability to suppress HMG-CoA reductase activity in cell cultures. Among these were seven sterols with a ketone function at C-3. For this group, the discrepancy could be explained by their rapid conversion within cells to the 3\u03b2-hydroxy derivatives which have a much higher affinity for the binding protein. One sterol with 3-keto-4-ene grouping was not reduced to its 3\u03b2-hydroxy derivative in cells and thereby showed no discrepancy in the two assays. The remaining five sterols exhibiting discordant activities in the two tests contained 4,4-dimethyl moieties and were relatively weak suppressors of HMG-CoA reductase activity. Cellular metabolism of these sterols was not detected. Possible reasons for their apparent inactivity in the binding assay are discussed.", "author" : [ { "dropping-particle" : "", "family" : "Taylor", "given" : "F. R.", "non-dropping-particle" : "", "parse-names" : false, "suffix" : "" }, { "dropping-particle" : "", "family" : "Saucier", "given" : "S. E.", "non-dropping-particle" : "", "parse-names" : false, "suffix" : "" }, { "dropping-particle" : "", "family" : "Shown", "given" : "E. P.", "non-dropping-particle" : "", "parse-names" : false, "suffix" : "" }, { "dropping-particle" : "", "family" : "Parish", "given" : "E. J.", "non-dropping-particle" : "", "parse-names" : false, "suffix" : "" }, { "dropping-particle" : "", "family" : "Kandutsch", "given" : "A. A.", "non-dropping-particle" : "", "parse-names" : false, "suffix" : "" } ], "container-title" : "Journal of Biological Chemistry", "id" : "ITEM-1", "issue" : "20", "issued" : { "date-parts" : [ [ "1984" ] ] }, "page" : "12382-12387", "title" : "Correlation between oxysterol binding to a cytosolic binding protein and potency in the repression of hydroxymethylglutaryl coenzyme A reductase", "type" : "article-journal", "volume" : "259" }, "uris" : [ "http://www.mendeley.com/documents/?uuid=16d71877-813a-3174-871b-438d7b8911a7" ] }, { "id" : "ITEM-2", "itemData" : { "DOI" : "10.1016/0009-3084(85)90066-0", "ISSN" : "00093084", "abstract" : "A binding protein is described for certain oxygenated derivatives of cholesterol which suppress 3-hydroxy-3-methylglutaryl coenzyme A reductase and cholesterol synthesis in cultured mammalian cells. This protein is found in the cytolosic fraction of many cell types and is distinct from cytosolic proteins which bind cholesterol. The relative binding affinity of a wide variety of oxysterols correlates with their ability to suppress reductase and it is proposed that the binding protein functions as a receptor for endogenous regulatory oxysterols. The binding protein from cultured mouse fibroblasts (L cells) has been partially purified and characterized. Changes in its molecular form occur when a ligand is bound and further changes in form and binding kinetics occur at acid pH and in the presence of urea. Based on these changes a subunit model for the binding protein is presented. \u00a9 1985.", "author" : [ { "dropping-particle" : "", "family" : "Taylor", "given" : "Frederick R.", "non-dropping-particle" : "", "parse-names" : false, "suffix" : "" }, { "dropping-particle" : "", "family" : "Kandutsch", "given" : "Andrew A.", "non-dropping-particle" : "", "parse-names" : false, "suffix" : "" } ], "container-title" : "Chemistry and Physics of Lipids", "id" : "ITEM-2", "issue" : "1-2", "issued" : { "date-parts" : [ [ "1985", "8", "30" ] ] }, "page" : "187-194", "publisher" : "Elsevier", "title" : "Oxysterol binding protein", "type" : "article-journal", "volume" : "38" }, "uris" : [ "http://www.mendeley.com/documents/?uuid=a2ec093c-d5b6-3e85-8ef6-0c793ba14cd7" ] } ], "mendeley" : { "formattedCitation" : "&lt;sup&gt;19,20&lt;/sup&gt;", "plainTextFormattedCitation" : "19,20", "previouslyFormattedCitation" : "&lt;sup&gt;19,20&lt;/sup&gt;" }, "properties" : { "noteIndex" : 0 }, "schema" : "https://github.com/citation-style-language/schema/raw/master/csl-citation.json" }</w:instrText>
      </w:r>
      <w:r w:rsidRPr="000E162A">
        <w:fldChar w:fldCharType="separate"/>
      </w:r>
      <w:r w:rsidR="00CB7208" w:rsidRPr="00CB7208">
        <w:rPr>
          <w:noProof/>
          <w:vertAlign w:val="superscript"/>
        </w:rPr>
        <w:t>19,20</w:t>
      </w:r>
      <w:r w:rsidRPr="000E162A">
        <w:fldChar w:fldCharType="end"/>
      </w:r>
      <w:r w:rsidRPr="000E162A">
        <w:t xml:space="preserve"> Oxysterols are 27-carbon products of cholesterol oxidation, mainly </w:t>
      </w:r>
      <w:r w:rsidR="00012F48">
        <w:t xml:space="preserve">performed </w:t>
      </w:r>
      <w:r w:rsidRPr="000E162A">
        <w:t>by hepatic cytochrome P450 enzymes</w:t>
      </w:r>
      <w:r w:rsidR="00304D44">
        <w:t xml:space="preserve"> (</w:t>
      </w:r>
      <w:r w:rsidR="00A145E9" w:rsidRPr="000849BF">
        <w:rPr>
          <w:b/>
          <w:bCs/>
        </w:rPr>
        <w:fldChar w:fldCharType="begin"/>
      </w:r>
      <w:r w:rsidR="00A145E9" w:rsidRPr="000849BF">
        <w:rPr>
          <w:b/>
          <w:bCs/>
        </w:rPr>
        <w:instrText xml:space="preserve"> REF _Ref38372866 \h </w:instrText>
      </w:r>
      <w:r w:rsidR="00A145E9">
        <w:rPr>
          <w:b/>
          <w:bCs/>
        </w:rPr>
        <w:instrText xml:space="preserve"> \* MERGEFORMAT </w:instrText>
      </w:r>
      <w:r w:rsidR="00A145E9" w:rsidRPr="000849BF">
        <w:rPr>
          <w:b/>
          <w:bCs/>
        </w:rPr>
      </w:r>
      <w:r w:rsidR="00A145E9" w:rsidRPr="000849BF">
        <w:rPr>
          <w:b/>
          <w:bCs/>
        </w:rPr>
        <w:fldChar w:fldCharType="separate"/>
      </w:r>
      <w:r w:rsidR="00A145E9" w:rsidRPr="000849BF">
        <w:rPr>
          <w:b/>
          <w:bCs/>
        </w:rPr>
        <w:t xml:space="preserve">Figure </w:t>
      </w:r>
      <w:r w:rsidR="00A145E9" w:rsidRPr="000849BF">
        <w:rPr>
          <w:b/>
          <w:bCs/>
          <w:noProof/>
        </w:rPr>
        <w:t>1</w:t>
      </w:r>
      <w:r w:rsidR="00A145E9" w:rsidRPr="000849BF">
        <w:rPr>
          <w:b/>
          <w:bCs/>
        </w:rPr>
        <w:fldChar w:fldCharType="end"/>
      </w:r>
      <w:r w:rsidR="00304D44">
        <w:t>, 25-hydroxycholesterol (</w:t>
      </w:r>
      <w:r w:rsidR="00304D44" w:rsidRPr="000849BF">
        <w:rPr>
          <w:b/>
          <w:bCs/>
        </w:rPr>
        <w:t>1</w:t>
      </w:r>
      <w:r w:rsidR="00304D44">
        <w:t>) as an example oxysterol)</w:t>
      </w:r>
      <w:r w:rsidRPr="000E162A">
        <w:t>.</w:t>
      </w:r>
      <w:r w:rsidR="00CB7208">
        <w:fldChar w:fldCharType="begin" w:fldLock="1"/>
      </w:r>
      <w:r w:rsidR="00CB7208">
        <w:instrText>ADDIN CSL_CITATION { "citationItems" : [ { "id" : "ITEM-1", "itemData" : { "DOI" : "10.6004/jadpro.2013.4.4.7", "ISSN" : "21500878", "abstract" : "Cytochrome P450 (CYP) is a hemeprotein that plays a key role in the metabolism of drugs and other xenobiotics (Estabrook, 2003). Understanding the CYP system is essential for advanced practitioners (APs), as the consequences of drug-drug interactions can be profound. In this article, we will describe the CYP system, its potential for drug interactions, and the genetic polymorphisms that can exist in hematology/oncology patients. Drug metabolism occurs in many sites in the body, including the liver, intestinal wall, lungs, kidneys, and plasma. As the primary site of drug metabolism, the liver functions to detoxify and facilitate excretion of xenobiotics (foreign drugs or chemicals) by enzymatically converting lipid-soluble compounds to more water-soluble compounds. Drug metabolism is achieved through phase I reactions, phase II reactions, or both. The most common phase I reaction is oxidation, which is catalyzed by the CYP system (Gibson &amp; Skett, 2001). Klingenberg first discovered CYP in 1954 during his research on steroid hormone metabolism, when he extracted a novel protein from hepatocytes (Klingenberg, 1958). It was almost a decade later that the function and significance of CYP were determined. In 1963, Estabrook, Cooper, and Rosenthal described the role of CYP as a catalyst in steroid hormone synthesis and drug metabolism. Cooper and colleagues later confirmed CYP to be a key enzyme involved in drug and steroid hydroxylation reactions (Cooper, Levin, Narasimhulu, Rosenthal, &amp; Estabrook, 1965). Numerous CYP proteins have since been discovered and found to be widespread throughout the body, demonstrating significant involvement in chemical activation, deactivation, and carcinogenesis (Estabrook, 2003).", "author" : [ { "dropping-particle" : "", "family" : "McDonnell, PharmD, BCOP", "given" : "Anne M.", "non-dropping-particle" : "", "parse-names" : false, "suffix" : "" }, { "dropping-particle" : "", "family" : "Dang, PharmD, BCPS", "given" : "Cathyyen H.", "non-dropping-particle" : "", "parse-names" : false, "suffix" : "" } ], "container-title" : "Journal of the Advanced Practitioner in Oncology", "id" : "ITEM-1", "issue" : "4", "issued" : { "date-parts" : [ [ "2013", "8", "1" ] ] }, "page" : "263", "publisher" : "Harborside Press, LLC", "title" : "Basic Review of the Cytochrome P450 System", "type" : "article-journal", "volume" : "4" }, "uris" : [ "http://www.mendeley.com/documents/?uuid=7592e197-334a-30e3-89a7-272dab7702e8" ] } ], "mendeley" : { "formattedCitation" : "&lt;sup&gt;4&lt;/sup&gt;", "plainTextFormattedCitation" : "4", "previouslyFormattedCitation" : "&lt;sup&gt;4&lt;/sup&gt;" }, "properties" : { "noteIndex" : 0 }, "schema" : "https://github.com/citation-style-language/schema/raw/master/csl-citation.json" }</w:instrText>
      </w:r>
      <w:r w:rsidR="00CB7208">
        <w:fldChar w:fldCharType="separate"/>
      </w:r>
      <w:r w:rsidR="00CB7208" w:rsidRPr="00CB7208">
        <w:rPr>
          <w:noProof/>
          <w:vertAlign w:val="superscript"/>
        </w:rPr>
        <w:t>4</w:t>
      </w:r>
      <w:r w:rsidR="00CB7208">
        <w:fldChar w:fldCharType="end"/>
      </w:r>
      <w:r w:rsidRPr="000E162A">
        <w:t xml:space="preserve"> </w:t>
      </w:r>
    </w:p>
    <w:p w14:paraId="77B41B34" w14:textId="4AB43DC8" w:rsidR="00610AA7" w:rsidRPr="000E162A" w:rsidRDefault="000E162A" w:rsidP="000849BF">
      <w:pPr>
        <w:ind w:firstLine="720"/>
        <w:jc w:val="both"/>
      </w:pPr>
      <w:r w:rsidRPr="000E162A">
        <w:t>Oxysterol</w:t>
      </w:r>
      <w:r w:rsidR="00012F48">
        <w:t>s</w:t>
      </w:r>
      <w:r w:rsidRPr="000E162A">
        <w:t xml:space="preserve"> have a variety of biological activities including</w:t>
      </w:r>
      <w:r w:rsidR="00012F48">
        <w:t>:</w:t>
      </w:r>
      <w:r w:rsidRPr="000E162A">
        <w:t xml:space="preserve"> inducing cytotoxicity, cholesterol regulation, and membrane integrity </w:t>
      </w:r>
      <w:r w:rsidRPr="00251CE8">
        <w:t>perturbation.</w:t>
      </w:r>
      <w:r w:rsidRPr="000E162A">
        <w:fldChar w:fldCharType="begin" w:fldLock="1"/>
      </w:r>
      <w:r w:rsidR="00A145E9">
        <w:instrText>ADDIN CSL_CITATION { "citationItems" : [ { "id" : "ITEM-1", "itemData" : { "DOI" : "10.1042/bj3260205", "ISSN" : "02646021", "abstract" : "Oxysterol-binding protein (OSBP) is a high-affinity receptor for a variety of oxysterols, such as 25-hydroxycholesterol, that down-regulate cholesterol synthesis and stimulate cholesterol esterification. To examine a potential role for OSBP in regulating cholesterol metabolism, we stably overexpressed this protein in Chinese-hamster ovary (CHO)-K1 cells. Compared with mock-transfected controls, several cell lines overexpressing wild-type OSBP (CHO-OSBP) displayed a 50% decrease in cholesteryl ester synthesis when cultured in medium with delipidated serum, 25-hydroxycholesterol or low-density lipoprotein (LDL). CHO-OSBP cells showed a 40-60% decrease in acyl-CoA:cholesterol acyltransferase activity and mRNA, a 50% elevation in mRNA for three sterol-regulated genes [LDL receptor, 3-hydroxy-3-methylgluraryl (HMG)-CoA reductase and HMG-CoA synthase], and an 80% increase in [14C] acetate incorporation into cholesterol. CHO-K1 cells overexpressing two OSBP mutants with a complete or N-terminal deletion of the pleckstrin homology (PH) domain had cholesterol esterification and synthesis rates that were similar to those shown by mock-transfected controls. Unlike wild-type OSBP, both PH domain mutants displayed diffuse cytoplasmic immunofluorescence staining and did not translocate to the Golgi apparatus in the presence of 25-hydroxycholesterol. CHO-K1 cells overexpressing OSBP have pronounced alterations in cholesterol esterification and synthesis, indicating a potential role for this receptor in cholesterol homoeostasis. The phenotype observed in cells overexpressing OSBP is dependent on the PH domain, which appears to be necessary for ligand-dependent localization of OSBP to the Golgi apparatus.", "author" : [ { "dropping-particle" : "", "family" : "Lagace", "given" : "Thomas A.", "non-dropping-particle" : "", "parse-names" : false, "suffix" : "" }, { "dropping-particle" : "", "family" : "Byers", "given" : "David M.", "non-dropping-particle" : "", "parse-names" : false, "suffix" : "" }, { "dropping-particle" : "", "family" : "Cook", "given" : "Harold W.", "non-dropping-particle" : "", "parse-names" : false, "suffix" : "" }, { "dropping-particle" : "", "family" : "Ridgway", "given" : "Neale D.", "non-dropping-particle" : "", "parse-names" : false, "suffix" : "" } ], "container-title" : "Biochemical Journal", "id" : "ITEM-1", "issue" : "1", "issued" : { "date-parts" : [ [ "1997", "8", "15" ] ] }, "page" : "205-213", "publisher" : "Portland Press Ltd", "title" : "Altered regulation of cholesterol and cholesteryl ester synthesis in Chinese-hamster ovary cells overexpressing the oxysterol-binding protein is dependent on the pleckstrin homology domain", "type" : "article-journal", "volume" : "326" }, "uris" : [ "http://www.mendeley.com/documents/?uuid=72cba90d-3e2b-37de-b233-ba3fc114a8b0" ] }, { "id" : "ITEM-2", "itemData" : { "DOI" : "10.1074/jbc.273.47.31621", "ISSN" : "00219258", "PMID" : "9813079", "abstract" : "The deposition of de novo synthesized and lipoprotein-derived cholesterol at the plasma membrane and transport to the endoplasmic reticulum is dependent on sphingomyelin (SM) content. Here we show that hydrolysis of plasma membrane SM in Chinese hamster ovary cells by exogenous bacterial sphingomyelinase resulted in enhanced cholesterol esterification at the endoplasmic reticulum and rapid dephosphorylation of the oxysterol-binding protein (OSBP), a cytosolic/Golgi receptor for oxysterols such as 25- hydroxycholesterol. After sphingomyelinase treatment, restoration of OSBP phosphorylation closely paralleled resynthesis of SM and down-regulation of cholesterol ester synthesis. SM hydrolysis activated an okadaic acid- sensitive phosphatase that was not stimulated in Chinese hamster ovary cells by short chain ceramides. Agents that specifically blocked sphingomyelinase- mediated delivery of cholesterol to acyl-CoA:cholesterol acyltransferase (U18666A) or promoted cholesterol efflux to the medium (cyclodextrin) did not inhibit OSBP dephosphorylation. SM hydrolysis also promoted OSBP translocation from a vesicular compartment to the Golgi apparatus. Cyclodextrin and U18666A also caused OSBP translocation to the Golgi apparatus, suggesting that OSBP movement is coupled to changes in the cholesterol content of the plasma membrane or Golgi apparatus. These results identify OSBP as a potential target of SM turnover and cholesterol mobilization at the plasma membrane and/or Golgi apparatus.", "author" : [ { "dropping-particle" : "", "family" : "Ridgway", "given" : "Neale D.", "non-dropping-particle" : "", "parse-names" : false, "suffix" : "" }, { "dropping-particle" : "", "family" : "Lagace", "given" : "Thomas A.", "non-dropping-particle" : "", "parse-names" : false, "suffix" : "" }, { "dropping-particle" : "", "family" : "Cook", "given" : "Harold W.", "non-dropping-particle" : "", "parse-names" : false, "suffix" : "" }, { "dropping-particle" : "", "family" : "Byers", "given" : "David M.", "non-dropping-particle" : "", "parse-names" : false, "suffix" : "" } ], "container-title" : "Journal of Biological Chemistry", "id" : "ITEM-2", "issue" : "47", "issued" : { "date-parts" : [ [ "1998", "11", "20" ] ] }, "page" : "31621-31628", "publisher" : "American Society for Biochemistry and Molecular Biology", "title" : "Differential effects of sphingomyelin hydrolysis and cholesterol transport on oxysterol-binding protein phosphorylation and golgi localization", "type" : "article-journal", "volume" : "273" }, "uris" : [ "http://www.mendeley.com/documents/?uuid=734a1c7a-78f1-3a67-baff-94628f9f4981" ] }, { "id" : "ITEM-3", "itemData" : { "DOI" : "10.1042/bj3360247", "ISSN" : "02646021", "abstract" : "Sphingomyelin (SM) and cholesterol content is positively correlated in cellular membranes, and in several pathological and experimental conditions there is evidence for coregulation. The potential role of oxysterols and oxysterol binding protein (OSBP) in mediating the coregulation of cholesterol and SM was examined using Chinese hamster ovary (CHO) and cholesterol auxotrophic, sterol regulatory defective (SRD) 6 cells. SRD 6 cells grown in the presence or absence of cholesterol for 24 h displayed a 30-50% reduction in SM synthesis compared with control CHO 7 cells. SM synthesis in CHO 7 and cholesterol-supplemented SRD 6 cells was stimulated 2-fold by 25-hydroxycholesterol, but cholesterol-starved SRD 6 cells were unresponsive. Basal and 25-hydroxycholesterol-stimulated SM synthesis was also inhibited in lovastatin-treated wild-type CHO-K1 cells. Lack of 25-hydroxycholesterol activation of SM synthesis in cholesterol-starved SRD 6 and lovastatin-treated CHO-K1 cells was correlated with dephosphorylation of OSBP. In SRD 6 cells, this was evident after 12 h of cholesterol depletion, it occurred equally at all phosphorylation sites and was exacerbated by 25-hydroxycholesterol. Unlike CHO 7 cells, where OSBP was observed in small vesicles and the cytoplasm, OSBP in cholesterol-starved SRD 6 cells was constitutively localized in the Golgi apparatus. Supplementation with non-lipoprotein cholesterol promoted redistribution to vesicles and the cytoplasm. Similarly, OSBP in CHO-K1 cells grown in delipidated serum was predominantly in the Golgi apparatus. Low-density lipoprotein (LDL) supplementation of CHO-K1 cells caused the redistribution of OSBP to the cytoplasm and small vesicles, and this effect was blocked by pharmacological agents {3-\u03b2-[2-(diethylamino)ethoxy]androst-5-en-17-one and progesterone}, which inhibited LDL cholesterol efflux from lysosomes. The results showed that localization of OSBP between the Golgi apparatus and a cytoplasmic/vesicular compartment was responsive to changes in cholesterol content and trafficking. In cholesterol depleted SRD 6 cells, this was accompanied by dephosphorylation of OSBP and attenuation of 25-hydroxycholesterol activation of SM synthesis.", "author" : [ { "dropping-particle" : "", "family" : "Storey", "given" : "Margo K.", "non-dropping-particle" : "", "parse-names" : false, "suffix" : "" }, { "dropping-particle" : "", "family" : "Byers", "given" : "David M.", "non-dropping-particle" : "", "parse-names" : false, "suffix" : "" }, { "dropping-particle" : "", "family" : "Cook", "given" : "Harold W.", "non-dropping-particle" : "", "parse-names" : false, "suffix" : "" }, { "dropping-particle" : "", "family" : "Ridgway", "given" : "Neale D.", "non-dropping-particle" : "", "parse-names" : false, "suffix" : "" } ], "container-title" : "Biochemical Journal", "id" : "ITEM-3", "issue" : "1", "issued" : { "date-parts" : [ [ "1998", "11", "15" ] ] }, "page" : "247-256", "title" : "Cholesterol regulates Oxysterol Binding Protein (OSBP) phosphorylation and Golgi localization in Chinese hamster ovary cells: Correlation with stimulation of sphingomyelin synthesis by 25-hydroxycholesterol", "type" : "article-journal", "volume" : "336" }, "uris" : [ "http://www.mendeley.com/documents/?uuid=640597e5-4dd4-3064-91a4-ad19c31b9abe" ] }, { "id" : "ITEM-4", "itemData" : { "ISSN" : "00222275", "PMID" : "9869656", "abstract" : "25-Hydroxycholesterol negatively regulates cholesterol synthesis and activates cholesterol esterification in a variety of cultured cells. Concurrent with these effects, 25-hydroxycholesterol also stimulates the synthesis of sphingomyelin in Chinese hamster ovary (CHO)-K1 cells. The role of oxysterol binding protein (OSBP), a high affinity receptor for 25- hydroxycholesterol, in activation of SM synthesis was assessed by overexpression in CHO-K1 cells. When compared to mock transfected controls, three CHO-K1 clones overexpressing OSBP by 10- to 15-fold displayed a 2-to 3- fold enhancement of [3H]serine incorporation into sphingomyelin when treated with 25-hydroxycholesterol. Closer examination of one of these clones (CHO- OSBP cells) revealed a &gt;8.5-fold stimulation of sphingomyelin synthesis after a 6-h treatment with 25-hydroxycholesterol compared to 3.5-fold in controls, slightly higher basal levels of sphingomyelin synthesis, and a more rapid response to 25-hydroxycholesterol. [3H]serine incorporation into phosphatidylserine, phosphatidylethanolamine, ceramide, or glucosylceramide was affected by &lt;15%. Synthesis of sphingomyelin from exogenous [3H]sphinganine-labeled ceramide was enhanced in overexpressing cells treated with 25-hydroxycholesterol. However, in vitro activities of sphinganine N-acyltransferase, sphingomyelin synthase, and serine palmitoyltransferase were not affected by OSBP overexpression or 25- hydroxycholesterol. Overexpression of OSBP or 25-hydroxycholesterol did not significantly affect the ceramide content of Golgi-enriched fractions from control or overexpressing cells. However, diglyceride mass was reduced in Golgi-enriched fractions from overexpressing cells and by treatment with 25- hydroxycholesterol. Results from overexpressing cells show that OSBP potentiates the stimulatory effects of 25-hydroxycholesterol on sphingomyelin synthesis. 25-Hydroxycholesterol promotes translocation of OSBP to the Golgi apparatus where it appears to stimulate conversion of ceramide to sphingomyelin.", "author" : [ { "dropping-particle" : "", "family" : "Lagace", "given" : "Thomas A.", "non-dropping-particle" : "", "parse-names" : false, "suffix" : "" }, { "dropping-particle" : "", "family" : "Byers", "given" : "David M.", "non-dropping-particle" : "", "parse-names" : false, "suffix" : "" }, { "dropping-particle" : "", "family" : "Cook", "given" : "Harold W.", "non-dropping-particle" : "", "parse-names" : false, "suffix" : "" }, { "dropping-particle" : "", "family" : "Ridgway", "given" : "Neale D.", "non-dropping-particle" : "", "parse-names" : false, "suffix" : "" } ], "container-title" : "Journal of Lipid Research", "id" : "ITEM-4", "issue" : "1", "issued" : { "date-parts" : [ [ "1999", "1", "1" ] ] }, "page" : "109-116", "publisher" : "American Society for Biochemistry and Molecular Biology", "title" : "Chinese hamster ovary cells overexpressing the oxysterol binding protein (OSBP) display enhanced synthesis of sphingomyelin in response to 25- hydroxycholesterol", "type" : "article-journal", "volume" : "40" }, "uris" : [ "http://www.mendeley.com/documents/?uuid=2f64b85b-0d29-3ed8-b359-1e57a50658ad" ] }, { "id" : "ITEM-5", "itemData" : { "DOI" : "10.1016/0021-9150(95)05594-m", "ISSN" : "0021-9150", "PMID" : "8579633", "abstract" : "We have investigated the toxicity of the cholesterol oxidation products (oxysterols), 7 alpha-hydroxycholesterol, 7 beta-hydroxycholesterol, 7-ketocholesterol, 25-hydroxycholesterol and 26-hydroxycholesterol to human monocyte-macrophages in vitro. The 7-position derivatives are present in low density lipoprotein (LDL) oxidised with copper (II) sulphate and macrophages, and in extracts of human atherosclerotic lesions, which also contain 26-hydroxycholesterol. We have also assessed 25-hydroxycholesterol for toxicity because it has often been used in studies of 3-hydroxy-3-methyl-glutaryl-CoA (HMG-CoA) reductase inhibition and LDL receptor down-regulation. Measurement of radioactivity release from monocyte-macrophages preloaded with tritiated adenine, as a means of assessing cytotoxicity that all the oxysterols showed time- and concentration-dependent toxicity. The cytotoxic potency of 26-hydroxycholesterol was the greatest. The 7-position derivatives also produced marked cell damage, though at higher concentrations than for 26-hydroxycholesterol. Of the oxysterols assessed, the toxicity of 25-hydroxycholesterol was the least. The cytotoxicity of 7 beta-hydroxycholesterol and 26-hydroxycholesterol was also shown using the 3-[4,5-dimethylthiazol-2-yl]-2,5-diphenyl tetrazolium bromide (MTT) dye reduction assay which confirmed that 26-hydroxycholesterol was more toxic than 7 beta-hydroxycholesterol. Incubation of monocyte-macrophages with cholesterol added to the different oxysterols gave varying results. Cholesterol, which was not itself toxic, inhibited the toxicity of 25-hydroxycholesterol and 26-hydroxycholesterol, but the toxicity of the 7-position derivatives was not affected. The possible relevance of these molecules to the death of macrophages seen in atherosclerosis is discussed.", "author" : [ { "dropping-particle" : "", "family" : "Clare", "given" : "K", "non-dropping-particle" : "", "parse-names" : false, "suffix" : "" }, { "dropping-particle" : "", "family" : "Hardwick", "given" : "S J", "non-dropping-particle" : "", "parse-names" : false, "suffix" : "" }, { "dropping-particle" : "", "family" : "Carpenter", "given" : "K L", "non-dropping-particle" : "", "parse-names" : false, "suffix" : "" }, { "dropping-particle" : "", "family" : "Weeratunge", "given" : "N", "non-dropping-particle" : "", "parse-names" : false, "suffix" : "" }, { "dropping-particle" : "", "family" : "Mitchinson", "given" : "M J", "non-dropping-particle" : "", "parse-names" : false, "suffix" : "" } ], "container-title" : "Atherosclerosis", "id" : "ITEM-5", "issue" : "1", "issued" : { "date-parts" : [ [ "1995", "11" ] ] }, "page" : "67-75", "title" : "Toxicity of oxysterols to human monocyte-macrophages.", "type" : "article-journal", "volume" : "118" }, "uris" : [ "http://www.mendeley.com/documents/?uuid=7be71115-b90d-392a-a9de-6b3e9c6c626d" ] }, { "id" : "ITEM-6", "itemData" : { "DOI" : "10.1023/a:1023223409798", "ISSN" : "0364-3190", "PMID" : "12718442", "abstract" : "Studies have shown an intimate relationship between cholesterol and retinal diseases; we examined the effects of cholesterol oxides on cultured cells. Using the rat retinal precursor cell line R28 and the human RPE cell line ARPE-19, we investigated the potential cytotoxicity of cholesterol oxides. Cultured R28 and ARPE-19 cells were treated with either 25-hydroxycholesterol and 7-ketocholesterol (0-50 microg/ml). Cell viability was determined by the WST-1 colorimetric assay. Production of reactive oxygen intermediate (ROI) was assessed by a fluorescent probe-based assay (2',7'-dichlorodihydrofluorescein diacetate [H2DCFDA]). To detect the presence of apoptosis, DNA fragmentation gel analysis and Hoescht nuclear staining were performed. Both cholesterol oxides tested were toxic in a time- and dose-dependent fashion to the two cell lines used in this study. Treatment of R28 cells with either 25-hydroxycholesterol or 7-ketocholesterol at a concentration of 25 micro/ml resulted in greater than 50% loss of cell viability after 24 h. ARPE-19 cells were slightly less affected, with a loss of cell viability of approximately 20% and 40% after 24 h-exposure of 25-hydroxycholesterol and 7-ketocholesterol, respectively. DNA fragmentation and chromatin condensation demonstrated apoptotic events occurring in 7-ketocholesterol-treated cells. The fluorescent assay for ROI production showed that after an hour of exposure to 7-ketocholesterol, R28 cells responded with increased levels of ROIs, whereas no immediate production of ROIs were detected with treated ARPE-19 cells. These in vitro findings provide evidence that cholesterol oxides can directly damage cultured retinal and RPE cells. The oxysterol-induced oxidative stress in these cells may be a factor in the pathology of retinal degenerative diseases.", "author" : [ { "dropping-particle" : "", "family" : "Ong", "given" : "John M", "non-dropping-particle" : "", "parse-names" : false, "suffix" : "" }, { "dropping-particle" : "", "family" : "Aoki", "given" : "Annette M", "non-dropping-particle" : "", "parse-names" : false, "suffix" : "" }, { "dropping-particle" : "", "family" : "Seigel", "given" : "Gail M", "non-dropping-particle" : "", "parse-names" : false, "suffix" : "" }, { "dropping-particle" : "", "family" : "Sacerio", "given" : "Ingrid", "non-dropping-particle" : "", "parse-names" : false, "suffix" : "" }, { "dropping-particle" : "", "family" : "Castellon", "given" : "Raquel", "non-dropping-particle" : "", "parse-names" : false, "suffix" : "" }, { "dropping-particle" : "", "family" : "Nesburn", "given" : "Anthony B", "non-dropping-particle" : "", "parse-names" : false, "suffix" : "" }, { "dropping-particle" : "", "family" : "Kenney", "given" : "M Cristina", "non-dropping-particle" : "", "parse-names" : false, "suffix" : "" } ], "container-title" : "Neurochemical research", "id" : "ITEM-6", "issue" : "6", "issued" : { "date-parts" : [ [ "2003", "6" ] ] }, "page" : "883-91", "title" : "Oxysterol-induced toxicity in R28 and ARPE-19 cells.", "type" : "article-journal", "volume" : "28" }, "uris" : [ "http://www.mendeley.com/documents/?uuid=9296e6e7-4f9a-3bf0-bddb-3f53dd9ffe60" ] } ], "mendeley" : { "formattedCitation" : "&lt;sup&gt;21\u201326&lt;/sup&gt;", "plainTextFormattedCitation" : "21\u201326", "previouslyFormattedCitation" : "&lt;sup&gt;21\u201326&lt;/sup&gt;" }, "properties" : { "noteIndex" : 0 }, "schema" : "https://github.com/citation-style-language/schema/raw/master/csl-citation.json" }</w:instrText>
      </w:r>
      <w:r w:rsidRPr="000E162A">
        <w:fldChar w:fldCharType="separate"/>
      </w:r>
      <w:r w:rsidR="00CB7208" w:rsidRPr="00CB7208">
        <w:rPr>
          <w:noProof/>
          <w:vertAlign w:val="superscript"/>
        </w:rPr>
        <w:t>21–26</w:t>
      </w:r>
      <w:r w:rsidRPr="000E162A">
        <w:fldChar w:fldCharType="end"/>
      </w:r>
      <w:r w:rsidR="00610AA7" w:rsidRPr="00610AA7">
        <w:t xml:space="preserve"> </w:t>
      </w:r>
      <w:r w:rsidR="00610AA7" w:rsidRPr="000E162A">
        <w:t>Although the biological role of the individual member of the OSBP/ORPs are not completely elucidated, an overall idea is that these proteins are involved in cellular lipid sensing or transport</w:t>
      </w:r>
      <w:r w:rsidR="00A9573C">
        <w:t xml:space="preserve">, including sterols, and the </w:t>
      </w:r>
      <w:r w:rsidR="00610AA7" w:rsidRPr="000E162A">
        <w:t>preferential binding to oxysterols of the OSBP/ORP could control lipid homeostasis or specific cellular signaling events.</w:t>
      </w:r>
      <w:r w:rsidR="00610AA7" w:rsidRPr="000E162A">
        <w:fldChar w:fldCharType="begin" w:fldLock="1"/>
      </w:r>
      <w:r w:rsidR="00CB7208">
        <w:instrText>ADDIN CSL_CITATION { "citationItems" : [ { "id" : "ITEM-1", "itemData" : { "DOI" : "10.1016/j.plipres.2013.06.004", "ISSN" : "01637827", "abstract" : "Oxysterol-binding protein (OSBP) and OSBP-related proteins (ORPs) constitute a family of sterol and phosphoinositide binding proteins conserved in eukaryotes. The mechanisms of ORP function have remained incompletely understood. However, several ORPs are present at membrane contact sites and control the activity of enzymatic effectors or assembly of protein complexes, with impacts on signaling, vesicle transport, and lipid metabolism. An increasing number of protein interaction partners of ORPs have been identified, providing clues of their involvement in multiple aspects of cell regulation. The functions assigned for mammalian ORPs include coordination of sterol and sphingolipid metabolism and mitogenic signaling (OSBP), control of ER-late endosome (LE) contacts and LE motility (ORP1L), neutral lipid metabolism (ORP2), cell adhesion (ORP3), cholesterol eggress from LE (ORP5), macrophage lipid homeostasis, migration and high-density lipoprotein metabolism (ORP8), apolipoprotein B-100 secretion (ORP10), and adipogenesis (ORP11). The anti-proliferative ORPphilin compounds target OSBP and ORP4, revealing a function of ORPs in cell proliferation and survival. The Saccharomyces cerevisiae OSBP homologue (Osh) proteins execute multifaceted functions in sterol and sphingolipid homeostasis, post-Golgi vesicle transport, as well as phosphatidylinositol-4-phosphate and target of rapamycin complex 1 (TORC1) signaling. These observations identify ORPs as coordinators of lipid signals with an unforeseen variety of cellular processes. \u00a9 2013 Elsevier Ltd. All rights reserved.", "author" : [ { "dropping-particle" : "", "family" : "Olkkonen", "given" : "Vesa M.", "non-dropping-particle" : "", "parse-names" : false, "suffix" : "" }, { "dropping-particle" : "", "family" : "Li", "given" : "Shiqian", "non-dropping-particle" : "", "parse-names" : false, "suffix" : "" } ], "container-title" : "Progress in Lipid Research", "id" : "ITEM-1", "issue" : "4", "issued" : { "date-parts" : [ [ "2013", "10" ] ] }, "page" : "529-538", "title" : "Oxysterol-binding proteins: Sterol and phosphoinositide sensors coordinating transport, signaling and metabolism", "type" : "article", "volume" : "52" }, "uris" : [ "http://www.mendeley.com/documents/?uuid=1da13007-d695-3534-ba99-d03993eefb2f" ] }, { "id" : "ITEM-2", "itemData" : { "DOI" : "10.1016/S0074-7696(07)65007-4", "ISBN" : "9780123743329", "ISSN" : "00747696", "abstract" : "Protein families characterized by a ligand binding domain related to that of oxysterol binding protein (OSBP) have been identified in eukaryotic species from yeast to humans. These proteins, designated OSBP-related (ORP) or OSBP-like (OSBPL) proteins, have been implicated in various cellular functions. However, the detailed mechanisms of their action have remained elusive. Data from our and other laboratories suggest that binding of sterol ligands may be a unifying theme. Work with Saccharomyces cerevisiae ORPs suggests a function of these proteins in the nonvesicular intracellular transport of sterols, in secretory vesicle transport from the Golgi complex, and in the establishment of cell polarity. Mammals have more ORP genes, and differential splicing substantially increases the complexity of the encoded protein family. Functional studies on mammalian ORPs point in different directions: integration of sterol and sphingomyelin metabolism, sterol transport, regulation of neutral lipid metabolism, control of the microtubule-dependent motility of endosomes/lysosomes, and regulation of signaling cascades. We envision that during evolution, the functions of ORPs have diverged from an ancestral one in sterol transport, to meet the increasing demand of the regulatory potential in multicellular organisms. Our working hypothesis is that mammalian ORPs mainly act as sterol sensors that relay information to a spectrum of different cellular processes. \u00a9 2008 Elsevier Inc. All rights reserved.", "author" : [ { "dropping-particle" : "", "family" : "Yan", "given" : "Daoguang", "non-dropping-particle" : "", "parse-names" : false, "suffix" : "" }, { "dropping-particle" : "", "family" : "Olkkonen", "given" : "Vesa M.", "non-dropping-particle" : "", "parse-names" : false, "suffix" : "" } ], "container-title" : "International Review of Cytology", "id" : "ITEM-2", "issued" : { "date-parts" : [ [ "2008" ] ] }, "page" : "253-285", "publisher" : "Academic Press Inc.", "title" : "Characteristics of Oxysterol Binding Proteins", "type" : "chapter", "volume" : "265" }, "uris" : [ "http://www.mendeley.com/documents/?uuid=0aac9f37-ed34-34e6-a16d-439bf55f7bd6" ] }, { "id" : "ITEM-3", "itemData" : { "DOI" : "10.1016/bs.ircmb.2015.09.006", "ISBN" : "9780128047071", "ISSN" : "19376448", "PMID" : "26811291", "abstract" : "Oxysterol-binding protein (OSBP) and its related protein homologs, ORPs, constitute a conserved family of lipid-binding/transfer proteins (LTPs) expressed ubiquitously in eukaryotes. The ligand-binding domain of ORPs accommodates cholesterol and oxysterols, but also glycerophospholipids, particularly phosphatidylinositol-4-phosphate (PI4P). ORPs have been implicated as intracellular lipid sensors or transporters. Most ORPs carry targeting determinants for the endoplasmic reticulum (ER) and non-ER organelle membrane. ORPs are located and function at membrane contact sites (MCSs), at which ER is closely apposed with other organelle limiting membranes. Such sites have roles in lipid transport and metabolism, control of Ca2+ fluxes, and signaling events. ORPs are postulated either to transport lipids over MCSs to maintain the distinct lipid compositions of organelle membranes, or to control the activity of enzymes/protein complexes with functions in signaling and lipid metabolism. ORPs may transfer PI4P and another lipid class bidirectionally. Transport of PI4P followed by its hydrolysis would in this model provide the energy for transfer of the other lipid against its concentration gradient. Control of organelle lipid compositions by OSBP/ORPs is important for the life cycles of several pathogenic viruses. Targeting ORPs with small-molecular antagonists is proposed as a new strategy to combat viral infections. Several ORPs are reported to modulate vesicle transport along the secretory or endocytic pathways. Moreover, antagonists of certain ORPs inhibit cancer cell proliferation. Thus, ORPs are LTPs, which mediate interorganelle lipid transport and coordinate lipid signals with a variety of cellular regimes. \u00a9 2016 Elsevier Inc.", "author" : [ { "dropping-particle" : "", "family" : "Kentala", "given" : "Henriikka", "non-dropping-particle" : "", "parse-names" : false, "suffix" : "" }, { "dropping-particle" : "", "family" : "Weber-Boyvat", "given" : "Marion", "non-dropping-particle" : "", "parse-names" : false, "suffix" : "" }, { "dropping-particle" : "", "family" : "Olkkonen", "given" : "Vesa M.", "non-dropping-particle" : "", "parse-names" : false, "suffix" : "" } ], "container-title" : "International Review of Cell and Molecular Biology", "id" : "ITEM-3", "issued" : { "date-parts" : [ [ "2016" ] ] }, "page" : "299-340", "publisher" : "Elsevier Inc.", "title" : "OSBP-Related Protein Family: Mediators of Lipid Transport and Signaling at Membrane Contact Sites", "type" : "chapter", "volume" : "321" }, "uris" : [ "http://www.mendeley.com/documents/?uuid=7c663f30-c65b-31df-9a8a-64082bbf3669" ] }, { "id" : "ITEM-4", "itemData" : { "DOI" : "10.3390/biom2010076", "ISSN" : "2218273X", "abstract" : "Oxysterols are oxidized 27-carbon cholesterol derivatives or by-products of cholesterol biosynthesis, with a spectrum of biologic activities. Several oxysterols have cytotoxic and pro-apoptotic activities, the ability to interfere with the lateral domain organization, and packing of membrane lipids. These properties may account for their suggested roles in the pathology of diseases such as atherosclerosis, age-onset macular degeneration and Alzheimer's disease. Oxysterols also have the capacity to induce inflammatory responses and play roles in cell differentiation processes. The functions of oxysterols as intermediates in the synthesis of bile acids and steroid hormones, and as readily transportable forms of sterol, are well established. Furthermore, their actions as endogenous regulators of gene expression in lipid metabolism via liver X receptors and the Insig (insulin-induced gene) proteins have been investigated in detail. The cytoplasmic oxysterol-binding protein (OSBP) homologues form a group of oxysterol/cholesterol sensors that has recently attracted a lot of attention. However, their mode of action is, as yet, poorly understood. Retinoic acid receptor-related orphan receptors (ROR) \u03b1 and \u03b3, and Epstein-Barr virus induced gene 2 (EBI2) have been identified as novel oxysterol receptors, revealing new physiologic oxysterol effector mechanisms in development, metabolism, and immunity, and evoking enhanced interest in these compounds in the field of biomedicine. \u00a9 2012 by the authors; licensee MDPI, Basel, Switzerland.", "author" : [ { "dropping-particle" : "", "family" : "Olkkonen", "given" : "Vesa M.", "non-dropping-particle" : "", "parse-names" : false, "suffix" : "" }, { "dropping-particle" : "", "family" : "B\u00e9aslas", "given" : "Olivier", "non-dropping-particle" : "", "parse-names" : false, "suffix" : "" }, { "dropping-particle" : "", "family" : "Nissil\u00e4", "given" : "Eija", "non-dropping-particle" : "", "parse-names" : false, "suffix" : "" } ], "container-title" : "Biomolecules", "id" : "ITEM-4", "issue" : "1", "issued" : { "date-parts" : [ [ "2012", "2", "15" ] ] }, "page" : "76-103", "publisher" : "MDPI AG", "title" : "Oxysterols and their cellular effectors", "type" : "article", "volume" : "2" }, "uris" : [ "http://www.mendeley.com/documents/?uuid=13671372-d835-3ddd-9e9b-fb0cb2f69654" ] }, { "id" : "ITEM-5", "itemData" : { "DOI" : "10.1016/j.bcp.2013.02.016", "ISSN" : "18732968", "abstract" : "Oxysterol-binding (OSBP)-related proteins (ORPs) constitute a family of sterol and phosphoinositide binding/transfer proteins in eukaryotes from yeast to man. While their functions have mainly been addressed in cellular lipid metabolism or sterol transport, increasing evidence points to more versatile regulatory roles in a spectrum of cellular regimes. In fact ORPs do not appear to be robust controllers of lipid homeostasis. Several ORPs localize at membrane contacts sites (MCS), where endoplasmic reticulum (ER) is apposed with other organelle limiting membranes. Apparently, ORPs have the capacity to control the formation of MCS or activity of enzymatic machineries at these sites. Thereby, ORPs most likely affect organelle membrane lipid compositions, with impacts on signaling and vesicle transport, but also cellular lipid metabolism. Moreover, an increasing number of protein interaction partners of ORPs have been identified, connecting these proteins with various aspects of cell regulation. Small molecular anti-proliferative compounds, ORPphilins, were recently found to target two members of the ORP family, OSBP and ORP4, revealing an essential function of ORPs in cancer cell proliferation and survival. Further functions assigned for ORPs include regulation of extracellular signal regulated kinase (ERK) activity (OSBP), control of ER-late endosome MCS and late endosome motility (ORP1L), regulation of b1-integrin activity (ORP3), modulation of hepatocyte insulin signaling and macrophage migration (ORP8), as well as post-Golgi vesicle transport, phosphatidylinositol-4-phosphate and target of rapamycin complex 1 signaling and nitrogen sensing (Saccharomyces cerevisiae Osh4p). These and other recent observations shed light on the ORPs as integrators of lipid signals with an unforeseen variety of vital cellular processes. \u00a9 2013 Elsevier Inc. All rights reserved.", "author" : [ { "dropping-particle" : "", "family" : "Weber-Boyvat", "given" : "Marion", "non-dropping-particle" : "", "parse-names" : false, "suffix" : "" }, { "dropping-particle" : "", "family" : "Zhong", "given" : "Wenbin", "non-dropping-particle" : "", "parse-names" : false, "suffix" : "" }, { "dropping-particle" : "", "family" : "Yan", "given" : "Daoguang", "non-dropping-particle" : "", "parse-names" : false, "suffix" : "" }, { "dropping-particle" : "", "family" : "Olkkonen", "given" : "Vesa M.", "non-dropping-particle" : "", "parse-names" : false, "suffix" : "" } ], "container-title" : "Biochemical Pharmacology", "id" : "ITEM-5", "issue" : "1", "issued" : { "date-parts" : [ [ "2013", "7", "1" ] ] }, "page" : "89-95", "publisher" : "Elsevier Inc.", "title" : "Oxysterol-binding proteins: Functions in cell regulation beyond lipid metabolism", "type" : "article", "volume" : "86" }, "uris" : [ "http://www.mendeley.com/documents/?uuid=16b8603e-819b-3e1b-9656-ff632aced2be" ] } ], "mendeley" : { "formattedCitation" : "&lt;sup&gt;17,27\u201330&lt;/sup&gt;", "plainTextFormattedCitation" : "17,27\u201330", "previouslyFormattedCitation" : "&lt;sup&gt;17,27\u201330&lt;/sup&gt;" }, "properties" : { "noteIndex" : 0 }, "schema" : "https://github.com/citation-style-language/schema/raw/master/csl-citation.json" }</w:instrText>
      </w:r>
      <w:r w:rsidR="00610AA7" w:rsidRPr="000E162A">
        <w:fldChar w:fldCharType="separate"/>
      </w:r>
      <w:r w:rsidR="00CB7208" w:rsidRPr="00CB7208">
        <w:rPr>
          <w:noProof/>
          <w:vertAlign w:val="superscript"/>
        </w:rPr>
        <w:t>17,27–30</w:t>
      </w:r>
      <w:r w:rsidR="00610AA7" w:rsidRPr="000E162A">
        <w:fldChar w:fldCharType="end"/>
      </w:r>
      <w:r w:rsidR="00610AA7" w:rsidRPr="000E162A">
        <w:t xml:space="preserve"> </w:t>
      </w:r>
    </w:p>
    <w:p w14:paraId="4D71EA70" w14:textId="6E9D7E9E" w:rsidR="000E162A" w:rsidRDefault="009039AF" w:rsidP="000849BF">
      <w:pPr>
        <w:jc w:val="both"/>
      </w:pPr>
      <w:r w:rsidRPr="000E162A">
        <w:rPr>
          <w:noProof/>
        </w:rPr>
        <w:lastRenderedPageBreak/>
        <mc:AlternateContent>
          <mc:Choice Requires="wps">
            <w:drawing>
              <wp:anchor distT="45720" distB="45720" distL="114300" distR="114300" simplePos="0" relativeHeight="251711488" behindDoc="0" locked="0" layoutInCell="1" allowOverlap="1" wp14:anchorId="39A92DE8" wp14:editId="524C6613">
                <wp:simplePos x="0" y="0"/>
                <wp:positionH relativeFrom="margin">
                  <wp:align>left</wp:align>
                </wp:positionH>
                <wp:positionV relativeFrom="paragraph">
                  <wp:posOffset>1342480</wp:posOffset>
                </wp:positionV>
                <wp:extent cx="5343525" cy="2376170"/>
                <wp:effectExtent l="0" t="0" r="28575" b="2413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2376170"/>
                        </a:xfrm>
                        <a:prstGeom prst="rect">
                          <a:avLst/>
                        </a:prstGeom>
                        <a:solidFill>
                          <a:srgbClr val="FFFFFF"/>
                        </a:solidFill>
                        <a:ln w="9525">
                          <a:solidFill>
                            <a:srgbClr val="000000"/>
                          </a:solidFill>
                          <a:miter lim="800000"/>
                          <a:headEnd/>
                          <a:tailEnd/>
                        </a:ln>
                      </wps:spPr>
                      <wps:txbx>
                        <w:txbxContent>
                          <w:p w14:paraId="4586EDD6" w14:textId="77777777" w:rsidR="00730B8F" w:rsidRDefault="00730B8F">
                            <w:pPr>
                              <w:keepNext/>
                            </w:pPr>
                            <w:r>
                              <w:rPr>
                                <w:noProof/>
                              </w:rPr>
                              <w:object w:dxaOrig="7639" w:dyaOrig="2844" w14:anchorId="0D55A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 style="width:405.8pt;height:150.55pt">
                                  <v:imagedata r:id="rId61" o:title=""/>
                                </v:shape>
                                <o:OLEObject Type="Embed" ProgID="ChemDraw.Document.6.0" ShapeID="_x0000_i1045" DrawAspect="Content" ObjectID="_1650481042" r:id="rId62"/>
                              </w:object>
                            </w:r>
                          </w:p>
                          <w:p w14:paraId="645EF9B7" w14:textId="7B374479" w:rsidR="00730B8F" w:rsidRDefault="00730B8F">
                            <w:pPr>
                              <w:pStyle w:val="Caption"/>
                            </w:pPr>
                            <w:bookmarkStart w:id="15" w:name="_Ref38372866"/>
                            <w:bookmarkStart w:id="16" w:name="_Toc39868214"/>
                            <w:r>
                              <w:t xml:space="preserve">Figure </w:t>
                            </w:r>
                            <w:r w:rsidR="009425BE">
                              <w:fldChar w:fldCharType="begin"/>
                            </w:r>
                            <w:r w:rsidR="009425BE">
                              <w:instrText xml:space="preserve"> SEQ Figure \* ARABIC </w:instrText>
                            </w:r>
                            <w:r w:rsidR="009425BE">
                              <w:fldChar w:fldCharType="separate"/>
                            </w:r>
                            <w:r>
                              <w:rPr>
                                <w:noProof/>
                              </w:rPr>
                              <w:t>1</w:t>
                            </w:r>
                            <w:r w:rsidR="009425BE">
                              <w:rPr>
                                <w:noProof/>
                              </w:rPr>
                              <w:fldChar w:fldCharType="end"/>
                            </w:r>
                            <w:bookmarkEnd w:id="15"/>
                            <w:r>
                              <w:t>:</w:t>
                            </w:r>
                            <w:r w:rsidRPr="00A145E9">
                              <w:rPr>
                                <w:b w:val="0"/>
                                <w:bCs w:val="0"/>
                              </w:rPr>
                              <w:t xml:space="preserve"> </w:t>
                            </w:r>
                            <w:r w:rsidRPr="00CA75AC">
                              <w:rPr>
                                <w:b w:val="0"/>
                                <w:bCs w:val="0"/>
                              </w:rPr>
                              <w:t>O</w:t>
                            </w:r>
                            <w:r>
                              <w:rPr>
                                <w:b w:val="0"/>
                                <w:bCs w:val="0"/>
                              </w:rPr>
                              <w:t>SBP/ORP Binding Ligand 25-hydroxycholesterol (</w:t>
                            </w:r>
                            <w:r w:rsidRPr="00AD461B">
                              <w:t>1</w:t>
                            </w:r>
                            <w:r>
                              <w:rPr>
                                <w:b w:val="0"/>
                                <w:bCs w:val="0"/>
                              </w:rPr>
                              <w:t xml:space="preserve">) and OSW-1 </w:t>
                            </w:r>
                            <w:r w:rsidRPr="00A145E9">
                              <w:rPr>
                                <w:b w:val="0"/>
                                <w:bCs w:val="0"/>
                              </w:rPr>
                              <w:t>(</w:t>
                            </w:r>
                            <w:r w:rsidRPr="000849BF">
                              <w:rPr>
                                <w:b w:val="0"/>
                                <w:bCs w:val="0"/>
                              </w:rPr>
                              <w:t>2</w:t>
                            </w:r>
                            <w:r w:rsidRPr="00A145E9">
                              <w:rPr>
                                <w:b w:val="0"/>
                                <w:bCs w:val="0"/>
                              </w:rPr>
                              <w:t>)</w:t>
                            </w:r>
                            <w:bookmarkEnd w:id="16"/>
                          </w:p>
                          <w:p w14:paraId="150F3F5D" w14:textId="5851646F" w:rsidR="00730B8F" w:rsidRDefault="00730B8F">
                            <w:pPr>
                              <w:keepNext/>
                            </w:pPr>
                          </w:p>
                          <w:p w14:paraId="6DE7A79C" w14:textId="63CB9B3C" w:rsidR="00730B8F" w:rsidRDefault="00730B8F" w:rsidP="009F4A52">
                            <w:pPr>
                              <w:keepNext/>
                            </w:pPr>
                          </w:p>
                          <w:p w14:paraId="48707B15" w14:textId="4C3FE35B" w:rsidR="00730B8F" w:rsidRDefault="00730B8F" w:rsidP="00304D44">
                            <w:pPr>
                              <w:keepNext/>
                            </w:pPr>
                          </w:p>
                          <w:p w14:paraId="027765C9" w14:textId="77777777" w:rsidR="00730B8F" w:rsidRDefault="00730B8F" w:rsidP="00304D44"/>
                          <w:p w14:paraId="3988702A" w14:textId="77777777" w:rsidR="00730B8F" w:rsidRDefault="00730B8F"/>
                          <w:p w14:paraId="190AF2F6" w14:textId="4243D22D" w:rsidR="00730B8F" w:rsidRDefault="00730B8F" w:rsidP="009F4A52">
                            <w:pPr>
                              <w:keepNext/>
                            </w:pPr>
                            <w:r>
                              <w:rPr>
                                <w:noProof/>
                              </w:rPr>
                              <w:object w:dxaOrig="7639" w:dyaOrig="2844" w14:anchorId="0D55A2CD">
                                <v:shape id="_x0000_i1046" type="#_x0000_t75" alt="" style="width:405.8pt;height:150.55pt">
                                  <v:imagedata r:id="rId61" o:title=""/>
                                </v:shape>
                                <o:OLEObject Type="Embed" ProgID="ChemDraw.Document.6.0" ShapeID="_x0000_i1046" DrawAspect="Content" ObjectID="_1650481043" r:id="rId63"/>
                              </w:object>
                            </w:r>
                          </w:p>
                          <w:p w14:paraId="54179405" w14:textId="522F76CE" w:rsidR="00730B8F" w:rsidRDefault="00730B8F">
                            <w:pPr>
                              <w:pStyle w:val="Caption"/>
                            </w:pPr>
                            <w:r>
                              <w:t xml:space="preserve">Figure </w:t>
                            </w:r>
                            <w:r>
                              <w:fldChar w:fldCharType="begin"/>
                            </w:r>
                            <w:r>
                              <w:instrText xml:space="preserve">  \* ARABIC </w:instrText>
                            </w:r>
                            <w:r>
                              <w:fldChar w:fldCharType="separate"/>
                            </w:r>
                            <w:r>
                              <w:rPr>
                                <w:noProof/>
                              </w:rPr>
                              <w:t>3</w:t>
                            </w:r>
                            <w:r>
                              <w:fldChar w:fldCharType="end"/>
                            </w:r>
                          </w:p>
                          <w:p w14:paraId="7DF28D10" w14:textId="7A22BD13" w:rsidR="00730B8F" w:rsidRDefault="00730B8F" w:rsidP="00304D44">
                            <w:pPr>
                              <w:keepNext/>
                            </w:pPr>
                          </w:p>
                          <w:p w14:paraId="5E95CDC1" w14:textId="77777777" w:rsidR="00730B8F" w:rsidRDefault="00730B8F" w:rsidP="00304D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A92DE8" id="_x0000_t202" coordsize="21600,21600" o:spt="202" path="m,l,21600r21600,l21600,xe">
                <v:stroke joinstyle="miter"/>
                <v:path gradientshapeok="t" o:connecttype="rect"/>
              </v:shapetype>
              <v:shape id="_x0000_s1026" type="#_x0000_t202" style="position:absolute;left:0;text-align:left;margin-left:0;margin-top:105.7pt;width:420.75pt;height:187.1pt;z-index:251711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">
                <v:textbox>
                  <w:txbxContent>
                    <w:p w14:paraId="4586EDD6" w14:textId="77777777" w:rsidR="00730B8F" w:rsidRDefault="00730B8F">
                      <w:pPr>
                        <w:keepNext/>
                      </w:pPr>
                      <w:r>
                        <w:rPr>
                          <w:noProof/>
                        </w:rPr>
                        <w:object w:dxaOrig="7639" w:dyaOrig="2844" w14:anchorId="0D55A2CD">
                          <v:shape id="_x0000_i1045" type="#_x0000_t75" alt="" style="width:405.8pt;height:150.55pt">
                            <v:imagedata r:id="rId61" o:title=""/>
                          </v:shape>
                          <o:OLEObject Type="Embed" ProgID="ChemDraw.Document.6.0" ShapeID="_x0000_i1045" DrawAspect="Content" ObjectID="_1650481042" r:id="rId64"/>
                        </w:object>
                      </w:r>
                    </w:p>
                    <w:p w14:paraId="645EF9B7" w14:textId="7B374479" w:rsidR="00730B8F" w:rsidRDefault="00730B8F">
                      <w:pPr>
                        <w:pStyle w:val="Caption"/>
                      </w:pPr>
                      <w:bookmarkStart w:id="17" w:name="_Ref38372866"/>
                      <w:bookmarkStart w:id="18" w:name="_Toc39868214"/>
                      <w:r>
                        <w:t xml:space="preserve">Figure </w:t>
                      </w:r>
                      <w:r w:rsidR="009425BE">
                        <w:fldChar w:fldCharType="begin"/>
                      </w:r>
                      <w:r w:rsidR="009425BE">
                        <w:instrText xml:space="preserve"> SEQ Figure \* ARABIC </w:instrText>
                      </w:r>
                      <w:r w:rsidR="009425BE">
                        <w:fldChar w:fldCharType="separate"/>
                      </w:r>
                      <w:r>
                        <w:rPr>
                          <w:noProof/>
                        </w:rPr>
                        <w:t>1</w:t>
                      </w:r>
                      <w:r w:rsidR="009425BE">
                        <w:rPr>
                          <w:noProof/>
                        </w:rPr>
                        <w:fldChar w:fldCharType="end"/>
                      </w:r>
                      <w:bookmarkEnd w:id="17"/>
                      <w:r>
                        <w:t>:</w:t>
                      </w:r>
                      <w:r w:rsidRPr="00A145E9">
                        <w:rPr>
                          <w:b w:val="0"/>
                          <w:bCs w:val="0"/>
                        </w:rPr>
                        <w:t xml:space="preserve"> </w:t>
                      </w:r>
                      <w:r w:rsidRPr="00CA75AC">
                        <w:rPr>
                          <w:b w:val="0"/>
                          <w:bCs w:val="0"/>
                        </w:rPr>
                        <w:t>O</w:t>
                      </w:r>
                      <w:r>
                        <w:rPr>
                          <w:b w:val="0"/>
                          <w:bCs w:val="0"/>
                        </w:rPr>
                        <w:t>SBP/ORP Binding Ligand 25-hydroxycholesterol (</w:t>
                      </w:r>
                      <w:r w:rsidRPr="00AD461B">
                        <w:t>1</w:t>
                      </w:r>
                      <w:r>
                        <w:rPr>
                          <w:b w:val="0"/>
                          <w:bCs w:val="0"/>
                        </w:rPr>
                        <w:t xml:space="preserve">) and OSW-1 </w:t>
                      </w:r>
                      <w:r w:rsidRPr="00A145E9">
                        <w:rPr>
                          <w:b w:val="0"/>
                          <w:bCs w:val="0"/>
                        </w:rPr>
                        <w:t>(</w:t>
                      </w:r>
                      <w:r w:rsidRPr="000849BF">
                        <w:rPr>
                          <w:b w:val="0"/>
                          <w:bCs w:val="0"/>
                        </w:rPr>
                        <w:t>2</w:t>
                      </w:r>
                      <w:r w:rsidRPr="00A145E9">
                        <w:rPr>
                          <w:b w:val="0"/>
                          <w:bCs w:val="0"/>
                        </w:rPr>
                        <w:t>)</w:t>
                      </w:r>
                      <w:bookmarkEnd w:id="18"/>
                    </w:p>
                    <w:p w14:paraId="150F3F5D" w14:textId="5851646F" w:rsidR="00730B8F" w:rsidRDefault="00730B8F">
                      <w:pPr>
                        <w:keepNext/>
                      </w:pPr>
                    </w:p>
                    <w:p w14:paraId="6DE7A79C" w14:textId="63CB9B3C" w:rsidR="00730B8F" w:rsidRDefault="00730B8F" w:rsidP="009F4A52">
                      <w:pPr>
                        <w:keepNext/>
                      </w:pPr>
                    </w:p>
                    <w:p w14:paraId="48707B15" w14:textId="4C3FE35B" w:rsidR="00730B8F" w:rsidRDefault="00730B8F" w:rsidP="00304D44">
                      <w:pPr>
                        <w:keepNext/>
                      </w:pPr>
                    </w:p>
                    <w:p w14:paraId="027765C9" w14:textId="77777777" w:rsidR="00730B8F" w:rsidRDefault="00730B8F" w:rsidP="00304D44"/>
                    <w:p w14:paraId="3988702A" w14:textId="77777777" w:rsidR="00730B8F" w:rsidRDefault="00730B8F"/>
                    <w:p w14:paraId="190AF2F6" w14:textId="4243D22D" w:rsidR="00730B8F" w:rsidRDefault="00730B8F" w:rsidP="009F4A52">
                      <w:pPr>
                        <w:keepNext/>
                      </w:pPr>
                      <w:r>
                        <w:rPr>
                          <w:noProof/>
                        </w:rPr>
                        <w:object w:dxaOrig="7639" w:dyaOrig="2844" w14:anchorId="0D55A2CD">
                          <v:shape id="_x0000_i1046" type="#_x0000_t75" alt="" style="width:405.8pt;height:150.55pt">
                            <v:imagedata r:id="rId61" o:title=""/>
                          </v:shape>
                          <o:OLEObject Type="Embed" ProgID="ChemDraw.Document.6.0" ShapeID="_x0000_i1046" DrawAspect="Content" ObjectID="_1650481043" r:id="rId65"/>
                        </w:object>
                      </w:r>
                    </w:p>
                    <w:p w14:paraId="54179405" w14:textId="522F76CE" w:rsidR="00730B8F" w:rsidRDefault="00730B8F">
                      <w:pPr>
                        <w:pStyle w:val="Caption"/>
                      </w:pPr>
                      <w:r>
                        <w:t xml:space="preserve">Figure </w:t>
                      </w:r>
                      <w:r>
                        <w:fldChar w:fldCharType="begin"/>
                      </w:r>
                      <w:r>
                        <w:instrText xml:space="preserve">  \* ARABIC </w:instrText>
                      </w:r>
                      <w:r>
                        <w:fldChar w:fldCharType="separate"/>
                      </w:r>
                      <w:r>
                        <w:rPr>
                          <w:noProof/>
                        </w:rPr>
                        <w:t>3</w:t>
                      </w:r>
                      <w:r>
                        <w:fldChar w:fldCharType="end"/>
                      </w:r>
                    </w:p>
                    <w:p w14:paraId="7DF28D10" w14:textId="7A22BD13" w:rsidR="00730B8F" w:rsidRDefault="00730B8F" w:rsidP="00304D44">
                      <w:pPr>
                        <w:keepNext/>
                      </w:pPr>
                    </w:p>
                    <w:p w14:paraId="5E95CDC1" w14:textId="77777777" w:rsidR="00730B8F" w:rsidRDefault="00730B8F" w:rsidP="00304D44"/>
                  </w:txbxContent>
                </v:textbox>
                <w10:wrap type="square" anchorx="margin"/>
              </v:shape>
            </w:pict>
          </mc:Fallback>
        </mc:AlternateContent>
      </w:r>
      <w:r w:rsidR="00610AA7">
        <w:tab/>
      </w:r>
      <w:r w:rsidR="000E162A" w:rsidRPr="000E162A">
        <w:t>The OSBP</w:t>
      </w:r>
      <w:r w:rsidR="00610AA7">
        <w:t>/ORP</w:t>
      </w:r>
      <w:r w:rsidR="000E162A" w:rsidRPr="000E162A">
        <w:t xml:space="preserve"> protein family shares a conserved carboxy-terminal ligand binding domain (LBD) also referred to as OSBP related domain (ORD). The ORD structure consists of 19 anti-parallel beta sheets based upon protein structures of yeast homologs </w:t>
      </w:r>
      <w:r w:rsidR="00A145E9">
        <w:t>(</w:t>
      </w:r>
      <w:r w:rsidR="00A145E9" w:rsidRPr="000849BF">
        <w:rPr>
          <w:b/>
          <w:bCs/>
        </w:rPr>
        <w:fldChar w:fldCharType="begin"/>
      </w:r>
      <w:r w:rsidR="00A145E9" w:rsidRPr="000849BF">
        <w:rPr>
          <w:b/>
          <w:bCs/>
        </w:rPr>
        <w:instrText xml:space="preserve"> REF _Ref38372867 \h </w:instrText>
      </w:r>
      <w:r w:rsidR="00A145E9">
        <w:rPr>
          <w:b/>
          <w:bCs/>
        </w:rPr>
        <w:instrText xml:space="preserve"> \* MERGEFORMAT </w:instrText>
      </w:r>
      <w:r w:rsidR="00A145E9" w:rsidRPr="000849BF">
        <w:rPr>
          <w:b/>
          <w:bCs/>
        </w:rPr>
      </w:r>
      <w:r w:rsidR="00A145E9" w:rsidRPr="000849BF">
        <w:rPr>
          <w:b/>
          <w:bCs/>
        </w:rPr>
        <w:fldChar w:fldCharType="separate"/>
      </w:r>
      <w:r w:rsidR="00A145E9" w:rsidRPr="000849BF">
        <w:rPr>
          <w:b/>
          <w:bCs/>
        </w:rPr>
        <w:t xml:space="preserve">Figure </w:t>
      </w:r>
      <w:r w:rsidR="00A145E9" w:rsidRPr="000849BF">
        <w:rPr>
          <w:b/>
          <w:bCs/>
          <w:noProof/>
        </w:rPr>
        <w:t>2</w:t>
      </w:r>
      <w:r w:rsidR="00A145E9" w:rsidRPr="000849BF">
        <w:rPr>
          <w:b/>
          <w:bCs/>
        </w:rPr>
        <w:fldChar w:fldCharType="end"/>
      </w:r>
      <w:r w:rsidR="000E162A" w:rsidRPr="000E162A">
        <w:t>).</w:t>
      </w:r>
      <w:r w:rsidR="000E162A" w:rsidRPr="000E162A">
        <w:fldChar w:fldCharType="begin" w:fldLock="1"/>
      </w:r>
      <w:r w:rsidR="00CB7208">
        <w:instrText>ADDIN CSL_CITATION { "citationItems" : [ { "id" : "ITEM-1", "itemData" : { "DOI" : "10.1007/s00018-018-2795-y", "ISSN" : "14209071", "abstract" : "Oxysterol-binding protein (OSBP) and OSBP-related proteins (ORPs) constitute a large eukaryotic gene family that transports and regulates the metabolism of sterols and phospholipids. The original classification of the family based on oxysterol-binding activity belies the complex dual lipid-binding specificity of the conserved OSBP homology domain (OHD). Additional protein- and membrane-interacting modules mediate the targeting of select OSBP/ORPs to membrane contact sites between organelles, thus positioning the OHD between opposing membranes for lipid transfer and metabolic regulation. This unique subcellular location, coupled with diverse ligand preferences and tissue distribution, has identified OSBP/ORPs as key arbiters of membrane composition and function. Here, we will review how molecular models of OSBP/ORP-mediated intracellular lipid transport and regulation at membrane contact sites relate to their emerging roles in cellular and organismal functions.", "author" : [ { "dropping-particle" : "", "family" : "Pietrangelo", "given" : "Antonietta", "non-dropping-particle" : "", "parse-names" : false, "suffix" : "" }, { "dropping-particle" : "", "family" : "Ridgway", "given" : "Neale D.", "non-dropping-particle" : "", "parse-names" : false, "suffix" : "" } ], "container-title" : "Cellular and Molecular Life Sciences", "id" : "ITEM-1", "issue" : "17", "issued" : { "date-parts" : [ [ "2018", "9", "1" ] ] }, "page" : "3079-3098", "publisher" : "Birkhauser Verlag AG", "title" : "Bridging the molecular and biological functions of the oxysterol-binding protein family", "type" : "article", "volume" : "75" }, "uris" : [ "http://www.mendeley.com/documents/?uuid=b5d23489-ce39-3f8d-9504-f06dc51ec0a6" ] }, { "id" : "ITEM-2", "itemData" : { "DOI" : "10.1038/nature03923", "ISSN" : "14764687", "abstract" : "The oxysterol-binding-protein (OSBP)-related proteins (ORPs) are conserved from yeast to humans, and are implicated in the regulation of sterol homeostasis and in signal transduction pathways. Here we report the structure of the full-length yeast ORP Osh4 (also known as Kes1) at 1.5-1.9 \u00c5 resolution in complexes with ergosterol, cholesterol, and 7-, 20- and 25-hydroxycholesterol. We find that a single sterol molecule binds within a hydrophobic tunnel in a manner consistent with a transport function for ORPs. The entrance is blocked by a flexible amino-terminal lid and surrounded by basic residues that are critical for Osh4 function. The structure of the open state of a lid-truncated form of Osh4 was determined at 2.5 \u00c5 resolution. Structural analysis and limited proteolysis show that sterol binding closes the lid and stabilizes a conformation favouring transport across aqueous barriers and signal transmission. The structure of Osh4 in the absence of ligand exposes potential phospholipid-binding sites that are positioned for membrane docking and sterol exchange. On the basis of these observations, we propose a model in which sterol and membrane binding promote reciprocal conformational changes that facilitate a sterol transfer and signalling cycle. \u00a9 2005 Nature Publishing Group.", "author" : [ { "dropping-particle" : "", "family" : "Im", "given" : "Young Jun", "non-dropping-particle" : "", "parse-names" : false, "suffix" : "" }, { "dropping-particle" : "", "family" : "Raychaudhuri", "given" : "Sumana", "non-dropping-particle" : "", "parse-names" : false, "suffix" : "" }, { "dropping-particle" : "", "family" : "Prinz", "given" : "William A.", "non-dropping-particle" : "", "parse-names" : false, "suffix" : "" }, { "dropping-particle" : "", "family" : "Hurley", "given" : "James H.", "non-dropping-particle" : "", "parse-names" : false, "suffix" : "" } ], "container-title" : "Nature", "id" : "ITEM-2", "issue" : "7055", "issued" : { "date-parts" : [ [ "2005", "9", "1" ] ] }, "page" : "154-158", "publisher" : "Nature Publishing Group", "title" : "Structural mechanism for sterol sensing and transport by OSBP-related proteins", "type" : "article-journal", "volume" : "437" }, "uris" : [ "http://www.mendeley.com/documents/?uuid=026c6af0-ef4b-3477-bec7-e7557e48404d" ] } ], "mendeley" : { "formattedCitation" : "&lt;sup&gt;18,31&lt;/sup&gt;", "plainTextFormattedCitation" : "18,31", "previouslyFormattedCitation" : "&lt;sup&gt;18,31&lt;/sup&gt;" }, "properties" : { "noteIndex" : 0 }, "schema" : "https://github.com/citation-style-language/schema/raw/master/csl-citation.json" }</w:instrText>
      </w:r>
      <w:r w:rsidR="000E162A" w:rsidRPr="000E162A">
        <w:fldChar w:fldCharType="separate"/>
      </w:r>
      <w:r w:rsidR="00CB7208" w:rsidRPr="00CB7208">
        <w:rPr>
          <w:noProof/>
          <w:vertAlign w:val="superscript"/>
        </w:rPr>
        <w:t>18,31</w:t>
      </w:r>
      <w:r w:rsidR="000E162A" w:rsidRPr="000E162A">
        <w:fldChar w:fldCharType="end"/>
      </w:r>
      <w:r w:rsidR="000E162A" w:rsidRPr="000E162A">
        <w:t xml:space="preserve">  Outside of the ORD, the N-terminal ~50 kDa contains two phenylalanines in an acidic tract (FFAT) domain and an amino terminal pleckstrin homology (PH) domain </w:t>
      </w:r>
      <w:r w:rsidR="000E162A" w:rsidRPr="00251CE8">
        <w:t>(</w:t>
      </w:r>
      <w:r w:rsidR="00A145E9" w:rsidRPr="000849BF">
        <w:rPr>
          <w:b/>
          <w:bCs/>
        </w:rPr>
        <w:fldChar w:fldCharType="begin"/>
      </w:r>
      <w:r w:rsidR="00A145E9" w:rsidRPr="000849BF">
        <w:rPr>
          <w:b/>
          <w:bCs/>
        </w:rPr>
        <w:instrText xml:space="preserve"> REF _Ref38372867 \h </w:instrText>
      </w:r>
      <w:r w:rsidR="00A145E9">
        <w:rPr>
          <w:b/>
          <w:bCs/>
        </w:rPr>
        <w:instrText xml:space="preserve"> \* MERGEFORMAT </w:instrText>
      </w:r>
      <w:r w:rsidR="00A145E9" w:rsidRPr="000849BF">
        <w:rPr>
          <w:b/>
          <w:bCs/>
        </w:rPr>
      </w:r>
      <w:r w:rsidR="00A145E9" w:rsidRPr="000849BF">
        <w:rPr>
          <w:b/>
          <w:bCs/>
        </w:rPr>
        <w:fldChar w:fldCharType="separate"/>
      </w:r>
      <w:r w:rsidR="00A145E9" w:rsidRPr="000849BF">
        <w:rPr>
          <w:b/>
          <w:bCs/>
        </w:rPr>
        <w:t xml:space="preserve">Figure </w:t>
      </w:r>
      <w:r w:rsidR="00A145E9" w:rsidRPr="000849BF">
        <w:rPr>
          <w:b/>
          <w:bCs/>
          <w:noProof/>
        </w:rPr>
        <w:t>2</w:t>
      </w:r>
      <w:r w:rsidR="00A145E9" w:rsidRPr="000849BF">
        <w:rPr>
          <w:b/>
          <w:bCs/>
        </w:rPr>
        <w:fldChar w:fldCharType="end"/>
      </w:r>
      <w:r w:rsidR="000E162A" w:rsidRPr="00251CE8">
        <w:t>).</w:t>
      </w:r>
      <w:r w:rsidR="000E162A" w:rsidRPr="000E162A">
        <w:fldChar w:fldCharType="begin" w:fldLock="1"/>
      </w:r>
      <w:r w:rsidR="00CB7208">
        <w:instrText>ADDIN CSL_CITATION { "citationItems" : [ { "id" : "ITEM-1", "itemData" : { "DOI" : "10.1007/s00018-018-2795-y", "ISSN" : "14209071", "abstract" : "Oxysterol-binding protein (OSBP) and OSBP-related proteins (ORPs) constitute a large eukaryotic gene family that transports and regulates the metabolism of sterols and phospholipids. The original classification of the family based on oxysterol-binding activity belies the complex dual lipid-binding specificity of the conserved OSBP homology domain (OHD). Additional protein- and membrane-interacting modules mediate the targeting of select OSBP/ORPs to membrane contact sites between organelles, thus positioning the OHD between opposing membranes for lipid transfer and metabolic regulation. This unique subcellular location, coupled with diverse ligand preferences and tissue distribution, has identified OSBP/ORPs as key arbiters of membrane composition and function. Here, we will review how molecular models of OSBP/ORP-mediated intracellular lipid transport and regulation at membrane contact sites relate to their emerging roles in cellular and organismal functions.", "author" : [ { "dropping-particle" : "", "family" : "Pietrangelo", "given" : "Antonietta", "non-dropping-particle" : "", "parse-names" : false, "suffix" : "" }, { "dropping-particle" : "", "family" : "Ridgway", "given" : "Neale D.", "non-dropping-particle" : "", "parse-names" : false, "suffix" : "" } ], "container-title" : "Cellular and Molecular Life Sciences", "id" : "ITEM-1", "issue" : "17", "issued" : { "date-parts" : [ [ "2018", "9", "1" ] ] }, "page" : "3079-3098", "publisher" : "Birkhauser Verlag AG", "title" : "Bridging the molecular and biological functions of the oxysterol-binding protein family", "type" : "article", "volume" : "75" }, "uris" : [ "http://www.mendeley.com/documents/?uuid=b5d23489-ce39-3f8d-9504-f06dc51ec0a6" ] } ], "mendeley" : { "formattedCitation" : "&lt;sup&gt;18&lt;/sup&gt;", "plainTextFormattedCitation" : "18", "previouslyFormattedCitation" : "&lt;sup&gt;18&lt;/sup&gt;" }, "properties" : { "noteIndex" : 0 }, "schema" : "https://github.com/citation-style-language/schema/raw/master/csl-citation.json" }</w:instrText>
      </w:r>
      <w:r w:rsidR="000E162A" w:rsidRPr="000E162A">
        <w:fldChar w:fldCharType="separate"/>
      </w:r>
      <w:r w:rsidR="00CB7208" w:rsidRPr="00CB7208">
        <w:rPr>
          <w:noProof/>
          <w:vertAlign w:val="superscript"/>
        </w:rPr>
        <w:t>18</w:t>
      </w:r>
      <w:r w:rsidR="000E162A" w:rsidRPr="000E162A">
        <w:fldChar w:fldCharType="end"/>
      </w:r>
      <w:r w:rsidR="000E162A" w:rsidRPr="000E162A">
        <w:t xml:space="preserve">  The OSBP PH domain is reported to interact with phosphotidylinositols in cell membranes, specifically PI4P and PI2P, for trans-Golgi localization.</w:t>
      </w:r>
      <w:r w:rsidR="000E162A" w:rsidRPr="000E162A">
        <w:fldChar w:fldCharType="begin" w:fldLock="1"/>
      </w:r>
      <w:r w:rsidR="00CB7208">
        <w:instrText>ADDIN CSL_CITATION { "citationItems" : [ { "id" : "ITEM-1", "itemData" : { "ISSN" : "0021-9258", "PMID" : "7309751", "abstract" : "Procedures for determining a 7.5 S oxysterol-binding protein in the cytosol fraction of cultured mouse fibroblasts were developed. The methods involved precipitation of cytosolic proteins between 0.3 and 0.4 saturation with (NH4)2SO4, incubation of the proteins with 25-hydroxy[3H]cholesterol at 0 degrees C and analysis by velocity sedimentation of 7.5 S radioactivity or of specific binding using dextran-charcoal to adsorb free sterol. By these means it was shown that binding of the ligand to the protein in a citric acid-phosphate buffer was optimal at pH 5.5 and that the sedimentation rate of the complex was greater at pH 7.4 (7.5 S) than at pH 5.5 (6.9 S). The binding protein was essentially saturated at a diol concentration of about 20 X 10(-9) M. The apparent Kd of the sterol-protein complex was approximately 3.9 X 10(-9) M. Cholesterol did not bind to 25-hydroxycholesterol-binding sites on the 7.5 S protein, whereas several oxysterols that are potent suppressors of 3-hydroxy-3-methylglutaryl CoA reductase also inhibited the binding of 25-hydroxycholesterol. One of these sterols, 5 alpha-cholest-8(14)-en-3 beta-ol-15-one was shown to compete for sites occupied by 25-hydroxycholesterol.", "author" : [ { "dropping-particle" : "", "family" : "Kandutsch", "given" : "A A", "non-dropping-particle" : "", "parse-names" : false, "suffix" : "" }, { "dropping-particle" : "", "family" : "Shown", "given" : "E P", "non-dropping-particle" : "", "parse-names" : false, "suffix" : "" } ], "container-title" : "The Journal of biological chemistry", "id" : "ITEM-1", "issue" : "24", "issued" : { "date-parts" : [ [ "1981", "12", "25" ] ] }, "page" : "13068-73", "title" : "Assay of oxysterol-binding protein in a mouse fibroblast, cell-free system. Dissociation constant and other properties of the system.", "type" : "article-journal", "volume" : "256" }, "uris" : [ "http://www.mendeley.com/documents/?uuid=006540f2-ab56-345b-aa93-49a2bc771273" ] }, { "id" : "ITEM-2", "itemData" : { "abstract" : "The differential binding of cholesterol and 25-hy-droxycholesterol to cytosolic proteins in various types of cells was investigated. 25-Hydroxycholesterol taken up by six different established cell culture lines and by mouse spleen cells in primary culture was bound to cytosolic components which, during velocity gradient centrifugation, displayed sedimentation coefficients of approximately 5 S and 8 S. In contrast, cholesterol taken up by the cells was concentrated near the bottom (approximately 20 S) of the sucrose density gradient but was distributed throughout. Results with primary cultures of mouse fetal liver differed from those obtained with other cell cultures in that both sterols appeared principally in a 5 S band. Further characterization of the binding components from intact L cells indicated that binding of 25-hydroxycholesterol to the 8 S fraction was saturable and reversible, whereas binding to the 5 S band was not saturable. The 8 S 25-hydroxycholesterol complex involved a protein with a relatively long half-life. The complex was essentially stable at 0\u00b0C but dissociated slowly at 25\u00b0C. Sulfhydryl functions were not required for sterol binding, and formation of the complex was not dependent upon CAMP. Competition studies with intact cells and with isolated cytosol indicated that a number of other oxy-genated sterols bind to 8 S sites occupied by 25-hy-droxycholesterol. Those sterols which are potent suppressors of 3-hydroxy-3-methylglutaryl coenzyme A re-ductase (EC 1.1.1.34) activity competed for these binding sites, while those which do not suppress the reduc-tase did not compete for them. These studies suggest that the binding of oxygenated sterols to the 8 S cyto-solic component may be in some sense specific, while that to the 5 S component is nonspecific. The kinetics of formation and dissociation of the 8 S 25-hydroxy-cholesterol*protein complex and of the suppression of 3-hydroxy-3-methylglutaryl-CoA reductase in the presence of the diol was also consistent with a postulated role for the complex in the regulation of the enzyme. ~~~~ ~ Certain oxygenated sterols are potent inhibitors of cholesterol synthesis and of cell growth. They act specifically to lower the cellular level of 3-hydroxy-3-methylglutaryl-CoA reductase, the regulatory enzyme in the cholesterol biosyn-thesis pathway. How they do so is unknown, but it is known that certain structural configurations of the sterol molecule * Welfare. The costs of publication of this art\u2026", "author" : [ { "dropping-particle" : "", "family" : "Kandutschs", "given" : "Andrew A", "non-dropping-particle" : "", "parse-names" : false, "suffix" : "" }, { "dropping-particle" : "", "family" : "Thompson8", "given" : "E Brad", "non-dropping-particle" : "", "parse-names" : false, "suffix" : "" } ], "container-title" : "THE JOURNAL OF BIOLOGICAL CHEMISTRY", "id" : "ITEM-2", "issue" : "22", "issued" : { "date-parts" : [ [ "1980" ] ] }, "number-of-pages" : "10813-10826", "title" : "Cytosolic Proteins That Bind Oxygenated Sterols CELLULAR DISTRIBUTION, SPECIFICITY, AND SOME PROPERTIES*", "type" : "report", "volume" : "255" }, "uris" : [ "http://www.mendeley.com/documents/?uuid=07c304c1-01f3-3125-9243-54c537499f17" ] } ], "mendeley" : { "formattedCitation" : "&lt;sup&gt;32,33&lt;/sup&gt;", "plainTextFormattedCitation" : "32,33", "previouslyFormattedCitation" : "&lt;sup&gt;32,33&lt;/sup&gt;" }, "properties" : { "noteIndex" : 0 }, "schema" : "https://github.com/citation-style-language/schema/raw/master/csl-citation.json" }</w:instrText>
      </w:r>
      <w:r w:rsidR="000E162A" w:rsidRPr="000E162A">
        <w:fldChar w:fldCharType="separate"/>
      </w:r>
      <w:r w:rsidR="00CB7208" w:rsidRPr="00CB7208">
        <w:rPr>
          <w:noProof/>
          <w:vertAlign w:val="superscript"/>
        </w:rPr>
        <w:t>32,33</w:t>
      </w:r>
      <w:r w:rsidR="000E162A" w:rsidRPr="000E162A">
        <w:fldChar w:fldCharType="end"/>
      </w:r>
      <w:r w:rsidR="000E162A" w:rsidRPr="000E162A">
        <w:t xml:space="preserve"> The FFAT motif is able to interact with the ER resident vesicle-associated membrane proteins (VAPs) providing a tether between OSBP and the ER.</w:t>
      </w:r>
      <w:r w:rsidR="000E162A" w:rsidRPr="000E162A">
        <w:fldChar w:fldCharType="begin" w:fldLock="1"/>
      </w:r>
      <w:r w:rsidR="00CB7208">
        <w:instrText>ADDIN CSL_CITATION { "citationItems" : [ { "id" : "ITEM-1", "itemData" : { "DOI" : "10.1074/jbc.M201191200", "ISSN" : "00219258", "abstract" : "Oxysterol-binding protein (OSBP) is 1 of 12 related proteins implicated in the regulation of vesicle transport and sterol homeostasis. A yeast two-hybrid screen using full-length OSBP as bait was undertaken to identify partner proteins that would provide clues to the function of OSBP. This resulted in the cloning of vesicle-associated membrane protein-associated protein-A (VAP-A), a syntaxin-like protein implicated in endoplasmic reticulum (ER)/Golgi vesicle transport, and phospholipid regulation in mammalian cells and yeast, respectively. By using a combination of yeast two-hybrid, glutathione S-transferase pull-down and immunoprecipitation experiments, the VAP-A-binding region in OSBP was localized to amino acids 351-442. This region did not include the pleckstrin homology (PH) domain but overlapped with the N terminus of the oxysterol binding and OSBP homology domains. C- and N-terminal truncations or deletions of VAP prevented interaction with OSBP but did not affect VAP multimerization. Although the OSBP PH domain was not necessary for VAP-A binding in vitro, interaction with VAP-A was enhanced in cells by mutation of the conserved PH domain tryptophan (OSBP W174A) or deletion of the C-terminal half of the PH domain (OSBP Delta 132-182). OSBP W174A retained oxysterol binding activity, association with phospholipid vesicles via the PH domain, and localized with VAP in unusual ER-associated structures. At 40 degrees C, misfolded ts045-vesicular stomatitis virus G protein fused to green fluorescent protein was co-localized with VAP-A/OSBP W174A structures on the ER but was exported to the Golgi when folded normally at 32 degrees C. A fluorescent ceramide analogue also accumulated in these ER inclusions, and export to the Golgi was partially inhibited as indicated by decreased Golgi staining and a 30% reduction in sphingomyelin synthesis. These studies show that OSBP binding to the ER and Golgi apparatus is regulated by its PH domain and VAP interactions, and the complex is involved at a stage of protein and ceramide transport from the ER.", "author" : [ { "dropping-particle" : "", "family" : "Wyles", "given" : "Jessica P.", "non-dropping-particle" : "", "parse-names" : false, "suffix" : "" }, { "dropping-particle" : "", "family" : "McMaster", "given" : "Christopher R.", "non-dropping-particle" : "", "parse-names" : false, "suffix" : "" }, { "dropping-particle" : "", "family" : "Ridgway", "given" : "Neale D.", "non-dropping-particle" : "", "parse-names" : false, "suffix" : "" } ], "container-title" : "The Journal of biological chemistry", "id" : "ITEM-1", "issue" : "33", "issued" : { "date-parts" : [ [ "2002", "8", "16" ] ] }, "page" : "29908-29918", "title" : "Vesicle-associated membrane protein-associated protein-A (VAP-A) interacts with the oxysterol-binding protein to modify export from the endoplasmic reticulum.", "type" : "article-journal", "volume" : "277" }, "uris" : [ "http://www.mendeley.com/documents/?uuid=88d16914-68a0-34a6-8b32-a48fc7230d32" ] } ], "mendeley" : { "formattedCitation" : "&lt;sup&gt;34&lt;/sup&gt;", "plainTextFormattedCitation" : "34", "previouslyFormattedCitation" : "&lt;sup&gt;34&lt;/sup&gt;" }, "properties" : { "noteIndex" : 0 }, "schema" : "https://github.com/citation-style-language/schema/raw/master/csl-citation.json" }</w:instrText>
      </w:r>
      <w:r w:rsidR="000E162A" w:rsidRPr="000E162A">
        <w:fldChar w:fldCharType="separate"/>
      </w:r>
      <w:r w:rsidR="00CB7208" w:rsidRPr="00CB7208">
        <w:rPr>
          <w:noProof/>
          <w:vertAlign w:val="superscript"/>
        </w:rPr>
        <w:t>34</w:t>
      </w:r>
      <w:r w:rsidR="000E162A" w:rsidRPr="000E162A">
        <w:fldChar w:fldCharType="end"/>
      </w:r>
    </w:p>
    <w:p w14:paraId="3D1EC93C" w14:textId="77777777" w:rsidR="00CC595D" w:rsidRPr="000E162A" w:rsidRDefault="00CC595D" w:rsidP="000849BF">
      <w:pPr>
        <w:jc w:val="both"/>
      </w:pPr>
    </w:p>
    <w:p w14:paraId="3048539A" w14:textId="183A781E" w:rsidR="000E162A" w:rsidRPr="000E162A" w:rsidRDefault="000E162A" w:rsidP="00926BEA">
      <w:pPr>
        <w:pStyle w:val="Heading3"/>
      </w:pPr>
      <w:bookmarkStart w:id="19" w:name="_Toc39868134"/>
      <w:r w:rsidRPr="000E162A">
        <w:t>OSBP Biology</w:t>
      </w:r>
      <w:bookmarkEnd w:id="19"/>
      <w:r w:rsidRPr="000E162A">
        <w:t xml:space="preserve"> </w:t>
      </w:r>
    </w:p>
    <w:p w14:paraId="68A3E83D" w14:textId="432CE316" w:rsidR="000E162A" w:rsidRPr="000E162A" w:rsidRDefault="00610AA7" w:rsidP="00926BEA">
      <w:pPr>
        <w:ind w:firstLine="720"/>
        <w:jc w:val="both"/>
      </w:pPr>
      <w:r w:rsidRPr="000E162A">
        <w:t xml:space="preserve">OSBP has been reported to bind to </w:t>
      </w:r>
      <w:r>
        <w:t xml:space="preserve">25-hydroxycholesterol </w:t>
      </w:r>
      <w:r w:rsidRPr="000E162A">
        <w:t xml:space="preserve">with </w:t>
      </w:r>
      <w:r>
        <w:t xml:space="preserve">a much </w:t>
      </w:r>
      <w:r w:rsidRPr="000E162A">
        <w:t>high</w:t>
      </w:r>
      <w:r>
        <w:t>er</w:t>
      </w:r>
      <w:r w:rsidRPr="000E162A">
        <w:t xml:space="preserve"> affinity</w:t>
      </w:r>
      <w:r>
        <w:t xml:space="preserve"> than</w:t>
      </w:r>
      <w:r w:rsidRPr="000E162A">
        <w:t xml:space="preserve"> cholesterol</w:t>
      </w:r>
      <w:r>
        <w:t>.</w:t>
      </w:r>
      <w:r w:rsidRPr="00610AA7">
        <w:t xml:space="preserve"> </w:t>
      </w:r>
      <w:r w:rsidRPr="000E162A">
        <w:fldChar w:fldCharType="begin" w:fldLock="1"/>
      </w:r>
      <w:r w:rsidR="00CB7208">
        <w:instrText>ADDIN CSL_CITATION { "citationItems" : [ { "id" : "ITEM-1", "itemData" : { "DOI" : "10.1074/jbc.M114.571216", "ISBN" : "9024924324", "author" : [ { "dropping-particle" : "", "family" : "Charman", "given" : "Mark", "non-dropping-particle" : "", "parse-names" : false, "suffix" : "" }, { "dropping-particle" : "", "family" : "Colbourne", "given" : "Terry R", "non-dropping-particle" : "", "parse-names" : false, "suffix" : "" }, { "dropping-particle" : "", "family" : "Pietrangelo", "given" : "Antonietta", "non-dropping-particle" : "", "parse-names" : false, "suffix" : "" }, { "dropping-particle" : "", "family" : "Kreplak", "given" : "Laurent", "non-dropping-particle" : "", "parse-names" : false, "suffix" : "" }, { "dropping-particle" : "", "family" : "Neale", "given" : "D", "non-dropping-particle" : "", "parse-names" : false, "suffix" : "" } ], "id" : "ITEM-1", "issued" : { "date-parts" : [ [ "2014" ] ] }, "title" : "Oxysterol-binding protein ( OSBP ) -related protein 4 ( ORP4 ) is essential for cell proliferation and survival *", "type" : "article-journal", "volume" : "4" }, "uris" : [ "http://www.mendeley.com/documents/?uuid=a6e70686-d21a-4c3f-ba48-36a16fcfc2a8" ] }, { "id" : "ITEM-2", "itemData" : { "DOI" : "10.1016/bs.ircmb.2015.09.006", "ISBN" : "9780128047071", "ISSN" : "19376448", "PMID" : "26811291", "abstract" : "Oxysterol-binding protein (OSBP) and its related protein homologs, ORPs, constitute a conserved family of lipid-binding/transfer proteins (LTPs) expressed ubiquitously in eukaryotes. The ligand-binding domain of ORPs accommodates cholesterol and oxysterols, but also glycerophospholipids, particularly phosphatidylinositol-4-phosphate (PI4P). ORPs have been implicated as intracellular lipid sensors or transporters. Most ORPs carry targeting determinants for the endoplasmic reticulum (ER) and non-ER organelle membrane. ORPs are located and function at membrane contact sites (MCSs), at which ER is closely apposed with other organelle limiting membranes. Such sites have roles in lipid transport and metabolism, control of Ca2+ fluxes, and signaling events. ORPs are postulated either to transport lipids over MCSs to maintain the distinct lipid compositions of organelle membranes, or to control the activity of enzymes/protein complexes with functions in signaling and lipid metabolism. ORPs may transfer PI4P and another lipid class bidirectionally. Transport of PI4P followed by its hydrolysis would in this model provide the energy for transfer of the other lipid against its concentration gradient. Control of organelle lipid compositions by OSBP/ORPs is important for the life cycles of several pathogenic viruses. Targeting ORPs with small-molecular antagonists is proposed as a new strategy to combat viral infections. Several ORPs are reported to modulate vesicle transport along the secretory or endocytic pathways. Moreover, antagonists of certain ORPs inhibit cancer cell proliferation. Thus, ORPs are LTPs, which mediate interorganelle lipid transport and coordinate lipid signals with a variety of cellular regimes. \u00a9 2016 Elsevier Inc.", "author" : [ { "dropping-particle" : "", "family" : "Kentala", "given" : "Henriikka", "non-dropping-particle" : "", "parse-names" : false, "suffix" : "" }, { "dropping-particle" : "", "family" : "Weber-Boyvat", "given" : "Marion", "non-dropping-particle" : "", "parse-names" : false, "suffix" : "" }, { "dropping-particle" : "", "family" : "Olkkonen", "given" : "Vesa M.", "non-dropping-particle" : "", "parse-names" : false, "suffix" : "" } ], "container-title" : "International Review of Cell and Molecular Biology", "id" : "ITEM-2", "issued" : { "date-parts" : [ [ "2016" ] ] }, "page" : "299-340", "publisher" : "Elsevier Inc.", "title" : "OSBP-Related Protein Family: Mediators of Lipid Transport and Signaling at Membrane Contact Sites", "type" : "chapter", "volume" : "321" }, "uris" : [ "http://www.mendeley.com/documents/?uuid=7c663f30-c65b-31df-9a8a-64082bbf3669" ] }, { "id" : "ITEM-3", "itemData" : { "DOI" : "10.1042/0264-6021:3610461", "ISSN" : "02646021", "PMID" : "11802775", "abstract" : "Oxysterol-binding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 "author" : [ { "dropping-particle" : "", "family" : "Wang", "given" : "Cheng", "non-dropping-particle" : "", "parse-names" : false, "suffix" : "" }, { "dropping-particle" : "", "family" : "JeBailey", "given" : "Lellean", "non-dropping-particle" : "", "parse-names" : false, "suffix" : "" }, { "dropping-particle" : "", "family" : "Ridgway", "given" : "Neale D.", "non-dropping-particle" : "", "parse-names" : false, "suffix" : "" } ], "container-title" : "Biochemical Journal", "id" : "ITEM-3", "issue" : "3", "issued" : { "date-parts" : [ [ "2002", "2", "1" ] ] }, "page" : "461-472", "publisher" : "Portland Press Ltd", "title" : "Oxysterol-binding-protein (OSBP)-related protein 4 binds 25-hydroxycholesterol and interacts with vimentin intermediate filaments", "type" : "article-journal", "volume" : "361" }, "uris" : [ "http://www.mendeley.com/documents/?uuid=60a3fda5-f507-3202-a1d5-fdc63564d102" ] }, { "id" : "ITEM-4", "itemData" : { "DOI" : "10.1042/bj3360247", "ISSN" : "02646021", "abstract" : "Sphingomyelin (SM) and cholesterol content is positively correlated in cellular membranes, and in several pathological and experimental conditions there is evidence for coregulation. The potential role of oxysterols and oxysterol binding protein (OSBP) in mediating the coregulation of cholesterol and SM was examined using Chinese hamster ovary (CHO) and cholesterol auxotrophic, sterol regulatory defective (SRD) 6 cells. SRD 6 cells grown in the presence or absence of cholesterol for 24 h displayed a 30-50% reduction in SM synthesis compared with control CHO 7 cells. SM synthesis in CHO 7 and cholesterol-supplemented SRD 6 cells was stimulated 2-fold by 25-hydroxycholesterol, but cholesterol-starved SRD 6 cells were unresponsive. Basal and 25-hydroxycholesterol-stimulated SM synthesis was also inhibited in lovastatin-treated wild-type CHO-K1 cells. Lack of 25-hydroxycholesterol activation of SM synthesis in cholesterol-starved SRD 6 and lovastatin-treated CHO-K1 cells was correlated with dephosphorylation of OSBP. In SRD 6 cells, this was evident after 12 h of cholesterol depletion, it occurred equally at all phosphorylation sites and was exacerbated by 25-hydroxycholesterol. Unlike CHO 7 cells, where OSBP was observed in small vesicles and the cytoplasm, OSBP in cholesterol-starved SRD 6 cells was constitutively localized in the Golgi apparatus. Supplementation with non-lipoprotein cholesterol promoted redistribution to vesicles and the cytoplasm. Similarly, OSBP in CHO-K1 cells grown in delipidated serum was predominantly in the Golgi apparatus. Low-density lipoprotein (LDL) supplementation of CHO-K1 cells caused the redistribution of OSBP to the cytoplasm and small vesicles, and this effect was blocked by pharmacological agents {3-\u03b2-[2-(diethylamino)ethoxy]androst-5-en-17-one and progesterone}, which inhibited LDL cholesterol efflux from lysosomes. The results showed that localization of OSBP between the Golgi apparatus and a cytoplasmic/vesicular compartment was responsive to changes in cholesterol content and trafficking. In cholesterol depleted SRD 6 cells, this was accompanied by dephosphorylation of OSBP and attenuation of 25-hydroxycholesterol activation of SM synthesis.", "author" : [ { "dropping-particle" : "", "family" : "Storey", "given" : "Margo K.", "non-dropping-particle" : "", "parse-names" : false, "suffix" : "" }, { "dropping-particle" : "", "family" : "Byers", "given" : "David M.", "non-dropping-particle" : "", "parse-names" : false, "suffix" : "" }, { "dropping-particle" : "", "family" : "Cook", "given" : "Harold W.", "non-dropping-particle" : "", "parse-names" : false, "suffix" : "" }, { "dropping-particle" : "", "family" : "Ridgway", "given" : "Neale D.", "non-dropping-particle" : "", "parse-names" : false, "suffix" : "" } ], "container-title" : "Biochemical Journal", "id" : "ITEM-4", "issue" : "1", "issued" : { "date-parts" : [ [ "1998", "11", "15" ] ] }, "page" : "247-256", "title" : "Cholesterol regulates Oxysterol Binding Protein (OSBP) phosphorylation and Golgi localization in Chinese hamster ovary cells: Correlation with stimulation of sphingomyelin synthesis by 25-hydroxycholesterol", "type" : "article-journal", "volume" : "336" }, "uris" : [ "http://www.mendeley.com/documents/?uuid=640597e5-4dd4-3064-91a4-ad19c31b9abe" ] }, { "id" : "ITEM-5", "itemData" : { "URL" : "https://www.ncbi.nlm.nih.gov/pubmed/24209621", "accessed" : { "date-parts" : [ [ "2020", "4", "8" ] ] }, "id" : "ITEM-5", "issued" : { "date-parts" : [ [ "0" ] ] }, "title" : "A four-step cycle driven by PI(4)P hydrolysis directs sterol/PI(4)P exchange by the ER-Golgi tether OSBP. - PubMed - NCBI", "type" : "webpage" }, "uris" : [ "http://www.mendeley.com/documents/?uuid=fbad27ab-de85-3942-adba-8dee86e00a9a" ] } ], "mendeley" : { "formattedCitation" : "&lt;sup&gt;17,23,35\u201337&lt;/sup&gt;", "plainTextFormattedCitation" : "17,23,35\u201337", "previouslyFormattedCitation" : "&lt;sup&gt;17,23,35\u201337&lt;/sup&gt;" }, "properties" : { "noteIndex" : 0 }, "schema" : "https://github.com/citation-style-language/schema/raw/master/csl-citation.json" }</w:instrText>
      </w:r>
      <w:r w:rsidRPr="000E162A">
        <w:fldChar w:fldCharType="separate"/>
      </w:r>
      <w:r w:rsidR="00CB7208" w:rsidRPr="00CB7208">
        <w:rPr>
          <w:noProof/>
          <w:vertAlign w:val="superscript"/>
        </w:rPr>
        <w:t>17,23,35–37</w:t>
      </w:r>
      <w:r w:rsidRPr="000E162A">
        <w:fldChar w:fldCharType="end"/>
      </w:r>
      <w:r>
        <w:t xml:space="preserve"> </w:t>
      </w:r>
      <w:r w:rsidR="00A9573C">
        <w:t xml:space="preserve">OSBP is also reported to bind </w:t>
      </w:r>
      <w:r w:rsidRPr="000E162A">
        <w:t xml:space="preserve">phosphatidylinositols with unclear affinity. </w:t>
      </w:r>
      <w:r w:rsidRPr="000E162A">
        <w:fldChar w:fldCharType="begin" w:fldLock="1"/>
      </w:r>
      <w:r w:rsidR="00CB7208">
        <w:instrText>ADDIN CSL_CITATION { "citationItems" : [ { "id" : "ITEM-1", "itemData" : { "DOI" : "10.1074/jbc.M114.571216", "ISBN" : "9024924324", "author" : [ { "dropping-particle" : "", "family" : "Charman", "given" : "Mark", "non-dropping-particle" : "", "parse-names" : false, "suffix" : "" }, { "dropping-particle" : "", "family" : "Colbourne", "given" : "Terry R", "non-dropping-particle" : "", "parse-names" : false, "suffix" : "" }, { "dropping-particle" : "", "family" : "Pietrangelo", "given" : "Antonietta", "non-dropping-particle" : "", "parse-names" : false, "suffix" : "" }, { "dropping-particle" : "", "family" : "Kreplak", "given" : "Laurent", "non-dropping-particle" : "", "parse-names" : false, "suffix" : "" }, { "dropping-particle" : "", "family" : "Neale", "given" : "D", "non-dropping-particle" : "", "parse-names" : false, "suffix" : "" } ], "id" : "ITEM-1", "issued" : { "date-parts" : [ [ "2014" ] ] }, "title" : "Oxysterol-binding protein ( OSBP ) -related protein 4 ( ORP4 ) is essential for cell proliferation and survival *", "type" : "article-journal", "volume" : "4" }, "uris" : [ "http://www.mendeley.com/documents/?uuid=a6e70686-d21a-4c3f-ba48-36a16fcfc2a8" ] }, { "id" : "ITEM-2", "itemData" : { "DOI" : "10.1016/bs.ircmb.2015.09.006", "ISBN" : "9780128047071", "ISSN" : "19376448", "PMID" : "26811291", "abstract" : "Oxysterol-binding protein (OSBP) and its related protein homologs, ORPs, constitute a conserved family of lipid-binding/transfer proteins (LTPs) expressed ubiquitously in eukaryotes. The ligand-binding domain of ORPs accommodates cholesterol and oxysterols, but also glycerophospholipids, particularly phosphatidylinositol-4-phosphate (PI4P). ORPs have been implicated as intracellular lipid sensors or transporters. Most ORPs carry targeting determinants for the endoplasmic reticulum (ER) and non-ER organelle membrane. ORPs are located and function at membrane contact sites (MCSs), at which ER is closely apposed with other organelle limiting membranes. Such sites have roles in lipid transport and metabolism, control of Ca2+ fluxes, and signaling events. ORPs are postulated either to transport lipids over MCSs to maintain the distinct lipid compositions of organelle membranes, or to control the activity of enzymes/protein complexes with functions in signaling and lipid metabolism. ORPs may transfer PI4P and another lipid class bidirectionally. Transport of PI4P followed by its hydrolysis would in this model provide the energy for transfer of the other lipid against its concentration gradient. Control of organelle lipid compositions by OSBP/ORPs is important for the life cycles of several pathogenic viruses. Targeting ORPs with small-molecular antagonists is proposed as a new strategy to combat viral infections. Several ORPs are reported to modulate vesicle transport along the secretory or endocytic pathways. Moreover, antagonists of certain ORPs inhibit cancer cell proliferation. Thus, ORPs are LTPs, which mediate interorganelle lipid transport and coordinate lipid signals with a variety of cellular regimes. \u00a9 2016 Elsevier Inc.", "author" : [ { "dropping-particle" : "", "family" : "Kentala", "given" : "Henriikka", "non-dropping-particle" : "", "parse-names" : false, "suffix" : "" }, { "dropping-particle" : "", "family" : "Weber-Boyvat", "given" : "Marion", "non-dropping-particle" : "", "parse-names" : false, "suffix" : "" }, { "dropping-particle" : "", "family" : "Olkkonen", "given" : "Vesa M.", "non-dropping-particle" : "", "parse-names" : false, "suffix" : "" } ], "container-title" : "International Review of Cell and Molecular Biology", "id" : "ITEM-2", "issued" : { "date-parts" : [ [ "2016" ] ] }, "page" : "299-340", "publisher" : "Elsevier Inc.", "title" : "OSBP-Related Protein Family: Mediators of Lipid Transport and Signaling at Membrane Contact Sites", "type" : "chapter", "volume" : "321" }, "uris" : [ "http://www.mendeley.com/documents/?uuid=7c663f30-c65b-31df-9a8a-64082bbf3669" ] }, { "id" : "ITEM-3", "itemData" : { "DOI" : "10.1042/0264-6021:3610461", "ISSN" : "02646021", "PMID" : "11802775", "abstract" : "Oxysterol-binding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 "author" : [ { "dropping-particle" : "", "family" : "Wang", "given" : "Cheng", "non-dropping-particle" : "", "parse-names" : false, "suffix" : "" }, { "dropping-particle" : "", "family" : "JeBailey", "given" : "Lellean", "non-dropping-particle" : "", "parse-names" : false, "suffix" : "" }, { "dropping-particle" : "", "family" : "Ridgway", "given" : "Neale D.", "non-dropping-particle" : "", "parse-names" : false, "suffix" : "" } ], "container-title" : "Biochemical Journal", "id" : "ITEM-3", "issue" : "3", "issued" : { "date-parts" : [ [ "2002", "2", "1" ] ] }, "page" : "461-472", "publisher" : "Portland Press Ltd", "title" : "Oxysterol-binding-protein (OSBP)-related protein 4 binds 25-hydroxycholesterol and interacts with vimentin intermediate filaments", "type" : "article-journal", "volume" : "361" }, "uris" : [ "http://www.mendeley.com/documents/?uuid=60a3fda5-f507-3202-a1d5-fdc63564d102" ] }, { "id" : "ITEM-4", "itemData" : { "DOI" : "10.1042/bj3360247", "ISSN" : "02646021", "abstract" : "Sphingomyelin (SM) and cholesterol content is positively correlated in cellular membranes, and in several pathological and experimental conditions there is evidence for coregulation. The potential role of oxysterols and oxysterol binding protein (OSBP) in mediating the coregulation of cholesterol and SM was examined using Chinese hamster ovary (CHO) and cholesterol auxotrophic, sterol regulatory defective (SRD) 6 cells. SRD 6 cells grown in the presence or absence of cholesterol for 24 h displayed a 30-50% reduction in SM synthesis compared with control CHO 7 cells. SM synthesis in CHO 7 and cholesterol-supplemented SRD 6 cells was stimulated 2-fold by 25-hydroxycholesterol, but cholesterol-starved SRD 6 cells were unresponsive. Basal and 25-hydroxycholesterol-stimulated SM synthesis was also inhibited in lovastatin-treated wild-type CHO-K1 cells. Lack of 25-hydroxycholesterol activation of SM synthesis in cholesterol-starved SRD 6 and lovastatin-treated CHO-K1 cells was correlated with dephosphorylation of OSBP. In SRD 6 cells, this was evident after 12 h of cholesterol depletion, it occurred equally at all phosphorylation sites and was exacerbated by 25-hydroxycholesterol. Unlike CHO 7 cells, where OSBP was observed in small vesicles and the cytoplasm, OSBP in cholesterol-starved SRD 6 cells was constitutively localized in the Golgi apparatus. Supplementation with non-lipoprotein cholesterol promoted redistribution to vesicles and the cytoplasm. Similarly, OSBP in CHO-K1 cells grown in delipidated serum was predominantly in the Golgi apparatus. Low-density lipoprotein (LDL) supplementation of CHO-K1 cells caused the redistribution of OSBP to the cytoplasm and small vesicles, and this effect was blocked by pharmacological agents {3-\u03b2-[2-(diethylamino)ethoxy]androst-5-en-17-one and progesterone}, which inhibited LDL cholesterol efflux from lysosomes. The results showed that localization of OSBP between the Golgi apparatus and a cytoplasmic/vesicular compartment was responsive to changes in cholesterol content and trafficking. In cholesterol depleted SRD 6 cells, this was accompanied by dephosphorylation of OSBP and attenuation of 25-hydroxycholesterol activation of SM synthesis.", "author" : [ { "dropping-particle" : "", "family" : "Storey", "given" : "Margo K.", "non-dropping-particle" : "", "parse-names" : false, "suffix" : "" }, { "dropping-particle" : "", "family" : "Byers", "given" : "David M.", "non-dropping-particle" : "", "parse-names" : false, "suffix" : "" }, { "dropping-particle" : "", "family" : "Cook", "given" : "Harold W.", "non-dropping-particle" : "", "parse-names" : false, "suffix" : "" }, { "dropping-particle" : "", "family" : "Ridgway", "given" : "Neale D.", "non-dropping-particle" : "", "parse-names" : false, "suffix" : "" } ], "container-title" : "Biochemical Journal", "id" : "ITEM-4", "issue" : "1", "issued" : { "date-parts" : [ [ "1998", "11", "15" ] ] }, "page" : "247-256", "title" : "Cholesterol regulates Oxysterol Binding Protein (OSBP) phosphorylation and Golgi localization in Chinese hamster ovary cells: Correlation with stimulation of sphingomyelin synthesis by 25-hydroxycholesterol", "type" : "article-journal", "volume" : "336" }, "uris" : [ "http://www.mendeley.com/documents/?uuid=640597e5-4dd4-3064-91a4-ad19c31b9abe" ] }, { "id" : "ITEM-5", "itemData" : { "URL" : "https://www.ncbi.nlm.nih.gov/pubmed/24209621", "accessed" : { "date-parts" : [ [ "2020", "4", "8" ] ] }, "id" : "ITEM-5", "issued" : { "date-parts" : [ [ "0" ] ] }, "title" : "A four-step cycle driven by PI(4)P hydrolysis directs sterol/PI(4)P exchange by the ER-Golgi tether OSBP. - PubMed - NCBI", "type" : "webpage" }, "uris" : [ "http://www.mendeley.com/documents/?uuid=fbad27ab-de85-3942-adba-8dee86e00a9a" ] } ], "mendeley" : { "formattedCitation" : "&lt;sup&gt;17,23,35\u201337&lt;/sup&gt;", "plainTextFormattedCitation" : "17,23,35\u201337", "previouslyFormattedCitation" : "&lt;sup&gt;17,23,35\u201337&lt;/sup&gt;" }, "properties" : { "noteIndex" : 0 }, "schema" : "https://github.com/citation-style-language/schema/raw/master/csl-citation.json" }</w:instrText>
      </w:r>
      <w:r w:rsidRPr="000E162A">
        <w:fldChar w:fldCharType="separate"/>
      </w:r>
      <w:r w:rsidR="00CB7208" w:rsidRPr="00CB7208">
        <w:rPr>
          <w:noProof/>
          <w:vertAlign w:val="superscript"/>
        </w:rPr>
        <w:t>17,23,35–37</w:t>
      </w:r>
      <w:r w:rsidRPr="000E162A">
        <w:fldChar w:fldCharType="end"/>
      </w:r>
      <w:r>
        <w:t xml:space="preserve"> </w:t>
      </w:r>
      <w:r w:rsidR="000E162A" w:rsidRPr="000E162A">
        <w:t>OSBP is reported to be located at the Golgi/endoplasmic reticulum (ER) membrane contact site (MCS), where it traffics cholesterol from the ER to the Gogi, while retroactively trafficking phosphatidylinositol 4-phospate (PI</w:t>
      </w:r>
      <w:r w:rsidR="000E162A" w:rsidRPr="000849BF">
        <w:t>4</w:t>
      </w:r>
      <w:r w:rsidR="000E162A" w:rsidRPr="000E162A">
        <w:t>P) from the Golgi to the ER.</w:t>
      </w:r>
      <w:r w:rsidR="000E162A" w:rsidRPr="000E162A">
        <w:fldChar w:fldCharType="begin" w:fldLock="1"/>
      </w:r>
      <w:r w:rsidR="00CB7208">
        <w:instrText>ADDIN CSL_CITATION { "citationItems" : [ { "id" : "ITEM-1", "itemData" : { "DOI" : "10.1083/jcb.116.2.307", "ISSN" : "00219525", "PMID" : "1730758", "abstract" : "A cDNA encoding a cytoplasmic oxysterol binding protein was expressed at high levels by transfection in animal cells. This protein binds oxysterols such as 25-hydroxycholesterol that regulate sterol metabolism by transcriptional and posttranscriptional effects. In the transfected cells, some of the oxysterol binding protein (OSBP) was distributed diffusely in the cytoplasm, and some was bound to small vesicles near the nucleus, as revealed by indirect immunofluorescence. Upon addition of 25-hydroxycholesterol, most of the OSBP became concentrated in large perinuclear structures that stained with lentil lectin, a protein that stains the Golgi apparatus. The structures that contained OSBP were disrupted by brefeldin A, confirming their identification as Golgi. A mutant OSBP lacking the COOH-terminal oxysterol binding domain localized to the Golgi spontaneously, suggesting that this domain normally occludes the domain that binds to the Golgi and that sterols relieve this occlusion. The previously noted potential leucine zipper sequence in OSBP was not required for Golgi localization, nor was it essential for homodimer formation. We conclude that OSBP is triggered to bind extrinsically to Golgi membranes when it binds oxysterols and speculate that this translocation may play a role in the transport, metabolism, or regulatory actions of oxysterols.", "author" : [ { "dropping-particle" : "", "family" : "Ridgway", "given" : "N. D.", "non-dropping-particle" : "", "parse-names" : false, "suffix" : "" }, { "dropping-particle" : "", "family" : "Dawson", "given" : "P. A.", "non-dropping-particle" : "", "parse-names" : false, "suffix" : "" }, { "dropping-particle" : "", "family" : "Ho", "given" : "Y. K.", "non-dropping-particle" : "", "parse-names" : false, "suffix" : "" }, { "dropping-particle" : "", "family" : "Brown", "given" : "M. S.", "non-dropping-particle" : "", "parse-names" : false, "suffix" : "" }, { "dropping-particle" : "", "family" : "Goldstein", "given" : "J. L.", "non-dropping-particle" : "", "parse-names" : false, "suffix" : "" } ], "container-title" : "Journal of Cell Biology", "id" : "ITEM-1", "issue" : "2", "issued" : { "date-parts" : [ [ "1992", "1", "15" ] ] }, "page" : "307-319", "publisher" : "The Rockefeller University Press", "title" : "Translocation of oxysterol binding protein to Golgi apparatus triggered by ligand binding", "type" : "article-journal", "volume" : "116" }, "uris" : [ "http://www.mendeley.com/documents/?uuid=a0b0f196-f9a2-3236-ae9c-bbd66b82ee9c" ] }, { "id" : "ITEM-2", "itemData" : { "DOI" : "10.1016/s0960-9822(98)70296-9", "ISSN" : "0960-9822", "PMID" : "9651677", "abstract" : "BACKGROUND Peripheral membrane proteins are targeted to the cytoplasmic face of specific intracellular membranes. The organelle-specific ligands recognised by peripheral proteins include other proteins and lipids. Oxysterol-binding protein (OSBP) translocates from the cytoplasm to the Golgi apparatus on binding oxygenated derivatives of cholesterol. The mechanism by which OSBP recognises the Golgi is unknown. It does, however, contain a pleckstrin homology (PH) domain, which in other proteins has been found to mediate regulated membrane binding, although in all previously studied examples the binding is to the plasma membrane. RESULTS The PH domain of OSBP and of a yeast homologue, Osh1p, were sufficient to target proteins specifically to mammalian Golgi membranes. In addition, high level expression disrupted Golgi architecture and prevented forward traffic of cargo protein. In vitro, the OSBP PH domain bound to Golgi membranes in a manner apparently dependent on phosphatidylinositol-4,5-bisphosphate (PI(4,5)P2) or a related phosphatidylinositide. The OSBP PH domain bound to PI(4,5)P2 in liposomes with a submicromolar dissociation constant. CONCLUSIONS The PH domains of OSBP and its yeast homologue recognise a determinant which is specific to Golgi membranes and important for Golgi function. The determinant appears to be a combination or a phosphatidylinositol polyphosphate and a second, Golgi-specific feature.", "author" : [ { "dropping-particle" : "", "family" : "Levine", "given" : "T P", "non-dropping-particle" : "", "parse-names" : false, "suffix" : "" }, { "dropping-particle" : "", "family" : "Munro", "given" : "S", "non-dropping-particle" : "", "parse-names" : false, "suffix" : "" } ], "container-title" : "Current biology : CB", "id" : "ITEM-2", "issue" : "13", "issued" : { "date-parts" : [ [ "1998", "6", "18" ] ] }, "page" : "729-39", "title" : "The pleckstrin homology domain of oxysterol-binding protein recognises a determinant specific to Golgi membranes.", "type" : "article-journal", "volume" : "8" }, "uris" : [ "http://www.mendeley.com/documents/?uuid=992b3d91-db30-32e3-9ece-5c99352e3a54" ] } ], "mendeley" : { "formattedCitation" : "&lt;sup&gt;38,39&lt;/sup&gt;", "plainTextFormattedCitation" : "38,39", "previouslyFormattedCitation" : "&lt;sup&gt;38,39&lt;/sup&gt;" }, "properties" : { "noteIndex" : 0 }, "schema" : "https://github.com/citation-style-language/schema/raw/master/csl-citation.json" }</w:instrText>
      </w:r>
      <w:r w:rsidR="000E162A" w:rsidRPr="000E162A">
        <w:fldChar w:fldCharType="separate"/>
      </w:r>
      <w:r w:rsidR="00CB7208" w:rsidRPr="00CB7208">
        <w:rPr>
          <w:noProof/>
          <w:vertAlign w:val="superscript"/>
        </w:rPr>
        <w:t>38,39</w:t>
      </w:r>
      <w:r w:rsidR="000E162A" w:rsidRPr="000E162A">
        <w:fldChar w:fldCharType="end"/>
      </w:r>
      <w:r w:rsidR="000E162A" w:rsidRPr="000E162A">
        <w:t xml:space="preserve"> This process is believed to be fueled by a PI4P lipid pool </w:t>
      </w:r>
      <w:r w:rsidR="000E162A" w:rsidRPr="000E162A">
        <w:lastRenderedPageBreak/>
        <w:t>produced by the phosphorylation of phosphatidylinositol by PI4KIIIβ kinase at the Golgi and the hydrolysis of PI4P by SAC1 on the ER membrane.</w:t>
      </w:r>
      <w:r w:rsidR="00012F48">
        <w:fldChar w:fldCharType="begin" w:fldLock="1"/>
      </w:r>
      <w:r w:rsidR="00CB7208">
        <w:instrText>ADDIN CSL_CITATION { "citationItems" : [ { "id" : "ITEM-1", "itemData" : { "DOI" : "10.1016/j.bcp.2013.02.016", "ISSN" : "18732968", "abstract" : "Oxysterol-binding (OSBP)-related proteins (ORPs) constitute a family of sterol and phosphoinositide binding/transfer proteins in eukaryotes from yeast to man. While their functions have mainly been addressed in cellular lipid metabolism or sterol transport, increasing evidence points to more versatile regulatory roles in a spectrum of cellular regimes. In fact ORPs do not appear to be robust controllers of lipid homeostasis. Several ORPs localize at membrane contacts sites (MCS), where endoplasmic reticulum (ER) is apposed with other organelle limiting membranes. Apparently, ORPs have the capacity to control the formation of MCS or activity of enzymatic machineries at these sites. Thereby, ORPs most likely affect organelle membrane lipid compositions, with impacts on signaling and vesicle transport, but also cellular lipid metabolism. Moreover, an increasing number of protein interaction partners of ORPs have been identified, connecting these proteins with various aspects of cell regulation. Small molecular anti-proliferative compounds, ORPphilins, were recently found to target two members of the ORP family, OSBP and ORP4, revealing an essential function of ORPs in cancer cell proliferation and survival. Further functions assigned for ORPs include regulation of extracellular signal regulated kinase (ERK) activity (OSBP), control of ER-late endosome MCS and late endosome motility (ORP1L), regulation of b1-integrin activity (ORP3), modulation of hepatocyte insulin signaling and macrophage migration (ORP8), as well as post-Golgi vesicle transport, phosphatidylinositol-4-phosphate and target of rapamycin complex 1 signaling and nitrogen sensing (Saccharomyces cerevisiae Osh4p). These and other recent observations shed light on the ORPs as integrators of lipid signals with an unforeseen variety of vital cellular processes. \u00a9 2013 Elsevier Inc. All rights reserved.", "author" : [ { "dropping-particle" : "", "family" : "Weber-Boyvat", "given" : "Marion", "non-dropping-particle" : "", "parse-names" : false, "suffix" : "" }, { "dropping-particle" : "", "family" : "Zhong", "given" : "Wenbin", "non-dropping-particle" : "", "parse-names" : false, "suffix" : "" }, { "dropping-particle" : "", "family" : "Yan", "given" : "Daoguang", "non-dropping-particle" : "", "parse-names" : false, "suffix" : "" }, { "dropping-particle" : "", "family" : "Olkkonen", "given" : "Vesa M.", "non-dropping-particle" : "", "parse-names" : false, "suffix" : "" } ], "container-title" : "Biochemical Pharmacology", "id" : "ITEM-1", "issue" : "1", "issued" : { "date-parts" : [ [ "2013", "7", "1" ] ] }, "page" : "89-95", "publisher" : "Elsevier Inc.", "title" : "Oxysterol-binding proteins: Functions in cell regulation beyond lipid metabolism", "type" : "article", "volume" : "86" }, "uris" : [ "http://www.mendeley.com/documents/?uuid=16b8603e-819b-3e1b-9656-ff632aced2be" ] }, { "id" : "ITEM-2", "itemData" : { "DOI" : "10.1016/bs.ircmb.2015.09.006", "ISBN" : "9780128047071", "ISSN" : "19376448", "PMID" : "26811291", "abstract" : "Oxysterol-binding protein (OSBP) and its related protein homologs, ORPs, constitute a conserved family of lipid-binding/transfer proteins (LTPs) expressed ubiquitously in eukaryotes. The ligand-binding domain of ORPs accommodates cholesterol and oxysterols, but also glycerophospholipids, particularly phosphatidylinositol-4-phosphate (PI4P). ORPs have been implicated as intracellular lipid sensors or transporters. Most ORPs carry targeting determinants for the endoplasmic reticulum (ER) and non-ER organelle membrane. ORPs are located and function at membrane contact sites (MCSs), at which ER is closely apposed with other organelle limiting membranes. Such sites have roles in lipid transport and metabolism, control of Ca2+ fluxes, and signaling events. ORPs are postulated either to transport lipids over MCSs to maintain the distinct lipid compositions of organelle membranes, or to control the activity of enzymes/protein complexes with functions in signaling and lipid metabolism. ORPs may transfer PI4P and another lipid class bidirectionally. Transport of PI4P followed by its hydrolysis would in this model provide the energy for transfer of the other lipid against its concentration gradient. Control of organelle lipid compositions by OSBP/ORPs is important for the life cycles of several pathogenic viruses. Targeting ORPs with small-molecular antagonists is proposed as a new strategy to combat viral infections. Several ORPs are reported to modulate vesicle transport along the secretory or endocytic pathways. Moreover, antagonists of certain ORPs inhibit cancer cell proliferation. Thus, ORPs are LTPs, which mediate interorganelle lipid transport and coordinate lipid signals with a variety of cellular regimes. \u00a9 2016 Elsevier Inc.", "author" : [ { "dropping-particle" : "", "family" : "Kentala", "given" : "Henriikka", "non-dropping-particle" : "", "parse-names" : false, "suffix" : "" }, { "dropping-particle" : "", "family" : "Weber-Boyvat", "given" : "Marion", "non-dropping-particle" : "", "parse-names" : false, "suffix" : "" }, { "dropping-particle" : "", "family" : "Olkkonen", "given" : "Vesa M.", "non-dropping-particle" : "", "parse-names" : false, "suffix" : "" } ], "container-title" : "International Review of Cell and Molecular Biology", "id" : "ITEM-2", "issued" : { "date-parts" : [ [ "2016" ] ] }, "page" : "299-340", "publisher" : "Elsevier Inc.", "title" : "OSBP-Related Protein Family: Mediators of Lipid Transport and Signaling at Membrane Contact Sites", "type" : "chapter", "volume" : "321" }, "uris" : [ "http://www.mendeley.com/documents/?uuid=7c663f30-c65b-31df-9a8a-64082bbf3669" ] } ], "mendeley" : { "formattedCitation" : "&lt;sup&gt;17,30&lt;/sup&gt;", "plainTextFormattedCitation" : "17,30", "previouslyFormattedCitation" : "&lt;sup&gt;17,30&lt;/sup&gt;" }, "properties" : { "noteIndex" : 0 }, "schema" : "https://github.com/citation-style-language/schema/raw/master/csl-citation.json" }</w:instrText>
      </w:r>
      <w:r w:rsidR="00012F48">
        <w:fldChar w:fldCharType="separate"/>
      </w:r>
      <w:r w:rsidR="00CB7208" w:rsidRPr="00CB7208">
        <w:rPr>
          <w:noProof/>
          <w:vertAlign w:val="superscript"/>
        </w:rPr>
        <w:t>17,30</w:t>
      </w:r>
      <w:r w:rsidR="00012F48">
        <w:fldChar w:fldCharType="end"/>
      </w:r>
      <w:r w:rsidR="000E162A" w:rsidRPr="000E162A">
        <w:t xml:space="preserve"> OSBP mediates this transfer keeping the concentration gradient intact in both organelle membrane.</w:t>
      </w:r>
      <w:r w:rsidR="000E162A" w:rsidRPr="000E162A">
        <w:fldChar w:fldCharType="begin" w:fldLock="1"/>
      </w:r>
      <w:r w:rsidR="00CB7208">
        <w:instrText>ADDIN CSL_CITATION { "citationItems" : [ { "id" : "ITEM-1", "itemData" : { "DOI" : "http://dx.doi.org/10.1016/j.cell.2013.09.056", "ISSN" : "0092-8674", "abstract" : "Summary Several proteins at endoplasmic reticulum (ER)-Golgi membrane contact sites contain a PH domain that interacts with the Golgi phosphoinositide PI(4)P, a FFAT motif that interacts with the ER protein VAP-A, and a lipid transfer domain. This architecture suggests the ability to both tether organelles and transport lipids between them. We show that in oxysterol binding protein (OSBP) these two activities are coupled by a four-step cycle. Membrane tethering by\u00a0the PH domain and the FFAT motif enables sterol transfer by the lipid transfer domain (ORD), followed by back transfer of PI(4)P by the ORD. Finally, PI(4)P is hydrolyzed in cis by the ER protein Sac1. The energy provided by PI(4)P hydrolysis drives sterol transfer and allows negative feedback when PI(4)P becomes limiting. Other lipid transfer proteins are tethered by the same mechanism. Thus, OSBP-mediated back transfer of PI(4)P might coordinate the transfer of other lipid species at the ER-Golgi interface.", "author" : [ { "dropping-particle" : "", "family" : "Mesmin", "given" : "Bruno", "non-dropping-particle" : "", "parse-names" : false, "suffix" : "" }, { "dropping-particle" : "", "family" : "Bigay", "given" : "Jo\u00eblle", "non-dropping-particle" : "", "parse-names" : false, "suffix" : "" }, { "dropping-particle" : "", "family" : "Moser\u00a0von\u00a0Filseck", "given" : "Joachim", "non-dropping-particle" : "", "parse-names" : false, "suffix" : "" }, { "dropping-particle" : "", "family" : "Lacas-Gervais", "given" : "Sandra", "non-dropping-particle" : "", "parse-names" : false, "suffix" : "" }, { "dropping-particle" : "", "family" : "Drin", "given" : "Guillaume", "non-dropping-particle" : "", "parse-names" : false, "suffix" : "" }, { "dropping-particle" : "", "family" : "Antonny", "given" : "Bruno", "non-dropping-particle" : "", "parse-names" : false, "suffix" : "" } ], "container-title" : "Cell", "id" : "ITEM-1", "issue" : "4", "issued" : { "date-parts" : [ [ "2013", "11", "7" ] ] }, "page" : "830-843", "title" : "A Four-Step Cycle Driven by PI(4)P Hydrolysis Directs Sterol/PI(4)P Exchange by the ER-Golgi Tether OSBP", "type" : "article-journal", "volume" : "155" }, "uris" : [ "http://www.mendeley.com/documents/?uuid=6910f24e-a7ff-4c93-82f0-98a29513b1dc" ] } ], "mendeley" : { "formattedCitation" : "&lt;sup&gt;40&lt;/sup&gt;", "plainTextFormattedCitation" : "40", "previouslyFormattedCitation" : "&lt;sup&gt;40&lt;/sup&gt;" }, "properties" : { "noteIndex" : 0 }, "schema" : "https://github.com/citation-style-language/schema/raw/master/csl-citation.json" }</w:instrText>
      </w:r>
      <w:r w:rsidR="000E162A" w:rsidRPr="000E162A">
        <w:fldChar w:fldCharType="separate"/>
      </w:r>
      <w:r w:rsidR="00CB7208" w:rsidRPr="00CB7208">
        <w:rPr>
          <w:noProof/>
          <w:vertAlign w:val="superscript"/>
        </w:rPr>
        <w:t>40</w:t>
      </w:r>
      <w:r w:rsidR="000E162A" w:rsidRPr="000E162A">
        <w:fldChar w:fldCharType="end"/>
      </w:r>
      <w:r w:rsidR="000E162A" w:rsidRPr="000E162A">
        <w:t xml:space="preserve"> Further studies also suggested that OSBP is able to recruit CERT to the Golgi-ER interface for ceramide transport and sphingomyelin production. In this model,  PI4KIIIβ is stimulated to increase   PI4P production, producing another level of lipid regulation at cellular membranes.</w:t>
      </w:r>
      <w:r w:rsidR="000E162A" w:rsidRPr="000E162A">
        <w:fldChar w:fldCharType="begin" w:fldLock="1"/>
      </w:r>
      <w:r w:rsidR="00CB7208">
        <w:instrText>ADDIN CSL_CITATION { "citationItems" : [ { "id" : "ITEM-1", "itemData" : { "ISBN" : "1059-1524 (Print)", "PMID" : "16571669", "abstract" : "Monitoring Editor: Sean Munro Sphingomyelin (SM) and cholesterol are coregulated metabolically and associate physically in membrane microdomains involved in cargo sorting and signaling. One mechanism for regulation of this metabolic interface involves oxysterol binding protein (OSBP) via high-affinity binding to oxysterol regulators of cholesterol homeostasis and activation of SM synthesis at the Golgi apparatus. Here we show that OSBP regulation of SM synthesis involves the ER-to-Golgi ceramide transport protein (CERT). RNA interference (RNAi) experiments in CHO-K1 cells revealed that OSBP and vesicle-associated membrane protein-associated protein (VAP) were required for stimulation of CERT-dependent ceramide transport and SM synthesis by 25-hydroxycholesterol and cholesterol depletion in response to cyclodextrin. Additional RNAi experiments in HEK293 cells supported OSBP involvement in oxysterol-activated SM synthesis and also revealed a role for OSBP in basal SM synthesis. Activation of ER-to-Golgi ceramide transport in CHO-K1 cells required interaction of OSBP with the ER and Golgi apparatus, OSBP-dependent Golgi translocation of CERT and enhanced CERT-VAP interaction. Regulation of CERT by OSBP, sterols and VAP reveals a novel mechanism for integrating sterol regulatory signals with ceramide transport and SM synthesis in the Golgi apparatus.", "author" : [ { "dropping-particle" : "", "family" : "Perry", "given" : "R J", "non-dropping-particle" : "", "parse-names" : false, "suffix" : "" }, { "dropping-particle" : "", "family" : "Ridgway", "given" : "N D", "non-dropping-particle" : "", "parse-names" : false, "suffix" : "" } ], "container-title" : "Mol Biol Cell", "id" : "ITEM-1", "issued" : { "date-parts" : [ [ "2006" ] ] }, "title" : "Oxysterol-binding Protein and VAMP-associated Protein Are Required for Sterol-dependent Activation of the Ceramide Transport Protein", "type" : "article-journal" }, "uris" : [ "http://www.mendeley.com/documents/?uuid=68122b5a-558f-33d9-b7fb-f0530c5e86e6" ] } ], "mendeley" : { "formattedCitation" : "&lt;sup&gt;41&lt;/sup&gt;", "plainTextFormattedCitation" : "41", "previouslyFormattedCitation" : "&lt;sup&gt;41&lt;/sup&gt;" }, "properties" : { "noteIndex" : 0 }, "schema" : "https://github.com/citation-style-language/schema/raw/master/csl-citation.json" }</w:instrText>
      </w:r>
      <w:r w:rsidR="000E162A" w:rsidRPr="000E162A">
        <w:fldChar w:fldCharType="separate"/>
      </w:r>
      <w:r w:rsidR="00CB7208" w:rsidRPr="00CB7208">
        <w:rPr>
          <w:noProof/>
          <w:vertAlign w:val="superscript"/>
        </w:rPr>
        <w:t>41</w:t>
      </w:r>
      <w:r w:rsidR="000E162A" w:rsidRPr="000E162A">
        <w:fldChar w:fldCharType="end"/>
      </w:r>
      <w:r w:rsidR="000E162A" w:rsidRPr="000E162A">
        <w:t xml:space="preserve"> </w:t>
      </w:r>
    </w:p>
    <w:p w14:paraId="7311482B" w14:textId="0B75E4E2" w:rsidR="000E162A" w:rsidRPr="000E162A" w:rsidRDefault="00655CA3" w:rsidP="00926BEA">
      <w:pPr>
        <w:ind w:firstLine="720"/>
        <w:jc w:val="both"/>
      </w:pPr>
      <w:r w:rsidRPr="000E162A">
        <w:rPr>
          <w:noProof/>
        </w:rPr>
        <mc:AlternateContent>
          <mc:Choice Requires="wps">
            <w:drawing>
              <wp:anchor distT="45720" distB="45720" distL="114300" distR="114300" simplePos="0" relativeHeight="251705344" behindDoc="0" locked="0" layoutInCell="1" allowOverlap="1" wp14:anchorId="396F8093" wp14:editId="0DF35A57">
                <wp:simplePos x="0" y="0"/>
                <wp:positionH relativeFrom="margin">
                  <wp:posOffset>0</wp:posOffset>
                </wp:positionH>
                <wp:positionV relativeFrom="paragraph">
                  <wp:posOffset>363</wp:posOffset>
                </wp:positionV>
                <wp:extent cx="5343525" cy="3868420"/>
                <wp:effectExtent l="0" t="0" r="28575" b="17780"/>
                <wp:wrapSquare wrapText="bothSides"/>
                <wp:docPr id="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3868420"/>
                        </a:xfrm>
                        <a:prstGeom prst="rect">
                          <a:avLst/>
                        </a:prstGeom>
                        <a:solidFill>
                          <a:srgbClr val="FFFFFF"/>
                        </a:solidFill>
                        <a:ln w="9525">
                          <a:solidFill>
                            <a:srgbClr val="000000"/>
                          </a:solidFill>
                          <a:miter lim="800000"/>
                          <a:headEnd/>
                          <a:tailEnd/>
                        </a:ln>
                      </wps:spPr>
                      <wps:txbx>
                        <w:txbxContent>
                          <w:p w14:paraId="50C3AF6F" w14:textId="77777777" w:rsidR="00730B8F" w:rsidRDefault="00730B8F">
                            <w:pPr>
                              <w:keepNext/>
                            </w:pPr>
                            <w:r w:rsidRPr="00560ED6">
                              <w:rPr>
                                <w:noProof/>
                              </w:rPr>
                              <w:drawing>
                                <wp:inline distT="0" distB="0" distL="0" distR="0" wp14:anchorId="5A3ECF38" wp14:editId="36A074A2">
                                  <wp:extent cx="5147310" cy="33286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47310" cy="3328670"/>
                                          </a:xfrm>
                                          <a:prstGeom prst="rect">
                                            <a:avLst/>
                                          </a:prstGeom>
                                          <a:noFill/>
                                          <a:ln>
                                            <a:noFill/>
                                          </a:ln>
                                        </pic:spPr>
                                      </pic:pic>
                                    </a:graphicData>
                                  </a:graphic>
                                </wp:inline>
                              </w:drawing>
                            </w:r>
                          </w:p>
                          <w:p w14:paraId="7E2E1335" w14:textId="00BED003" w:rsidR="00730B8F" w:rsidRDefault="00730B8F">
                            <w:pPr>
                              <w:pStyle w:val="Caption"/>
                            </w:pPr>
                            <w:bookmarkStart w:id="20" w:name="_Ref38372867"/>
                            <w:bookmarkStart w:id="21" w:name="_Toc39868215"/>
                            <w:r>
                              <w:t xml:space="preserve">Figure </w:t>
                            </w:r>
                            <w:r w:rsidR="009425BE">
                              <w:fldChar w:fldCharType="begin"/>
                            </w:r>
                            <w:r w:rsidR="009425BE">
                              <w:instrText xml:space="preserve"> SEQ Figure \* ARABIC </w:instrText>
                            </w:r>
                            <w:r w:rsidR="009425BE">
                              <w:fldChar w:fldCharType="separate"/>
                            </w:r>
                            <w:r>
                              <w:rPr>
                                <w:noProof/>
                              </w:rPr>
                              <w:t>2</w:t>
                            </w:r>
                            <w:r w:rsidR="009425BE">
                              <w:rPr>
                                <w:noProof/>
                              </w:rPr>
                              <w:fldChar w:fldCharType="end"/>
                            </w:r>
                            <w:bookmarkEnd w:id="20"/>
                            <w:r>
                              <w:t xml:space="preserve">: </w:t>
                            </w:r>
                            <w:r w:rsidRPr="00CA75AC">
                              <w:rPr>
                                <w:b w:val="0"/>
                                <w:bCs w:val="0"/>
                              </w:rPr>
                              <w:t>Oxysterol</w:t>
                            </w:r>
                            <w:r>
                              <w:rPr>
                                <w:b w:val="0"/>
                                <w:bCs w:val="0"/>
                              </w:rPr>
                              <w:t>-B</w:t>
                            </w:r>
                            <w:r w:rsidRPr="00CA75AC">
                              <w:rPr>
                                <w:b w:val="0"/>
                                <w:bCs w:val="0"/>
                              </w:rPr>
                              <w:t xml:space="preserve">inding Protein </w:t>
                            </w:r>
                            <w:r>
                              <w:rPr>
                                <w:b w:val="0"/>
                                <w:bCs w:val="0"/>
                              </w:rPr>
                              <w:t>F</w:t>
                            </w:r>
                            <w:r w:rsidRPr="00CA75AC">
                              <w:rPr>
                                <w:b w:val="0"/>
                                <w:bCs w:val="0"/>
                              </w:rPr>
                              <w:t>amily</w:t>
                            </w:r>
                            <w:r>
                              <w:rPr>
                                <w:b w:val="0"/>
                                <w:bCs w:val="0"/>
                              </w:rPr>
                              <w:t>.</w:t>
                            </w:r>
                            <w:r>
                              <w:rPr>
                                <w:b w:val="0"/>
                                <w:bCs w:val="0"/>
                              </w:rPr>
                              <w:fldChar w:fldCharType="begin" w:fldLock="1"/>
                            </w:r>
                            <w:r>
                              <w:rPr>
                                <w:b w:val="0"/>
                                <w:bCs w:val="0"/>
                              </w:rPr>
                              <w:instrText>ADDIN CSL_CITATION { "citationItems" : [ { "id" : "ITEM-1", "itemData" : { "DOI" : "10.1146/annurev.cellbio.042308.113334", "ISSN" : "1081-0706", "abstract" : "Oxysterol-binding protein (OSBP)-related proteins (ORPs) are lipid-binding proteins that are conserved from yeast to humans. They are implicated in many cellular processes including signaling, vesicular trafficking, lipid metabolism, and nonvesicular sterol transport. All ORPs contain an OSBP-related domain (ORD) that has a hydrophobic pocket that binds a single sterol. ORDs also contain additional membrane-binding surfaces, some of which bind phosphoinositides and may regulate sterol binding. Studies in yeast suggest that ORPs function as sterol transporters, perhaps in regions where organelle membranes are closely apposed. Yeast ORPs also participate in vesicular trafficking, although their role is unclear. In mammalian cells, some ORPs function as sterol sensors that regulate the assembly of protein complexes in response to changes in cholesterol levels. This review will summarize recent advances in our understanding of how ORPs bind lipids and membranes and how they function in diverse cellular processes.", "author" : [ { "dropping-particle" : "", "family" : "Raychaudhuri", "given" : "Sumana", "non-dropping-particle" : "", "parse-names" : false, "suffix" : "" }, { "dropping-particle" : "", "family" : "Prinz", "given" : "William A.", "non-dropping-particle" : "", "parse-names" : false, "suffix" : "" } ], "container-title" : "Annual Review of Cell and Developmental Biology", "id" : "ITEM-1", "issue" : "1", "issued" : { "date-parts" : [ [ "2010", "11", "10" ] ] }, "page" : "157-177", "publisher" : "Annual Reviews", "title" : "The Diverse Functions of Oxysterol-Binding Proteins", "type" : "article-journal", "volume" : "26" }, "uris" : [ "http://www.mendeley.com/documents/?uuid=ae85af35-290c-4ca1-bac9-d85f79789c58" ] } ], "mendeley" : { "formattedCitation" : "&lt;sup&gt;142&lt;/sup&gt;", "plainTextFormattedCitation" : "142", "previouslyFormattedCitation" : "&lt;sup&gt;141&lt;/sup&gt;" }, "properties" : { "noteIndex" : 0 }, "schema" : "https://github.com/citation-style-language/schema/raw/master/csl-citation.json" }</w:instrText>
                            </w:r>
                            <w:r>
                              <w:rPr>
                                <w:b w:val="0"/>
                                <w:bCs w:val="0"/>
                              </w:rPr>
                              <w:fldChar w:fldCharType="separate"/>
                            </w:r>
                            <w:r w:rsidRPr="000849BF">
                              <w:rPr>
                                <w:b w:val="0"/>
                                <w:bCs w:val="0"/>
                                <w:noProof/>
                                <w:vertAlign w:val="superscript"/>
                              </w:rPr>
                              <w:t>142</w:t>
                            </w:r>
                            <w:bookmarkEnd w:id="21"/>
                            <w:r>
                              <w:rPr>
                                <w:b w:val="0"/>
                                <w:bCs w:val="0"/>
                              </w:rPr>
                              <w:fldChar w:fldCharType="end"/>
                            </w:r>
                          </w:p>
                          <w:p w14:paraId="0F3C0939" w14:textId="3E6200C1" w:rsidR="00730B8F" w:rsidRDefault="00730B8F">
                            <w:pPr>
                              <w:keepNext/>
                            </w:pPr>
                          </w:p>
                          <w:p w14:paraId="34417CCE" w14:textId="15378D7F" w:rsidR="00730B8F" w:rsidRDefault="00730B8F">
                            <w:pPr>
                              <w:keepNext/>
                            </w:pPr>
                          </w:p>
                          <w:p w14:paraId="110F36FB" w14:textId="34C2E7C0" w:rsidR="00730B8F" w:rsidRDefault="00730B8F">
                            <w:pPr>
                              <w:keepNext/>
                            </w:pPr>
                          </w:p>
                          <w:p w14:paraId="33933D96" w14:textId="42C4C03A" w:rsidR="00730B8F" w:rsidRDefault="00730B8F">
                            <w:pPr>
                              <w:keepNext/>
                            </w:pPr>
                          </w:p>
                          <w:p w14:paraId="500059D8" w14:textId="70452B31" w:rsidR="00730B8F" w:rsidRDefault="00730B8F" w:rsidP="000E162A">
                            <w:pPr>
                              <w:keepNext/>
                            </w:pPr>
                          </w:p>
                          <w:p w14:paraId="2A2FBD1B" w14:textId="77777777" w:rsidR="00730B8F" w:rsidRDefault="00730B8F" w:rsidP="000E16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F8093" id="_x0000_s1027" type="#_x0000_t202" style="position:absolute;left:0;text-align:left;margin-left:0;margin-top:.05pt;width:420.75pt;height:304.6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">
                <v:textbox>
                  <w:txbxContent>
                    <w:p w14:paraId="50C3AF6F" w14:textId="77777777" w:rsidR="00730B8F" w:rsidRDefault="00730B8F">
                      <w:pPr>
                        <w:keepNext/>
                      </w:pPr>
                      <w:r w:rsidRPr="00560ED6">
                        <w:rPr>
                          <w:noProof/>
                        </w:rPr>
                        <w:drawing>
                          <wp:inline distT="0" distB="0" distL="0" distR="0" wp14:anchorId="5A3ECF38" wp14:editId="36A074A2">
                            <wp:extent cx="5147310" cy="33286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47310" cy="3328670"/>
                                    </a:xfrm>
                                    <a:prstGeom prst="rect">
                                      <a:avLst/>
                                    </a:prstGeom>
                                    <a:noFill/>
                                    <a:ln>
                                      <a:noFill/>
                                    </a:ln>
                                  </pic:spPr>
                                </pic:pic>
                              </a:graphicData>
                            </a:graphic>
                          </wp:inline>
                        </w:drawing>
                      </w:r>
                    </w:p>
                    <w:p w14:paraId="7E2E1335" w14:textId="00BED003" w:rsidR="00730B8F" w:rsidRDefault="00730B8F">
                      <w:pPr>
                        <w:pStyle w:val="Caption"/>
                      </w:pPr>
                      <w:bookmarkStart w:id="22" w:name="_Ref38372867"/>
                      <w:bookmarkStart w:id="23" w:name="_Toc39868215"/>
                      <w:r>
                        <w:t xml:space="preserve">Figure </w:t>
                      </w:r>
                      <w:r w:rsidR="009425BE">
                        <w:fldChar w:fldCharType="begin"/>
                      </w:r>
                      <w:r w:rsidR="009425BE">
                        <w:instrText xml:space="preserve"> SEQ Figure \* ARABIC </w:instrText>
                      </w:r>
                      <w:r w:rsidR="009425BE">
                        <w:fldChar w:fldCharType="separate"/>
                      </w:r>
                      <w:r>
                        <w:rPr>
                          <w:noProof/>
                        </w:rPr>
                        <w:t>2</w:t>
                      </w:r>
                      <w:r w:rsidR="009425BE">
                        <w:rPr>
                          <w:noProof/>
                        </w:rPr>
                        <w:fldChar w:fldCharType="end"/>
                      </w:r>
                      <w:bookmarkEnd w:id="22"/>
                      <w:r>
                        <w:t xml:space="preserve">: </w:t>
                      </w:r>
                      <w:r w:rsidRPr="00CA75AC">
                        <w:rPr>
                          <w:b w:val="0"/>
                          <w:bCs w:val="0"/>
                        </w:rPr>
                        <w:t>Oxysterol</w:t>
                      </w:r>
                      <w:r>
                        <w:rPr>
                          <w:b w:val="0"/>
                          <w:bCs w:val="0"/>
                        </w:rPr>
                        <w:t>-B</w:t>
                      </w:r>
                      <w:r w:rsidRPr="00CA75AC">
                        <w:rPr>
                          <w:b w:val="0"/>
                          <w:bCs w:val="0"/>
                        </w:rPr>
                        <w:t xml:space="preserve">inding Protein </w:t>
                      </w:r>
                      <w:r>
                        <w:rPr>
                          <w:b w:val="0"/>
                          <w:bCs w:val="0"/>
                        </w:rPr>
                        <w:t>F</w:t>
                      </w:r>
                      <w:r w:rsidRPr="00CA75AC">
                        <w:rPr>
                          <w:b w:val="0"/>
                          <w:bCs w:val="0"/>
                        </w:rPr>
                        <w:t>amily</w:t>
                      </w:r>
                      <w:r>
                        <w:rPr>
                          <w:b w:val="0"/>
                          <w:bCs w:val="0"/>
                        </w:rPr>
                        <w:t>.</w:t>
                      </w:r>
                      <w:r>
                        <w:rPr>
                          <w:b w:val="0"/>
                          <w:bCs w:val="0"/>
                        </w:rPr>
                        <w:fldChar w:fldCharType="begin" w:fldLock="1"/>
                      </w:r>
                      <w:r>
                        <w:rPr>
                          <w:b w:val="0"/>
                          <w:bCs w:val="0"/>
                        </w:rPr>
                        <w:instrText>ADDIN CSL_CITATION { "citationItems" : [ { "id" : "ITEM-1", "itemData" : { "DOI" : "10.1146/annurev.cellbio.042308.113334", "ISSN" : "1081-0706", "abstract" : "Oxysterol-binding protein (OSBP)-related proteins (ORPs) are lipid-binding proteins that are conserved from yeast to humans. They are implicated in many cellular processes including signaling, vesicular trafficking, lipid metabolism, and nonvesicular sterol transport. All ORPs contain an OSBP-related domain (ORD) that has a hydrophobic pocket that binds a single sterol. ORDs also contain additional membrane-binding surfaces, some of which bind phosphoinositides and may regulate sterol binding. Studies in yeast suggest that ORPs function as sterol transporters, perhaps in regions where organelle membranes are closely apposed. Yeast ORPs also participate in vesicular trafficking, although their role is unclear. In mammalian cells, some ORPs function as sterol sensors that regulate the assembly of protein complexes in response to changes in cholesterol levels. This review will summarize recent advances in our understanding of how ORPs bind lipids and membranes and how they function in diverse cellular processes.", "author" : [ { "dropping-particle" : "", "family" : "Raychaudhuri", "given" : "Sumana", "non-dropping-particle" : "", "parse-names" : false, "suffix" : "" }, { "dropping-particle" : "", "family" : "Prinz", "given" : "William A.", "non-dropping-particle" : "", "parse-names" : false, "suffix" : "" } ], "container-title" : "Annual Review of Cell and Developmental Biology", "id" : "ITEM-1", "issue" : "1", "issued" : { "date-parts" : [ [ "2010", "11", "10" ] ] }, "page" : "157-177", "publisher" : "Annual Reviews", "title" : "The Diverse Functions of Oxysterol-Binding Proteins", "type" : "article-journal", "volume" : "26" }, "uris" : [ "http://www.mendeley.com/documents/?uuid=ae85af35-290c-4ca1-bac9-d85f79789c58" ] } ], "mendeley" : { "formattedCitation" : "&lt;sup&gt;142&lt;/sup&gt;", "plainTextFormattedCitation" : "142", "previouslyFormattedCitation" : "&lt;sup&gt;141&lt;/sup&gt;" }, "properties" : { "noteIndex" : 0 }, "schema" : "https://github.com/citation-style-language/schema/raw/master/csl-citation.json" }</w:instrText>
                      </w:r>
                      <w:r>
                        <w:rPr>
                          <w:b w:val="0"/>
                          <w:bCs w:val="0"/>
                        </w:rPr>
                        <w:fldChar w:fldCharType="separate"/>
                      </w:r>
                      <w:r w:rsidRPr="000849BF">
                        <w:rPr>
                          <w:b w:val="0"/>
                          <w:bCs w:val="0"/>
                          <w:noProof/>
                          <w:vertAlign w:val="superscript"/>
                        </w:rPr>
                        <w:t>142</w:t>
                      </w:r>
                      <w:bookmarkEnd w:id="23"/>
                      <w:r>
                        <w:rPr>
                          <w:b w:val="0"/>
                          <w:bCs w:val="0"/>
                        </w:rPr>
                        <w:fldChar w:fldCharType="end"/>
                      </w:r>
                    </w:p>
                    <w:p w14:paraId="0F3C0939" w14:textId="3E6200C1" w:rsidR="00730B8F" w:rsidRDefault="00730B8F">
                      <w:pPr>
                        <w:keepNext/>
                      </w:pPr>
                    </w:p>
                    <w:p w14:paraId="34417CCE" w14:textId="15378D7F" w:rsidR="00730B8F" w:rsidRDefault="00730B8F">
                      <w:pPr>
                        <w:keepNext/>
                      </w:pPr>
                    </w:p>
                    <w:p w14:paraId="110F36FB" w14:textId="34C2E7C0" w:rsidR="00730B8F" w:rsidRDefault="00730B8F">
                      <w:pPr>
                        <w:keepNext/>
                      </w:pPr>
                    </w:p>
                    <w:p w14:paraId="33933D96" w14:textId="42C4C03A" w:rsidR="00730B8F" w:rsidRDefault="00730B8F">
                      <w:pPr>
                        <w:keepNext/>
                      </w:pPr>
                    </w:p>
                    <w:p w14:paraId="500059D8" w14:textId="70452B31" w:rsidR="00730B8F" w:rsidRDefault="00730B8F" w:rsidP="000E162A">
                      <w:pPr>
                        <w:keepNext/>
                      </w:pPr>
                    </w:p>
                    <w:p w14:paraId="2A2FBD1B" w14:textId="77777777" w:rsidR="00730B8F" w:rsidRDefault="00730B8F" w:rsidP="000E162A"/>
                  </w:txbxContent>
                </v:textbox>
                <w10:wrap type="square" anchorx="margin"/>
              </v:shape>
            </w:pict>
          </mc:Fallback>
        </mc:AlternateContent>
      </w:r>
      <w:r w:rsidR="000E162A" w:rsidRPr="000E162A">
        <w:t>Phosphorylation of OSBP by Protein kinase D (PKD) inactivates OSBP by masking the PH domain and inhibiting the translocation of OSBP to the Golgi.</w:t>
      </w:r>
      <w:r w:rsidR="00CB7208">
        <w:fldChar w:fldCharType="begin" w:fldLock="1"/>
      </w:r>
      <w:r w:rsidR="006B01D5">
        <w:instrText>ADDIN CSL_CITATION { "citationItems" : [ { "id" : "ITEM-1", "itemData" : { "DOI" : "10.1091/mbc.E12-04-0283", "ISSN" : "10591524", "abstract" : "The endoplasmic reticulum (ER)-Golgi sterol transfer activity of oxysterol-binding protein (OSBP) regulates sphingomyelin (SM) synthesis, as well as post-Golgi cholesterol efflux pathways. The phosphorylation and ER-Golgi localization of OSBP are correlated, suggesting this modification regulates the directionality and/or specificity of transfer activity. In this paper, we report that phosphorylation on two serine-rich motifs, S381-S391 (site 1) and S192, S195, S200 (site 2), specifically controls OSBP activity at the ER. A phosphomimetic of the SM/cholesterol-sensitive phosphorylation site 1 (OSBP-S5E) had increased in vitro cholesterol and 25-hydroxycholesterol-binding capacity, and cholesterol extraction from liposomes, but reduced transfer activity. Phosphatidylinositol 4-phosphate (PI(4)P) and cholesterol competed for a common binding site on OSBP; however, direct binding of PI(4)P was not affected by site 1 phosphorylation. Individual site 1 and site 2 phosphomutants supported oxysterol activation of SM synthesis in OSBP-deficient CHO cells. However, a double site1/2 mutant (OSBP-S381A/S3D) was deficient in this activity and was constitutively colocalized with vesicle-associated membrane protein-associated protein A (VAP-A) in a collapsed ER network. This study identifies phosphorylation regulation of sterol and VAP-A binding by OSBP in the ER, and PI(4)P as an alternate ligand that could be exchanged for sterol in the Golgi apparatus. \u00a9 2012 Goto et al.", "author" : [ { "dropping-particle" : "", "family" : "Goto", "given" : "Asako", "non-dropping-particle" : "", "parse-names" : false, "suffix" : "" }, { "dropping-particle" : "", "family" : "Liu", "given" : "Xinwei", "non-dropping-particle" : "", "parse-names" : false, "suffix" : "" }, { "dropping-particle" : "", "family" : "Robinson", "given" : "Carolyn Ann", "non-dropping-particle" : "", "parse-names" : false, "suffix" : "" }, { "dropping-particle" : "", "family" : "Ridgway", "given" : "Neale D.", "non-dropping-particle" : "", "parse-names" : false, "suffix" : "" } ], "container-title" : "Molecular Biology of the Cell", "id" : "ITEM-1", "issue" : "18", "issued" : { "date-parts" : [ [ "2012", "9", "15" ] ] }, "page" : "3624-3635", "publisher" : "American Society for Cell Biology", "title" : "Multisite phosphorylation of oxysterol-binding protein regulates sterol binding and activation of sphingomyelin synthesis", "type" : "article-journal", "volume" : "23" }, "uris" : [ "http://www.mendeley.com/documents/?uuid=3754b7d9-8acd-38b6-b70b-3ec4bb15ab38" ] } ], "mendeley" : { "formattedCitation" : "&lt;sup&gt;42&lt;/sup&gt;", "plainTextFormattedCitation" : "42", "previouslyFormattedCitation" : "&lt;sup&gt;42&lt;/sup&gt;" }, "properties" : { "noteIndex" : 0 }, "schema" : "https://github.com/citation-style-language/schema/raw/master/csl-citation.json" }</w:instrText>
      </w:r>
      <w:r w:rsidR="00CB7208">
        <w:fldChar w:fldCharType="separate"/>
      </w:r>
      <w:r w:rsidR="00CB7208" w:rsidRPr="00CB7208">
        <w:rPr>
          <w:noProof/>
          <w:vertAlign w:val="superscript"/>
        </w:rPr>
        <w:t>42</w:t>
      </w:r>
      <w:r w:rsidR="00CB7208">
        <w:fldChar w:fldCharType="end"/>
      </w:r>
      <w:r w:rsidR="00CB7208">
        <w:t xml:space="preserve"> </w:t>
      </w:r>
      <w:r w:rsidR="000E162A" w:rsidRPr="000E162A">
        <w:t>Furthermore, PKD can activate and inhibit PI4KIIIβ and CERT, respectively.</w:t>
      </w:r>
      <w:r w:rsidR="000E162A" w:rsidRPr="000E162A">
        <w:fldChar w:fldCharType="begin" w:fldLock="1"/>
      </w:r>
      <w:r w:rsidR="00CB7208">
        <w:instrText>ADDIN CSL_CITATION { "citationItems" : [ { "id" : "ITEM-1", "itemData" : { "DOI" : "10.1091/mbc.E12-04-0283", "ISSN" : "10591524", "abstract" : "The endoplasmic reticulum (ER)-Golgi sterol transfer activity of oxysterol-binding protein (OSBP) regulates sphingomyelin (SM) synthesis, as well as post-Golgi cholesterol efflux pathways. The phosphorylation and ER-Golgi localization of OSBP are correlated, suggesting this modification regulates the directionality and/or specificity of transfer activity. In this paper, we report that phosphorylation on two serine-rich motifs, S381-S391 (site 1) and S192, S195, S200 (site 2), specifically controls OSBP activity at the ER. A phosphomimetic of the SM/cholesterol-sensitive phosphorylation site 1 (OSBP-S5E) had increased in vitro cholesterol and 25-hydroxycholesterol-binding capacity, and cholesterol extraction from liposomes, but reduced transfer activity. Phosphatidylinositol 4-phosphate (PI(4)P) and cholesterol competed for a common binding site on OSBP; however, direct binding of PI(4)P was not affected by site 1 phosphorylation. Individual site 1 and site 2 phosphomutants supported oxysterol activation of SM synthesis in OSBP-deficient CHO cells. However, a double site1/2 mutant (OSBP-S381A/S3D) was deficient in this activity and was constitutively colocalized with vesicle-associated membrane protein-associated protein A (VAP-A) in a collapsed ER network. This study identifies phosphorylation regulation of sterol and VAP-A binding by OSBP in the ER, and PI(4)P as an alternate ligand that could be exchanged for sterol in the Golgi apparatus. \u00a9 2012 Goto et al.", "author" : [ { "dropping-particle" : "", "family" : "Goto", "given" : "Asako", "non-dropping-particle" : "", "parse-names" : false, "suffix" : "" }, { "dropping-particle" : "", "family" : "Liu", "given" : "Xinwei", "non-dropping-particle" : "", "parse-names" : false, "suffix" : "" }, { "dropping-particle" : "", "family" : "Robinson", "given" : "Carolyn Ann", "non-dropping-particle" : "", "parse-names" : false, "suffix" : "" }, { "dropping-particle" : "", "family" : "Ridgway", "given" : "Neale D.", "non-dropping-particle" : "", "parse-names" : false, "suffix" : "" } ], "container-title" : "Molecular Biology of the Cell", "id" : "ITEM-1", "issue" : "18", "issued" : { "date-parts" : [ [ "2012", "9", "15" ] ] }, "page" : "3624-3635", "publisher" : "American Society for Cell Biology", "title" : "Multisite phosphorylation of oxysterol-binding protein regulates sterol binding and activation of sphingomyelin synthesis", "type" : "article-journal", "volume" : "23" }, "uris" : [ "http://www.mendeley.com/documents/?uuid=3754b7d9-8acd-38b6-b70b-3ec4bb15ab38" ] } ], "mendeley" : { "formattedCitation" : "&lt;sup&gt;42&lt;/sup&gt;", "plainTextFormattedCitation" : "42", "previouslyFormattedCitation" : "&lt;sup&gt;42&lt;/sup&gt;" }, "properties" : { "noteIndex" : 0 }, "schema" : "https://github.com/citation-style-language/schema/raw/master/csl-citation.json" }</w:instrText>
      </w:r>
      <w:r w:rsidR="000E162A" w:rsidRPr="000E162A">
        <w:fldChar w:fldCharType="separate"/>
      </w:r>
      <w:r w:rsidR="00CB7208" w:rsidRPr="00CB7208">
        <w:rPr>
          <w:noProof/>
          <w:vertAlign w:val="superscript"/>
        </w:rPr>
        <w:t>42</w:t>
      </w:r>
      <w:r w:rsidR="000E162A" w:rsidRPr="000E162A">
        <w:fldChar w:fldCharType="end"/>
      </w:r>
      <w:r w:rsidR="000E162A" w:rsidRPr="000E162A">
        <w:t xml:space="preserve"> This leads to a potential mechanism of action of OSBP where PKD phosphorylation of PI4KIIIβ leads to increased PI4P in the Golgi and recruitment of OSBP through its PH domain and </w:t>
      </w:r>
      <w:r w:rsidR="000E162A" w:rsidRPr="000E162A">
        <w:lastRenderedPageBreak/>
        <w:t>activation of ARF1. This leads to more production of PI4P and recruitment of CERT to the MCS. OSBP’s transportation of cholesterol from the ER to the Golgi and counter transport of PI4P from the Golgi to the ER leads to CERT shutting ceramide leading to Sphingomyelin (SM) production. Together, this represents a lipid homeostasis mechanism controlled by PKD phosphorylation.</w:t>
      </w:r>
      <w:r w:rsidR="000E162A" w:rsidRPr="000E162A">
        <w:fldChar w:fldCharType="begin" w:fldLock="1"/>
      </w:r>
      <w:r w:rsidR="00CB7208">
        <w:instrText>ADDIN CSL_CITATION { "citationItems" : [ { "id" : "ITEM-1", "itemData" : { "DOI" : "10.1091/mbc.E12-04-0283", "ISSN" : "10591524", "abstract" : "The endoplasmic reticulum (ER)-Golgi sterol transfer activity of oxysterol-binding protein (OSBP) regulates sphingomyelin (SM) synthesis, as well as post-Golgi cholesterol efflux pathways. The phosphorylation and ER-Golgi localization of OSBP are correlated, suggesting this modification regulates the directionality and/or specificity of transfer activity. In this paper, we report that phosphorylation on two serine-rich motifs, S381-S391 (site 1) and S192, S195, S200 (site 2), specifically controls OSBP activity at the ER. A phosphomimetic of the SM/cholesterol-sensitive phosphorylation site 1 (OSBP-S5E) had increased in vitro cholesterol and 25-hydroxycholesterol-binding capacity, and cholesterol extraction from liposomes, but reduced transfer activity. Phosphatidylinositol 4-phosphate (PI(4)P) and cholesterol competed for a common binding site on OSBP; however, direct binding of PI(4)P was not affected by site 1 phosphorylation. Individual site 1 and site 2 phosphomutants supported oxysterol activation of SM synthesis in OSBP-deficient CHO cells. However, a double site1/2 mutant (OSBP-S381A/S3D) was deficient in this activity and was constitutively colocalized with vesicle-associated membrane protein-associated protein A (VAP-A) in a collapsed ER network. This study identifies phosphorylation regulation of sterol and VAP-A binding by OSBP in the ER, and PI(4)P as an alternate ligand that could be exchanged for sterol in the Golgi apparatus. \u00a9 2012 Goto et al.", "author" : [ { "dropping-particle" : "", "family" : "Goto", "given" : "Asako", "non-dropping-particle" : "", "parse-names" : false, "suffix" : "" }, { "dropping-particle" : "", "family" : "Liu", "given" : "Xinwei", "non-dropping-particle" : "", "parse-names" : false, "suffix" : "" }, { "dropping-particle" : "", "family" : "Robinson", "given" : "Carolyn Ann", "non-dropping-particle" : "", "parse-names" : false, "suffix" : "" }, { "dropping-particle" : "", "family" : "Ridgway", "given" : "Neale D.", "non-dropping-particle" : "", "parse-names" : false, "suffix" : "" } ], "container-title" : "Molecular Biology of the Cell", "id" : "ITEM-1", "issue" : "18", "issued" : { "date-parts" : [ [ "2012", "9", "15" ] ] }, "page" : "3624-3635", "publisher" : "American Society for Cell Biology", "title" : "Multisite phosphorylation of oxysterol-binding protein regulates sterol binding and activation of sphingomyelin synthesis", "type" : "article-journal", "volume" : "23" }, "uris" : [ "http://www.mendeley.com/documents/?uuid=3754b7d9-8acd-38b6-b70b-3ec4bb15ab38" ] } ], "mendeley" : { "formattedCitation" : "&lt;sup&gt;42&lt;/sup&gt;", "plainTextFormattedCitation" : "42", "previouslyFormattedCitation" : "&lt;sup&gt;42&lt;/sup&gt;" }, "properties" : { "noteIndex" : 0 }, "schema" : "https://github.com/citation-style-language/schema/raw/master/csl-citation.json" }</w:instrText>
      </w:r>
      <w:r w:rsidR="000E162A" w:rsidRPr="000E162A">
        <w:fldChar w:fldCharType="separate"/>
      </w:r>
      <w:r w:rsidR="00CB7208" w:rsidRPr="00CB7208">
        <w:rPr>
          <w:noProof/>
          <w:vertAlign w:val="superscript"/>
        </w:rPr>
        <w:t>42</w:t>
      </w:r>
      <w:r w:rsidR="000E162A" w:rsidRPr="000E162A">
        <w:fldChar w:fldCharType="end"/>
      </w:r>
      <w:r w:rsidR="000E162A" w:rsidRPr="000E162A">
        <w:t xml:space="preserve"> </w:t>
      </w:r>
    </w:p>
    <w:p w14:paraId="790A9BEB" w14:textId="3DB82E72" w:rsidR="000E162A" w:rsidRPr="000849BF" w:rsidRDefault="000E162A" w:rsidP="00926BEA">
      <w:pPr>
        <w:ind w:firstLine="720"/>
        <w:jc w:val="both"/>
        <w:rPr>
          <w:color w:val="FF0000"/>
        </w:rPr>
      </w:pPr>
      <w:r w:rsidRPr="000E162A">
        <w:t>OSBP is reported to regulate ERK1/2 signaling activity through modulating the activity of phosphatases that regulate ERK.</w:t>
      </w:r>
      <w:r w:rsidRPr="000E162A">
        <w:fldChar w:fldCharType="begin" w:fldLock="1"/>
      </w:r>
      <w:r w:rsidR="00CB7208">
        <w:instrText>ADDIN CSL_CITATION { "citationItems" : [ { "id" : "ITEM-1", "itemData" : { "DOI" : "10.1126/science.1107710", "ISSN" : "00368075", "abstract" : "Oxysterol-binding protein (OSBP) is the founding member of a family of sterol-binding proteins implicated in vesicle transport, lipid metabolism, and signal transduction. Here, OSBP was found to function as a cholesterol-binding scaffolding protein coordinating the activity of two phosphatases to control the extracellular signal-regulated kinase (ERK) signaling pathway. Cytosolic OSBP. formed a \u223c440-kilodalton oligomer with a member of the PTPPBS family of tyrosine phosphatases, the serine/threonine phosphatase PP2A, and cholesterol. This oligomer had dual specific phosphatase activity for phosphorylated ERK (pERK). When cell cholesterol was lowered, the oligomer disassembled and the level of pERK rose. The oligomer also disassembled when exposed to oxysterols. Increasing the amount of OSBP oligomer rendered cells resistant to the effects of cholesterol depletion and decreased the basal level of pERK. Thus, cholesterol functions through its interaction with OSBP outside of membranes to regulate the assembly of an oligomeric phosphatase that controls a key signaling pathway in the cell.", "author" : [ { "dropping-particle" : "", "family" : "Wang", "given" : "Ping Yuan", "non-dropping-particle" : "", "parse-names" : false, "suffix" : "" }, { "dropping-particle" : "", "family" : "Weng", "given" : "Jian", "non-dropping-particle" : "", "parse-names" : false, "suffix" : "" }, { "dropping-particle" : "", "family" : "Anderson", "given" : "Richard G.W.", "non-dropping-particle" : "", "parse-names" : false, "suffix" : "" } ], "container-title" : "Science", "id" : "ITEM-1", "issue" : "5714", "issued" : { "date-parts" : [ [ "2005", "3", "4" ] ] }, "page" : "1472-1476", "title" : "OSBP is a cholesterol-regulated scaffolding protein in control of ERK1/2 activation", "type" : "article-journal", "volume" : "307" }, "uris" : [ "http://www.mendeley.com/documents/?uuid=0e901a21-adb3-4b9e-8780-c74193835699" ] } ], "mendeley" : { "formattedCitation" : "&lt;sup&gt;43&lt;/sup&gt;", "plainTextFormattedCitation" : "43", "previouslyFormattedCitation" : "&lt;sup&gt;43&lt;/sup&gt;" }, "properties" : { "noteIndex" : 0 }, "schema" : "https://github.com/citation-style-language/schema/raw/master/csl-citation.json" }</w:instrText>
      </w:r>
      <w:r w:rsidRPr="000E162A">
        <w:fldChar w:fldCharType="separate"/>
      </w:r>
      <w:r w:rsidR="00CB7208" w:rsidRPr="00CB7208">
        <w:rPr>
          <w:noProof/>
          <w:vertAlign w:val="superscript"/>
        </w:rPr>
        <w:t>43</w:t>
      </w:r>
      <w:r w:rsidRPr="000E162A">
        <w:fldChar w:fldCharType="end"/>
      </w:r>
      <w:r w:rsidRPr="000E162A">
        <w:t xml:space="preserve"> In this model, OSBP is believed</w:t>
      </w:r>
      <w:r w:rsidR="00730B8F">
        <w:t xml:space="preserve"> to be a </w:t>
      </w:r>
      <w:r w:rsidRPr="000E162A">
        <w:t xml:space="preserve"> scaffold</w:t>
      </w:r>
      <w:r w:rsidR="00730B8F">
        <w:t xml:space="preserve"> protein for</w:t>
      </w:r>
      <w:r w:rsidRPr="000E162A">
        <w:t xml:space="preserve"> the tyrosine and serine/threonine phosphatases, HePTP and PP2A, and the OSBP/phosphatase activity i</w:t>
      </w:r>
      <w:r w:rsidR="00730B8F">
        <w:t>s</w:t>
      </w:r>
      <w:r w:rsidRPr="000E162A">
        <w:t xml:space="preserve"> controlled by sterol binding to OSBP</w:t>
      </w:r>
      <w:r w:rsidRPr="000849BF">
        <w:rPr>
          <w:color w:val="FF0000"/>
        </w:rPr>
        <w:t xml:space="preserve">. </w:t>
      </w:r>
      <w:r w:rsidRPr="006B01D5">
        <w:t xml:space="preserve">Under normal </w:t>
      </w:r>
      <w:r w:rsidRPr="00CB7208">
        <w:t>cholesterol level</w:t>
      </w:r>
      <w:r w:rsidR="00A9573C" w:rsidRPr="00CB7208">
        <w:t xml:space="preserve"> conditions</w:t>
      </w:r>
      <w:r w:rsidRPr="00CB7208">
        <w:t xml:space="preserve"> or the absence of oxysterols, OSBP is bound to cholesterol and undergoes a conformation change masking the PH domain, producing an inactive phosphatase complex, which keeps ERK1/2</w:t>
      </w:r>
      <w:r w:rsidR="006B01D5">
        <w:t xml:space="preserve"> activity repressed.</w:t>
      </w:r>
      <w:r w:rsidRPr="006B01D5">
        <w:t xml:space="preserve"> Upon low cholesterol levels or oxysterol binding, the conf</w:t>
      </w:r>
      <w:r w:rsidR="00730B8F">
        <w:t>o</w:t>
      </w:r>
      <w:r w:rsidRPr="006B01D5">
        <w:t>rmation of OBSP is changed, unmasking the PH domain, removing the phosphatases, translocating OSBP to the Golgi to replenish cholesterol levels and thereby activating ERK1/2 signaling activity.</w:t>
      </w:r>
      <w:r w:rsidRPr="006B01D5">
        <w:fldChar w:fldCharType="begin" w:fldLock="1"/>
      </w:r>
      <w:r w:rsidR="00CB7208" w:rsidRPr="000849BF">
        <w:instrText>ADDIN CSL_CITATION { "citationItems" : [ { "id" : "ITEM-1", "itemData" : { "DOI" : "10.1126/science.1107710", "ISSN" : "00368075", "abstract" : "Oxysterol-binding protein (OSBP) is the founding member of a family of sterol-binding proteins implicated in vesicle transport, lipid metabolism, and signal transduction. Here, OSBP was found to function as a cholesterol-binding scaffolding protein coordinating the activity of two phosphatases to control the extracellular signal-regulated kinase (ERK) signaling pathway. Cytosolic OSBP. formed a \u223c440-kilodalton oligomer with a member of the PTPPBS family of tyrosine phosphatases, the serine/threonine phosphatase PP2A, and cholesterol. This oligomer had dual specific phosphatase activity for phosphorylated ERK (pERK). When cell cholesterol was lowered, the oligomer disassembled and the level of pERK rose. The oligomer also disassembled when exposed to oxysterols. Increasing the amount of OSBP oligomer rendered cells resistant to the effects of cholesterol depletion and decreased the basal level of pERK. Thus, cholesterol functions through its interaction with OSBP outside of membranes to regulate the assembly of an oligomeric phosphatase that controls a key signaling pathway in the cell.", "author" : [ { "dropping-particle" : "", "family" : "Wang", "given" : "Ping Yuan", "non-dropping-particle" : "", "parse-names" : false, "suffix" : "" }, { "dropping-particle" : "", "family" : "Weng", "given" : "Jian", "non-dropping-particle" : "", "parse-names" : false, "suffix" : "" }, { "dropping-particle" : "", "family" : "Anderson", "given" : "Richard G.W.", "non-dropping-particle" : "", "parse-names" : false, "suffix" : "" } ], "container-title" : "Science", "id" : "ITEM-1", "issue" : "5714", "issued" : { "date-parts" : [ [ "2005", "3", "4" ] ] }, "page" : "1472-1476", "title" : "OSBP is a cholesterol-regulated scaffolding protein in control of ERK1/2 activation", "type" : "article-journal", "volume" : "307" }, "uris" : [ "http://www.mendeley.com/documents/?uuid=0e901a21-adb3-4b9e-8780-c74193835699" ] } ], "mendeley" : { "formattedCitation" : "&lt;sup&gt;43&lt;/sup&gt;", "plainTextFormattedCitation" : "43", "previouslyFormattedCitation" : "&lt;sup&gt;43&lt;/sup&gt;" }, "properties" : { "noteIndex" : 0 }, "schema" : "https://github.com/citation-style-language/schema/raw/master/csl-citation.json" }</w:instrText>
      </w:r>
      <w:r w:rsidRPr="006B01D5">
        <w:fldChar w:fldCharType="separate"/>
      </w:r>
      <w:r w:rsidR="00CB7208" w:rsidRPr="000849BF">
        <w:rPr>
          <w:noProof/>
          <w:vertAlign w:val="superscript"/>
        </w:rPr>
        <w:t>43</w:t>
      </w:r>
      <w:r w:rsidRPr="006B01D5">
        <w:fldChar w:fldCharType="end"/>
      </w:r>
      <w:r w:rsidRPr="006B01D5">
        <w:t xml:space="preserve">  </w:t>
      </w:r>
    </w:p>
    <w:p w14:paraId="270C81C8" w14:textId="0E53A320" w:rsidR="000E162A" w:rsidRDefault="000E162A" w:rsidP="00926BEA">
      <w:pPr>
        <w:ind w:firstLine="720"/>
        <w:jc w:val="both"/>
      </w:pPr>
      <w:r w:rsidRPr="000E162A">
        <w:t>An additional study found</w:t>
      </w:r>
      <w:r w:rsidR="00730B8F">
        <w:t xml:space="preserve"> that OSBP interacts </w:t>
      </w:r>
      <w:r w:rsidRPr="000E162A">
        <w:t>with JAK2/STAT3 signaling leading to the expression of profilin-1.</w:t>
      </w:r>
      <w:r w:rsidRPr="000E162A">
        <w:fldChar w:fldCharType="begin" w:fldLock="1"/>
      </w:r>
      <w:r w:rsidR="00CB7208">
        <w:instrText>ADDIN CSL_CITATION { "citationItems" : [ { "id" : "ITEM-1", "itemData" : { "DOI" : "10.1074/jbc.M710092200", "ISSN" : "00219258", "abstract" : "Endothelial dysfunction plays a central role in diabetic vascular disease, but its molecular bases are not completely defined. We showed previously that the actin-binding protein proflin-1 was increased in the diabetic endothelium and that attenuated expression of profilin-1 protected against atherosclerosis. Also 7-ketocholesterol up-regulated profilin-1 in endothelial cells via transcriptional mechanisms. The present study addressed the pathways responsible for profilin-1 gene expression in 7-ketocholesterol-stimulated endothelial cells and in the diabetic aorta. In luciferase reporter assays, the response to 7-ketocholesterol within the 5\u2032-flanking region of profilin-1 was dependent on a single STAT response element. In aortic endothelial cells, 7-ketocholesterol enhanced STAT3 activation, which required JAK2 and tyrosine 394 phosphorylation of oxysterol-binding protein-1. These changes were recapitulated in the aorta of diabetic rats. Also 7-ketocholesterol in cultured endothelial cells and diabetes in the aorta elicited the recruitment of STAT3 and relevant coregulatory factors to the oxysterol-responsive region of the profilin-1 promoter. These events were required for profilin-1 up-regulation. These studies identify a previously unrecognized oxysterol-binding protein-mediated mode of activation of STAT3 that controls the expression of the proatherogenic protein profilin-1 in response to 7-ketocholesterol and the diabetic milieu. \u00a9 2008 by The American Society for Biochemistry and Molecular Biology, Inc.", "author" : [ { "dropping-particle" : "", "family" : "Romeo", "given" : "Giulio R.", "non-dropping-particle" : "", "parse-names" : false, "suffix" : "" }, { "dropping-particle" : "", "family" : "Kazlauskas", "given" : "Andrius", "non-dropping-particle" : "", "parse-names" : false, "suffix" : "" } ], "container-title" : "Journal of Biological Chemistry", "id" : "ITEM-1", "issue" : "15", "issued" : { "date-parts" : [ [ "2008", "4", "11" ] ] }, "page" : "9595-9605", "publisher" : "American Society for Biochemistry and Molecular Biology", "title" : "Oxysterol and diabetes activate STAT3 and control endothelial expression of profilin-1 via OSBP1", "type" : "article-journal", "volume" : "283" }, "uris" : [ "http://www.mendeley.com/documents/?uuid=52d4dd26-07b8-3a79-935e-4f975417bc40" ] } ], "mendeley" : { "formattedCitation" : "&lt;sup&gt;44&lt;/sup&gt;", "plainTextFormattedCitation" : "44", "previouslyFormattedCitation" : "&lt;sup&gt;44&lt;/sup&gt;" }, "properties" : { "noteIndex" : 0 }, "schema" : "https://github.com/citation-style-language/schema/raw/master/csl-citation.json" }</w:instrText>
      </w:r>
      <w:r w:rsidRPr="000E162A">
        <w:fldChar w:fldCharType="separate"/>
      </w:r>
      <w:r w:rsidR="00CB7208" w:rsidRPr="00CB7208">
        <w:rPr>
          <w:noProof/>
          <w:vertAlign w:val="superscript"/>
        </w:rPr>
        <w:t>44</w:t>
      </w:r>
      <w:r w:rsidRPr="000E162A">
        <w:fldChar w:fldCharType="end"/>
      </w:r>
      <w:r w:rsidRPr="000E162A">
        <w:t xml:space="preserve"> In this model, 7-ketocholesterol lead</w:t>
      </w:r>
      <w:r w:rsidR="00730B8F">
        <w:t>s</w:t>
      </w:r>
      <w:r w:rsidRPr="000E162A">
        <w:t xml:space="preserve"> to the production of profilin-1 through STAT3 activation by JAK2 and OSBP</w:t>
      </w:r>
      <w:r w:rsidR="00730B8F">
        <w:t>. U</w:t>
      </w:r>
      <w:r w:rsidRPr="000E162A">
        <w:t>pon OSBP binding with 7-ketocholesterol</w:t>
      </w:r>
      <w:r w:rsidR="00730B8F">
        <w:t>,</w:t>
      </w:r>
      <w:r w:rsidRPr="000E162A">
        <w:t xml:space="preserve"> OSBP interacts with JAK2 and becomes phosphorylated leading to STAT3 interacting with OSBP/JAK2. STAT3 is then able to translocate to the nucleus to induce transcription of profilin-1.</w:t>
      </w:r>
      <w:r w:rsidRPr="000E162A">
        <w:fldChar w:fldCharType="begin" w:fldLock="1"/>
      </w:r>
      <w:r w:rsidR="00CB7208">
        <w:instrText>ADDIN CSL_CITATION { "citationItems" : [ { "id" : "ITEM-1", "itemData" : { "DOI" : "10.1074/jbc.M710092200", "ISSN" : "00219258", "abstract" : "Endothelial dysfunction plays a central role in diabetic vascular disease, but its molecular bases are not completely defined. We showed previously that the actin-binding protein proflin-1 was increased in the diabetic endothelium and that attenuated expression of profilin-1 protected against atherosclerosis. Also 7-ketocholesterol up-regulated profilin-1 in endothelial cells via transcriptional mechanisms. The present study addressed the pathways responsible for profilin-1 gene expression in 7-ketocholesterol-stimulated endothelial cells and in the diabetic aorta. In luciferase reporter assays, the response to 7-ketocholesterol within the 5\u2032-flanking region of profilin-1 was dependent on a single STAT response element. In aortic endothelial cells, 7-ketocholesterol enhanced STAT3 activation, which required JAK2 and tyrosine 394 phosphorylation of oxysterol-binding protein-1. These changes were recapitulated in the aorta of diabetic rats. Also 7-ketocholesterol in cultured endothelial cells and diabetes in the aorta elicited the recruitment of STAT3 and relevant coregulatory factors to the oxysterol-responsive region of the profilin-1 promoter. These events were required for profilin-1 up-regulation. These studies identify a previously unrecognized oxysterol-binding protein-mediated mode of activation of STAT3 that controls the expression of the proatherogenic protein profilin-1 in response to 7-ketocholesterol and the diabetic milieu. \u00a9 2008 by The American Society for Biochemistry and Molecular Biology, Inc.", "author" : [ { "dropping-particle" : "", "family" : "Romeo", "given" : "Giulio R.", "non-dropping-particle" : "", "parse-names" : false, "suffix" : "" }, { "dropping-particle" : "", "family" : "Kazlauskas", "given" : "Andrius", "non-dropping-particle" : "", "parse-names" : false, "suffix" : "" } ], "container-title" : "Journal of Biological Chemistry", "id" : "ITEM-1", "issue" : "15", "issued" : { "date-parts" : [ [ "2008", "4", "11" ] ] }, "page" : "9595-9605", "publisher" : "American Society for Biochemistry and Molecular Biology", "title" : "Oxysterol and diabetes activate STAT3 and control endothelial expression of profilin-1 via OSBP1", "type" : "article-journal", "volume" : "283" }, "uris" : [ "http://www.mendeley.com/documents/?uuid=52d4dd26-07b8-3a79-935e-4f975417bc40" ] } ], "mendeley" : { "formattedCitation" : "&lt;sup&gt;44&lt;/sup&gt;", "plainTextFormattedCitation" : "44", "previouslyFormattedCitation" : "&lt;sup&gt;44&lt;/sup&gt;" }, "properties" : { "noteIndex" : 0 }, "schema" : "https://github.com/citation-style-language/schema/raw/master/csl-citation.json" }</w:instrText>
      </w:r>
      <w:r w:rsidRPr="000E162A">
        <w:fldChar w:fldCharType="separate"/>
      </w:r>
      <w:r w:rsidR="00CB7208" w:rsidRPr="00CB7208">
        <w:rPr>
          <w:noProof/>
          <w:vertAlign w:val="superscript"/>
        </w:rPr>
        <w:t>44</w:t>
      </w:r>
      <w:r w:rsidRPr="000E162A">
        <w:fldChar w:fldCharType="end"/>
      </w:r>
      <w:r w:rsidRPr="000E162A">
        <w:t xml:space="preserve"> This demonstrates another example of OSBP acting as a lipid sensor regulating signaling in the cells.</w:t>
      </w:r>
    </w:p>
    <w:p w14:paraId="0E87C6D0" w14:textId="27F4D5E9" w:rsidR="004D0890" w:rsidRPr="000E162A" w:rsidRDefault="004D0890" w:rsidP="00926BEA">
      <w:pPr>
        <w:ind w:firstLine="720"/>
        <w:jc w:val="both"/>
      </w:pPr>
      <w:r>
        <w:lastRenderedPageBreak/>
        <w:t xml:space="preserve">Recently, </w:t>
      </w:r>
      <w:r w:rsidRPr="000E162A">
        <w:t xml:space="preserve">OSBP </w:t>
      </w:r>
      <w:r>
        <w:t>was discovered to be</w:t>
      </w:r>
      <w:r w:rsidRPr="000E162A">
        <w:t xml:space="preserve"> required for the replication of dozens of currently untreatable human pathogenic </w:t>
      </w:r>
      <w:r>
        <w:t xml:space="preserve">RNA </w:t>
      </w:r>
      <w:r w:rsidRPr="000E162A">
        <w:t xml:space="preserve">viruses, including members of the </w:t>
      </w:r>
      <w:r w:rsidRPr="000E162A">
        <w:rPr>
          <w:i/>
          <w:iCs/>
        </w:rPr>
        <w:t>Enterovirus</w:t>
      </w:r>
      <w:r w:rsidRPr="000E162A">
        <w:t xml:space="preserve"> genus of v</w:t>
      </w:r>
      <w:r>
        <w:t>iruses, Zika virus, Dengue fever virus, and hepatitis</w:t>
      </w:r>
      <w:r w:rsidRPr="000E162A">
        <w:t>.</w:t>
      </w:r>
      <w:r w:rsidRPr="000E162A">
        <w:fldChar w:fldCharType="begin" w:fldLock="1"/>
      </w:r>
      <w:r w:rsidR="00CB7208">
        <w:instrText>ADDIN CSL_CITATION { "citationItems" : [ { "id" : "ITEM-1", "itemData" : { "DOI" : "10.1016/j.antiviral.2019.104548", "ISSN" : "18729096", "abstract" : "Oxysterol-binding Protein (OSBP) is a human lipid-transport protein required for the cellular replication of many types of viruses, including several human pathogens. The structurally-diverse small molecule compounds OSW-1, itraconazole (ITZ), T-00127-HEV2 (THEV) and TTP-8307 (TTP) inhibit viral replication through interaction with the OSBP protein. The OSW-1 compound reduces intracellular OSBP, and the reduction of OSBP protein levels persists multiple days after the OSW-1-compound treatment is stopped. The OSW-1-induced reduction of OSBP levels inhibited Enterovirus replication prophylactically in cells. In this report, the OSBP-interacting compounds ITZ, THEV, and TTP are shown not to reduce OSBP levels in cells, unlike the OSW-1-compound, and the OSW-1 compound is determined to be the only compound capable of providing prophylactic antiviral activity in cells. Furthermore, OSW-1 and THEV inhibit the binding of 25-hydroxycholesterol (25-OHC) to OSBP indicating that these compounds bind at the conserved sterol ligand binding site. The ITZ and TTP compounds do not inhibit 25-hydroxycholesterol binding to OSBP, and therefore ITZ and TTP interact with OSBP through other, unidentified binding sites. Co-administration of the THEV compound partially blocks the cellular activity of OSW-1, including the reduction of cellular OSBP protein levels; co-administration of the ITZ and TTP compounds have minimal effect on OSW-1 cellular activity further supporting different modes of interaction with these compounds to OSBP. OSW-1, ITZ, THEV, and TTP treatment alter OSBP cellular localization and levels, but in four distinct ways. Co-administration of OSW-1 and ITZ induced OSBP cellular localization patterns with features similar to the effects of ITZ and OSW-1 treatment alone. Based on these results, OSBP is capable of interacting with multiple structural classes of antiviral small molecule compounds at different binding sites, and the different compounds have distinct effects on OSBP cellular activity.",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"Le-McClain", "given" : "Anh T.", "non-dropping-particle" : "", "parse-names" : false, "suffix" : "" }, { "dropping-particle" : "", "family" : "Malinky", "given" : "Cori A.", "non-dropping-particle" : "", "parse-names" : false, "suffix" : "" }, { "dropping-particle" : "", "family" : "Mettenbrink", "given" : "Evan M.", "non-dropping-particle" : "", "parse-names" : false, "suffix" : "" }, { "dropping-particle" : "", "family" : "Nu\u00f1ez", "given" : "Juan I.",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W.G.", "non-dropping-particle" : "", "parse-names" : false, "suffix" : "" } ], "container-title" : "Antiviral Research", "id" : "ITEM-1", "issued" : { "date-parts" : [ [ "2019", "10", "1" ] ] }, "publisher" : "Elsevier B.V.", "title" : "Differing activities of oxysterol-binding protein (OSBP) targeting anti-viral compounds", "type" : "article-journal", "volume" : "170" }, "uris" : [ "http://www.mendeley.com/documents/?uuid=eaf8bcf4-c68b-45ab-9314-257d6f3804cc" ] }, { "id" : "ITEM-2", "itemData" : { "DOI" : "10.1016/j.antiviral.2015.02.013", "ISSN" : "18729096", "abstract" : "Enteroviruses, e.g., polio-, coxsackie- and rhinoviruses, constitute a large genus within the Picornaviridae family of positive-strand RNA viruses and include many important pathogens linked to a variety of acute and chronic diseases. Despite their huge medical and economic impact, no approved antiviral therapy is yet available. Recently, the oxysterol-binding protein (OSBP) was implicated as a host factor for enterovirus replication. Here, we investigated the antiviral activity of the natural compound OSW-1, a ligand of OSBP that is under investigation as an anti-cancer drug. OSW-1 potently inhibited the replication of all enteroviruses tested, with IC50 values in the low nanomolar range, acted at the genome replication stage and was effective in all tested cell types of three different species. Importantly, OSBP overexpression rescued viral replication, demonstrating that the antiviral effect of OSW-1 is due to targeting OSBP. Together, we here report the anti-enterovirus activity of the natural anti-cancer compound OSW-1.", "author" : [ { "dropping-particle" : "", "family" : "Albulescu", "given" : "Lucian", "non-dropping-particle" : "", "parse-names" : false, "suffix" : "" }, { "dropping-particle" : "", "family" : "Strating", "given" : "Jeroen R.P.M.", "non-dropping-particle" : "", "parse-names" : false, "suffix" : "" }, { "dropping-particle" : "", "family" : "Thibaut", "given" : "Hendrik Jan", "non-dropping-particle" : "", "parse-names" : false, "suffix" : "" }, { "dropping-particle" : "", "family" : "Linden", "given" : "Lonneke", "non-dropping-particle" : "Van Der", "parse-names" : false, "suffix" : "" }, { "dropping-particle" : "", "family" : "Shair", "given" : "Matthew D.", "non-dropping-particle" : "", "parse-names" : false, "suffix" : "" }, { "dropping-particle" : "", "family" : "Neyts", "given" : "Johan", "non-dropping-particle" : "", "parse-names" : false, "suffix" : "" }, { "dropping-particle" : "", "family" : "Kuppeveld", "given" : "Frank J.M.", "non-dropping-particle" : "Van", "parse-names" : false, "suffix" : "" } ], "container-title" : "Antiviral Research", "id" : "ITEM-2", "issued" : { "date-parts" : [ [ "2015" ] ] }, "page" : "110-114", "publisher" : "Elsevier", "title" : "Broad-range inhibition of enterovirus replication by OSW-1, a natural compound targeting OSBP", "type" : "article-journal", "volume" : "117" }, "uris" : [ "http://www.mendeley.com/documents/?uuid=61d266c8-8d1e-49ee-bdde-a238798b9475" ] }, { "id" : "ITEM-3", "itemData" : { "DOI" : "10.1016/j.antiviral.2018.05.010", "ISSN" : "18729096", "abstract" : "Itraconazole (ITZ) is a well-known, FDA-approved antifungal drug that is also in clinical trials for its anticancer activity. ITZ exerts its anticancer activity through several disparate targets and pathways. ITZ inhibits angiogenesis by hampering the functioning of the vascular endothelial growth receptor 2 (VEGFR2) and by indirectly inhibiting mTOR signaling. Furthermore, ITZ directly inhibits the growth of several types of tumor cells by antagonizing Hedgehog signaling. Recently, we reported that ITZ also has broad-spectrum antiviral activity against enteroviruses, cardioviruses and hepatitis C virus, independent of established ITZ-activities but instead via a novel target, oxysterol-binding protein (OSBP), a cellular lipid shuttling protein. In this study, we analyzed which structural features of ITZ are important for the OSBP-mediated antiviral activity. The backbone structure, consisting of five rings, and the sec-butyl chain are important for antiviral activity, whereas the triazole moiety, which is critical for antifungal activity, is not. The features required for OSBP-mediated antiviral activity of ITZ overlap mostly with published features required for inhibition of VEGFR2 trafficking, but not Hh signaling. Furthermore, we use in silico studies to explore how ITZ could bind to OSBP. Our data show that several pharmacological activities of ITZ can be uncoupled, which is a critical step in the development of ITZ-based antiviral compounds with greater specificity and reduced off-target effects.", "author" : [ { "dropping-particle" : "", "family" : "Bauer", "given" : "Lisa", "non-dropping-particle" : "", "parse-names" : false, "suffix" : "" }, { "dropping-particle" : "", "family" : "Ferla", "given" : "Salvatore", "non-dropping-particle" : "", "parse-names" : false, "suffix" : "" }, { "dropping-particle" : "", "family" : "Head", "given" : "Sarah A.", "non-dropping-particle" : "", "parse-names" : false, "suffix" : "" }, { "dropping-particle" : "", "family" : "Bhat", "given" : "Shridhar", "non-dropping-particle" : "", "parse-names" : false, "suffix" : "" }, { "dropping-particle" : "", "family" : "Pasunooti", "given" : "Kalyan K.", "non-dropping-particle" : "", "parse-names" : false, "suffix" : "" }, { "dropping-particle" : "", "family" : "Shi", "given" : "Wei Q.", "non-dropping-particle" : "", "parse-names" : false, "suffix" : "" }, { "dropping-particle" : "", "family" : "Albulescu", "given" : "Lucian", "non-dropping-particle" : "", "parse-names" : false, "suffix" : "" }, { "dropping-particle" : "", "family" : "Liu", "given" : "Jun O.", "non-dropping-particle" : "", "parse-names" : false, "suffix" : "" }, { "dropping-particle" : "", "family" : "Brancale", "given" : "Andrea", "non-dropping-particle" : "", "parse-names" : false, "suffix" : "" }, { "dropping-particle" : "", "family" : "Kuppeveld", "given" : "Frank J.M.", "non-dropping-particle" : "van", "parse-names" : false, "suffix" : "" }, { "dropping-particle" : "", "family" : "Strating", "given" : "Jeroen R.P.M.", "non-dropping-particle" : "", "parse-names" : false, "suffix" : "" } ], "container-title" : "Antiviral Research", "id" : "ITEM-3", "issued" : { "date-parts" : [ [ "2018", "8", "1" ] ] }, "page" : "55-63", "publisher" : "Elsevier B.V.", "title" : "Structure-activity relationship study of itraconazole, a broad-range inhibitor of picornavirus replication that targets oxysterol-binding protein (OSBP)", "type" : "article-journal", "volume" : "156" }, "uris" : [ "http://www.mendeley.com/documents/?uuid=ac7e12b7-0744-4775-aaea-e8d222e8d0b5" ] }, { "id" : "ITEM-4", "itemData" : { "DOI" : "10.1016/j.antiviral.2017.01.008", "ISSN" : "18729096", "abstract" : "The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PI4KIII\u03b2-PI4P-OSBP pathway to direct cholesterol to replication organelles. Here, we uncover that TTP-8307, a known enterovirus replication inhibitor, acts through the PI4KIII\u03b2-PI4P-OSBP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 "author" : [ { "dropping-particle" : "", "family" : "Albulescu", "given" : "Lucian", "non-dropping-particle" : "", "parse-names" : false, "suffix" : "" }, { "dropping-particle" : "", "family" : "Bigay", "given" : "Jo\u00eblle", "non-dropping-particle" : "", "parse-names" : false, "suffix" : "" }, { "dropping-particle" : "", "family" : "Biswas", "given" : "Bishyajit", "non-dropping-particle" : "", "parse-names" : false, "suffix" : "" }, { "dropping-particle" : "", "family" : "Weber-Boyvat", "given" : "Marion", "non-dropping-particle" : "", "parse-names" : false, "suffix" : "" }, { "dropping-particle" : "", "family" : "Dorobantu", "given" : "Cristina M.", "non-dropping-particle" : "", "parse-names" : false, "suffix" : "" }, { "dropping-particle" : "", "family" : "Delang", "given" : "Leen", "non-dropping-particle" : "", "parse-names" : false, "suffix" : "" }, { "dropping-particle" : "", "family" : "Schaar", "given" : "Hilde M.", "non-dropping-particle" : "van der", "parse-names" : false, "suffix" : "" }, { "dropping-particle" : "", "family" : "Jung", "given" : "Young Sik", "non-dropping-particle" : "", "parse-names" : false, "suffix" : "" }, { "dropping-particle" : "", "family" : "Neyts", "given" : "Johan", "non-dropping-particle" : "", "parse-names" : false, "suffix" : "" }, { "dropping-particle" : "", "family" : "Olkkonen", "given" : "Vesa M.", "non-dropping-particle" : "", "parse-names" : false, "suffix" : "" }, { "dropping-particle" : "", "family" : "Kuppeveld", "given" : "Frank J.M.", "non-dropping-particle" : "van", "parse-names" : false, "suffix" : "" }, { "dropping-particle" : "", "family" : "Strating", "given" : "Jeroen R.P.M.", "non-dropping-particle" : "", "parse-names" : false, "suffix" : "" } ], "container-title" : "Antiviral Research", "id" : "ITEM-4", "issued" : { "date-parts" : [ [ "2017", "4", "1" ] ] }, "page" : "37-44", "publisher" : "Elsevier B.V.", "title" : "Uncovering oxysterol-binding protein (OSBP) as a target of the anti-enteroviral compound TTP-8307", "type" : "article-journal", "volume" : "140" }, "uris" : [ "http://www.mendeley.com/documents/?uuid=691e02eb-02f7-4512-b437-1ccb7c57007a" ] } ], "mendeley" : { "formattedCitation" : "&lt;sup&gt;45\u201348&lt;/sup&gt;", "plainTextFormattedCitation" : "45\u201348", "previouslyFormattedCitation" : "&lt;sup&gt;45\u201348&lt;/sup&gt;" }, "properties" : { "noteIndex" : 0 }, "schema" : "https://github.com/citation-style-language/schema/raw/master/csl-citation.json" }</w:instrText>
      </w:r>
      <w:r w:rsidRPr="000E162A">
        <w:fldChar w:fldCharType="separate"/>
      </w:r>
      <w:r w:rsidR="00CB7208" w:rsidRPr="00CB7208">
        <w:rPr>
          <w:noProof/>
          <w:vertAlign w:val="superscript"/>
        </w:rPr>
        <w:t>45–48</w:t>
      </w:r>
      <w:r w:rsidRPr="000E162A">
        <w:fldChar w:fldCharType="end"/>
      </w:r>
      <w:r w:rsidRPr="000E162A">
        <w:t xml:space="preserve">  </w:t>
      </w:r>
    </w:p>
    <w:p w14:paraId="7234534D" w14:textId="0AD26529" w:rsidR="004D0890" w:rsidRDefault="00A9573C" w:rsidP="00A9573C">
      <w:pPr>
        <w:pStyle w:val="Heading3"/>
      </w:pPr>
      <w:r w:rsidRPr="000E162A">
        <w:t xml:space="preserve"> </w:t>
      </w:r>
    </w:p>
    <w:p w14:paraId="70042350" w14:textId="20B24601" w:rsidR="00A9573C" w:rsidRPr="000E162A" w:rsidRDefault="00A9573C" w:rsidP="00A9573C">
      <w:pPr>
        <w:pStyle w:val="Heading3"/>
      </w:pPr>
      <w:bookmarkStart w:id="24" w:name="_Toc39868135"/>
      <w:r w:rsidRPr="000E162A">
        <w:t>ORP4 Biology</w:t>
      </w:r>
      <w:bookmarkEnd w:id="24"/>
    </w:p>
    <w:p w14:paraId="199250B4" w14:textId="2824D424" w:rsidR="006B01D5" w:rsidRDefault="00A9573C" w:rsidP="00A9573C">
      <w:pPr>
        <w:ind w:firstLine="720"/>
        <w:jc w:val="both"/>
      </w:pPr>
      <w:r w:rsidRPr="000E162A">
        <w:t>ORP4, the most similar family member to OSBP, shares none of OSBP’s biological regulation or cellular localization.</w:t>
      </w:r>
      <w:r w:rsidR="006B01D5">
        <w:fldChar w:fldCharType="begin" w:fldLock="1"/>
      </w:r>
      <w:r w:rsidR="006B01D5">
        <w:instrText>ADDIN CSL_CITATION { "citationItems" : [ { "id" : "ITEM-1", "itemData" : { "DOI" : "10.1042/bj3610461", "ISSN" : "0264-6021", "author" : [ { "dropping-particle" : "", "family" : "WANG", "given" : "Cheng", "non-dropping-particle" : "", "parse-names" : false, "suffix" : "" }, { "dropping-particle" : "", "family" : "JeBAILEY", "given" : "Lellean", "non-dropping-particle" : "", "parse-names" : false, "suffix" : "" }, { "dropping-particle" : "", "family" : "RIDGWAY", "given" : "Neale D.", "non-dropping-particle" : "", "parse-names" : false, "suffix" : "" } ], "container-title" : "Biochemical Journal", "id" : "ITEM-1", "issue" : "3", "issued" : { "date-parts" : [ [ "2002", "2", "1" ] ] }, "page" : "461-472", "publisher" : "Portland Press Ltd.", "title" : "Oxysterol-binding-protein (OSBP)-related protein 4 binds25-hydroxycholesterol and interacts with vimentin intermediate filaments", "type" : "article-journal", "volume" : "361" }, "uris" : [ "http://www.mendeley.com/documents/?uuid=87f6b6cc-8870-4bef-864b-65f32337009b" ] }, { "id" : "ITEM-2", "itemData" : { "DOI" : "10.1042/0264-6021:3610461", "ISSN" : "02646021", "PMID" : "11802775", "abstract" : "Oxysterol-binding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 "author" : [ { "dropping-particle" : "", "family" : "Wang", "given" : "Cheng", "non-dropping-particle" : "", "parse-names" : false, "suffix" : "" }, { "dropping-particle" : "", "family" : "JeBailey", "given" : "Lellean", "non-dropping-particle" : "", "parse-names" : false, "suffix" : "" }, { "dropping-particle" : "", "family" : "Ridgway", "given" : "Neale D.", "non-dropping-particle" : "", "parse-names" : false, "suffix" : "" } ], "container-title" : "Biochemical Journal", "id" : "ITEM-2", "issue" : "3", "issued" : { "date-parts" : [ [ "2002", "2", "1" ] ] }, "page" : "461-472", "publisher" : "Portland Press Ltd", "title" : "Oxysterol-binding-protein (OSBP)-related protein 4 binds 25-hydroxycholesterol and interacts with vimentin intermediate filaments", "type" : "article-journal", "volume" : "361" }, "uris" : [ "http://www.mendeley.com/documents/?uuid=60a3fda5-f507-3202-a1d5-fdc63564d102" ] } ], "mendeley" : { "formattedCitation" : "&lt;sup&gt;36,49&lt;/sup&gt;", "plainTextFormattedCitation" : "36,49", "previouslyFormattedCitation" : "&lt;sup&gt;36,49&lt;/sup&gt;" }, "properties" : { "noteIndex" : 0 }, "schema" : "https://github.com/citation-style-language/schema/raw/master/csl-citation.json" }</w:instrText>
      </w:r>
      <w:r w:rsidR="006B01D5">
        <w:fldChar w:fldCharType="separate"/>
      </w:r>
      <w:r w:rsidR="006B01D5" w:rsidRPr="006B01D5">
        <w:rPr>
          <w:noProof/>
          <w:vertAlign w:val="superscript"/>
        </w:rPr>
        <w:t>36,49</w:t>
      </w:r>
      <w:r w:rsidR="006B01D5">
        <w:fldChar w:fldCharType="end"/>
      </w:r>
      <w:r w:rsidRPr="000E162A">
        <w:t>Unlike the ubiquitous tissue expression of OSBP, ORP4 is selectively expressed in a limited amount of normal tissues including the brain, retina, and test</w:t>
      </w:r>
      <w:r>
        <w:t>e</w:t>
      </w:r>
      <w:r w:rsidRPr="000E162A">
        <w:t>s.</w:t>
      </w:r>
      <w:r w:rsidRPr="000E162A">
        <w:fldChar w:fldCharType="begin" w:fldLock="1"/>
      </w:r>
      <w:r w:rsidR="006B01D5">
        <w:instrText>ADDIN CSL_CITATION { "citationItems" : [ { "id" : "ITEM-1", "itemData" : { "abstract" : "Oxysterol-binding protein (OSBP) is the prototypical member of a class of phospholipid and oxysterol-binding proteins that interacts with the Golgi apparatus and regulates lipid and cholesterol metabolism. As a result of recent sequencing efforts, eleven other OSBP-related proteins (ORPs) have been identified in humans. We have investigated the structure, oxysterol-binding activity, cellular localization and function of ORP4 (also designated OSBP2 or HLM), a homologue that shares the highest degree of similarity with OSBP. Two ORP4 cDNAs were identified: a full-length ORP4 containing a pleckstrin homology (PH) domain and an oxysterol-binding region (designated ORP4-L), and a splice variant in which the PH domain and part of the oxysterol-binding domain were deleted (designated ORP4-S). ORP4 mRNA and protein expression overlapped partially with OSBP and were restricted to brain, heart, muscle and kidney. Like OSBP, ORP4-L bound [3H]25-hydroxycholesterol with high affinity and specificity. In contrast, ORP4-S did not bind [3H]25-hydroxycholesterol or [3H]7-ketocholesterol. Immunofluorescence localization in stably transfected Chinese hamster ovary cells showed that ORP4-S co-localized with vimentin and caused the intermediate filament network to bundle or aggregate. ORP4-L displayed a diffuse staining pattern that did not overlap with vimentin except when the microtubule network was disrupted with nocodazole. Oxysterols had no effect on the localization of either ORP4. Cells overexpressing ORP4-S had a 40% reduction in the esterification of low-density-lipoprotein-derived cholesterol, demonstrating that ORP4 interaction with intermediate filaments inhibits an intracellular cholesterol-transport pathway mediated by vimentin. These studies elucidate a hitherto unknown relationship between OSBPs and the intermediate filament network that influences cholesterol transport.", "author" : [ { "dropping-particle" : "", "family" : "WANG", "given" : "Cheng", "non-dropping-particle" : "", "parse-names" : false, "suffix" : "" }, { "dropping-particle" : "", "family" : "JeBAILEY", "given" : "Lellean", "non-dropping-particle" : "", "parse-names" : false, "suffix" : "" }, { "dropping-particle" : "", "family" : "RIDGWAY", "given" : "Neale D", "non-dropping-particle" : "", "parse-names" : false, "suffix" : "" } ], "container-title" : "Biochemical Journal", "id" : "ITEM-1", "issue" : "3", "issued" : { "date-parts" : [ [ "2002", "1", "25" ] ] }, "page" : "461 LP  - 472", "title" : "Oxysterol-binding-protein (OSBP)-related protein 4 binds25-hydroxycholesterol and interacts with vimentin intermediate filaments", "type" : "article-journal", "volume" : "361" }, "uris" : [ "http://www.mendeley.com/documents/?uuid=5a98ee8d-6831-4317-9398-cc99599a145f" ] } ], "mendeley" : { "formattedCitation" : "&lt;sup&gt;50&lt;/sup&gt;", "plainTextFormattedCitation" : "50", "previouslyFormattedCitation" : "&lt;sup&gt;50&lt;/sup&gt;" }, "properties" : { "noteIndex" : 0 }, "schema" : "https://github.com/citation-style-language/schema/raw/master/csl-citation.json" }</w:instrText>
      </w:r>
      <w:r w:rsidRPr="000E162A">
        <w:fldChar w:fldCharType="separate"/>
      </w:r>
      <w:r w:rsidR="006B01D5" w:rsidRPr="006B01D5">
        <w:rPr>
          <w:noProof/>
          <w:vertAlign w:val="superscript"/>
        </w:rPr>
        <w:t>50</w:t>
      </w:r>
      <w:r w:rsidRPr="000E162A">
        <w:fldChar w:fldCharType="end"/>
      </w:r>
      <w:r w:rsidRPr="000E162A">
        <w:t xml:space="preserve"> Of important</w:t>
      </w:r>
      <w:r w:rsidR="00730B8F">
        <w:t>ance</w:t>
      </w:r>
      <w:r w:rsidRPr="000E162A">
        <w:t>, the ORP4 protein has recently been demonstrated to be essential for cancer cell proliferation in immortalized cell lines, and essential for cellular proliferation in T-cell acute lymphoblastic leukemia (T-ALL) patients.</w:t>
      </w:r>
      <w:r w:rsidRPr="000E162A">
        <w:fldChar w:fldCharType="begin" w:fldLock="1"/>
      </w:r>
      <w:r w:rsidR="006B01D5">
        <w:instrText>ADDIN CSL_CITATION { "citationItems" : [ { "id" : "ITEM-1", "itemData" : { "DOI" : "10.1038/ncomms12702", "ISSN" : "20411723", "abstract" : "Metabolic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CD3\u03f5, G\u03b1 q/11 and PLC\u03b23 into a complex that activates PLC\u03b23. PLC\u03b23 catalyzes IP 3 production in T-ALL as opposed to PLC\u03b31 in normal T-cells. Up-regulation of ORP4L thus results in a switch in the enzyme responsible for IP 3 -induced endoplasmic reticulum Ca 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PLC\u03b23 activation, resulting in an increase of mitochondrial respiration for cell survival. Targeting ORP4L might represent a promising approach for T-ALL treatment.", "author" : [ { "dropping-particle" : "", "family" : "Zhong", "given" : "Wenbin", "non-dropping-particle" : "", "parse-names" : false, "suffix" : "" }, { "dropping-particle" : "", "family" : "Yi", "given" : "Qing", "non-dropping-particle" : "", "parse-names" : false, "suffix" : "" }, { "dropping-particle" : "", "family" : "Xu", "given" : "Bing", "non-dropping-particle" : "", "parse-names" : false, "suffix" : "" }, { "dropping-particle" : "", "family" : "Li", "given" : "Shiqian", "non-dropping-particle" : "", "parse-names" : false, "suffix" : "" }, { "dropping-particle" : "", "family" : "Wang", "given" : "Tong", "non-dropping-particle" : "", "parse-names" : false, "suffix" : "" }, { "dropping-particle" : "", "family" : "Liu", "given" : "Fupei", "non-dropping-particle" : "", "parse-names" : false, "suffix" : "" }, { "dropping-particle" : "", "family" : "Zhu", "given" : "Biying", "non-dropping-particle" : "", "parse-names" : false, "suffix" : "" }, { "dropping-particle" : "", "family" : "Hoffmann", "given" : "Peter R.", "non-dropping-particle" : "", "parse-names" : false, "suffix" : "" }, { "dropping-particle" : "", "family" : "Ji", "given" : "Guangju", "non-dropping-particle" : "", "parse-names" : false, "suffix" : "" }, { "dropping-particle" : "", "family" : "Lei", "given" : "Pingsheng", "non-dropping-particle" : "", "parse-names" : false, "suffix" : "" }, { "dropping-particle" : "", "family" : "Li", "given" : "Guoping", "non-dropping-particle" : "", "parse-names" : false, "suffix" : "" }, { "dropping-particle" : "", "family" : "Li", "given" : "Jiwei", "non-dropping-particle" : "", "parse-names" : false, "suffix" : "" }, { "dropping-particle" : "", "family" : "Li", "given" : "Jian", "non-dropping-particle" : "", "parse-names" : false, "suffix" : "" }, { "dropping-particle" : "", "family" : "Olkkonen", "given" : "Vesa M.", "non-dropping-particle" : "", "parse-names" : false, "suffix" : "" }, { "dropping-particle" : "", "family" : "Yan", "given" : "Daoguang", "non-dropping-particle" : "", "parse-names" : false, "suffix" : "" } ], "container-title" : "Nature Communications", "id" : "ITEM-1", "issued" : { "date-parts" : [ [ "2016", "9", "1" ] ] }, "publisher" : "Nature Publishing Group", "title" : "ORP4L is essential for T-cell acute lymphoblastic leukemia cell survival", "type" : "article-journal", "volume" : "7" }, "uris" : [ "http://www.mendeley.com/documents/?uuid=da8706ca-2acf-41d9-8fb7-20ae606b385f" ] }, { "id" : "ITEM-2", "itemData" : { "DOI" : "10.1016/j.celrep.2019.01.082", "ISSN" : "22111247", "abstract" : "Leukemia stem cells (LSCs) are a rare subpopulation of abnormal hematopoietic stem cells (HSCs) that propagates leukemia and are responsible for the high frequency of relapse in therapies. Detailed insights into LSCs\u2019 survival will facilitate the identification of targets for therapeutic approaches. Here, we develop an inhibitor, LYZ-81, which targets ORP4L with high affinity and specificity and selectively eradicates LCSs in vitro and in vivo. ORP4L is expressed in LSCs but not in normal HSCs and is essential for LSC bioenergetics and survival. It extracts PIP 2 from the plasma membrane and presents it to PLC\u03b23, enabling IP 3 generation and subsequent Ca 2+ -dependent bioenergetics. LYZ-81 binds ORP4L competitively with PIP 2 and blocks PIP 2 hydrolysis, resulting in defective Ca 2+ signaling. The results provide evidence that LSCs can be eradicated through the inhibition of ORP4L by LYZ-81, which may serve as a starting point of drug development for the elimination of LSCs to eventually cure leukemia. Zhong et al. report that abnormal expression of ORP4L is essential for leukemia stem cell survival; it enables IP 3 generation by extracting and presenting PIP 2 from the plasma membrane to PLC\u03b23 for hydrolysis. The compound LYZ-81, which blocks this process via targeting ORP4L, selectively eradicates leukemia stem cells.", "author" : [ { "dropping-particle" : "", "family" : "Zhong", "given" : "Wenbin", "non-dropping-particle" : "", "parse-names" : false, "suffix" : "" }, { "dropping-particle" : "", "family" : "Xu", "given" : "Mengyang", "non-dropping-particle" : "", "parse-names" : false, "suffix" : "" }, { "dropping-particle" : "", "family" : "Li", "given" : "Chanjuan", "non-dropping-particle" : "", "parse-names" : false, "suffix" : "" }, { "dropping-particle" : "", "family" : "Zhu", "given" : "Biying", "non-dropping-particle" : "", "parse-names" : false, "suffix" : "" }, { "dropping-particle" : "", "family" : "Cao", "given" : "Xiuye", "non-dropping-particle" : "", "parse-names" : false, "suffix" : "" }, { "dropping-particle" : "", "family" : "Li", "given" : "Dan", "non-dropping-particle" : "", "parse-names" : false, "suffix" : "" }, { "dropping-particle" : "", "family" : "Chen", "given" : "Huanzhao", "non-dropping-particle" : "", "parse-names" : false, "suffix" : "" }, { "dropping-particle" : "", "family" : "Hu", "given" : "Chunxiu", "non-dropping-particle" : "", "parse-names" : false, "suffix" : "" }, { "dropping-particle" : "", "family" : "Li", "given" : "Rong", "non-dropping-particle" : "", "parse-names" : false, "suffix" : "" }, { "dropping-particle" : "", "family" : "Luo", "given" : "Chengwei", "non-dropping-particle" : "", "parse-names" : false, "suffix" : "" }, { "dropping-particle" : "", "family" : "Pan", "given" : "Guoping", "non-dropping-particle" : "", "parse-names" : false, "suffix" : "" }, { "dropping-particle" : "", "family" : "Zhang", "given" : "Wenqiang", "non-dropping-particle" : "", "parse-names" : false, "suffix" : "" }, { "dropping-particle" : "", "family" : "Lai", "given" : "Chaofeng", "non-dropping-particle" : "", "parse-names" : false, "suffix" : "" }, { "dropping-particle" : "", "family" : "Wang", "given" : "Tong", "non-dropping-particle" : "", "parse-names" : false, "suffix" : "" }, { "dropping-particle" : "", "family" : "Du", "given" : "Xin", "non-dropping-particle" : "", "parse-names" : false, "suffix" : "" }, { "dropping-particle" : "", "family" : "Chen", "given" : "Hong", "non-dropping-particle" : "", "parse-names" : false, "suffix" : "" }, { "dropping-particle" : "", "family" : "Xu", "given" : "Guowang", "non-dropping-particle" : "", "parse-names" : false, "suffix" : "" }, { "dropping-particle" : "", "family" : "Olkkonen", "given" : "Vesa M.", "non-dropping-particle" : "", "parse-names" : false, "suffix" : "" }, { "dropping-particle" : "", "family" : "Lei", "given" : "Pingsheng", "non-dropping-particle" : "", "parse-names" : false, "suffix" : "" }, { "dropping-particle" : "", "family" : "Xu", "given" : "Jun", "non-dropping-particle" : "", "parse-names" : false, "suffix" : "" }, { "dropping-particle" : "", "family" : "Yan", "given" : "Daoguang", "non-dropping-particle" : "", "parse-names" : false, "suffix" : "" } ], "container-title" : "Cell Reports", "id" : "ITEM-2", "issue" : "8", "issued" : { "date-parts" : [ [ "2019", "2", "19" ] ] }, "page" : "2166-2177.e9", "publisher" : "Elsevier B.V.", "title" : "ORP4L Extracts and Presents PIP 2 from Plasma Membrane for PLC\u03b23 Catalysis: Targeting It Eradicates Leukemia Stem Cells", "type" : "article-journal", "volume" : "26" }, "uris" : [ "http://www.mendeley.com/documents/?uuid=f4b45d2f-dff0-4c33-a74a-5271e0fd2f0a" ] } ], "mendeley" : { "formattedCitation" : "&lt;sup&gt;51,52&lt;/sup&gt;", "plainTextFormattedCitation" : "51,52", "previouslyFormattedCitation" : "&lt;sup&gt;51,52&lt;/sup&gt;" }, "properties" : { "noteIndex" : 0 }, "schema" : "https://github.com/citation-style-language/schema/raw/master/csl-citation.json" }</w:instrText>
      </w:r>
      <w:r w:rsidRPr="000E162A">
        <w:fldChar w:fldCharType="separate"/>
      </w:r>
      <w:r w:rsidR="006B01D5" w:rsidRPr="006B01D5">
        <w:rPr>
          <w:noProof/>
          <w:vertAlign w:val="superscript"/>
        </w:rPr>
        <w:t>51,52</w:t>
      </w:r>
      <w:r w:rsidRPr="000E162A">
        <w:fldChar w:fldCharType="end"/>
      </w:r>
      <w:r w:rsidRPr="000E162A">
        <w:t xml:space="preserve"> </w:t>
      </w:r>
      <w:r w:rsidRPr="000E162A">
        <w:rPr>
          <w:iCs/>
        </w:rPr>
        <w:t xml:space="preserve">ORP4 is reported to promote mitochondrial respiration in </w:t>
      </w:r>
      <w:r w:rsidRPr="000E162A">
        <w:t xml:space="preserve"> immortalized immune cells by regulating calcium release from the endoplasmic reticulum through mediating a G-protein activation of PLC3β.</w:t>
      </w:r>
      <w:r w:rsidRPr="000E162A">
        <w:fldChar w:fldCharType="begin" w:fldLock="1"/>
      </w:r>
      <w:r w:rsidR="006B01D5">
        <w:instrText>ADDIN CSL_CITATION { "citationItems" : [ { "id" : "ITEM-1", "itemData" : { "DOI" : "10.1038/ncomms12702", "ISSN" : "20411723", "abstract" : "Metabolic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CD3\u03f5, G\u03b1 q/11 and PLC\u03b23 into a complex that activates PLC\u03b23. PLC\u03b23 catalyzes IP 3 production in T-ALL as opposed to PLC\u03b31 in normal T-cells. Up-regulation of ORP4L thus results in a switch in the enzyme responsible for IP 3 -induced endoplasmic reticulum Ca 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PLC\u03b23 activation, resulting in an increase of mitochondrial respiration for cell survival. Targeting ORP4L might represent a promising approach for T-ALL treatment.", "author" : [ { "dropping-particle" : "", "family" : "Zhong", "given" : "Wenbin", "non-dropping-particle" : "", "parse-names" : false, "suffix" : "" }, { "dropping-particle" : "", "family" : "Yi", "given" : "Qing", "non-dropping-particle" : "", "parse-names" : false, "suffix" : "" }, { "dropping-particle" : "", "family" : "Xu", "given" : "Bing", "non-dropping-particle" : "", "parse-names" : false, "suffix" : "" }, { "dropping-particle" : "", "family" : "Li", "given" : "Shiqian", "non-dropping-particle" : "", "parse-names" : false, "suffix" : "" }, { "dropping-particle" : "", "family" : "Wang", "given" : "Tong", "non-dropping-particle" : "", "parse-names" : false, "suffix" : "" }, { "dropping-particle" : "", "family" : "Liu", "given" : "Fupei", "non-dropping-particle" : "", "parse-names" : false, "suffix" : "" }, { "dropping-particle" : "", "family" : "Zhu", "given" : "Biying", "non-dropping-particle" : "", "parse-names" : false, "suffix" : "" }, { "dropping-particle" : "", "family" : "Hoffmann", "given" : "Peter R.", "non-dropping-particle" : "", "parse-names" : false, "suffix" : "" }, { "dropping-particle" : "", "family" : "Ji", "given" : "Guangju", "non-dropping-particle" : "", "parse-names" : false, "suffix" : "" }, { "dropping-particle" : "", "family" : "Lei", "given" : "Pingsheng", "non-dropping-particle" : "", "parse-names" : false, "suffix" : "" }, { "dropping-particle" : "", "family" : "Li", "given" : "Guoping", "non-dropping-particle" : "", "parse-names" : false, "suffix" : "" }, { "dropping-particle" : "", "family" : "Li", "given" : "Jiwei", "non-dropping-particle" : "", "parse-names" : false, "suffix" : "" }, { "dropping-particle" : "", "family" : "Li", "given" : "Jian", "non-dropping-particle" : "", "parse-names" : false, "suffix" : "" }, { "dropping-particle" : "", "family" : "Olkkonen", "given" : "Vesa M.", "non-dropping-particle" : "", "parse-names" : false, "suffix" : "" }, { "dropping-particle" : "", "family" : "Yan", "given" : "Daoguang", "non-dropping-particle" : "", "parse-names" : false, "suffix" : "" } ], "container-title" : "Nature Communications", "id" : "ITEM-1", "issued" : { "date-parts" : [ [ "2016", "9", "1" ] ] }, "publisher" : "Nature Publishing Group", "title" : "ORP4L is essential for T-cell acute lymphoblastic leukemia cell survival", "type" : "article-journal", "volume" : "7" }, "uris" : [ "http://www.mendeley.com/documents/?uuid=21b8166d-3042-347d-b36d-cfdd67d168f7" ] } ], "mendeley" : { "formattedCitation" : "&lt;sup&gt;51&lt;/sup&gt;", "plainTextFormattedCitation" : "51", "previouslyFormattedCitation" : "&lt;sup&gt;51&lt;/sup&gt;" }, "properties" : { "noteIndex" : 0 }, "schema" : "https://github.com/citation-style-language/schema/raw/master/csl-citation.json" }</w:instrText>
      </w:r>
      <w:r w:rsidRPr="000E162A">
        <w:fldChar w:fldCharType="separate"/>
      </w:r>
      <w:r w:rsidR="006B01D5" w:rsidRPr="006B01D5">
        <w:rPr>
          <w:noProof/>
          <w:vertAlign w:val="superscript"/>
        </w:rPr>
        <w:t>51</w:t>
      </w:r>
      <w:r w:rsidRPr="000E162A">
        <w:fldChar w:fldCharType="end"/>
      </w:r>
      <w:r w:rsidRPr="000E162A">
        <w:t xml:space="preserve"> Knockdown of ORP4 in cancer cell lines results in increased apoptosis, autophagy, and mitochondrial dysfunction, which phenocopies OSW-1 treatment.</w:t>
      </w:r>
      <w:r w:rsidRPr="000E162A">
        <w:fldChar w:fldCharType="begin" w:fldLock="1"/>
      </w:r>
      <w:r w:rsidR="006B01D5">
        <w:instrText>ADDIN CSL_CITATION { "citationItems" : [ { "id" : "ITEM-1", "itemData" : { "DOI" : "10.1038/ncomms12702", "ISSN" : "20411723", "abstract" : "Metabolic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CD3\u03f5, G\u03b1 q/11 and PLC\u03b23 into a complex that activates PLC\u03b23. PLC\u03b23 catalyzes IP 3 production in T-ALL as opposed to PLC\u03b31 in normal T-cells. Up-regulation of ORP4L thus results in a switch in the enzyme responsible for IP 3 -induced endoplasmic reticulum Ca 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PLC\u03b23 activation, resulting in an increase of mitochondrial respiration for cell survival. Targeting ORP4L might represent a promising approach for T-ALL treatment.", "author" : [ { "dropping-particle" : "", "family" : "Zhong", "given" : "Wenbin", "non-dropping-particle" : "", "parse-names" : false, "suffix" : "" }, { "dropping-particle" : "", "family" : "Yi", "given" : "Qing", "non-dropping-particle" : "", "parse-names" : false, "suffix" : "" }, { "dropping-particle" : "", "family" : "Xu", "given" : "Bing", "non-dropping-particle" : "", "parse-names" : false, "suffix" : "" }, { "dropping-particle" : "", "family" : "Li", "given" : "Shiqian", "non-dropping-particle" : "", "parse-names" : false, "suffix" : "" }, { "dropping-particle" : "", "family" : "Wang", "given" : "Tong", "non-dropping-particle" : "", "parse-names" : false, "suffix" : "" }, { "dropping-particle" : "", "family" : "Liu", "given" : "Fupei", "non-dropping-particle" : "", "parse-names" : false, "suffix" : "" }, { "dropping-particle" : "", "family" : "Zhu", "given" : "Biying", "non-dropping-particle" : "", "parse-names" : false, "suffix" : "" }, { "dropping-particle" : "", "family" : "Hoffmann", "given" : "Peter R.", "non-dropping-particle" : "", "parse-names" : false, "suffix" : "" }, { "dropping-particle" : "", "family" : "Ji", "given" : "Guangju", "non-dropping-particle" : "", "parse-names" : false, "suffix" : "" }, { "dropping-particle" : "", "family" : "Lei", "given" : "Pingsheng", "non-dropping-particle" : "", "parse-names" : false, "suffix" : "" }, { "dropping-particle" : "", "family" : "Li", "given" : "Guoping", "non-dropping-particle" : "", "parse-names" : false, "suffix" : "" }, { "dropping-particle" : "", "family" : "Li", "given" : "Jiwei", "non-dropping-particle" : "", "parse-names" : false, "suffix" : "" }, { "dropping-particle" : "", "family" : "Li", "given" : "Jian", "non-dropping-particle" : "", "parse-names" : false, "suffix" : "" }, { "dropping-particle" : "", "family" : "Olkkonen", "given" : "Vesa M.", "non-dropping-particle" : "", "parse-names" : false, "suffix" : "" }, { "dropping-particle" : "", "family" : "Yan", "given" : "Daoguang", "non-dropping-particle" : "", "parse-names" : false, "suffix" : "" } ], "container-title" : "Nature Communications", "id" : "ITEM-1", "issued" : { "date-parts" : [ [ "2016", "9", "1" ] ] }, "publisher" : "Nature Publishing Group", "title" : "ORP4L is essential for T-cell acute lymphoblastic leukemia cell survival", "type" : "article-journal", "volume" : "7" }, "uris" : [ "http://www.mendeley.com/documents/?uuid=21b8166d-3042-347d-b36d-cfdd67d168f7" ] }, { "id" : "ITEM-2", "itemData" : { "DOI" : "10.1016/j.celrep.2019.01.082", "ISSN" : "22111247", "abstract" : "Leukemia stem cells (LSCs) are a rare subpopulation of abnormal hematopoietic stem cells (HSCs) that propagates leukemia and are responsible for the high frequency of relapse in therapies. Detailed insights into LSCs\u2019 survival will facilitate the identification of targets for therapeutic approaches. Here, we develop an inhibitor, LYZ-81, which targets ORP4L with high affinity and specificity and selectively eradicates LCSs in vitro and in vivo. ORP4L is expressed in LSCs but not in normal HSCs and is essential for LSC bioenergetics and survival. It extracts PIP 2 from the plasma membrane and presents it to PLC\u03b23, enabling IP 3 generation and subsequent Ca 2+ -dependent bioenergetics. LYZ-81 binds ORP4L competitively with PIP 2 and blocks PIP 2 hydrolysis, resulting in defective Ca 2+ signaling. The results provide evidence that LSCs can be eradicated through the inhibition of ORP4L by LYZ-81, which may serve as a starting point of drug development for the elimination of LSCs to eventually cure leukemia. Zhong et al. report that abnormal expression of ORP4L is essential for leukemia stem cell survival; it enables IP 3 generation by extracting and presenting PIP 2 from the plasma membrane to PLC\u03b23 for hydrolysis. The compound LYZ-81, which blocks this process via targeting ORP4L, selectively eradicates leukemia stem cells.", "author" : [ { "dropping-particle" : "", "family" : "Zhong", "given" : "Wenbin", "non-dropping-particle" : "", "parse-names" : false, "suffix" : "" }, { "dropping-particle" : "", "family" : "Xu", "given" : "Mengyang", "non-dropping-particle" : "", "parse-names" : false, "suffix" : "" }, { "dropping-particle" : "", "family" : "Li", "given" : "Chanjuan", "non-dropping-particle" : "", "parse-names" : false, "suffix" : "" }, { "dropping-particle" : "", "family" : "Zhu", "given" : "Biying", "non-dropping-particle" : "", "parse-names" : false, "suffix" : "" }, { "dropping-particle" : "", "family" : "Cao", "given" : "Xiuye", "non-dropping-particle" : "", "parse-names" : false, "suffix" : "" }, { "dropping-particle" : "", "family" : "Li", "given" : "Dan", "non-dropping-particle" : "", "parse-names" : false, "suffix" : "" }, { "dropping-particle" : "", "family" : "Chen", "given" : "Huanzhao", "non-dropping-particle" : "", "parse-names" : false, "suffix" : "" }, { "dropping-particle" : "", "family" : "Hu", "given" : "Chunxiu", "non-dropping-particle" : "", "parse-names" : false, "suffix" : "" }, { "dropping-particle" : "", "family" : "Li", "given" : "Rong", "non-dropping-particle" : "", "parse-names" : false, "suffix" : "" }, { "dropping-particle" : "", "family" : "Luo", "given" : "Chengwei", "non-dropping-particle" : "", "parse-names" : false, "suffix" : "" }, { "dropping-particle" : "", "family" : "Pan", "given" : "Guoping", "non-dropping-particle" : "", "parse-names" : false, "suffix" : "" }, { "dropping-particle" : "", "family" : "Zhang", "given" : "Wenqiang", "non-dropping-particle" : "", "parse-names" : false, "suffix" : "" }, { "dropping-particle" : "", "family" : "Lai", "given" : "Chaofeng", "non-dropping-particle" : "", "parse-names" : false, "suffix" : "" }, { "dropping-particle" : "", "family" : "Wang", "given" : "Tong", "non-dropping-particle" : "", "parse-names" : false, "suffix" : "" }, { "dropping-particle" : "", "family" : "Du", "given" : "Xin", "non-dropping-particle" : "", "parse-names" : false, "suffix" : "" }, { "dropping-particle" : "", "family" : "Chen", "given" : "Hong", "non-dropping-particle" : "", "parse-names" : false, "suffix" : "" }, { "dropping-particle" : "", "family" : "Xu", "given" : "Guowang", "non-dropping-particle" : "", "parse-names" : false, "suffix" : "" }, { "dropping-particle" : "", "family" : "Olkkonen", "given" : "Vesa M.", "non-dropping-particle" : "", "parse-names" : false, "suffix" : "" }, { "dropping-particle" : "", "family" : "Lei", "given" : "Pingsheng", "non-dropping-particle" : "", "parse-names" : false, "suffix" : "" }, { "dropping-particle" : "", "family" : "Xu", "given" : "Jun", "non-dropping-particle" : "", "parse-names" : false, "suffix" : "" }, { "dropping-particle" : "", "family" : "Yan", "given" : "Daoguang", "non-dropping-particle" : "", "parse-names" : false, "suffix" : "" } ], "container-title" : "Cell Reports", "id" : "ITEM-2", "issue" : "8", "issued" : { "date-parts" : [ [ "2019", "2", "19" ] ] }, "page" : "2166-2177.e9", "publisher" : "Elsevier B.V.", "title" : "ORP4L Extracts and Presents PIP 2 from Plasma Membrane for PLC\u03b23 Catalysis: Targeting It Eradicates Leukemia Stem Cells", "type" : "article-journal", "volume" : "26" }, "uris" : [ "http://www.mendeley.com/documents/?uuid=4fa2f1b8-5d88-33a7-8474-4bdfffd094b4" ] }, { "id" : "ITEM-3", "itemData" : { "DOI" : "10.1074/jbc.M114.571216", "ISSN" : "1083351X", "abstract" : "Background: The function of oxysterol-binding protein-related protein (ORP4) is unknown. Results: Silencing ORP4L or all ORP4 isoforms triggers growth arrest and apoptosis, which is suppressed by H-Ras and involves the C-terminal lipid binding domain. Conclusion: ORP4 is a sterol and PI-4P-binding protein required for survival and proliferation of immortalized and transformed cells. Significance: This is the first study to identify a mammalian ORP with growth regulatory activity. \u00a9 2014 by The American Society for Biochemistry and Molecular Biology, Inc. Published in the U.S.A.", "author" : [ { "dropping-particle" : "", "family" : "Charman", "given" : "Mark", "non-dropping-particle" : "", "parse-names" : false, "suffix" : "" }, { "dropping-particle" : "", "family" : "Colbourne", "given" : "Terry R.", "non-dropping-particle" : "", "parse-names" : false, "suffix" : "" }, { "dropping-particle" : "", "family" : "Pietrangelo", "given" : "Antonietta", "non-dropping-particle" : "", "parse-names" : false, "suffix" : "" }, { "dropping-particle" : "", "family" : "Kreplak", "given" : "Laurent", "non-dropping-particle" : "", "parse-names" : false, "suffix" : "" }, { "dropping-particle" : "", "family" : "Ridgway", "given" : "Neale D.", "non-dropping-particle" : "", "parse-names" : false, "suffix" : "" } ], "container-title" : "Journal of Biological Chemistry", "id" : "ITEM-3", "issue" : "22", "issued" : { "date-parts" : [ [ "2014", "5", "30" ] ] }, "page" : "15705-15717", "publisher" : "American Society for Biochemistry and Molecular Biology Inc.", "title" : "Oxysterol-binding protein (OSBP)-related protein 4 (ORP4) is essential for cell proliferation and survival", "type" : "article-journal", "volume" : "289" }, "uris" : [ "http://www.mendeley.com/documents/?uuid=761c5e8e-fc8d-38e2-acf7-9099942839b7" ] }, { "id" : "ITEM-4", "itemData" : { "DOI" : "10.18632/oncotarget.11671", "ISSN" : "19492553", "abstract" : "Oxsterol binding protein-related protein 4 (ORP4) is essential for cell proliferation, but the underlying mechanism is unclear. ORP4 is expressed as three variants, ORP4L, ORP4M and ORP4S. Here, we reported that silencing of ORP4L with specific small interfering RNA (siRNA) inhibited the proliferation of human cervical cancer cell lines C33A, HeLa and CaSki, the reverse effect being observed in ORP4L overexpressing cells. For molecular insight, we found that ORP4L maintained intracellular Ca 2+ homeostasis. Through this mechanism, ORP4L activated nuclear factor of activated T cells (NFAT) activity and thus promoted expression of a gene cluster which supported cell proliferation. Of note, ORP4L sustained inositol- 1,4,5-trisphosphate receptor 1 (IP 3 R1) expression at both mRNA and protein levels via Ca 2+ -dependent NFAT3 activation, which offered a mechanic explanation for the role of ORP4L intracellular Ca 2+ homeostasis. Furthermore, ORP4L knockdown markedly inhibited tumor growth in a C33A cell xenograft mouse model. To conclude, our results reveal that ORP4L promotes cell proliferation through maintaining intracellular Ca 2+ homeostasis.", "author" : [ { "dropping-particle" : "", "family" : "Li", "given" : "Ji Wei", "non-dropping-particle" : "", "parse-names" : false, "suffix" : "" }, { "dropping-particle" : "", "family" : "Xiao", "given" : "Yan Lin", "non-dropping-particle" : "", "parse-names" : false, "suffix" : "" }, { "dropping-particle" : "", "family" : "Lai", "given" : "Chao Feng", "non-dropping-particle" : "", "parse-names" : false, "suffix" : "" }, { "dropping-particle" : "", "family" : "Lou", "given" : "Ning", "non-dropping-particle" : "", "parse-names" : false, "suffix" : "" }, { "dropping-particle" : "", "family" : "Ma", "given" : "Hong Ling", "non-dropping-particle" : "", "parse-names" : false, "suffix" : "" }, { "dropping-particle" : "", "family" : "Zhu", "given" : "Bi Ying", "non-dropping-particle" : "", "parse-names" : false, "suffix" : "" }, { "dropping-particle" : "Bin", "family" : "Zhong", "given" : "Wen", "non-dropping-particle" : "", "parse-names" : false, "suffix" : "" }, { "dropping-particle" : "", "family" : "Yan", "given" : "Dao Guang", "non-dropping-particle" : "", "parse-names" : false, "suffix" : "" } ], "container-title" : "Oncotarget", "id" : "ITEM-4", "issue" : "40", "issued" : { "date-parts" : [ [ "2016" ] ] }, "page" : "65849-65861", "publisher" : "Impact Journals LLC", "title" : "Oxysterol-binding protein-related protein 4L promotes cell proliferation by sustaining intracellular Ca 2+ homeostasis in cervical carcinoma cell lines", "type" : "article-journal", "volume" : "7" }, "uris" : [ "http://www.mendeley.com/documents/?uuid=fe8409a8-ef3b-3e8b-9032-54997ddd35d6" ] }, { "id" : "ITEM-5", "itemData" : { "DOI" : "10.1096/fj.201900933RR", "ISSN" : "1530-6860", "abstract" : "Oxysterol-binding protein-related protein (ORP) 4L acts as a scaffold protein assembling CD3-\u03b5, G-\u03b1q/11, and PLC-\u03b23 into a complex at the plasma membrane that mediates inositol (1,4,5)-trisphosphate (IP3)-induced endoplasmic reticulum (ER) Ca2+ release and oxidative phosphorylation in T-cell acute lymphoblastic leukemia cells. Here, we offer new evidence that ORP4L interacts with the carboxyl terminus of the IP3 receptor type 1 (ITPR1) in Jurkat T cells. ORP4L enables IP3 binding to ITPR1; a truncated construct that lacks the ITPR1-binding region retains the ability to increase IP3 production but fails to mediate IP3 and ITPR1 binding. In association with this ability of ORP4L, it enhances Ca2+ release from the ER and subsequent cytosolic and mitochondrial parallel Ca2+ spike oscillations that stimulate mitochondrial energetics and thus maintains cell survival. These data support a novel model in which ORP4L is a cofactor of ITPR1, which increases ITPR1 sensitivity to IP3 and enables ER Ca2+ release.-Cao, X., Chen, J., Li, D., Xie, P., Xu, M., Lin, W., Li, S., Pan, G., Tang, Y., Xu, J., Olkkonen, V. M., Yan, D., Zhong, W. ORP4L couples IP3 to ITPR1 in control of endoplasmic reticulum calcium release.", "author" : [ { "dropping-particle" : "", "family" : "Cao", "given" : "Xiuye", "non-dropping-particle" : "", "parse-names" : false, "suffix" : "" }, { "dropping-particle" : "", "family" : "Chen", "given" : "Jianuo", "non-dropping-particle" : "", "parse-names" : false, "suffix" : "" }, { "dropping-particle" : "", "family" : "Li", "given" : "Dan", "non-dropping-particle" : "", "parse-names" : false, "suffix" : "" }, { "dropping-particle" : "", "family" : "Xie", "given" : "Peipei", "non-dropping-particle" : "", "parse-names" : false, "suffix" : "" }, { "dropping-particle" : "", "family" : "Xu", "given" : "Mengyang", "non-dropping-particle" : "", "parse-names" : false, "suffix" : "" }, { "dropping-particle" : "", "family" : "Lin", "given" : "Weize", "non-dropping-particle" : "", "parse-names" : false, "suffix" : "" }, { "dropping-particle" : "", "family" : "Li", "given" : "Shiqian", "non-dropping-particle" : "", "parse-names" : false, "suffix" : "" }, { "dropping-particle" : "", "family" : "Pan", "given" : "Guoping", "non-dropping-particle" : "", "parse-names" : false, "suffix" : "" }, { "dropping-particle" : "", "family" : "Tang", "given" : "Yong", "non-dropping-particle" : "", "parse-names" : false, "suffix" : "" }, { "dropping-particle" : "", "family" : "Xu", "given" : "Jun", "non-dropping-particle" : "", "parse-names" : false, "suffix" : "" }, { "dropping-particle" : "", "family" : "Olkkonen", "given" : "Vesa M", "non-dropping-particle" : "", "parse-names" : false, "suffix" : "" }, { "dropping-particle" : "", "family" : "Yan", "given" : "Daoguang", "non-dropping-particle" : "", "parse-names" : false, "suffix" : "" }, { "dropping-particle" : "", "family" : "Zhong", "given" : "Wenbin", "non-dropping-particle" : "", "parse-names" : false, "suffix" : "" } ], "container-title" : "FASEB journal : official publication of the Federation of American Societies for Experimental Biology", "id" : "ITEM-5", "issued" : { "date-parts" : [ [ "2019" ] ] }, "page" : "fj201900933RR", "title" : "ORP4L couples IP3 to ITPR1 in control of endoplasmic reticulum calcium release.", "type" : "article-journal" }, "uris" : [ "http://www.mendeley.com/documents/?uuid=500c6c93-c627-3877-9d36-9b248fd330a0" ] }, { "id" : "ITEM-6", "itemData" : { "DOI" : "10.1074/jbc.M112.384776", "ISSN" : "00219258", "abstract" : "3\u03b2,16\u03b2,17\u03b1-Trihydroxycholest-5-en-22-one 16-O-(2-O-4-methoxybenzoyl-\u03b2-D-xylopyranosyl)-(1\u21923) -2-O-acetyl-\u03b1-L-arabinopyranoside (OSW-1) is a natural product with potent antitumor activity against various types of cancer cells, but the exact mechanisms of action remain to be defined. In this study, we showed that OSW-1 effectively killed leukemia cells at subnanomolar concentrations through a unique mechanism by causing a time-dependent elevation of cytosolic Ca 2+ prior to induction of apoptosis. A mechanistic study revealed that this compound inhibited the sodium-calcium exchanger 1 on the plasma membrane, leading to an increase in cytosolic Ca2+ and a decrease in cytosolic Na+. The elevated cytosolic Ca2+ caused mitochondrial calcium overload and resulted in a loss of mitochondrial membrane potential, release of cytochrome c, and activation of caspase-3. Furthermore, OSW-1 also caused a Ca2+-dependent cleavage of the survival factor GRP78. Inhibition of Ca2+ entry into the mitochondria by the uniporter inhibitor RU360 or by cyclosporin A significantly prevented the OSW-1-induced cell death, indicating the important role of mitochondria in mediating the cytotoxic activity. The extremely potent activity of OSW-1 against leukemia cells and its unique mechanism of action suggest that this compound may be potentially useful in the treatment of leukemia. \u00a9 2013 by The American Society for Biochemistry and Molecular Biology, Inc.", "author" : [ { "dropping-particle" : "", "family" : "Garcia-Prieto", "given" : "Celia", "non-dropping-particle" : "", "parse-names" : false, "suffix" : "" }, { "dropping-particle" : "", "family" : "Ahmed", "given" : "Kausar Begam Riaz", "non-dropping-particle" : "", "parse-names" : false, "suffix" : "" }, { "dropping-particle" : "", "family" : "Chen", "given" : "Zhao", "non-dropping-particle" : "", "parse-names" : false, "suffix" : "" }, { "dropping-particle" : "", "family" : "Zhou", "given" : "Yan", "non-dropping-particle" : "", "parse-names" : false, "suffix" : "" }, { "dropping-particle" : "", "family" : "Hammoudi", "given" : "Naima", "non-dropping-particle" : "", "parse-names" : false, "suffix" : "" }, { "dropping-particle" : "", "family" : "Kang", "given" : "Ying", "non-dropping-particle" : "", "parse-names" : false, "suffix" : "" }, { "dropping-particle" : "", "family" : "Lou", "given" : "Changgang", "non-dropping-particle" : "", "parse-names" : false, "suffix" : "" }, { "dropping-particle" : "", "family" : "Mei", "given" : "Yan", "non-dropping-particle" : "", "parse-names" : false, "suffix" : "" }, { "dropping-particle" : "", "family" : "Jin", "given" : "Zhendong", "non-dropping-particle" : "", "parse-names" : false, "suffix" : "" }, { "dropping-particle" : "", "family" : "Huang", "given" : "Peng", "non-dropping-particle" : "", "parse-names" : false, "suffix" : "" } ], "container-title" : "Journal of Biological Chemistry", "id" : "ITEM-6", "issue" : "5", "issued" : { "date-parts" : [ [ "2013", "2", "1" ] ] }, "page" : "3240-3250", "title" : "Effective killing of leukemia cells by the natural product OSW-1 through disruption of cellular calcium homeostasis", "type" : "article-journal", "volume" : "288" }, "uris" : [ "http://www.mendeley.com/documents/?uuid=b8506d1a-b276-3784-a880-bc26662190a2" ] } ], "mendeley" : { "formattedCitation" : "&lt;sup&gt;51,53\u201357&lt;/sup&gt;", "plainTextFormattedCitation" : "51,53\u201357", "previouslyFormattedCitation" : "&lt;sup&gt;51,53\u201357&lt;/sup&gt;" }, "properties" : { "noteIndex" : 0 }, "schema" : "https://github.com/citation-style-language/schema/raw/master/csl-citation.json" }</w:instrText>
      </w:r>
      <w:r w:rsidRPr="000E162A">
        <w:fldChar w:fldCharType="separate"/>
      </w:r>
      <w:r w:rsidR="006B01D5" w:rsidRPr="006B01D5">
        <w:rPr>
          <w:noProof/>
          <w:vertAlign w:val="superscript"/>
        </w:rPr>
        <w:t>51,53–57</w:t>
      </w:r>
      <w:r w:rsidRPr="000E162A">
        <w:fldChar w:fldCharType="end"/>
      </w:r>
      <w:r w:rsidRPr="000E162A">
        <w:t xml:space="preserve"> The limited, selective expression of ORP4 in normal tissue while being essential for cancer proliferation, signifies ORP4 as a potential cancer precision therapeutic target.</w:t>
      </w:r>
    </w:p>
    <w:p w14:paraId="6123AF60" w14:textId="77777777" w:rsidR="006B01D5" w:rsidRDefault="006B01D5" w:rsidP="000849BF">
      <w:pPr>
        <w:jc w:val="both"/>
      </w:pPr>
    </w:p>
    <w:p w14:paraId="66385DD4" w14:textId="3ECE7A6E" w:rsidR="000E162A" w:rsidRPr="000E162A" w:rsidRDefault="00210FE0" w:rsidP="000849BF">
      <w:pPr>
        <w:pStyle w:val="Heading2"/>
      </w:pPr>
      <w:bookmarkStart w:id="25" w:name="_Toc39868136"/>
      <w:r>
        <w:t>1.4 The Antiviral and Anticancer Compound OSW-1 Targets OSBP and ORP4</w:t>
      </w:r>
      <w:bookmarkEnd w:id="25"/>
      <w:r>
        <w:t xml:space="preserve"> </w:t>
      </w:r>
    </w:p>
    <w:p w14:paraId="4CEA1162" w14:textId="051FFDD1" w:rsidR="000E162A" w:rsidRDefault="000E162A">
      <w:pPr>
        <w:ind w:firstLine="720"/>
        <w:jc w:val="both"/>
      </w:pPr>
      <w:r w:rsidRPr="000E162A">
        <w:t xml:space="preserve">The natural product OSW-1 (3β,16β)-3,17-Dihydroxy-22-oxocholest-5-en-16-yl-2-O-acetyl-3-O-[2-O-(4-methoxybenzoyl)-β-D-xylopyranosyl]-α-L-arabinopyranoside) is a potent anticancer compound isolated from the bulbs of the  </w:t>
      </w:r>
      <w:r w:rsidRPr="000E162A">
        <w:rPr>
          <w:i/>
        </w:rPr>
        <w:t>Ornithogalum saundersiae</w:t>
      </w:r>
      <w:r w:rsidRPr="000E162A">
        <w:t xml:space="preserve"> </w:t>
      </w:r>
      <w:r w:rsidRPr="000E162A">
        <w:lastRenderedPageBreak/>
        <w:t xml:space="preserve">plant. </w:t>
      </w:r>
      <w:r w:rsidRPr="000E162A">
        <w:rPr>
          <w:i/>
          <w:iCs/>
        </w:rPr>
        <w:fldChar w:fldCharType="begin" w:fldLock="1"/>
      </w:r>
      <w:r w:rsidR="006B01D5">
        <w:rPr>
          <w:i/>
          <w:iCs/>
        </w:rPr>
        <w:instrText>ADDIN CSL_CITATION { "citationItems" : [ { "id" : "ITEM-1", "itemData" : { "DOI" : "10.1016/S0031-9422(00)97565-4", "ISSN" : "00319422", "abstract" : "Phytochemical examination of the bulbs of Ornithogalum saundersiae led to the isolation of three new acylated cholestane glycosides. Their structures were elucidated, on the basis of the spectroscopic data and chemical evidences, and by comparing them with those of known compounds, as 3\u03b2P,16\u03b2P,17\u03b1-trihydroxycholest-5-en-22-one 16-O-\u03b2-d-xylopyranosyl-(1\u21923)-(2-O-acetyl-\u03b1-l-arabinopyranoside), 3\u03b2,16\u03b2,17\u03b1-trihydroxycholest-5-en-22-one 16-O-(2-O-4-methoxybenzoyl-\u03b2P-d-xylopyranosyl)-(1\u21923)-(2-O-acetyl-\u03b1-l-arabinopyranoside) and 3\u03b2,16\u03b2,17\u03b1-trihydroxy-cholest-5-en-22-one 16-O-(2-O-3,4-dimethoxybenzoyl-\u03b2-d-xylopyranosyl)-(1\u21923)-(2-O-acetyl-\u03b1-l-arabinopyranoside). Inhibitory activity on cyclic AMP phosphodiesterase of the cholestane glycosides was evaluated. \u00a9 1992.", "author" : [ { "dropping-particle" : "", "family" : "Kubo", "given" : "Satoshi", "non-dropping-particle" : "", "parse-names" : false, "suffix" : "" }, { "dropping-particle" : "", "family" : "Mimaki", "given" : "Yoshihiro", "non-dropping-particle" : "", "parse-names" : false, "suffix" : "" }, { "dropping-particle" : "", "family" : "Terao", "given" : "Miki", "non-dropping-particle" : "", "parse-names" : false, "suffix" : "" }, { "dropping-particle" : "", "family" : "Sashida", "given" : "Yutaka", "non-dropping-particle" : "", "parse-names" : false, "suffix" : "" }, { "dropping-particle" : "", "family" : "Nikaido", "given" : "Tamotsu", "non-dropping-particle" : "", "parse-names" : false, "suffix" : "" }, { "dropping-particle" : "", "family" : "Ohmoto", "given" : "Taichi", "non-dropping-particle" : "", "parse-names" : false, "suffix" : "" } ], "container-title" : "Phytochemistry", "id" : "ITEM-1", "issue" : "11", "issued" : { "date-parts" : [ [ "1992", "1", "1" ] ] }, "page" : "3969-3973", "publisher" : "Pergamon", "title" : "Acylated cholestane glycosides from the bulbs of Ornithogalum saundersiae", "type" : "article-journal", "volume" : "31" }, "uris" : [ "http://www.mendeley.com/documents/?uuid=8fe24254-0922-37f5-bf14-245c6b60759c" ] }, { "id" : "ITEM-2", "itemData" : { "DOI" : "10.1016/S0960-894X(97)00071-1", "ISSN" : "0960894X", "abstract" : "Five cholestane glycosides (1-5) including three new ones (3-5) with potent cytostatic activity on leukemia HL-60 cells were isolated from Ornithogalum saundersiae bulbs. Compound 1, a main constituent in the bulbs, was revealed to be exceptionally cytostatic against various malignant tumor cells and effective to mouse P388 leukemia in in vivo evaluation.", "author" : [ { "dropping-particle" : "", "family" : "Mimaki", "given" : "Yoshihiro", "non-dropping-particle" : "", "parse-names" : false, "suffix" : "" }, { "dropping-particle" : "", "family" : "Kuroda", "given" : "Minpei", "non-dropping-particle" : "", "parse-names" : false, "suffix" : "" }, { "dropping-particle" : "", "family" : "Kameyama", "given" : "Aiko", "non-dropping-particle" : "", "parse-names" : false, "suffix" : "" }, { "dropping-particle" : "", "family" : "Sashida", "given" : "Yutaka", "non-dropping-particle" : "", "parse-names" : false, "suffix" : "" }, { "dropping-particle" : "", "family" : "Hirano", "given" : "Toshiliko", "non-dropping-particle" : "", "parse-names" : false, "suffix" : "" }, { "dropping-particle" : "", "family" : "Oka", "given" : "Kitaro", "non-dropping-particle" : "", "parse-names" : false, "suffix" : "" }, { "dropping-particle" : "", "family" : "Maekawa", "given" : "Rhuji", "non-dropping-particle" : "", "parse-names" : false, "suffix" : "" }, { "dropping-particle" : "", "family" : "Wada", "given" : "Toru", "non-dropping-particle" : "", "parse-names" : false, "suffix" : "" }, { "dropping-particle" : "", "family" : "Sugita", "given" : "Kenji", "non-dropping-particle" : "", "parse-names" : false, "suffix" : "" }, { "dropping-particle" : "", "family" : "Beutler", "given" : "John A.", "non-dropping-particle" : "", "parse-names" : false, "suffix" : "" } ], "container-title" : "Bioorganic and Medicinal Chemistry Letters", "id" : "ITEM-2", "issue" : "5", "issued" : { "date-parts" : [ [ "1997", "3", "4" ] ] }, "page" : "633-636", "publisher" : "Pergamon", "title" : "Cholestane glycosides with potent cytostatic activities on various tumor cells from Ornithogalum saundersiae bulbs", "type" : "article-journal", "volume" : "7" }, "uris" : [ "http://www.mendeley.com/documents/?uuid=a9baecdf-b9e4-42c6-b22b-b588dba5d7bf" ] }, { "id" : "ITEM-3", "itemData" : { "DOI" : "10.1038/nchembio.625", "ISBN" : "1552-4469 (Electronic)\\n1552-4450 (Linking)", "ISSN" : "1552-4450", "PMID" : "21822274", "abstract" : "Cephalostatin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(ORP4L)\u2014proteins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 C", "author" : [ { "dropping-particle" : "", "family" : "Burgett", "given" : "Anthony W G", "non-dropping-particle" : "", "parse-names" : false, "suffix" : "" }, { "dropping-particle" : "", "family" : "Poulsen", "given" : "Thomas B", "non-dropping-particle" : "", "parse-names" : false, "suffix" : "" }, { "dropping-particle" : "", "family" : "Wangkanont", "given" : "Kittikhun", "non-dropping-particle" : "", "parse-names" : false, "suffix" : "" }, { "dropping-particle" : "", "family" : "Anderson", "given" : "D Ryan", "non-dropping-particle" : "", "parse-names" : false, "suffix" : "" }, { "dropping-particle" : "", "family" : "Kikuchi", "given" : "Chikako", "non-dropping-particle" : "", "parse-names" : false, "suffix" : "" }, { "dropping-particle" : "", "family" : "Shimada", "given" : "Kousei", "non-dropping-particle" : "", "parse-names" : false, "suffix" : "" }, { "dropping-particle" : "", "family" : "Okubo", "given" : "Shuichi", "non-dropping-particle" : "", "parse-names" : false, "suffix" : "" }, { "dropping-particle" : "", "family" : "Fortner", "given" : "Kevin C", "non-dropping-particle" : "", "parse-names" : false, "suffix" : "" }, { "dropping-particle" : "", "family" : "Mimaki", "given" : "Yoshihiro", "non-dropping-particle" : "", "parse-names" : false, "suffix" : "" }, { "dropping-particle" : "", "family" : "Kuroda", "given" : "Minpei", "non-dropping-particle" : "", "parse-names" : false, "suffix" : "" }, { "dropping-particle" : "", "family" : "Murphy", "given" : "Jason P", "non-dropping-particle" : "", "parse-names" : false, "suffix" : "" }, { "dropping-particle" : "", "family" : "Schwalb", "given" : "David J", "non-dropping-particle" : "", "parse-names" : false, "suffix" : "" }, { "dropping-particle" : "", "family" : "Petrella", "given" : "Eugene C", "non-dropping-particle" : "", "parse-names" : false, "suffix" : "" }, { "dropping-particle" : "", "family" : "Cornella-Taracido", "given" : "Ivan", "non-dropping-particle" : "", "parse-names" : false, "suffix" : "" }, { "dropping-particle" : "", "family" : "Schirle", "given" : "Markus", "non-dropping-particle" : "", "parse-names" : false, "suffix" : "" }, { "dropping-particle" : "", "family" : "Tallarico", "given" : "John A", "non-dropping-particle" : "", "parse-names" : false, "suffix" : "" }, { "dropping-particle" : "", "family" : "Shair", "given" : "Matthew D", "non-dropping-particle" : "", "parse-names" : false, "suffix" : "" } ], "container-title" : "Nature Chemical Biology", "id" : "ITEM-3", "issue" : "9", "issued" : { "date-parts" : [ [ "2011" ] ] }, "page" : "639-647", "publisher" : "Nature Publishing Group", "title" : "Natural products reveal cancer cell dependence on oxysterol-binding proteins", "type" : "article-journal", "volume" : "7" }, "uris" : [ "http://www.mendeley.com/documents/?uuid=8247cefa-1387-4829-8f62-5411ff24d436" ] } ], "mendeley" : { "formattedCitation" : "&lt;sup&gt;58\u201360&lt;/sup&gt;", "plainTextFormattedCitation" : "58\u201360", "previouslyFormattedCitation" : "&lt;sup&gt;58\u201360&lt;/sup&gt;" }, "properties" : { "noteIndex" : 0 }, "schema" : "https://github.com/citation-style-language/schema/raw/master/csl-citation.json" }</w:instrText>
      </w:r>
      <w:r w:rsidRPr="000E162A">
        <w:rPr>
          <w:i/>
          <w:iCs/>
        </w:rPr>
        <w:fldChar w:fldCharType="separate"/>
      </w:r>
      <w:r w:rsidR="006B01D5" w:rsidRPr="006B01D5">
        <w:rPr>
          <w:iCs/>
          <w:noProof/>
          <w:vertAlign w:val="superscript"/>
        </w:rPr>
        <w:t>58–60</w:t>
      </w:r>
      <w:r w:rsidRPr="000E162A">
        <w:fldChar w:fldCharType="end"/>
      </w:r>
      <w:r w:rsidRPr="000E162A">
        <w:rPr>
          <w:i/>
          <w:iCs/>
        </w:rPr>
        <w:t xml:space="preserve">  </w:t>
      </w:r>
      <w:r w:rsidR="002C78A8">
        <w:t>OSW-1 and other OSBP-targeting compounds were</w:t>
      </w:r>
      <w:r w:rsidR="00A9573C" w:rsidRPr="00A9573C">
        <w:t xml:space="preserve"> </w:t>
      </w:r>
      <w:r w:rsidR="002C78A8">
        <w:t>found to have broad-spectrum antiviral activity against many different RNA viruses.</w:t>
      </w:r>
      <w:r w:rsidR="006B01D5">
        <w:fldChar w:fldCharType="begin" w:fldLock="1"/>
      </w:r>
      <w:r w:rsidR="006B01D5">
        <w:instrText>ADDIN CSL_CITATION { "citationItems" : [ { "id" : "ITEM-1", "itemData" : { "DOI" : "10.1016/j.antiviral.2015.02.013", "ISSN" : "18729096", "abstract" : "Enteroviruses, e.g., polio-, coxsackie- and rhinoviruses, constitute a large genus within the Picornaviridae family of positive-strand RNA viruses and include many important pathogens linked to a variety of acute and chronic diseases. Despite their huge medical and economic impact, no approved antiviral therapy is yet available. Recently, the oxysterol-binding protein (OSBP) was implicated as a host factor for enterovirus replication. Here, we investigated the antiviral activity of the natural compound OSW-1, a ligand of OSBP that is under investigation as an anti-cancer drug. OSW-1 potently inhibited the replication of all enteroviruses tested, with IC50 values in the low nanomolar range, acted at the genome replication stage and was effective in all tested cell types of three different species. Importantly, OSBP overexpression rescued viral replication, demonstrating that the antiviral effect of OSW-1 is due to targeting OSBP. Together, we here report the anti-enterovirus activity of the natural anti-cancer compound OSW-1.", "author" : [ { "dropping-particle" : "", "family" : "Albulescu", "given" : "Lucian", "non-dropping-particle" : "", "parse-names" : false, "suffix" : "" }, { "dropping-particle" : "", "family" : "Strating", "given" : "Jeroen R.P.M.", "non-dropping-particle" : "", "parse-names" : false, "suffix" : "" }, { "dropping-particle" : "", "family" : "Thibaut", "given" : "Hendrik Jan", "non-dropping-particle" : "", "parse-names" : false, "suffix" : "" }, { "dropping-particle" : "", "family" : "Linden", "given" : "Lonneke", "non-dropping-particle" : "Van Der", "parse-names" : false, "suffix" : "" }, { "dropping-particle" : "", "family" : "Shair", "given" : "Matthew D.", "non-dropping-particle" : "", "parse-names" : false, "suffix" : "" }, { "dropping-particle" : "", "family" : "Neyts", "given" : "Johan", "non-dropping-particle" : "", "parse-names" : false, "suffix" : "" }, { "dropping-particle" : "", "family" : "Kuppeveld", "given" : "Frank J.M.", "non-dropping-particle" : "Van", "parse-names" : false, "suffix" : "" } ], "container-title" : "Antiviral Research", "id" : "ITEM-1", "issued" : { "date-parts" : [ [ "2015", "5" ] ] }, "page" : "110-114", "publisher" : "Elsevier", "title" : "Broad-range inhibition of enterovirus replication by OSW-1, a natural compound targeting OSBP", "type" : "article-journal", "volume" : "117" }, "uris" : [ "http://www.mendeley.com/documents/?uuid=e54be378-e840-3683-84ff-36c01b3420d3" ] }, { "id" : "ITEM-2", "itemData" : { "DOI" : "10.1016/j.antiviral.2017.01.008", "ISSN" : "18729096", "abstract" : "The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PI4KIII\u03b2-PI4P-OSBP pathway to direct cholesterol to replication organelles. Here, we uncover that TTP-8307, a known enterovirus replication inhibitor, acts through the PI4KIII\u03b2-PI4P-OSBP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 "author" : [ { "dropping-particle" : "", "family" : "Albulescu", "given" : "Lucian", "non-dropping-particle" : "", "parse-names" : false, "suffix" : "" }, { "dropping-particle" : "", "family" : "Bigay", "given" : "Jo\u00eblle", "non-dropping-particle" : "", "parse-names" : false, "suffix" : "" }, { "dropping-particle" : "", "family" : "Biswas", "given" : "Bishyajit", "non-dropping-particle" : "", "parse-names" : false, "suffix" : "" }, { "dropping-particle" : "", "family" : "Weber-Boyvat", "given" : "Marion", "non-dropping-particle" : "", "parse-names" : false, "suffix" : "" }, { "dropping-particle" : "", "family" : "Dorobantu", "given" : "Cristina M.", "non-dropping-particle" : "", "parse-names" : false, "suffix" : "" }, { "dropping-particle" : "", "family" : "Delang", "given" : "Leen", "non-dropping-particle" : "", "parse-names" : false, "suffix" : "" }, { "dropping-particle" : "", "family" : "Schaar", "given" : "Hilde M.", "non-dropping-particle" : "van der", "parse-names" : false, "suffix" : "" }, { "dropping-particle" : "", "family" : "Jung", "given" : "Young Sik", "non-dropping-particle" : "", "parse-names" : false, "suffix" : "" }, { "dropping-particle" : "", "family" : "Neyts", "given" : "Johan", "non-dropping-particle" : "", "parse-names" : false, "suffix" : "" }, { "dropping-particle" : "", "family" : "Olkkonen", "given" : "Vesa M.", "non-dropping-particle" : "", "parse-names" : false, "suffix" : "" }, { "dropping-particle" : "", "family" : "Kuppeveld", "given" : "Frank J.M.", "non-dropping-particle" : "van", "parse-names" : false, "suffix" : "" }, { "dropping-particle" : "", "family" : "Strating", "given" : "Jeroen R.P.M.", "non-dropping-particle" : "", "parse-names" : false, "suffix" : "" } ], "container-title" : "Antiviral Research", "id" : "ITEM-2", "issued" : { "date-parts" : [ [ "2017", "4", "1" ] ] }, "page" : "37-44", "publisher" : "Elsevier B.V.", "title" : "Uncovering oxysterol-binding protein (OSBP) as a target of the anti-enteroviral compound TTP-8307", "type" : "article-journal", "volume" : "140" }, "uris" : [ "http://www.mendeley.com/documents/?uuid=2e90a609-82b3-3463-910a-917123b10bb3" ] }, { "id" : "ITEM-3", "itemData" : { "DOI" : "10.1128/JVI.03546-12", "ISSN" : "1098-5514", "PMID" : "23365445", "abstract" : "Enviroxime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 "author" : [ { "dropping-particle" : "", "family" : "Arita", "given" : "Minetaro", "non-dropping-particle" : "", "parse-names" : false, "suffix" : "" }, { "dropping-particle" : "", "family" : "Kojima", "given" : "Hirotatsu", "non-dropping-particle" : "", "parse-names" : false, "suffix" : "" }, { "dropping-particle" : "", "family" : "Nagano", "given" : "Tetsuo", "non-dropping-particle" : "", "parse-names" : false, "suffix" : "" }, { "dropping-particle" : "", "family" : "Okabe", "given" : "Takayoshi", "non-dropping-particle" : "", "parse-names" : false, "suffix" : "" }, { "dropping-particle" : "", "family" : "Wakita", "given" : "Takaji", "non-dropping-particle" : "", "parse-names" : false, "suffix" : "" }, { "dropping-particle" : "", "family" : "Shimizu", "given" : "Hiroyuki", "non-dropping-particle" : "", "parse-names" : false, "suffix" : "" } ], "container-title" : "Journal of virology", "id" : "ITEM-3", "issue" : "8", "issued" : { "date-parts" : [ [ "2013", "4" ] ] }, "page" : "4252-60", "title" : "Oxysterol-binding protein family I is the target of minor enviroxime-like compounds.", "type" : "article-journal", "volume" : "87" }, "uris" : [ "http://www.mendeley.com/documents/?uuid=51b7d014-654b-3ce1-9aef-7b3b657ea8af" ] }, { "id" : "ITEM-4", "itemData" : { "DOI" : "10.1016/j.celrep.2014.12.054", "ISSN" : "22111247", "abstract" : "Itraconazole (ITZ) is a well-known antifungal agent that also has anticancer activity. In this study, weidentify ITZ as a broad-spectrum inhibitor of enteroviruses (e.g., poliovirus, coxsackievirus, enterovirus-71, rhinovirus). We demonstrate that ITZ inhibits viral RNA replication by targeting oxysterol-binding protein (OSBP) and OSBP-related protein 4 (ORP4). Consistently, OSW-1, a specific OSBP/ORP4 antagonist, also inhibits enterovirus replication. Knockdown of OSBP inhibits virus replication, whereas overexpression of OSBP or ORP4 counteracts the antiviral effects of ITZ and OSW-1. ITZ binds OSBP and inhibits its function, i.e., shuttling of cholesterol and phosphatidylinositol-4-phosphate between membranes, thereby likely perturbing the virus-induced membrane alterations essential for viral replication organelle formation. ITZ also inhibits hepatitis C virus replication, which also relies on OSBP. Together, these data implicate OSBP/ORP4 as molecular targets of ITZ and point to an essential role of OSBP/ORP4-mediated lipid exchange in virus replication that can be targeted by antiviral drugs.", "author" : [ { "dropping-particle" : "", "family" : "Strating", "given" : "Jeroen R.P.M.", "non-dropping-particle" : "", "parse-names" : false, "suffix" : "" }, { "dropping-particle" : "", "family" : "Linden", "given" : "Lonneke", "non-dropping-particle" : "van der", "parse-names" : false, "suffix" : "" }, { "dropping-particle" : "", "family" : "Albulescu", "given" : "Lucian", "non-dropping-particle" : "", "parse-names" : false, "suffix" : "" }, { "dropping-particle" : "", "family" : "Bigay", "given" : "Jo\u00eblle", "non-dropping-particle" : "", "parse-names" : false, "suffix" : "" }, { "dropping-particle" : "", "family" : "Arita", "given" : "Minetaro", "non-dropping-particle" : "", "parse-names" : false, "suffix" : "" }, { "dropping-particle" : "", "family" : "Delang", "given" : "Leen", "non-dropping-particle" : "", "parse-names" : false, "suffix" : "" }, { "dropping-particle" : "", "family" : "Leyssen", "given" : "Pieter", "non-dropping-particle" : "", "parse-names" : false, "suffix" : "" }, { "dropping-particle" : "", "family" : "Schaar", "given" : "Hilde M.", "non-dropping-particle" : "van der", "parse-names" : false, "suffix" : "" }, { "dropping-particle" : "", "family" : "Lanke", "given" : "Kjerstin H.W.", "non-dropping-particle" : "", "parse-names" : false, "suffix" : "" }, { "dropping-particle" : "", "family" : "Thibaut", "given" : "Hendrik Jan", "non-dropping-particle" : "", "parse-names" : false, "suffix" : "" }, { "dropping-particle" : "", "family" : "Ulferts", "given" : "Rachel", "non-dropping-particle" : "", "parse-names" : false, "suffix" : "" }, { "dropping-particle" : "", "family" : "Drin", "given" : "Guillaume", "non-dropping-particle" : "", "parse-names" : false, "suffix" : "" }, { "dropping-particle" : "", "family" : "Schlinck", "given" : "Nina", "non-dropping-particle" : "", "parse-names" : false, "suffix" : "" }, { "dropping-particle" : "", "family" : "Wubbolts", "given" : "Richard W.", "non-dropping-particle" : "", "parse-names" : false, "suffix" : "" }, { "dropping-particle" : "", "family" : "Sever", "given" : "Navdar", "non-dropping-particle" : "", "parse-names" : false, "suffix" : "" }, { "dropping-particle" : "", "family" : "Head", "given" : "Sarah A.", "non-dropping-particle" : "", "parse-names" : false, "suffix" : "" }, { "dropping-particle" : "", "family" : "Liu", "given" : "Jun O.", "non-dropping-particle" : "", "parse-names" : false, "suffix" : "" }, { "dropping-particle" : "", "family" : "Beachy", "given" : "Philip A.", "non-dropping-particle" : "", "parse-names" : false, "suffix" : "" }, { "dropping-particle" : "", "family" : "DeMatteis", "given" : "Maria A.", "non-dropping-particle" : "", "parse-names" : false, "suffix" : "" }, { "dropping-particle" : "", "family" : "Shair", "given" : "Matthew D.", "non-dropping-particle" : "", "parse-names" : false, "suffix" : "" }, { "dropping-particle" : "", "family" : "Olkkonen", "given" : "Vesa M.", "non-dropping-particle" : "", "parse-names" : false, "suffix" : "" }, { "dropping-particle" : "", "family" : "Neyts", "given" : "Johan", "non-dropping-particle" : "", "parse-names" : false, "suffix" : "" }, { "dropping-particle" : "", "family" : "Kuppeveld", "given" : "Frank J.M.", "non-dropping-particle" : "van", "parse-names" : false, "suffix" : "" } ], "container-title" : "Cell Reports", "id" : "ITEM-4", "issue" : "4", "issued" : { "date-parts" : [ [ "2015", "2", "3" ] ] }, "page" : "600-615", "publisher" : "Elsevier", "title" : "Itraconazole inhibits enterovirus replication by targeting the oxysterol-binding protein", "type" : "article-journal", "volume" : "10" }, "uris" : [ "http://www.mendeley.com/documents/?uuid=d6f08a36-f85c-3498-958e-0b1623c8d545" ] } ], "mendeley" : { "formattedCitation" : "&lt;sup&gt;61\u201364&lt;/sup&gt;", "plainTextFormattedCitation" : "61\u201364", "previouslyFormattedCitation" : "&lt;sup&gt;61\u201364&lt;/sup&gt;" }, "properties" : { "noteIndex" : 0 }, "schema" : "https://github.com/citation-style-language/schema/raw/master/csl-citation.json" }</w:instrText>
      </w:r>
      <w:r w:rsidR="006B01D5">
        <w:fldChar w:fldCharType="separate"/>
      </w:r>
      <w:r w:rsidR="006B01D5" w:rsidRPr="006B01D5">
        <w:rPr>
          <w:noProof/>
          <w:vertAlign w:val="superscript"/>
        </w:rPr>
        <w:t>61–64</w:t>
      </w:r>
      <w:r w:rsidR="006B01D5">
        <w:fldChar w:fldCharType="end"/>
      </w:r>
      <w:r w:rsidR="006B01D5">
        <w:t xml:space="preserve"> </w:t>
      </w:r>
      <w:r w:rsidR="00A9573C" w:rsidRPr="000E162A">
        <w:t xml:space="preserve">In addition to its antiviral activity, the OSW-1 compound has </w:t>
      </w:r>
      <w:r w:rsidR="00730B8F">
        <w:t>potent anticancer</w:t>
      </w:r>
      <w:r w:rsidR="00A9573C" w:rsidRPr="000E162A">
        <w:t xml:space="preserve"> activity through putatively binding OSBP-Related Protein 4 (ORP4).</w:t>
      </w:r>
      <w:r w:rsidR="00A9573C" w:rsidRPr="000E162A">
        <w:fldChar w:fldCharType="begin" w:fldLock="1"/>
      </w:r>
      <w:r w:rsidR="006B01D5">
        <w:instrText>ADDIN CSL_CITATION { "citationItems" : [ { "id" : "ITEM-1", "itemData" : { "DOI" : "10.1074/jbc.M114.571216", "ISSN" : "1083351X", "abstract" : "Background: The function of oxysterol-binding protein-related protein (ORP4) is unknown. Results: Silencing ORP4L or all ORP4 isoforms triggers growth arrest and apoptosis, which is suppressed by H-Ras and involves the C-terminal lipid binding domain. Conclusion: ORP4 is a sterol and PI-4P-binding protein required for survival and proliferation of immortalized and transformed cells. Significance: This is the first study to identify a mammalian ORP with growth regulatory activity. \u00a9 2014 by The American Society for Biochemistry and Molecular Biology, Inc. Published in the U.S.A.", "author" : [ { "dropping-particle" : "", "family" : "Charman", "given" : "Mark", "non-dropping-particle" : "", "parse-names" : false, "suffix" : "" }, { "dropping-particle" : "", "family" : "Colbourne", "given" : "Terry R.", "non-dropping-particle" : "", "parse-names" : false, "suffix" : "" }, { "dropping-particle" : "", "family" : "Pietrangelo", "given" : "Antonietta", "non-dropping-particle" : "", "parse-names" : false, "suffix" : "" }, { "dropping-particle" : "", "family" : "Kreplak", "given" : "Laurent", "non-dropping-particle" : "", "parse-names" : false, "suffix" : "" }, { "dropping-particle" : "", "family" : "Ridgway", "given" : "Neale D.", "non-dropping-particle" : "", "parse-names" : false, "suffix" : "" } ], "container-title" : "Journal of Biological Chemistry", "id" : "ITEM-1", "issue" : "22", "issued" : { "date-parts" : [ [ "2014", "5", "30" ] ] }, "page" : "15705-15717", "publisher" : "American Society for Biochemistry and Molecular Biology Inc.", "title" : "Oxysterol-binding protein (OSBP)-related protein 4 (ORP4) is essential for cell proliferation and survival", "type" : "article-journal", "volume" : "289" }, "uris" : [ "http://www.mendeley.com/documents/?uuid=a93bfcfe-6736-444a-a4f6-4257ca952f72" ] }, { "id" : "ITEM-2", "itemData" : { "DOI" : "10.1038/ncomms12702", "ISSN" : "20411723", "abstract" : "Metabolic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CD3\u03f5, G\u03b1 q/11 and PLC\u03b23 into a complex that activates PLC\u03b23. PLC\u03b23 catalyzes IP 3 production in T-ALL as opposed to PLC\u03b31 in normal T-cells. Up-regulation of ORP4L thus results in a switch in the enzyme responsible for IP 3 -induced endoplasmic reticulum Ca 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PLC\u03b23 activation, resulting in an increase of mitochondrial respiration for cell survival. Targeting ORP4L might represent a promising approach for T-ALL treatment.", "author" : [ { "dropping-particle" : "", "family" : "Zhong", "given" : "Wenbin", "non-dropping-particle" : "", "parse-names" : false, "suffix" : "" }, { "dropping-particle" : "", "family" : "Yi", "given" : "Qing", "non-dropping-particle" : "", "parse-names" : false, "suffix" : "" }, { "dropping-particle" : "", "family" : "Xu", "given" : "Bing", "non-dropping-particle" : "", "parse-names" : false, "suffix" : "" }, { "dropping-particle" : "", "family" : "Li", "given" : "Shiqian", "non-dropping-particle" : "", "parse-names" : false, "suffix" : "" }, { "dropping-particle" : "", "family" : "Wang", "given" : "Tong", "non-dropping-particle" : "", "parse-names" : false, "suffix" : "" }, { "dropping-particle" : "", "family" : "Liu", "given" : "Fupei", "non-dropping-particle" : "", "parse-names" : false, "suffix" : "" }, { "dropping-particle" : "", "family" : "Zhu", "given" : "Biying", "non-dropping-particle" : "", "parse-names" : false, "suffix" : "" }, { "dropping-particle" : "", "family" : "Hoffmann", "given" : "Peter R.", "non-dropping-particle" : "", "parse-names" : false, "suffix" : "" }, { "dropping-particle" : "", "family" : "Ji", "given" : "Guangju", "non-dropping-particle" : "", "parse-names" : false, "suffix" : "" }, { "dropping-particle" : "", "family" : "Lei", "given" : "Pingsheng", "non-dropping-particle" : "", "parse-names" : false, "suffix" : "" }, { "dropping-particle" : "", "family" : "Li", "given" : "Guoping", "non-dropping-particle" : "", "parse-names" : false, "suffix" : "" }, { "dropping-particle" : "", "family" : "Li", "given" : "Jiwei", "non-dropping-particle" : "", "parse-names" : false, "suffix" : "" }, { "dropping-particle" : "", "family" : "Li", "given" : "Jian", "non-dropping-particle" : "", "parse-names" : false, "suffix" : "" }, { "dropping-particle" : "", "family" : "Olkkonen", "given" : "Vesa M.", "non-dropping-particle" : "", "parse-names" : false, "suffix" : "" }, { "dropping-particle" : "", "family" : "Yan", "given" : "Daoguang", "non-dropping-particle" : "", "parse-names" : false, "suffix" : "" } ], "container-title" : "Nature Communications", "id" : "ITEM-2", "issued" : { "date-parts" : [ [ "2016", "9", "1" ] ] }, "publisher" : "Nature Publishing Group", "title" : "ORP4L is essential for T-cell acute lymphoblastic leukemia cell survival", "type" : "article-journal", "volume" : "7" }, "uris" : [ "http://www.mendeley.com/documents/?uuid=da8706ca-2acf-41d9-8fb7-20ae606b385f" ] }, { "id" : "ITEM-3", "itemData" : { "DOI" : "10.1096/fj.201900933RR", "ISSN" : "1530-6860", "abstract" : "Oxysterol-binding protein-related protein (ORP) 4L acts as a scaffold protein assembling CD3-\u03b5, G-\u03b1q/11, and PLC-\u03b23 into a complex at the plasma membrane that mediates inositol (1,4,5)-trisphosphate (IP3)-induced endoplasmic reticulum (ER) Ca2+ release and oxidative phosphorylation in T-cell acute lymphoblastic leukemia cells. Here, we offer new evidence that ORP4L interacts with the carboxyl terminus of the IP3 receptor type 1 (ITPR1) in Jurkat T cells. ORP4L enables IP3 binding to ITPR1; a truncated construct that lacks the ITPR1-binding region retains the ability to increase IP3 production but fails to mediate IP3 and ITPR1 binding. In association with this ability of ORP4L, it enhances Ca2+ release from the ER and subsequent cytosolic and mitochondrial parallel Ca2+ spike oscillations that stimulate mitochondrial energetics and thus maintains cell survival. These data support a novel model in which ORP4L is a cofactor of ITPR1, which increases ITPR1 sensitivity to IP3 and enables ER Ca2+ release.-Cao, X., Chen, J., Li, D., Xie, P., Xu, M., Lin, W., Li, S., Pan, G., Tang, Y., Xu, J., Olkkonen, V. M., Yan, D., Zhong, W. ORP4L couples IP3 to ITPR1 in control of endoplasmic reticulum calcium release.", "author" : [ { "dropping-particle" : "", "family" : "Cao", "given" : "Xiuye", "non-dropping-particle" : "", "parse-names" : false, "suffix" : "" }, { "dropping-particle" : "", "family" : "Chen", "given" : "Jianuo", "non-dropping-particle" : "", "parse-names" : false, "suffix" : "" }, { "dropping-particle" : "", "family" : "Li", "given" : "Dan", "non-dropping-particle" : "", "parse-names" : false, "suffix" : "" }, { "dropping-particle" : "", "family" : "Xie", "given" : "Peipei", "non-dropping-particle" : "", "parse-names" : false, "suffix" : "" }, { "dropping-particle" : "", "family" : "Xu", "given" : "Mengyang", "non-dropping-particle" : "", "parse-names" : false, "suffix" : "" }, { "dropping-particle" : "", "family" : "Lin", "given" : "Weize", "non-dropping-particle" : "", "parse-names" : false, "suffix" : "" }, { "dropping-particle" : "", "family" : "Li", "given" : "Shiqian", "non-dropping-particle" : "", "parse-names" : false, "suffix" : "" }, { "dropping-particle" : "", "family" : "Pan", "given" : "Guoping", "non-dropping-particle" : "", "parse-names" : false, "suffix" : "" }, { "dropping-particle" : "", "family" : "Tang", "given" : "Yong", "non-dropping-particle" : "", "parse-names" : false, "suffix" : "" }, { "dropping-particle" : "", "family" : "Xu", "given" : "Jun", "non-dropping-particle" : "", "parse-names" : false, "suffix" : "" }, { "dropping-particle" : "", "family" : "Olkkonen", "given" : "Vesa M", "non-dropping-particle" : "", "parse-names" : false, "suffix" : "" }, { "dropping-particle" : "", "family" : "Yan", "given" : "Daoguang", "non-dropping-particle" : "", "parse-names" : false, "suffix" : "" }, { "dropping-particle" : "", "family" : "Zhong", "given" : "Wenbin", "non-dropping-particle" : "", "parse-names" : false, "suffix" : "" } ], "container-title" : "FASEB journal : official publication of the Federation of American Societies for Experimental Biology", "id" : "ITEM-3", "issued" : { "date-parts" : [ [ "2019" ] ] }, "page" : "fj201900933RR", "title" : "ORP4L couples IP3 to ITPR1 in control of endoplasmic reticulum calcium release.", "type" : "article-journal" }, "uris" : [ "http://www.mendeley.com/documents/?uuid=8fce8518-ce5c-4a19-9e9b-292535f4429e" ] }, { "id" : "ITEM-4", "itemData" : { "DOI" : "10.18632/oncotarget.11671", "ISSN" : "19492553", "abstract" : "Oxsterol binding protein-related protein 4 (ORP4) is essential for cell proliferation, but the underlying mechanism is unclear. ORP4 is expressed as three variants, ORP4L, ORP4M and ORP4S. Here, we reported that silencing of ORP4L with specific small interfering RNA (siRNA) inhibited the proliferation of human cervical cancer cell lines C33A, HeLa and CaSki, the reverse effect being observed in ORP4L overexpressing cells. For molecular insight, we found that ORP4L maintained intracellular Ca 2+ homeostasis. Through this mechanism, ORP4L activated nuclear factor of activated T cells (NFAT) activity and thus promoted expression of a gene cluster which supported cell proliferation. Of note, ORP4L sustained inositol- 1,4,5-trisphosphate receptor 1 (IP 3 R1) expression at both mRNA and protein levels via Ca 2+ -dependent NFAT3 activation, which offered a mechanic explanation for the role of ORP4L intracellular Ca 2+ homeostasis. Furthermore, ORP4L knockdown markedly inhibited tumor growth in a C33A cell xenograft mouse model. To conclude, our results reveal that ORP4L promotes cell proliferation through maintaining intracellular Ca 2+ homeostasis.", "author" : [ { "dropping-particle" : "", "family" : "Li", "given" : "Ji Wei", "non-dropping-particle" : "", "parse-names" : false, "suffix" : "" }, { "dropping-particle" : "", "family" : "Xiao", "given" : "Yan Lin", "non-dropping-particle" : "", "parse-names" : false, "suffix" : "" }, { "dropping-particle" : "", "family" : "Lai", "given" : "Chao Feng", "non-dropping-particle" : "", "parse-names" : false, "suffix" : "" }, { "dropping-particle" : "", "family" : "Lou", "given" : "Ning", "non-dropping-particle" : "", "parse-names" : false, "suffix" : "" }, { "dropping-particle" : "", "family" : "Ma", "given" : "Hong Ling", "non-dropping-particle" : "", "parse-names" : false, "suffix" : "" }, { "dropping-particle" : "", "family" : "Zhu", "given" : "Bi Ying", "non-dropping-particle" : "", "parse-names" : false, "suffix" : "" }, { "dropping-particle" : "Bin", "family" : "Zhong", "given" : "Wen", "non-dropping-particle" : "", "parse-names" : false, "suffix" : "" }, { "dropping-particle" : "", "family" : "Yan", "given" : "Dao Guang", "non-dropping-particle" : "", "parse-names" : false, "suffix" : "" } ], "container-title" : "Oncotarget", "id" : "ITEM-4", "issue" : "40", "issued" : { "date-parts" : [ [ "2016" ] ] }, "page" : "65849-65861", "publisher" : "Impact Journals LLC", "title" : "Oxysterol-binding protein-related protein 4L promotes cell proliferation by sustaining intracellular Ca 2+ homeostasis in cervical carcinoma cell lines", "type" : "article-journal", "volume" : "7" }, "uris" : [ "http://www.mendeley.com/documents/?uuid=5218d255-5fd0-4a4c-a4d5-fbfba557e9d5" ] }, { "id" : "ITEM-5", "itemData" : { "DOI" : "10.1038/nchembio.625", "ISBN" : "1552-4469 (Electronic)\\n1552-4450 (Linking)", "ISSN" : "1552-4450", "PMID" : "21822274", "abstract" : "Cephalostatin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(ORP4L)\u2014proteins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 C", "author" : [ { "dropping-particle" : "", "family" : "Burgett", "given" : "Anthony W G", "non-dropping-particle" : "", "parse-names" : false, "suffix" : "" }, { "dropping-particle" : "", "family" : "Poulsen", "given" : "Thomas B", "non-dropping-particle" : "", "parse-names" : false, "suffix" : "" }, { "dropping-particle" : "", "family" : "Wangkanont", "given" : "Kittikhun", "non-dropping-particle" : "", "parse-names" : false, "suffix" : "" }, { "dropping-particle" : "", "family" : "Anderson", "given" : "D Ryan", "non-dropping-particle" : "", "parse-names" : false, "suffix" : "" }, { "dropping-particle" : "", "family" : "Kikuchi", "given" : "Chikako", "non-dropping-particle" : "", "parse-names" : false, "suffix" : "" }, { "dropping-particle" : "", "family" : "Shimada", "given" : "Kousei", "non-dropping-particle" : "", "parse-names" : false, "suffix" : "" }, { "dropping-particle" : "", "family" : "Okubo", "given" : "Shuichi", "non-dropping-particle" : "", "parse-names" : false, "suffix" : "" }, { "dropping-particle" : "", "family" : "Fortner", "given" : "Kevin C", "non-dropping-particle" : "", "parse-names" : false, "suffix" : "" }, { "dropping-particle" : "", "family" : "Mimaki", "given" : "Yoshihiro", "non-dropping-particle" : "", "parse-names" : false, "suffix" : "" }, { "dropping-particle" : "", "family" : "Kuroda", "given" : "Minpei", "non-dropping-particle" : "", "parse-names" : false, "suffix" : "" }, { "dropping-particle" : "", "family" : "Murphy", "given" : "Jason P", "non-dropping-particle" : "", "parse-names" : false, "suffix" : "" }, { "dropping-particle" : "", "family" : "Schwalb", "given" : "David J", "non-dropping-particle" : "", "parse-names" : false, "suffix" : "" }, { "dropping-particle" : "", "family" : "Petrella", "given" : "Eugene C", "non-dropping-particle" : "", "parse-names" : false, "suffix" : "" }, { "dropping-particle" : "", "family" : "Cornella-Taracido", "given" : "Ivan", "non-dropping-particle" : "", "parse-names" : false, "suffix" : "" }, { "dropping-particle" : "", "family" : "Schirle", "given" : "Markus", "non-dropping-particle" : "", "parse-names" : false, "suffix" : "" }, { "dropping-particle" : "", "family" : "Tallarico", "given" : "John A", "non-dropping-particle" : "", "parse-names" : false, "suffix" : "" }, { "dropping-particle" : "", "family" : "Shair", "given" : "Matthew D", "non-dropping-particle" : "", "parse-names" : false, "suffix" : "" } ], "container-title" : "Nature Chemical Biology", "id" : "ITEM-5", "issue" : "9", "issued" : { "date-parts" : [ [ "2011" ] ] }, "page" : "639-647", "publisher" : "Nature Publishing Group", "title" : "Natural products reveal cancer cell dependence on oxysterol-binding proteins", "type" : "article-journal", "volume" : "7" }, "uris" : [ "http://www.mendeley.com/documents/?uuid=8247cefa-1387-4829-8f62-5411ff24d436" ] } ], "mendeley" : { "formattedCitation" : "&lt;sup&gt;51,54\u201356,60&lt;/sup&gt;", "plainTextFormattedCitation" : "51,54\u201356,60", "previouslyFormattedCitation" : "&lt;sup&gt;51,54\u201356,60&lt;/sup&gt;" }, "properties" : { "noteIndex" : 0 }, "schema" : "https://github.com/citation-style-language/schema/raw/master/csl-citation.json" }</w:instrText>
      </w:r>
      <w:r w:rsidR="00A9573C" w:rsidRPr="000E162A">
        <w:fldChar w:fldCharType="separate"/>
      </w:r>
      <w:r w:rsidR="006B01D5" w:rsidRPr="006B01D5">
        <w:rPr>
          <w:noProof/>
          <w:vertAlign w:val="superscript"/>
        </w:rPr>
        <w:t>51,54–56,60</w:t>
      </w:r>
      <w:r w:rsidR="00A9573C" w:rsidRPr="000E162A">
        <w:fldChar w:fldCharType="end"/>
      </w:r>
      <w:r w:rsidR="002C78A8">
        <w:t xml:space="preserve"> </w:t>
      </w:r>
      <w:r w:rsidR="002C78A8" w:rsidRPr="000E162A">
        <w:t xml:space="preserve">OSW-1 </w:t>
      </w:r>
      <w:r w:rsidR="002C78A8">
        <w:t xml:space="preserve">treatment induces the degradation of cellular OSBP and ORP4. </w:t>
      </w:r>
      <w:r w:rsidR="002C78A8" w:rsidRPr="000E162A">
        <w:fldChar w:fldCharType="begin" w:fldLock="1"/>
      </w:r>
      <w:r w:rsidR="006B01D5">
        <w:instrText>ADDIN CSL_CITATION { "citationItems" : [ { "id" : "ITEM-1", "itemData" : { "DOI" : "10.1038/nchembio.625", "ISBN" : "1552-4469 (Electronic)\\n1552-4450 (Linking)", "ISSN" : "1552-4450", "PMID" : "21822274", "abstract" : "Cephalostatin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(ORP4L)\u2014proteins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 C", "author" : [ { "dropping-particle" : "", "family" : "Burgett", "given" : "Anthony W G", "non-dropping-particle" : "", "parse-names" : false, "suffix" : "" }, { "dropping-particle" : "", "family" : "Poulsen", "given" : "Thomas B", "non-dropping-particle" : "", "parse-names" : false, "suffix" : "" }, { "dropping-particle" : "", "family" : "Wangkanont", "given" : "Kittikhun", "non-dropping-particle" : "", "parse-names" : false, "suffix" : "" }, { "dropping-particle" : "", "family" : "Anderson", "given" : "D Ryan", "non-dropping-particle" : "", "parse-names" : false, "suffix" : "" }, { "dropping-particle" : "", "family" : "Kikuchi", "given" : "Chikako", "non-dropping-particle" : "", "parse-names" : false, "suffix" : "" }, { "dropping-particle" : "", "family" : "Shimada", "given" : "Kousei", "non-dropping-particle" : "", "parse-names" : false, "suffix" : "" }, { "dropping-particle" : "", "family" : "Okubo", "given" : "Shuichi", "non-dropping-particle" : "", "parse-names" : false, "suffix" : "" }, { "dropping-particle" : "", "family" : "Fortner", "given" : "Kevin C", "non-dropping-particle" : "", "parse-names" : false, "suffix" : "" }, { "dropping-particle" : "", "family" : "Mimaki", "given" : "Yoshihiro", "non-dropping-particle" : "", "parse-names" : false, "suffix" : "" }, { "dropping-particle" : "", "family" : "Kuroda", "given" : "Minpei", "non-dropping-particle" : "", "parse-names" : false, "suffix" : "" }, { "dropping-particle" : "", "family" : "Murphy", "given" : "Jason P", "non-dropping-particle" : "", "parse-names" : false, "suffix" : "" }, { "dropping-particle" : "", "family" : "Schwalb", "given" : "David J", "non-dropping-particle" : "", "parse-names" : false, "suffix" : "" }, { "dropping-particle" : "", "family" : "Petrella", "given" : "Eugene C", "non-dropping-particle" : "", "parse-names" : false, "suffix" : "" }, { "dropping-particle" : "", "family" : "Cornella-Taracido", "given" : "Ivan", "non-dropping-particle" : "", "parse-names" : false, "suffix" : "" }, { "dropping-particle" : "", "family" : "Schirle", "given" : "Markus", "non-dropping-particle" : "", "parse-names" : false, "suffix" : "" }, { "dropping-particle" : "", "family" : "Tallarico", "given" : "John A", "non-dropping-particle" : "", "parse-names" : false, "suffix" : "" }, { "dropping-particle" : "", "family" : "Shair", "given" : "Matthew D", "non-dropping-particle" : "", "parse-names" : false, "suffix" : "" } ], "container-title" : "Nature Chemical Biology", "id" : "ITEM-1", "issue" : "9", "issued" : { "date-parts" : [ [ "2011" ] ] }, "page" : "639-647", "publisher" : "Nature Publishing Group", "title" : "Natural products reveal cancer cell dependence on oxysterol-binding proteins", "type" : "article-journal", "volume" : "7" }, "uris" : [ "http://www.mendeley.com/documents/?uuid=8247cefa-1387-4829-8f62-5411ff24d436" ] } ], "mendeley" : { "formattedCitation" : "&lt;sup&gt;60&lt;/sup&gt;", "plainTextFormattedCitation" : "60", "previouslyFormattedCitation" : "&lt;sup&gt;60&lt;/sup&gt;" }, "properties" : { "noteIndex" : 0 }, "schema" : "https://github.com/citation-style-language/schema/raw/master/csl-citation.json" }</w:instrText>
      </w:r>
      <w:r w:rsidR="002C78A8" w:rsidRPr="000E162A">
        <w:fldChar w:fldCharType="separate"/>
      </w:r>
      <w:r w:rsidR="006B01D5" w:rsidRPr="006B01D5">
        <w:rPr>
          <w:noProof/>
          <w:vertAlign w:val="superscript"/>
        </w:rPr>
        <w:t>60</w:t>
      </w:r>
      <w:r w:rsidR="002C78A8" w:rsidRPr="000E162A">
        <w:fldChar w:fldCharType="end"/>
      </w:r>
      <w:r w:rsidR="002C78A8" w:rsidRPr="000E162A">
        <w:t xml:space="preserve"> </w:t>
      </w:r>
      <w:r w:rsidR="002C78A8">
        <w:t xml:space="preserve"> </w:t>
      </w:r>
    </w:p>
    <w:p w14:paraId="6EEAC47E" w14:textId="77777777" w:rsidR="006B01D5" w:rsidRPr="000E162A" w:rsidRDefault="006B01D5" w:rsidP="000849BF">
      <w:pPr>
        <w:jc w:val="both"/>
      </w:pPr>
    </w:p>
    <w:p w14:paraId="5EFA185C" w14:textId="7C1771C5" w:rsidR="00926BEA" w:rsidRDefault="00926BEA" w:rsidP="00926BEA">
      <w:pPr>
        <w:pStyle w:val="Heading2"/>
        <w:jc w:val="both"/>
      </w:pPr>
      <w:bookmarkStart w:id="26" w:name="_Toc39868137"/>
      <w:r>
        <w:t>1.</w:t>
      </w:r>
      <w:r w:rsidR="00DC3897">
        <w:t>5</w:t>
      </w:r>
      <w:r>
        <w:t xml:space="preserve"> </w:t>
      </w:r>
      <w:r w:rsidR="002C78A8">
        <w:t>Single Cell Bioanalytical Methods for Potential Use in Personalized Medicine</w:t>
      </w:r>
      <w:bookmarkEnd w:id="26"/>
      <w:r w:rsidR="002C78A8">
        <w:t xml:space="preserve"> </w:t>
      </w:r>
    </w:p>
    <w:p w14:paraId="4757EABB" w14:textId="3758F705" w:rsidR="0030350B" w:rsidRPr="000E162A" w:rsidRDefault="002C78A8" w:rsidP="0030350B">
      <w:pPr>
        <w:ind w:firstLine="720"/>
        <w:jc w:val="both"/>
      </w:pPr>
      <w:r>
        <w:rPr>
          <w:bCs/>
          <w:iCs/>
        </w:rPr>
        <w:t xml:space="preserve">The development of </w:t>
      </w:r>
      <w:r>
        <w:t>s</w:t>
      </w:r>
      <w:r w:rsidR="000E162A" w:rsidRPr="000E162A">
        <w:t xml:space="preserve">ingle-cell </w:t>
      </w:r>
      <w:r>
        <w:t xml:space="preserve">mass spectrometry methods </w:t>
      </w:r>
      <w:r w:rsidR="0030350B">
        <w:t>has been a major focus in bioanalytical research.</w:t>
      </w:r>
      <w:r w:rsidR="006B01D5">
        <w:fldChar w:fldCharType="begin" w:fldLock="1"/>
      </w:r>
      <w:r w:rsidR="006B01D5">
        <w:instrText>ADDIN CSL_CITATION { "citationItems" : [ { "id" : "ITEM-1", "itemData" : { "DOI" : "10.1586/epr.11.53", "ISSN" : "14789450", "PMID" : "21999830", "abstract" : "Single-cell analysis is gaining popularity in the field of mass spectrometry as a method for analyzing protein and peptide content in cells. The spatial resolution of MALDI mass spectrometry (MS) imaging is by a large extent limited by the laser focal diameter and the displacement of analytes during matrix deposition. Owing to recent advancements in both laser optics and matrix deposition methods, spatial resolution on the order of a single eukaryotic cell is now achievable by MALDI MS imaging. Provided adequate instrument sensitivity, a lateral resolution of \u030310 m is currently attainable with commercial instruments. As a result of these advances, MALDI MS imaging is poised to become a transformative clinical technology. In this article, the crucial steps needed to obtain single-cell resolution are discussed, as well as potential applications to disease research. \u00a9 2011 Expert Reviews Ltd.", "author" : [ { "dropping-particle" : "", "family" : "Boggio", "given" : "Kristin J.", "non-dropping-particle" : "", "parse-names" : false, "suffix" : "" }, { "dropping-particle" : "", "family" : "Obasuyi", "given" : "Emmanuel", "non-dropping-particle" : "", "parse-names" : false, "suffix" : "" }, { "dropping-particle" : "", "family" : "Sugino", "given" : "Ken", "non-dropping-particle" : "", "parse-names" : false, "suffix" : "" }, { "dropping-particle" : "", "family" : "Nelson", "given" : "Sacha B.", "non-dropping-particle" : "", "parse-names" : false, "suffix" : "" }, { "dropping-particle" : "", "family" : "Agar", "given" : "Nathalie Y.R.", "non-dropping-particle" : "", "parse-names" : false, "suffix" : "" }, { "dropping-particle" : "", "family" : "Agar", "given" : "Jeffrey N.", "non-dropping-particle" : "", "parse-names" : false, "suffix" : "" } ], "container-title" : "Expert Review of Proteomics", "id" : "ITEM-1", "issue" : "5", "issued" : { "date-parts" : [ [ "2011", "10" ] ] }, "page" : "591-604", "title" : "Recent advances in single-cell MALDI mass spectrometry imaging and potential clinical impact", "type" : "article", "volume" : "8" }, "uris" : [ "http://www.mendeley.com/documents/?uuid=2094ad61-a858-40ca-8c54-052994a930a6" ] } ], "mendeley" : { "formattedCitation" : "&lt;sup&gt;65&lt;/sup&gt;", "plainTextFormattedCitation" : "65", "previouslyFormattedCitation" : "&lt;sup&gt;65&lt;/sup&gt;" }, "properties" : { "noteIndex" : 0 }, "schema" : "https://github.com/citation-style-language/schema/raw/master/csl-citation.json" }</w:instrText>
      </w:r>
      <w:r w:rsidR="006B01D5">
        <w:fldChar w:fldCharType="separate"/>
      </w:r>
      <w:r w:rsidR="006B01D5" w:rsidRPr="006B01D5">
        <w:rPr>
          <w:noProof/>
          <w:vertAlign w:val="superscript"/>
        </w:rPr>
        <w:t>65</w:t>
      </w:r>
      <w:r w:rsidR="006B01D5">
        <w:fldChar w:fldCharType="end"/>
      </w:r>
      <w:r w:rsidR="006B01D5">
        <w:t xml:space="preserve"> </w:t>
      </w:r>
      <w:r w:rsidR="0030350B" w:rsidRPr="000E162A">
        <w:t xml:space="preserve">These analytical methodologies have </w:t>
      </w:r>
      <w:r w:rsidR="00373C60">
        <w:t xml:space="preserve">investigated </w:t>
      </w:r>
      <w:r w:rsidR="0030350B" w:rsidRPr="000E162A">
        <w:t>heavily on the “omics” of individual, single cells discovering which genomic, transcriptomic, proteomic, and metabolic changes trigger oncogenic progression, rather than drug quantification.</w:t>
      </w:r>
      <w:r w:rsidR="006B01D5">
        <w:fldChar w:fldCharType="begin" w:fldLock="1"/>
      </w:r>
      <w:r w:rsidR="0003342C">
        <w:instrText>ADDIN CSL_CITATION { "citationItems" : [ { "id" : "ITEM-1", "itemData" : { "DOI" : "10.1073/pnas.1423682112", "ISSN" : "10916490", "abstract" : "Spatial and temporal changes in molecular expression are essential to embryonic development, and their characterization is critical to understand mechanisms by which cells acquire different phenotypes. Although technological advances have made it possible to quantify expression of large molecules during embryogenesis, little information is available on metabolites, the ultimate indicator of physiological activity of the cell. Here, we demonstrate that single-cell capillary electrophoresis-electrospray ionization mass spectrometry is able to test whether differential expression of the genome translates to the domain of metabolites between single embryonic cells. Dissection of three different cell types with distinct tissue fates from 16-cell embryos of the South African clawed frog (Xenopus laevis) and microextraction of their metabolomes enabled the identification of 40 metabolites that anchored interconnected central metabolic networks. Relative quantitation revealed that several metabolites were differentially active between the cell types in the wild-type, unperturbed embryos. Altering postfertilization cytoplasmic movements that perturb dorsal development confirmed that these three cells have characteristic small-molecular activity already at cleavage stages as a result of cell type and not differences in pigmentation, yolk content, cell size, or position in the embryo. Changing the metabolite concentration caused changes in cell movements at gastrulation that also altered the tissue fates of these cells, demonstrating that the metabolome affects cell phenotypes in the embryo.", "author" : [ { "dropping-particle" : "", "family" : "Onjiko", "given" : "Rosemary M.", "non-dropping-particle" : "", "parse-names" : false, "suffix" : "" }, { "dropping-particle" : "", "family" : "Moody", "given" : "Sally A.", "non-dropping-particle" : "", "parse-names" : false, "suffix" : "" }, { "dropping-particle" : "", "family" : "Nemes", "given" : "Peter", "non-dropping-particle" : "", "parse-names" : false, "suffix" : "" } ], "container-title" : "Proceedings of the National Academy of Sciences of the United States of America", "id" : "ITEM-1", "issue" : "21", "issued" : { "date-parts" : [ [ "2015", "5", "26" ] ] }, "page" : "6545-6550", "publisher" : "National Academy of Sciences", "title" : "Single-cell mass spectrometry reveals small molecules that affect cell fates in the 16-cell embryo", "type" : "article-journal", "volume" : "112" }, "uris" : [ "http://www.mendeley.com/documents/?uuid=7e84854f-7be9-3cc4-ace5-b8aec8dd3986" ] }, { "id" : "ITEM-2", "itemData" : { "DOI" : "10.1039/c8an01581c", "abstract" : "Metabolomics has grown into a prominent field contributing to the molecular understanding of complex biological processes in both health and disease. Furthermore, single-cells are known to display metabolic differences between seemingly homogeneous populations of cells. Single-cell metabolomics attempts to analyze many cellular metabolites from single cells to understand phenotypic heterogeneity, which is a significant challenge due to the low analyte abundances and limited sample volumes. Label-free metabolite detection can be achieved with mass spectrometry, which is capable of simultaneously analyzing hundreds of metabolites. Herein, we review the recent advances in mass spectrometry based single-cell metabolomics, highlighting the current state-of-the-art within the last three years, and identify the challenges to move the field forward.", "author" : [ { "dropping-particle" : "", "family" : "Duncan", "given" : "Kyle D", "non-dropping-particle" : "", "parse-names" : false, "suffix" : "" }, { "dropping-particle" : "", "family" : "Fyrestam", "given" : "Jonas", "non-dropping-particle" : "", "parse-names" : false, "suffix" : "" }, { "dropping-particle" : "", "family" : "Lanekoff", "given" : "Ingela", "non-dropping-particle" : "", "parse-names" : false, "suffix" : "" } ], "container-title" : "Cite this: Analyst", "id" : "ITEM-2", "issued" : { "date-parts" : [ [ "2019" ] ] }, "page" : "782", "title" : "Advances in mass spectrometry based single-cell metabolomics", "type" : "article-journal", "volume" : "144" }, "uris" : [ "http://www.mendeley.com/documents/?uuid=620daf48-6923-329c-bf5a-be5abdb47575" ] }, { "id" : "ITEM-3", "itemData" : { "DOI" : "10.1002/anie.201709719", "ISSN" : "15213773", "PMID" : "29218763", "abstract" : "Compositional diversity is a fundamental property in cell populations. Single-cell analysis promises new insight into this cellular heterogeneity on the genomic, transcriptomic, proteomic, and metabolomic levels. Mass spectrometry (MS) is a label-free technique that enables the multiplexed analysis of proteins, peptides, lipids, and metabolites in individual cells. The abundances of these molecular classes are correlated with the physiological states and environmental responses of the cells. In this Minireview, we discuss recent advances in single-cell MS techniques with an emphasis on sampling and ionization methods developed for volume-limited samples. Strategies for sample treatment, separation methods, and data analysis require special considerations for single cells. Ongoing analytical challenges include subcellular heterogeneity, non-normal statistical distributions of cellular properties, and the need for high-throughput, high molecular coverage and minimal perturbation.", "author" : [ { "dropping-particle" : "", "family" : "Zhang", "given" : "Linwen", "non-dropping-particle" : "", "parse-names" : false, "suffix" : "" }, { "dropping-particle" : "", "family" : "Vertes", "given" : "Akos", "non-dropping-particle" : "", "parse-names" : false, "suffix" : "" } ], "container-title" : "Angewandte Chemie - International Edition", "id" : "ITEM-3", "issue" : "17", "issued" : { "date-parts" : [ [ "2018", "4", "16" ] ] }, "page" : "4466-4477", "publisher" : "Wiley-VCH Verlag", "title" : "Single-Cell Mass Spectrometry Approaches to Explore Cellular Heterogeneity", "type" : "article", "volume" : "57" }, "uris" : [ "http://www.mendeley.com/documents/?uuid=70a68016-0bc9-3464-b056-16078bb8d227" ] } ], "mendeley" : { "formattedCitation" : "&lt;sup&gt;66\u201368&lt;/sup&gt;", "plainTextFormattedCitation" : "66\u201368", "previouslyFormattedCitation" : "&lt;sup&gt;66\u201368&lt;/sup&gt;" }, "properties" : { "noteIndex" : 0 }, "schema" : "https://github.com/citation-style-language/schema/raw/master/csl-citation.json" }</w:instrText>
      </w:r>
      <w:r w:rsidR="006B01D5">
        <w:fldChar w:fldCharType="separate"/>
      </w:r>
      <w:r w:rsidR="006B01D5" w:rsidRPr="006B01D5">
        <w:rPr>
          <w:noProof/>
          <w:vertAlign w:val="superscript"/>
        </w:rPr>
        <w:t>66–68</w:t>
      </w:r>
      <w:r w:rsidR="006B01D5">
        <w:fldChar w:fldCharType="end"/>
      </w:r>
      <w:r w:rsidR="006B01D5">
        <w:t xml:space="preserve"> </w:t>
      </w:r>
      <w:r w:rsidR="0030350B">
        <w:t>M</w:t>
      </w:r>
      <w:r w:rsidR="0030350B" w:rsidRPr="000E162A">
        <w:t>ass</w:t>
      </w:r>
      <w:r w:rsidR="006B01D5">
        <w:t xml:space="preserve"> s</w:t>
      </w:r>
      <w:r w:rsidR="0030350B" w:rsidRPr="000E162A">
        <w:t>pectrometry is becoming the dominant technology for single-cell metabolite analysis due to its low sample preparation, high sensitivity, and high-throughput, label free ability. Multiple mass spectrometry ionization techniques (e.g. matrix assisted laser desorption/ionization (MALDI)</w:t>
      </w:r>
      <w:r w:rsidR="0030350B" w:rsidRPr="000E162A">
        <w:fldChar w:fldCharType="begin" w:fldLock="1"/>
      </w:r>
      <w:r w:rsidR="0003342C">
        <w:instrText>ADDIN CSL_CITATION { "citationItems" : [ { "id" : "ITEM-1", "itemData" : { "DOI" : "10.1586/epr.11.53", "ISSN" : "14789450", "PMID" : "21999830", "abstract" : "Single-cell analysis is gaining popularity in the field of mass spectrometry as a method for analyzing protein and peptide content in cells. The spatial resolution of MALDI mass spectrometry (MS) imaging is by a large extent limited by the laser focal diameter and the displacement of analytes during matrix deposition. Owing to recent advancements in both laser optics and matrix deposition methods, spatial resolution on the order of a single eukaryotic cell is now achievable by MALDI MS imaging. Provided adequate instrument sensitivity, a lateral resolution of \u030310 m is currently attainable with commercial instruments. As a result of these advances, MALDI MS imaging is poised to become a transformative clinical technology. In this article, the crucial steps needed to obtain single-cell resolution are discussed, as well as potential applications to disease research. \u00a9 2011 Expert Reviews Ltd.", "author" : [ { "dropping-particle" : "", "family" : "Boggio", "given" : "Kristin J.", "non-dropping-particle" : "", "parse-names" : false, "suffix" : "" }, { "dropping-particle" : "", "family" : "Obasuyi", "given" : "Emmanuel", "non-dropping-particle" : "", "parse-names" : false, "suffix" : "" }, { "dropping-particle" : "", "family" : "Sugino", "given" : "Ken", "non-dropping-particle" : "", "parse-names" : false, "suffix" : "" }, { "dropping-particle" : "", "family" : "Nelson", "given" : "Sacha B.", "non-dropping-particle" : "", "parse-names" : false, "suffix" : "" }, { "dropping-particle" : "", "family" : "Agar", "given" : "Nathalie Y.R.", "non-dropping-particle" : "", "parse-names" : false, "suffix" : "" }, { "dropping-particle" : "", "family" : "Agar", "given" : "Jeffrey N.", "non-dropping-particle" : "", "parse-names" : false, "suffix" : "" } ], "container-title" : "Expert Review of Proteomics", "id" : "ITEM-1", "issue" : "5", "issued" : { "date-parts" : [ [ "2011", "10" ] ] }, "page" : "591-604", "title" : "Recent advances in single-cell MALDI mass spectrometry imaging and potential clinical impact", "type" : "article", "volume" : "8" }, "uris" : [ "http://www.mendeley.com/documents/?uuid=2094ad61-a858-40ca-8c54-052994a930a6" ] }, { "id" : "ITEM-2", "itemData" : { "DOI" : "10.1038/s41598-017-14949-x", "ISSN" : "20452322", "abstract" : "The zebrafish (Danio rerio) has been widely used as a model vertebrate system to study lipid metabolism, the roles of lipids in diseases, and lipid dynamics in embryonic development. Here, we applied high-spatial resolution matrix-assisted laser desorption/ionization (MALDI)-mass spectrometry imaging (MSI) to map and visualize the three-dimensional spatial distribution of phospholipid classes, phosphatidylcholine (PC), phosphatidylethanolamines (PE), and phosphatidylinositol (PI), in newly fertilized individual zebrafish embryos. This is the first time MALDI-MSI has been applied for three dimensional chemical imaging of a single cell. PC molecular species are present inside the yolk in addition to the blastodisc, while PE and PI species are mostly absent in the yolk. Two-dimensional MSI was also studied for embryos at different cell stages (1-, 2-, 4-, 8-, and 16-cell stage) to investigate the localization changes of some lipids at various cell developmental stages. Four different normalization approaches were compared to find reliable relative quantification in 2D- and 3D- MALDI MSI data sets.", "author" : [ { "dropping-particle" : "", "family" : "Due\u00f1as", "given" : "Maria Emilia", "non-dropping-particle" : "", "parse-names" : false, "suffix" : "" }, { "dropping-particle" : "", "family" : "Essner", "given" : "Jeffrey J.", "non-dropping-particle" : "", "parse-names" : false, "suffix" : "" }, { "dropping-particle" : "", "family" : "Lee", "given" : "Young Jin", "non-dropping-particle" : "", "parse-names" : false, "suffix" : "" } ], "container-title" : "Scientific Reports", "id" : "ITEM-2", "issue" : "1", "issued" : { "date-parts" : [ [ "2017", "12", "1" ] ] }, "publisher" : "Nature Publishing Group", "title" : "3D MALDI Mass Spectrometry Imaging of a Single Cell: Spatial Mapping of Lipids in the Embryonic Development of Zebrafish", "type" : "article-journal", "volume" : "7" }, "uris" : [ "http://www.mendeley.com/documents/?uuid=c0b5b749-ed70-42c7-9225-588cf937bc32" ] }, { "id" : "ITEM-3", "itemData" : { "DOI" : "10.1021/ac971309c", "ISSN" : "00032700", "abstract" : "The combination of two sensitive and powerful analytical techniques on the same biological sample was examined: (i) matrix-assisted laser desorption/ionization time-of-flight mass spectrometry (MALDI-TOF MS),which gives informative peptide profiling on complex samples such as organs or cells; (ii) immunological tools such as enzyme-linked immunosorbent assay (ELISA) and immunocytochemistry to probe for specific peptides in biological extracts or cells. The cellular expression of the two precursors of the hyperglycemic hormone (cHH) was analyzed in neurosecretory cells (30-\u03bcm diameter) from the crayfish Orconectes limosus. Neurohemal organs were used to optimize the sample preparation and to demonstrate that, after peptide fingerprinting by MALDI-TOF MS, the sample can be recovered from the MALDI plate for further immunological analysis by ELISA. It was also established that, after immunocytochemistry following 4% paraformaldehyde fixation of the organ, the stained tissue could be recovered for further MALDI-TOF MS analysis. This dual characterization was successfully scaled down to the level of a single crayfish neurosecretory cell. Direct peptide profiling by MALDI-TOF MS on a single cHH-producing cell previously identified by immunocytochemistry demonstrated that both procHH isoforms were expressed in each cell analyzed.", "author" : [ { "dropping-particle" : "", "family" : "Redeker", "given" : "Virginie", "non-dropping-particle" : "", "parse-names" : false, "suffix" : "" }, { "dropping-particle" : "", "family" : "Toullec", "given" : "Jean Yves", "non-dropping-particle" : "", "parse-names" : false, "suffix" : "" }, { "dropping-particle" : "", "family" : "Vinh", "given" : "Jo\u00eblle", "non-dropping-particle" : "", "parse-names" : false, "suffix" : "" }, { "dropping-particle" : "", "family" : "Rossier", "given" : "Jean", "non-dropping-particle" : "", "parse-names" : false, "suffix" : "" }, { "dropping-particle" : "", "family" : "Soyez", "given" : "Daniel", "non-dropping-particle" : "", "parse-names" : false, "suffix" : "" } ], "container-title" : "Analytical Chemistry", "id" : "ITEM-3", "issue" : "9", "issued" : { "date-parts" : [ [ "1998", "5", "1" ] ] }, "page" : "1805-1811", "publisher" : "American Chemical Society", "title" : "Combination of Peptide Profiling by Matrix-Assisted Laser Desorption/Ionization Time-of-Flight Mass Spectrometry and Immunodetection on Single Glands or Cells", "type" : "article-journal", "volume" : "70" }, "uris" : [ "http://www.mendeley.com/documents/?uuid=970df2fe-f822-458a-897f-f522c241ffd8" ] }, { "id" : "ITEM-4", "itemData" : { "DOI" : "10.1038/72622", "ISSN" : "10870156", "abstract" : "New sampling protocols combined with matrix-assisted laser desorption/ionization time-of-flight mass spectrometry (MALDI-TOF MS) allow the assay of single dense core vesicles. Understanding the packaging of vesicles is important as vesicles are the quanta of information for intercellular communication. Using vesicles from the exocrine atrial gland of Aplysia californica as the model, a wide range of bioactive peptides are detected within each vesicle. Although the expression of the egg-laying hormone gene family of type I atrial gland cells has been previously examined, chemical characterization of individual 1-2 \u03bcm diameter vesicles demonstrates that products from several genes are colocalized. The mass sensitivity of MALDI MS can be further improved to enable the analysis of even smaller subcellular organelles.", "author" : [ { "dropping-particle" : "", "family" : "Rubakhin", "given" : "Stanislav S.", "non-dropping-particle" : "", "parse-names" : false, "suffix" : "" }, { "dropping-particle" : "", "family" : "Garden", "given" : "Rebecca W.", "non-dropping-particle" : "", "parse-names" : false, "suffix" : "" }, { "dropping-particle" : "", "family" : "Fuller", "given" : "Robert R.", "non-dropping-particle" : "", "parse-names" : false, "suffix" : "" }, { "dropping-particle" : "V.", "family" : "Sweedler", "given" : "Jonathan", "non-dropping-particle" : "", "parse-names" : false, "suffix" : "" } ], "container-title" : "Nature Biotechnology", "id" : "ITEM-4", "issue" : "2", "issued" : { "date-parts" : [ [ "2000", "2" ] ] }, "page" : "172-175", "title" : "Measuring the peptides in individual organelles with mass spectrometry", "type" : "article-journal", "volume" : "18" }, "uris" : [ "http://www.mendeley.com/documents/?uuid=a1888882-21c0-4948-ab34-4cc200fe65a0" ] } ], "mendeley" : { "formattedCitation" : "&lt;sup&gt;65,69\u201371&lt;/sup&gt;", "plainTextFormattedCitation" : "65,69\u201371", "previouslyFormattedCitation" : "&lt;sup&gt;65,69\u201371&lt;/sup&gt;" }, "properties" : { "noteIndex" : 0 }, "schema" : "https://github.com/citation-style-language/schema/raw/master/csl-citation.json" }</w:instrText>
      </w:r>
      <w:r w:rsidR="0030350B" w:rsidRPr="000E162A">
        <w:fldChar w:fldCharType="separate"/>
      </w:r>
      <w:r w:rsidR="006B01D5" w:rsidRPr="006B01D5">
        <w:rPr>
          <w:noProof/>
          <w:vertAlign w:val="superscript"/>
        </w:rPr>
        <w:t>65,69–71</w:t>
      </w:r>
      <w:r w:rsidR="0030350B" w:rsidRPr="000E162A">
        <w:fldChar w:fldCharType="end"/>
      </w:r>
      <w:r w:rsidR="0030350B" w:rsidRPr="000E162A">
        <w:t>, electrospray ionization (ESI)</w:t>
      </w:r>
      <w:r w:rsidR="0030350B" w:rsidRPr="000E162A">
        <w:fldChar w:fldCharType="begin" w:fldLock="1"/>
      </w:r>
      <w:r w:rsidR="0003342C">
        <w:instrText>ADDIN CSL_CITATION { "citationItems" : [ { "id" : "ITEM-1", "itemData" : { "DOI" : "10.1038/srep24730", "ISSN" : "20452322", "abstract" : "Integrating droplet-based microfluidics with mass spectrometry is essential to high-throughput and multiple analysis of single cells. Nevertheless, matrix effects such as the interference of culture medium and intracellular components influence the sensitivity and the accuracy of results in single-cell analysis. To resolve this problem, we developed a method that integrated droplet-based microextraction with single-cell mass spectrometry. Specific extraction solvent was used to selectively obtain intracellular components of interest and remove interference of other components. Using this method, UDP-Glc-NAc, GSH, GSSG, AMP, ADP and ATP were successfully detected in single MCF-7 cells. We also applied the method to study the change of unicellular metabolites in the biological process of dysfunctional oxidative phosphorylation. The method could not only realize matrix-free, selective and sensitive detection of metabolites in single cells, but also have the capability for reliable and high-throughput single-cell analysis.", "author" : [ { "dropping-particle" : "", "family" : "Zhang", "given" : "Xiao Chao", "non-dropping-particle" : "", "parse-names" : false, "suffix" : "" }, { "dropping-particle" : "", "family" : "Wei", "given" : "Zhen Wei", "non-dropping-particle" : "", "parse-names" : false, "suffix" : "" }, { "dropping-particle" : "", "family" : "Gong", "given" : "Xiao Yun", "non-dropping-particle" : "", "parse-names" : false, "suffix" : "" }, { "dropping-particle" : "", "family" : "Si", "given" : "Xing Yu", "non-dropping-particle" : "", "parse-names" : false, "suffix" : "" }, { "dropping-particle" : "", "family" : "Zhao", "given" : "Yao Yao", "non-dropping-particle" : "", "parse-names" : false, "suffix" : "" }, { "dropping-particle" : "", "family" : "Yang", "given" : "Cheng Dui", "non-dropping-particle" : "", "parse-names" : false, "suffix" : "" }, { "dropping-particle" : "", "family" : "Zhang", "given" : "Si Chun", "non-dropping-particle" : "", "parse-names" : false, "suffix" : "" }, { "dropping-particle" : "", "family" : "Zhang", "given" : "Xin Rong", "non-dropping-particle" : "", "parse-names" : false, "suffix" : "" } ], "container-title" : "Scientific Reports", "id" : "ITEM-1", "issued" : { "date-parts" : [ [ "2016", "4", "29" ] ] }, "publisher" : "Nature Publishing Group", "title" : "Integrated Droplet-Based Microextraction with ESI-MS for Removal of Matrix Interference in Single-Cell Analysis", "type" : "article-journal", "volume" : "6" }, "uris" : [ "http://www.mendeley.com/documents/?uuid=a1a607cb-f538-3368-8849-9239c79633aa" ] }, { "id" : "ITEM-2", "itemData" : { "DOI" : "10.1007/978-1-4939-9831-9_4", "ISSN" : "19406029", "abstract" : "In this chapter, we introduced a Pico-ESI strategy for metabolomics analysis with picoliter-level samples. This Pico-ESI strategy was technically achieved by pulsed direct current electrospray ionization source (Pulsed-DC-ESI). This source could collect MS signals for a few minutes from a cell, enabling us to obtain large-scale MS2 data of metabolite IDs in single-cell analysis. Further identification of the single-cell metabolome such as the database match and chemical modification to metabolome was thereby achieved. Technically, this source could ionize sample with no need of sample and electrode contact, which can be potentially applied for high-throughput analysis. We also introduced several strategies related to Pico-ESI to reduce the matrix interference especially for extremely small samples developed in our group, including step-voltage nanoelectrospray, picoliter sample desalting method, droplet-based microextraction method, and probe-ESI, etc. All these strategies have been successfully applied to single-cell analysis.", "author" : [ { "dropping-particle" : "", "family" : "Wei", "given" : "Zhenwei", "non-dropping-particle" : "", "parse-names" : false, "suffix" : "" }, { "dropping-particle" : "", "family" : "Zhang", "given" : "Xiaochao", "non-dropping-particle" : "", "parse-names" : false, "suffix" : "" }, { "dropping-particle" : "", "family" : "Si", "given" : "Xingyu", "non-dropping-particle" : "", "parse-names" : false, "suffix" : "" }, { "dropping-particle" : "", "family" : "Gong", "given" : "Xiaoyun", "non-dropping-particle" : "", "parse-names" : false, "suffix" : "" }, { "dropping-particle" : "", "family" : "Zhang", "given" : "Sichun", "non-dropping-particle" : "", "parse-names" : false, "suffix" : "" }, { "dropping-particle" : "", "family" : "Zhang", "given" : "Xinrong", "non-dropping-particle" : "", "parse-names" : false, "suffix" : "" } ], "container-title" : "Methods in Molecular Biology", "id" : "ITEM-2", "issued" : { "date-parts" : [ [ "2020" ] ] }, "page" : "31-59", "publisher" : "Humana Press Inc.", "title" : "Development of Pico-ESI-MS for single-cell metabolomics analysis", "type" : "chapter", "volume" : "2064" }, "uris" : [ "http://www.mendeley.com/documents/?uuid=5d1bc30d-5aaf-3623-957d-e3fa97ffa8d6" ] }, { "id" : "ITEM-3", "itemData" : { "DOI" : "10.1021/ac500882e", "ISSN" : "15206882", "abstract" : "Molecular analysis at cellular and subcellular levels, whether on selected molecules or at the metabolomics scale, is still a challenge now. Here we propose a method based on probe ESI mass spectrometry (PESI-MS) for single cell analysis. Detection of metabolites at cellular and subcellular levels was successfully achieved. In our work, tungsten probes with a tip diameter of about 1 \u03bcm were directly inserted into live cells to enrich metabolites. Then the enriched metabolites were directly desorbed/ionized from the tip of the probe for mass spectrometry (MS) detection. The direct desorption/ionization of the enriched metabolites from the tip of the probe greatly improved the sensitivity by a factor of about 30 fold compared to those methods that eluted the enriched analytes into a liquid phase for subsequent MS detection. We applied the PESI-MS to the detection of metabolites in single Allium cepa cells. Different kinds of metabolites, including 6 fructans, 4 lipids, and 8 flavone derivatives in single cells, have been successfully detected. Significant metabolite diversity was observed among different cells types of A. cepa bulb and different subcellular compartments of the same cell. We found that the inner epidermal cells had about 20 fold more fructans than the outer epidermal cells, while the outer epidermal cells had more lipids. We expected that PESI-MS might be a candidate in the future studies of single cell \"omics\". \u00a9 2014 American Chemical Society.", "author" : [ { "dropping-particle" : "", "family" : "Gong", "given" : "Xiaoyun", "non-dropping-particle" : "", "parse-names" : false, "suffix" : "" }, { "dropping-particle" : "", "family" : "Zhao", "given" : "Yaoyao", "non-dropping-particle" : "", "parse-names" : false, "suffix" : "" }, { "dropping-particle" : "", "family" : "Cai", "given" : "Shaoqing", "non-dropping-particle" : "", "parse-names" : false, "suffix" : "" }, { "dropping-particle" : "", "family" : "Fu", "given" : "Shujie", "non-dropping-particle" : "", "parse-names" : false, "suffix" : "" }, { "dropping-particle" : "", "family" : "Yang", "given" : "Chengdui", "non-dropping-particle" : "", "parse-names" : false, "suffix" : "" }, { "dropping-particle" : "", "family" : "Zhang", "given" : "Sichun", "non-dropping-particle" : "", "parse-names" : false, "suffix" : "" }, { "dropping-particle" : "", "family" : "Zhang", "given" : "Xinrong", "non-dropping-particle" : "", "parse-names" : false, "suffix" : "" } ], "container-title" : "Analytical Chemistry", "id" : "ITEM-3", "issue" : "8", "issued" : { "date-parts" : [ [ "2014", "4", "15" ] ] }, "page" : "3809-3816", "publisher" : "American Chemical Society", "title" : "Single cell analysis with probe ESI-mass spectrometry: Detection of metabolites at cellular and subcellular levels", "type" : "article-journal", "volume" : "86" }, "uris" : [ "http://www.mendeley.com/documents/?uuid=36c43f85-66e5-3217-a067-c2bd3db1d30f" ] }, { "id" : "ITEM-4", "itemData" : { "DOI" : "10.1038/379466a0", "ISSN" : "00280836", "PMID" : "8559255", "abstract" : "MOLECULAR analysis of complex biological structures and processes increasingly requires sensitive methods for protein sequencing. Electrospray mass spectrometry1 has been applied to the high-sensitivity sequencing of short peptides2, but technical difficulties have prevented similar success with gel-isolated proteins. Here we report a simple and robust technique for the sequencing of proteins isolated by polyacrylamide gel electrophoresis, using nano-electrospray3,4 tandem mass spectrometry5,6. As little as 5 ng protein starting material on Coomassie- or silver-stained gels can be sequenced. Multiple-sequence stretches of up to 16 amino acids are obtained, which identify the protein unambiguously if already present in databases or provide information to clone the corresponding gene. We have applied this method to the sequencing and cloning of a protein which inhibits the proliferation of capillary endothelial cells in vitro and thus may have potential antiangiogenic effects on solid tumours.", "author" : [ { "dropping-particle" : "", "family" : "Wilm", "given" : "Matthias", "non-dropping-particle" : "", "parse-names" : false, "suffix" : "" }, { "dropping-particle" : "", "family" : "Shevchenko", "given" : "Andrej", "non-dropping-particle" : "", "parse-names" : false, "suffix" : "" }, { "dropping-particle" : "", "family" : "Houthaeve", "given" : "Tony", "non-dropping-particle" : "", "parse-names" : false, "suffix" : "" }, { "dropping-particle" : "", "family" : "Breit", "given" : "Stephen", "non-dropping-particle" : "", "parse-names" : false, "suffix" : "" }, { "dropping-particle" : "", "family" : "Schweigerer", "given" : "Lothar", "non-dropping-particle" : "", "parse-names" : false, "suffix" : "" }, { "dropping-particle" : "", "family" : "Fotsis", "given" : "Theodore", "non-dropping-particle" : "", "parse-names" : false, "suffix" : "" }, { "dropping-particle" : "", "family" : "Mann", "given" : "Matthias", "non-dropping-particle" : "", "parse-names" : false, "suffix" : "" } ], "container-title" : "Nature", "id" : "ITEM-4", "issue" : "6564", "issued" : { "date-parts" : [ [ "1996", "2", "1" ] ] }, "page" : "466-469", "publisher" : "Macmillan Magazines Ltd", "title" : "Femtomole sequencing of proteins from polyacrylamide gels by nano-electrospray mass spectrometry", "type" : "article-journal", "volume" : "379" }, "uris" : [ "http://www.mendeley.com/documents/?uuid=daebc444-8818-37ec-8e20-772b80b7f271" ] } ], "mendeley" : { "formattedCitation" : "&lt;sup&gt;72\u201375&lt;/sup&gt;", "plainTextFormattedCitation" : "72\u201375", "previouslyFormattedCitation" : "&lt;sup&gt;72\u201375&lt;/sup&gt;" }, "properties" : { "noteIndex" : 0 }, "schema" : "https://github.com/citation-style-language/schema/raw/master/csl-citation.json" }</w:instrText>
      </w:r>
      <w:r w:rsidR="0030350B" w:rsidRPr="000E162A">
        <w:fldChar w:fldCharType="separate"/>
      </w:r>
      <w:r w:rsidR="006B01D5" w:rsidRPr="006B01D5">
        <w:rPr>
          <w:noProof/>
          <w:vertAlign w:val="superscript"/>
        </w:rPr>
        <w:t>72–75</w:t>
      </w:r>
      <w:r w:rsidR="0030350B" w:rsidRPr="000E162A">
        <w:fldChar w:fldCharType="end"/>
      </w:r>
      <w:r w:rsidR="0030350B" w:rsidRPr="000E162A">
        <w:t>, electron ionization (EI)</w:t>
      </w:r>
      <w:r w:rsidR="0030350B" w:rsidRPr="000E162A">
        <w:fldChar w:fldCharType="begin" w:fldLock="1"/>
      </w:r>
      <w:r w:rsidR="0003342C">
        <w:instrText>ADDIN CSL_CITATION { "citationItems" : [ { "id" : "ITEM-1", "itemData" : { "DOI" : "10.1002/rcm.1218", "ISSN" : "0951-4198", "author" : [ { "dropping-particle" : "", "family" : "Tian", "given" : "Qingguo", "non-dropping-particle" : "", "parse-names" : false, "suffix" : "" }, { "dropping-particle" : "", "family" : "Li", "given" : "Dan", "non-dropping-particle" : "", "parse-names" : false, "suffix" : "" }, { "dropping-particle" : "", "family" : "Barbacci", "given" : "Damon", "non-dropping-particle" : "", "parse-names" : false, "suffix" : "" }, { "dropping-particle" : "", "family" : "Schwartz", "given" : "Steven J.", "non-dropping-particle" : "", "parse-names" : false, "suffix" : "" }, { "dropping-particle" : "", "family" : "Patil", "given" : "Bhimanagouda S.", "non-dropping-particle" : "", "parse-names" : false, "suffix" : "" } ], "container-title" : "Rapid Communications in Mass Spectrometry", "id" : "ITEM-1", "issue" : "22", "issued" : { "date-parts" : [ [ "2003", "11", "30" ] ] }, "page" : "2517-2522", "title" : "Electron ionization mass spectrometry of citrus limonoids", "type" : "article-journal", "volume" : "17" }, "uris" : [ "http://www.mendeley.com/documents/?uuid=30c503c5-89bb-3c7b-a02a-9a5d35d4cf40" ] } ], "mendeley" : { "formattedCitation" : "&lt;sup&gt;76&lt;/sup&gt;", "plainTextFormattedCitation" : "76", "previouslyFormattedCitation" : "&lt;sup&gt;76&lt;/sup&gt;" }, "properties" : { "noteIndex" : 0 }, "schema" : "https://github.com/citation-style-language/schema/raw/master/csl-citation.json" }</w:instrText>
      </w:r>
      <w:r w:rsidR="0030350B" w:rsidRPr="000E162A">
        <w:fldChar w:fldCharType="separate"/>
      </w:r>
      <w:r w:rsidR="006B01D5" w:rsidRPr="006B01D5">
        <w:rPr>
          <w:noProof/>
          <w:vertAlign w:val="superscript"/>
        </w:rPr>
        <w:t>76</w:t>
      </w:r>
      <w:r w:rsidR="0030350B" w:rsidRPr="000E162A">
        <w:fldChar w:fldCharType="end"/>
      </w:r>
      <w:r w:rsidR="0030350B" w:rsidRPr="000E162A">
        <w:t>) coupled with numerous mass analyzers (e.g. time of flight (TOF), quadruple, Orbitrap) have been successful for the analysis of metabolites from single cells. The techniques broadly fall under two categories, ambient ionization or non-ambient ionization. MALDI is a well-established, commonly utilized, non-ambient technique used for detecting and quantifying metabolites from single cells.</w:t>
      </w:r>
      <w:r w:rsidR="0030350B" w:rsidRPr="000E162A">
        <w:fldChar w:fldCharType="begin" w:fldLock="1"/>
      </w:r>
      <w:r w:rsidR="0003342C">
        <w:instrText>ADDIN CSL_CITATION { "citationItems" : [ { "id" : "ITEM-1", "itemData" : { "DOI" : "10.1002/anie.201709719", "ISSN" : "15213773", "PMID" : "29218763", "abstract" : "Compositional diversity is a fundamental property in cell populations. Single-cell analysis promises new insight into this cellular heterogeneity on the genomic, transcriptomic, proteomic, and metabolomic levels. Mass spectrometry (MS) is a label-free technique that enables the multiplexed analysis of proteins, peptides, lipids, and metabolites in individual cells. The abundances of these molecular classes are correlated with the physiological states and environmental responses of the cells. In this Minireview, we discuss recent advances in single-cell MS techniques with an emphasis on sampling and ionization methods developed for volume-limited samples. Strategies for sample treatment, separation methods, and data analysis require special considerations for single cells. Ongoing analytical challenges include subcellular heterogeneity, non-normal statistical distributions of cellular properties, and the need for high-throughput, high molecular coverage and minimal perturbation.", "author" : [ { "dropping-particle" : "", "family" : "Zhang", "given" : "Linwen", "non-dropping-particle" : "", "parse-names" : false, "suffix" : "" }, { "dropping-particle" : "", "family" : "Vertes", "given" : "Akos", "non-dropping-particle" : "", "parse-names" : false, "suffix" : "" } ], "container-title" : "Angewandte Chemie - International Edition", "id" : "ITEM-1", "issue" : "17", "issued" : { "date-parts" : [ [ "2018", "4", "16" ] ] }, "page" : "4466-4477", "publisher" : "Wiley-VCH Verlag", "title" : "Single-Cell Mass Spectrometry Approaches to Explore Cellular Heterogeneity", "type" : "article", "volume" : "57" }, "uris" : [ "http://www.mendeley.com/documents/?uuid=70a68016-0bc9-3464-b056-16078bb8d227" ] }, { "id" : "ITEM-2", "itemData" : { "DOI" : "10.1021/jacs.6b12822", "ISSN" : "15205126", "abstract" : "The chemical differences between individual cells within large cellular populations provide unique information on organisms\u2019 homeostasis and the development of diseased states. Even genetically identical cell lineages diverge due to local microenvironments and stochastic processes. The minute sample volumes and low abundance of some constituents in cells hinder our understanding of cellular heterogeneity. Although amplification methods facilitate single-cell genomics and transcriptomics, the characterization of metabolites and proteins remains challenging both because of the lack of effective amplification approaches and the wide diversity in cellular constituents. Mass spectrometry has become an enabling technology for the investigation of individual cellular metabolite profiles with its exquisite sensitivity, large dynamic range, and ability to characterize hundreds to thousands of compounds. While advances in instrumentation have improved figures of merit, acquiring measurements at high throughput and sampling from large populations of cells are still not routine. In this Perspective, we highlight the current trends and progress in mass-spectrometry-based analysis of single cells, with a focus on the technologies that will enable the next generation of single-cell measurements.", "author" : [ { "dropping-particle" : "", "family" : "Comi", "given" : "Troy J.", "non-dropping-particle" : "", "parse-names" : false, "suffix" : "" }, { "dropping-particle" : "", "family" : "Do", "given" : "Thanh D.", "non-dropping-particle" : "", "parse-names" : false, "suffix" : "" }, { "dropping-particle" : "", "family" : "Rubakhin", "given" : "Stanislav S.", "non-dropping-particle" : "", "parse-names" : false, "suffix" : "" }, { "dropping-particle" : "V.", "family" : "Sweedler", "given" : "Jonathan", "non-dropping-particle" : "", "parse-names" : false, "suffix" : "" } ], "container-title" : "Journal of the American Chemical Society", "id" : "ITEM-2", "issue" : "11", "issued" : { "date-parts" : [ [ "2017", "3", "22" ] ] }, "page" : "3920-3929", "publisher" : "American Chemical Society", "title" : "Categorizing Cells on the Basis of their Chemical Profiles: Progress in Single-Cell Mass Spectrometry", "type" : "article", "volume" : "139" }, "uris" : [ "http://www.mendeley.com/documents/?uuid=7e91ff86-da80-32fa-89ef-76e3711a7e7d" ] } ], "mendeley" : { "formattedCitation" : "&lt;sup&gt;68,77&lt;/sup&gt;", "plainTextFormattedCitation" : "68,77", "previouslyFormattedCitation" : "&lt;sup&gt;68,77&lt;/sup&gt;" }, "properties" : { "noteIndex" : 0 }, "schema" : "https://github.com/citation-style-language/schema/raw/master/csl-citation.json" }</w:instrText>
      </w:r>
      <w:r w:rsidR="0030350B" w:rsidRPr="000E162A">
        <w:fldChar w:fldCharType="separate"/>
      </w:r>
      <w:r w:rsidR="006B01D5" w:rsidRPr="006B01D5">
        <w:rPr>
          <w:noProof/>
          <w:vertAlign w:val="superscript"/>
        </w:rPr>
        <w:t>68,77</w:t>
      </w:r>
      <w:r w:rsidR="0030350B" w:rsidRPr="000E162A">
        <w:fldChar w:fldCharType="end"/>
      </w:r>
      <w:r w:rsidR="0030350B" w:rsidRPr="000E162A">
        <w:t xml:space="preserve"> Due to the soft ionization, molecules remain intact, ideal for metabolomic analysis. MALDI, however, requires fixation of cells on a solid matrix and the use of a vacuum, resulting in the lack of analyzing live cells and the addition of interfering MALDI Matrix with the </w:t>
      </w:r>
      <w:r w:rsidR="0030350B" w:rsidRPr="000E162A">
        <w:lastRenderedPageBreak/>
        <w:t>small weight metabolites (&lt;500 daltons).</w:t>
      </w:r>
      <w:r w:rsidR="0030350B" w:rsidRPr="000E162A">
        <w:fldChar w:fldCharType="begin" w:fldLock="1"/>
      </w:r>
      <w:r w:rsidR="0003342C">
        <w:instrText>ADDIN CSL_CITATION { "citationItems" : [ { "id" : "ITEM-1", "itemData" : { "DOI" : "10.1039/c8an01581c", "abstract" : "Metabolomics has grown into a prominent field contributing to the molecular understanding of complex biological processes in both health and disease. Furthermore, single-cells are known to display metabolic differences between seemingly homogeneous populations of cells. Single-cell metabolomics attempts to analyze many cellular metabolites from single cells to understand phenotypic heterogeneity, which is a significant challenge due to the low analyte abundances and limited sample volumes. Label-free metabolite detection can be achieved with mass spectrometry, which is capable of simultaneously analyzing hundreds of metabolites. Herein, we review the recent advances in mass spectrometry based single-cell metabolomics, highlighting the current state-of-the-art within the last three years, and identify the challenges to move the field forward.", "author" : [ { "dropping-particle" : "", "family" : "Duncan", "given" : "Kyle D", "non-dropping-particle" : "", "parse-names" : false, "suffix" : "" }, { "dropping-particle" : "", "family" : "Fyrestam", "given" : "Jonas", "non-dropping-particle" : "", "parse-names" : false, "suffix" : "" }, { "dropping-particle" : "", "family" : "Lanekoff", "given" : "Ingela", "non-dropping-particle" : "", "parse-names" : false, "suffix" : "" } ], "container-title" : "Cite this: Analyst", "id" : "ITEM-1", "issued" : { "date-parts" : [ [ "2019" ] ] }, "page" : "782", "title" : "Advances in mass spectrometry based single-cell metabolomics", "type" : "article-journal", "volume" : "144" }, "uris" : [ "http://www.mendeley.com/documents/?uuid=620daf48-6923-329c-bf5a-be5abdb47575" ] } ], "mendeley" : { "formattedCitation" : "&lt;sup&gt;67&lt;/sup&gt;", "plainTextFormattedCitation" : "67", "previouslyFormattedCitation" : "&lt;sup&gt;67&lt;/sup&gt;" }, "properties" : { "noteIndex" : 0 }, "schema" : "https://github.com/citation-style-language/schema/raw/master/csl-citation.json" }</w:instrText>
      </w:r>
      <w:r w:rsidR="0030350B" w:rsidRPr="000E162A">
        <w:fldChar w:fldCharType="separate"/>
      </w:r>
      <w:r w:rsidR="006B01D5" w:rsidRPr="006B01D5">
        <w:rPr>
          <w:noProof/>
          <w:vertAlign w:val="superscript"/>
        </w:rPr>
        <w:t>67</w:t>
      </w:r>
      <w:r w:rsidR="0030350B" w:rsidRPr="000E162A">
        <w:fldChar w:fldCharType="end"/>
      </w:r>
      <w:r w:rsidR="0030350B" w:rsidRPr="000E162A">
        <w:t xml:space="preserve"> Due to this, the development of ambient techniques has been the preferred method development to analyze live, single cells resulting in near native environment of the cells. </w:t>
      </w:r>
    </w:p>
    <w:p w14:paraId="12D4E419" w14:textId="6B094837" w:rsidR="0030350B" w:rsidRDefault="0030350B" w:rsidP="0030350B">
      <w:pPr>
        <w:ind w:firstLine="720"/>
        <w:jc w:val="both"/>
      </w:pPr>
      <w:r w:rsidRPr="000E162A">
        <w:t>Ambient ionization techniques can be broadly grouped into either laser desorption/ionization or microprobe extraction methods. Laser desorption/ionization methodologies have been used to mainly study embryos but ha</w:t>
      </w:r>
      <w:r w:rsidR="00373C60">
        <w:t>ve</w:t>
      </w:r>
      <w:r w:rsidRPr="000E162A">
        <w:t xml:space="preserve"> also been utilized to perform in situ metabolomic analysis of individual, single cells including oocytes, plant cells, and mammalian cells.</w:t>
      </w:r>
      <w:r w:rsidRPr="000E162A">
        <w:fldChar w:fldCharType="begin" w:fldLock="1"/>
      </w:r>
      <w:r w:rsidR="0003342C">
        <w:instrText>ADDIN CSL_CITATION { "citationItems" : [ { "id" : "ITEM-1", "itemData" : { "DOI" : "10.1063/1.4902322", "ISSN" : "10897623", "abstract" : "Electrospray mass spectrometry is now a widely used technique for observing cell content of various biological tissues. However, electrospray techniques (liquid chromatography and direct infusion) often involve lysing a group of cells and extracting the biomolecules of interest, rather than a sensitive, individual cell method to observe local chemistry. Presented here is an approach of combining a nanomanipulator workstation with nanospray mass spectrometry, which allows for extraction of a single cell, followed by rapid mass analysis that can provide a detailed metabolic profile. Triacylglycerol content was profiled with this tool coupled to mass spectrometry to investigate heterogeneity between healthy and tumorous tissues as well as lipid droplet containing adipocytes in vitro as proof of concept. This selective approach provides cellular resolution and complements existing bioanalytical techniques with minimal invasion to samples. In addition, the coupling of nanomanipulation and mass spectrometry holds the potential to be used in a great number of applications for individual organelles, diseased tissues, and in vitro cell cultures for observing heterogeneity even amongst cells and organelles of the same tissue.", "author" : [ { "dropping-particle" : "", "family" : "Phelps", "given" : "Mandy", "non-dropping-particle" : "", "parse-names" : false, "suffix" : "" }, { "dropping-particle" : "", "family" : "Hamilton", "given" : "Jason", "non-dropping-particle" : "", "parse-names" : false, "suffix" : "" }, { "dropping-particle" : "", "family" : "Verbeck", "given" : "Guido F.", "non-dropping-particle" : "", "parse-names" : false, "suffix" : "" } ], "container-title" : "Review of Scientific Instruments", "id" : "ITEM-1", "issue" : "12", "issued" : { "date-parts" : [ [ "2014", "12", "1" ] ] }, "publisher" : "American Institute of Physics Inc.", "title" : "Nanomanipulation-coupled nanospray mass spectrometry as an approach for single cell analysis", "type" : "article-journal", "volume" : "85" }, "uris" : [ "http://www.mendeley.com/documents/?uuid=756fa174-1f9c-345a-9693-6ae525c83a19" ] }, { "id" : "ITEM-2", "itemData" : { "DOI" : "10.1038/nprot.2015.084", "ISSN" : "17502799", "abstract" : "Live single-cell mass spectrometry (live MS) provides a mass spectrum that shows thousands of metabolite peaks from a single live plant cell within minutes. By using an optical microscope, a cell is chosen for analysis and a metal-coated nanospray microcapillary tip is used to remove the cell's contents. After adding a microliter of ionization solvent to the opposite end of the tip, the trapped contents are directly fed into the mass spectrometer by applying a high voltage between the tip and the inlet port of the spectrometer to induce nanospray ionization. Proteins are not detected because of insufficient sensitivity. Metabolite peaks are identified by exact mass or tandem mass spectrometry (MS/MS) analysis, and isomers can be separated by combining live MS with ion-mobility separation. By using this approach, spectra can be acquired in 10 min. In combination with metabolic maps and/or molecular databases, the data can be annotated into metabolic pathways; the data analysis takes 30 min to 4 h, depending on the MS/MS data availability from databases. This method enables the analysis of a number of metabolites from a single cell with rapid sampling at sub-attomolar-level sensitivity.", "author" : [ { "dropping-particle" : "", "family" : "Fujii", "given" : "Takashi", "non-dropping-particle" : "", "parse-names" : false, "suffix" : "" }, { "dropping-particle" : "", "family" : "Matsuda", "given" : "Shuichi", "non-dropping-particle" : "", "parse-names" : false, "suffix" : "" }, { "dropping-particle" : "", "family" : "Tejedor", "given" : "M\u00f3nica Lorenzo", "non-dropping-particle" : "", "parse-names" : false, "suffix" : "" }, { "dropping-particle" : "", "family" : "Esaki", "given" : "Tsuyoshi", "non-dropping-particle" : "", "parse-names" : false, "suffix" : "" }, { "dropping-particle" : "", "family" : "Sakane", "given" : "Iwao", "non-dropping-particle" : "", "parse-names" : false, "suffix" : "" }, { "dropping-particle" : "", "family" : "Mizuno", "given" : "Hajime", "non-dropping-particle" : "", "parse-names" : false, "suffix" : "" }, { "dropping-particle" : "", "family" : "Tsuyama", "given" : "Naohiro", "non-dropping-particle" : "", "parse-names" : false, "suffix" : "" }, { "dropping-particle" : "", "family" : "Masujima", "given" : "Tsutomu", "non-dropping-particle" : "", "parse-names" : false, "suffix" : "" } ], "container-title" : "Nature Protocols", "id" : "ITEM-2", "issue" : "9", "issued" : { "date-parts" : [ [ "2015", "10", "1" ] ] }, "page" : "1445-1456", "publisher" : "Nature Publishing Group", "title" : "Direct metabolomics for plant cells by live single-cell mass spectrometry", "type" : "article-journal", "volume" : "10" }, "uris" : [ "http://www.mendeley.com/documents/?uuid=6f5a322b-0ddb-3c32-ab8c-1ca7b4f3b0fa" ] }, { "id" : "ITEM-3", "itemData" : { "DOI" : "10.1093/pcp/pcv042", "ISSN" : "0032-0781", "author" : [ { "dropping-particle" : "", "family" : "Shimizu", "given" : "Takafumi", "non-dropping-particle" : "", "parse-names" : false, "suffix" : "" }, { "dropping-particle" : "", "family" : "Miyakawa", "given" : "Shinya", "non-dropping-particle" : "", "parse-names" : false, "suffix" : "" }, { "dropping-particle" : "", "family" : "Esaki", "given" : "Tsuyoshi", "non-dropping-particle" : "", "parse-names" : false, "suffix" : "" }, { "dropping-particle" : "", "family" : "Mizuno", "given" : "Hajime", "non-dropping-particle" : "", "parse-names" : false, "suffix" : "" }, { "dropping-particle" : "", "family" : "Masujima", "given" : "Tsutomu", "non-dropping-particle" : "", "parse-names" : false, "suffix" : "" }, { "dropping-particle" : "", "family" : "Koshiba", "given" : "Tomokazu", "non-dropping-particle" : "", "parse-names" : false, "suffix" : "" }, { "dropping-particle" : "", "family" : "Seo", "given" : "Mitsunori", "non-dropping-particle" : "", "parse-names" : false, "suffix" : "" } ], "container-title" : "Plant and Cell Physiology", "id" : "ITEM-3", "issue" : "7", "issued" : { "date-parts" : [ [ "2015", "7" ] ] }, "page" : "1287-1296", "title" : "Live Single-Cell Plant Hormone Analysis by Video-Mass Spectrometry", "type" : "article-journal", "volume" : "56" }, "uris" : [ "http://www.mendeley.com/documents/?uuid=6b613a96-8944-3750-ac34-85cce0a70f3d" ] }, { "id" : "ITEM-4", "itemData" : { "DOI" : "10.2116/analsci.31.1215", "ISSN" : "13482246", "abstract" : "Direct trapping of a single floating cell, i.e. a white blood cell from a drop of blood, within a nanospray tip was followed by super-sonication after the addition of ionization solvent. Molecular detection of an increased number of peaks with a higher intensity and a wider m/z range, which extends from metabolites to lipids, was acquired than of that without sonication. This method was applied to a few separated circulating tumor cells (CTC) from a neuroblastoma patient's blood to obtain their lipido-metabolomic molecular profile at the single cell level. In addition to vital molecules such as amino acids, catechol amine metabolites, which are specific to neuroblastoma, and drugs included in the patient's course of therapy were detected. This established \"direct single-cell lipido-metabolomic method\" seems to be useful for direct and wide range molecular detection not only for many live single-cells, but also for rare cells, such as CTCs, for future molecular diagnosis.", "author" : [ { "dropping-particle" : "", "family" : "Hiyama", "given" : "Eiso", "non-dropping-particle" : "", "parse-names" : false, "suffix" : "" }, { "dropping-particle" : "", "family" : "Ali", "given" : "Ahmed", "non-dropping-particle" : "", "parse-names" : false, "suffix" : "" }, { "dropping-particle" : "", "family" : "Amer", "given" : "Sara", "non-dropping-particle" : "", "parse-names" : false, "suffix" : "" }, { "dropping-particle" : "", "family" : "Harada", "given" : "Takanori", "non-dropping-particle" : "", "parse-names" : false, "suffix" : "" }, { "dropping-particle" : "", "family" : "Shimamoto", "given" : "Kazumi", "non-dropping-particle" : "", "parse-names" : false, "suffix" : "" }, { "dropping-particle" : "", "family" : "Furushima", "given" : "Rie", "non-dropping-particle" : "", "parse-names" : false, "suffix" : "" }, { "dropping-particle" : "", "family" : "Abouleila", "given" : "Yasmine", "non-dropping-particle" : "", "parse-names" : false, "suffix" : "" }, { "dropping-particle" : "", "family" : "Emara", "given" : "Samy", "non-dropping-particle" : "", "parse-names" : false, "suffix" : "" }, { "dropping-particle" : "", "family" : "Masujima", "given" : "Tsutomu", "non-dropping-particle" : "", "parse-names" : false, "suffix" : "" } ], "container-title" : "Analytical Sciences", "id" : "ITEM-4", "issue" : "12", "issued" : { "date-parts" : [ [ "2015" ] ] }, "page" : "1215-1217", "publisher" : "Japan Society for Analytical Chemistry", "title" : "Direct lipido-metabolomics of single floating cells for analysis of circulating tumor cells by live single-cell mass spectrometry", "type" : "article-journal", "volume" : "31" }, "uris" : [ "http://www.mendeley.com/documents/?uuid=c0ad9ebf-6c44-397b-b3b3-f174613f27ee" ] } ], "mendeley" : { "formattedCitation" : "&lt;sup&gt;78\u201381&lt;/sup&gt;", "plainTextFormattedCitation" : "78\u201381", "previouslyFormattedCitation" : "&lt;sup&gt;78\u201381&lt;/sup&gt;" }, "properties" : { "noteIndex" : 0 }, "schema" : "https://github.com/citation-style-language/schema/raw/master/csl-citation.json" }</w:instrText>
      </w:r>
      <w:r w:rsidRPr="000E162A">
        <w:fldChar w:fldCharType="separate"/>
      </w:r>
      <w:r w:rsidR="006B01D5" w:rsidRPr="006B01D5">
        <w:rPr>
          <w:noProof/>
          <w:vertAlign w:val="superscript"/>
        </w:rPr>
        <w:t>78–81</w:t>
      </w:r>
      <w:r w:rsidRPr="000E162A">
        <w:fldChar w:fldCharType="end"/>
      </w:r>
      <w:r w:rsidRPr="000E162A">
        <w:t xml:space="preserve"> Microprobe extraction methodology stems from the initial live-video single cell mass spectrometry technique from Masujima’s lab.</w:t>
      </w:r>
      <w:r w:rsidRPr="000E162A">
        <w:fldChar w:fldCharType="begin" w:fldLock="1"/>
      </w:r>
      <w:r w:rsidR="0003342C">
        <w:instrText>ADDIN CSL_CITATION { "citationItems" : [ { "id" : "ITEM-1", "itemData" : { "DOI" : "10.2116/analsci.25.953", "ISSN" : "13482246", "abstract" : "The history from bio-imaging to live single-cell mass spectrometry (MS) is herein reviewed. The limitation of the current bio-imaging method is probing only known molecules, and a method for finding new molecules is needed for cells which, however, show individual behaviors even in the same incubation dish. Single-cell MALDI-TOF/MS has been developed, but it can detect only molecules that can be easily ionized, and not be exhaustive. Recently, the contents of a single cell have been sucked out by a nano-electro spray tip, and directly introduced into MS by nano-spray ionization. Thousands of molecular peaks have been successfully and exhaustively detected, and an extraction method for key molecules was also developed. This new method is now being widely applied to explore site- or state-specific molecules in various aspects of cell dynamisms. 2009 \u00a9 The Japan Society for Analytical Chemistry.", "author" : [ { "dropping-particle" : "", "family" : "Masujima", "given" : "Tsutomu", "non-dropping-particle" : "", "parse-names" : false, "suffix" : "" } ], "container-title" : "Analytical Sciences", "id" : "ITEM-1", "issue" : "8", "issued" : { "date-parts" : [ [ "2009" ] ] }, "page" : "953-960", "publisher" : "Japan Society for Analytical Chemistry", "title" : "Live single-cell mass spectrometry", "type" : "article", "volume" : "25" }, "uris" : [ "http://www.mendeley.com/documents/?uuid=b490c271-db17-3663-830c-aa1aab1d5043" ] } ], "mendeley" : { "formattedCitation" : "&lt;sup&gt;82&lt;/sup&gt;", "plainTextFormattedCitation" : "82", "previouslyFormattedCitation" : "&lt;sup&gt;82&lt;/sup&gt;" }, "properties" : { "noteIndex" : 0 }, "schema" : "https://github.com/citation-style-language/schema/raw/master/csl-citation.json" }</w:instrText>
      </w:r>
      <w:r w:rsidRPr="000E162A">
        <w:fldChar w:fldCharType="separate"/>
      </w:r>
      <w:r w:rsidR="006B01D5" w:rsidRPr="006B01D5">
        <w:rPr>
          <w:noProof/>
          <w:vertAlign w:val="superscript"/>
        </w:rPr>
        <w:t>82</w:t>
      </w:r>
      <w:r w:rsidRPr="000E162A">
        <w:fldChar w:fldCharType="end"/>
      </w:r>
      <w:r w:rsidRPr="000E162A">
        <w:t xml:space="preserve"> These methods take advantage of analyzing the metabolites of individual, live cells either through the use of a probe that penetrates the cells capable of analyzing sub-cellular compartments, or a larger probe capable of lysing the entire cell. Furthermore, multiple separation techniques (e.g., capillary electrophoresis, ion mobility) are able to be coupled to these methods and applied on the single cell level.</w:t>
      </w:r>
      <w:r w:rsidRPr="000E162A">
        <w:fldChar w:fldCharType="begin" w:fldLock="1"/>
      </w:r>
      <w:r w:rsidR="002A3B57">
        <w:instrText>ADDIN CSL_CITATION { "citationItems" : [ { "id" : "ITEM-1", "itemData" : { "DOI" : "10.1039/c4an01018c", "ISSN" : "13645528", "abstract" : "Advances in single cell analysis techniques have demonstrated cell-to-cell variability in both homogeneous and heterogeneous cell populations strengthening our understanding of multicellular organisms and individual cell behaviour. However, additional tools are needed for non-targeted metabolic analysis of live single cells in their native environment. Here, we combine capillary microsampling with electrospray ionization (ESI) mass spectrometry (MS) and ion mobility separation (IMS) for the analysis of various single A. thaliana epidermal cell types, including pavement and basal cells, and trichomes. To achieve microsampling of different cell types with distinct morphology, custom-tailored microcapillaries were used to extract the cell contents. To eliminate the isobaric interferences and enhance the ion coverage in single cell analysis, a rapid separation technique, IMS, was introduced that retained ions based on their collision cross sections. For each cell type, the extracted cell material was directly electrosprayed resulting in \u223c200 peaks in ESI-MS and \u223c400 different ions in ESI-IMS-MS, the latter representing a significantly enhanced coverage. Based on their accurate masses and tandem MS, 23 metabolites and lipids were tentatively identified. Our results indicated that profound metabolic differences existed between the trichome and the other two cell types but differences between pavement and basal cells were hard to discern. The spectra indicated that in all three A. thaliana cell types the phenylpropanoid metabolism pathway had high coverage. In addition, metabolites from the subpathway, sinapic acid ester biosynthesis, were more abundant in single pavement and basal cells, whereas compounds from the kaempferol glycoside biosynthesis pathway were present at significantly higher level in trichomes. Our results demonstrate that capillary microsampling coupled with ESI-IMS-MS captures metabolic differences between A. thaliana epidermal cell types, paving the way for the non-targeted analysis of single plant cells and subcellular compartments. \u00a9 2014 the Partner Organisations.", "author" : [ { "dropping-particle" : "", "family" : "Zhang", "given" : "Linwen", "non-dropping-particle" : "", "parse-names" : false, "suffix" : "" }, { "dropping-particle" : "", "family" : "Foreman", "given" : "Daniel P.", "non-dropping-particle" : "", "parse-names" : false, "suffix" : "" }, { "dropping-particle" : "", "family" : "Grant", "given" : "Paaqua A.", "non-dropping-particle" : "", "parse-names" : false, "suffix" : "" }, { "dropping-particle" : "", "family" : "Shrestha", "given" : "Bindesh", "non-dropping-particle" : "", "parse-names" : false, "suffix" : "" }, { "dropping-particle" : "", "family" : "Moody", "given" : "Sally A.", "non-dropping-particle" : "", "parse-names" : false, "suffix" : "" }, { "dropping-particle" : "", "family" : "Villiers", "given" : "Florent", "non-dropping-particle" : "", "parse-names" : false, "suffix" : "" }, { "dropping-particle" : "", "family" : "Kwak", "given" : "June M.", "non-dropping-particle" : "", "parse-names" : false, "suffix" : "" }, { "dropping-particle" : "", "family" : "Vertes", "given" : "Akos", "non-dropping-particle" : "", "parse-names" : false, "suffix" : "" } ], "container-title" : "Analyst", "id" : "ITEM-1", "issue" : "20", "issued" : { "date-parts" : [ [ "2014", "9", "15" ] ] }, "page" : "5079-5085", "title" : "In Situ metabolic analysis of single plant cells by capillary microsampling and electrospray ionization mass spectrometry with ion mobility separation", "type" : "article-journal", "volume" : "139" }, "uris" : [ "http://www.mendeley.com/documents/?uuid=e30a39c5-80df-3ff8-a119-564195c0f3df" ] }, { "id" : "ITEM-2", "itemData" : { "DOI" : "10.1073/pnas.1423682112", "ISSN" : "10916490", "abstract" : "Spatial and temporal changes in molecular expression are essential to embryonic development, and their characterization is critical to understand mechanisms by which cells acquire different phenotypes. Although technological advances have made it possible to quantify expression of large molecules during embryogenesis, little information is available on metabolites, the ultimate indicator of physiological activity of the cell. Here, we demonstrate that single-cell capillary electrophoresis-electrospray ionization mass spectrometry is able to test whether differential expression of the genome translates to the domain of metabolites between single embryonic cells. Dissection of three different cell types with distinct tissue fates from 16-cell embryos of the South African clawed frog (Xenopus laevis) and microextraction of their metabolomes enabled the identification of 40 metabolites that anchored interconnected central metabolic networks. Relative quantitation revealed that several metabolites were differentially active between the cell types in the wild-type, unperturbed embryos. Altering postfertilization cytoplasmic movements that perturb dorsal development confirmed that these three cells have characteristic small-molecular activity already at cleavage stages as a result of cell type and not differences in pigmentation, yolk content, cell size, or position in the embryo. Changing the metabolite concentration caused changes in cell movements at gastrulation that also altered the tissue fates of these cells, demonstrating that the metabolome affects cell phenotypes in the embryo.", "author" : [ { "dropping-particle" : "", "family" : "Onjiko", "given" : "Rosemary M.", "non-dropping-particle" : "", "parse-names" : false, "suffix" : "" }, { "dropping-particle" : "", "family" : "Moody", "given" : "Sally A.", "non-dropping-particle" : "", "parse-names" : false, "suffix" : "" }, { "dropping-particle" : "", "family" : "Nemes", "given" : "Peter", "non-dropping-particle" : "", "parse-names" : false, "suffix" : "" } ], "container-title" : "Proceedings of the National Academy of Sciences of the United States of America", "id" : "ITEM-2", "issue" : "21", "issued" : { "date-parts" : [ [ "2015", "5", "26" ] ] }, "page" : "6545-6550", "publisher" : "National Academy of Sciences", "title" : "Single-cell mass spectrometry reveals small molecules that affect cell fates in the 16-cell embryo", "type" : "article-journal", "volume" : "112" }, "uris" : [ "http://www.mendeley.com/documents/?uuid=7e84854f-7be9-3cc4-ace5-b8aec8dd3986" ] } ], "mendeley" : { "formattedCitation" : "&lt;sup&gt;66,83&lt;/sup&gt;", "plainTextFormattedCitation" : "66,83", "previouslyFormattedCitation" : "&lt;sup&gt;66,83&lt;/sup&gt;" }, "properties" : { "noteIndex" : 0 }, "schema" : "https://github.com/citation-style-language/schema/raw/master/csl-citation.json" }</w:instrText>
      </w:r>
      <w:r w:rsidRPr="000E162A">
        <w:fldChar w:fldCharType="separate"/>
      </w:r>
      <w:r w:rsidR="002A3B57" w:rsidRPr="002A3B57">
        <w:rPr>
          <w:noProof/>
          <w:vertAlign w:val="superscript"/>
        </w:rPr>
        <w:t>66,83</w:t>
      </w:r>
      <w:r w:rsidRPr="000E162A">
        <w:fldChar w:fldCharType="end"/>
      </w:r>
    </w:p>
    <w:p w14:paraId="5179A55E" w14:textId="77777777" w:rsidR="00CC595D" w:rsidRDefault="00CC595D" w:rsidP="0030350B">
      <w:pPr>
        <w:ind w:firstLine="720"/>
        <w:jc w:val="both"/>
      </w:pPr>
    </w:p>
    <w:p w14:paraId="3624A304" w14:textId="1B0E72F5" w:rsidR="00926BEA" w:rsidRPr="000E162A" w:rsidRDefault="00926BEA" w:rsidP="00926BEA">
      <w:pPr>
        <w:pStyle w:val="Heading3"/>
      </w:pPr>
      <w:bookmarkStart w:id="27" w:name="_Toc39868138"/>
      <w:r w:rsidRPr="000E162A">
        <w:t>The Single-Probe as a Personalized Drug Monitoring Method</w:t>
      </w:r>
      <w:bookmarkEnd w:id="27"/>
    </w:p>
    <w:p w14:paraId="39A25C28" w14:textId="5150A75A" w:rsidR="000E162A" w:rsidRPr="000E162A" w:rsidRDefault="000E162A" w:rsidP="00926BEA">
      <w:pPr>
        <w:jc w:val="both"/>
      </w:pPr>
      <w:r w:rsidRPr="000E162A">
        <w:tab/>
        <w:t xml:space="preserve">The Single-Probe is a developed sampling and ambient ionization device designed </w:t>
      </w:r>
      <w:r w:rsidR="0030350B">
        <w:t>by</w:t>
      </w:r>
      <w:r w:rsidRPr="000E162A">
        <w:t xml:space="preserve"> the </w:t>
      </w:r>
      <w:r w:rsidR="0030350B">
        <w:t xml:space="preserve">research group of Prof. Zhibo </w:t>
      </w:r>
      <w:r w:rsidRPr="000E162A">
        <w:t xml:space="preserve">Yang </w:t>
      </w:r>
      <w:r w:rsidR="0030350B">
        <w:t>in the Dept. of Chemistry and Biochemistry at the University of Oklahoma</w:t>
      </w:r>
      <w:r w:rsidRPr="000E162A">
        <w:t>.</w:t>
      </w:r>
      <w:r w:rsidRPr="000E162A">
        <w:fldChar w:fldCharType="begin" w:fldLock="1"/>
      </w:r>
      <w:r w:rsidR="006B01D5">
        <w:instrText>ADDIN CSL_CITATION { "citationItems" : [ { "id" : "ITEM-1", "itemData" : { "DOI" : "10.1021/ac5029038", "ISSN" : "0003-2700", "abstract" : "We have developed a new mass spectrometry (MS) technology, the Single-probe MS, capable of real-time, in situ metabolomic analysis of individual living cells. The Single-probe is a miniaturized multifunctional sampling and ionization device that is directly coupled to the mass spectrometer. With a sampling tip smaller than individual eukaryotic cells (&lt;10 \u03bcm), the Single-probe can be inserted into single cells to sample the intracellular compounds for real-time MS analysis. We have used the Single-probe to detect several cellular metabolites and the anticancer small molecules paclitaxel, doxorubicin, and OSW-1 in individual cervical cancer cells (HeLa). Single cell mass spectrometry (SCMS) is an emerging scientific technology that could reshape the analytical science of many research disciplines, and the Single-probe MS technology is a novel method for SCMS that, through its accessible fabrication protocols, can be broadly applied to different research areas.", "author" : [ { "dropping-particle" : "", "family" : "Pan", "given" : "Ning", "non-dropping-particle" : "", "parse-names" : false, "suffix" : "" }, { "dropping-particle" : "", "family" : "Rao", "given" : "Wei", "non-dropping-particle" : "", "parse-names" : false, "suffix" : "" }, { "dropping-particle" : "", "family" : "Kothapalli", "given" : "Naga Rama", "non-dropping-particle" : "", "parse-names" : false, "suffix" : "" }, { "dropping-particle" : "", "family" : "Liu", "given" : "Renmeng",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 : "19", "issued" : { "date-parts" : [ [ "2014", "10", "7" ] ] }, "page" : "9376-9380", "publisher" : "American Chemical Society", "title" : "The Single-Probe: A Miniaturized Multifunctional Device for Single Cell Mass Spectrometry Analysis", "type" : "article-journal", "volume" : "86" }, "uris" : [ "http://www.mendeley.com/documents/?uuid=a0e9a357-e8db-41d9-8395-49e8cf6e0d77" ] } ], "mendeley" : { "formattedCitation" : "&lt;sup&gt;84&lt;/sup&gt;", "plainTextFormattedCitation" : "84", "previouslyFormattedCitation" : "&lt;sup&gt;84&lt;/sup&gt;" }, "properties" : { "noteIndex" : 0 }, "schema" : "https://github.com/citation-style-language/schema/raw/master/csl-citation.json" }</w:instrText>
      </w:r>
      <w:r w:rsidRPr="000E162A">
        <w:fldChar w:fldCharType="separate"/>
      </w:r>
      <w:r w:rsidR="006B01D5" w:rsidRPr="006B01D5">
        <w:rPr>
          <w:noProof/>
          <w:vertAlign w:val="superscript"/>
        </w:rPr>
        <w:t>84</w:t>
      </w:r>
      <w:r w:rsidRPr="000E162A">
        <w:fldChar w:fldCharType="end"/>
      </w:r>
      <w:r w:rsidRPr="000E162A">
        <w:t xml:space="preserve"> The Single-Probe is a microprobe extraction mass spectrometry technique uniquely capable of analyzing live, single cells with little to no sample preparation in real time.</w:t>
      </w:r>
      <w:r w:rsidR="0003342C">
        <w:fldChar w:fldCharType="begin" w:fldLock="1"/>
      </w:r>
      <w:r w:rsidR="0003342C">
        <w:instrText>ADDIN CSL_CITATION { "citationItems" : [ { "id" : "ITEM-1", "itemData" : { "DOI" : "10.1021/ac5029038", "ISSN" : "0003-2700", "abstract" : "We have developed a new mass spectrometry (MS) technology, the Single-probe MS, capable of real-time, in situ metabolomic analysis of individual living cells. The Single-probe is a miniaturized multifunctional sampling and ionization device that is directly coupled to the mass spectrometer. With a sampling tip smaller than individual eukaryotic cells (&lt;10 \u03bcm), the Single-probe can be inserted into single cells to sample the intracellular compounds for real-time MS analysis. We have used the Single-probe to detect several cellular metabolites and the anticancer small molecules paclitaxel, doxorubicin, and OSW-1 in individual cervical cancer cells (HeLa). Single cell mass spectrometry (SCMS) is an emerging scientific technology that could reshape the analytical science of many research disciplines, and the Single-probe MS technology is a novel method for SCMS that, through its accessible fabrication protocols, can be broadly applied to different research areas.", "author" : [ { "dropping-particle" : "", "family" : "Pan", "given" : "Ning", "non-dropping-particle" : "", "parse-names" : false, "suffix" : "" }, { "dropping-particle" : "", "family" : "Rao", "given" : "Wei", "non-dropping-particle" : "", "parse-names" : false, "suffix" : "" }, { "dropping-particle" : "", "family" : "Kothapalli", "given" : "Naga Rama", "non-dropping-particle" : "", "parse-names" : false, "suffix" : "" }, { "dropping-particle" : "", "family" : "Liu", "given" : "Renmeng",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 : "19", "issued" : { "date-parts" : [ [ "2014", "10", "7" ] ] }, "page" : "9376-9380", "publisher" : "American Chemical Society", "title" : "The Single-Probe: A Miniaturized Multifunctional Device for Single Cell Mass Spectrometry Analysis", "type" : "article-journal", "volume" : "86" }, "uris" : [ "http://www.mendeley.com/documents/?uuid=1efae57b-0c10-4989-a899-60790d96f9b3" ] } ], "mendeley" : { "formattedCitation" : "&lt;sup&gt;84&lt;/sup&gt;", "plainTextFormattedCitation" : "84", "previouslyFormattedCitation" : "&lt;sup&gt;84&lt;/sup&gt;" }, "properties" : { "noteIndex" : 0 }, "schema" : "https://github.com/citation-style-language/schema/raw/master/csl-citation.json" }</w:instrText>
      </w:r>
      <w:r w:rsidR="0003342C">
        <w:fldChar w:fldCharType="separate"/>
      </w:r>
      <w:r w:rsidR="0003342C" w:rsidRPr="0003342C">
        <w:rPr>
          <w:noProof/>
          <w:vertAlign w:val="superscript"/>
        </w:rPr>
        <w:t>84</w:t>
      </w:r>
      <w:r w:rsidR="0003342C">
        <w:fldChar w:fldCharType="end"/>
      </w:r>
      <w:r w:rsidR="0003342C">
        <w:t xml:space="preserve"> </w:t>
      </w:r>
      <w:r w:rsidRPr="000E162A">
        <w:t>It consists of a dual-bored quartz tubing with a sharp tip (&lt;10µM) capable of a continuous flow of ionized solvent.</w:t>
      </w:r>
      <w:r w:rsidR="0003342C">
        <w:fldChar w:fldCharType="begin" w:fldLock="1"/>
      </w:r>
      <w:r w:rsidR="0003342C">
        <w:instrText>ADDIN CSL_CITATION { "citationItems" : [ { "id" : "ITEM-1", "itemData" : { "DOI" : "10.1021/ac5029038", "ISSN" : "0003-2700", "abstract" : "We have developed a new mass spectrometry (MS) technology, the Single-probe MS, capable of real-time, in situ metabolomic analysis of individual living cells. The Single-probe is a miniaturized multifunctional sampling and ionization device that is directly coupled to the mass spectrometer. With a sampling tip smaller than individual eukaryotic cells (&lt;10 \u03bcm), the Single-probe can be inserted into single cells to sample the intracellular compounds for real-time MS analysis. We have used the Single-probe to detect several cellular metabolites and the anticancer small molecules paclitaxel, doxorubicin, and OSW-1 in individual cervical cancer cells (HeLa). Single cell mass spectrometry (SCMS) is an emerging scientific technology that could reshape the analytical science of many research disciplines, and the Single-probe MS technology is a novel method for SCMS that, through its accessible fabrication protocols, can be broadly applied to different research areas.", "author" : [ { "dropping-particle" : "", "family" : "Pan", "given" : "Ning", "non-dropping-particle" : "", "parse-names" : false, "suffix" : "" }, { "dropping-particle" : "", "family" : "Rao", "given" : "Wei", "non-dropping-particle" : "", "parse-names" : false, "suffix" : "" }, { "dropping-particle" : "", "family" : "Kothapalli", "given" : "Naga Rama", "non-dropping-particle" : "", "parse-names" : false, "suffix" : "" }, { "dropping-particle" : "", "family" : "Liu", "given" : "Renmeng",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 : "19", "issued" : { "date-parts" : [ [ "2014", "10", "7" ] ] }, "page" : "9376-9380", "publisher" : "American Chemical Society", "title" : "The Single-Probe: A Miniaturized Multifunctional Device for Single Cell Mass Spectrometry Analysis", "type" : "article-journal", "volume" : "86" }, "uris" : [ "http://www.mendeley.com/documents/?uuid=a0e9a357-e8db-41d9-8395-49e8cf6e0d77" ] } ], "mendeley" : { "formattedCitation" : "&lt;sup&gt;84&lt;/sup&gt;", "plainTextFormattedCitation" : "84", "previouslyFormattedCitation" : "&lt;sup&gt;84&lt;/sup&gt;" }, "properties" : { "noteIndex" : 0 }, "schema" : "https://github.com/citation-style-language/schema/raw/master/csl-citation.json" }</w:instrText>
      </w:r>
      <w:r w:rsidR="0003342C">
        <w:fldChar w:fldCharType="separate"/>
      </w:r>
      <w:r w:rsidR="0003342C" w:rsidRPr="0003342C">
        <w:rPr>
          <w:noProof/>
          <w:vertAlign w:val="superscript"/>
        </w:rPr>
        <w:t>84</w:t>
      </w:r>
      <w:r w:rsidR="0003342C">
        <w:fldChar w:fldCharType="end"/>
      </w:r>
      <w:r w:rsidR="0003342C">
        <w:t xml:space="preserve"> </w:t>
      </w:r>
      <w:r w:rsidRPr="000E162A">
        <w:t xml:space="preserve">Once the Single-Probe is in contact with a single cell, the solvent flows through the tip, creates a micro lysis of the </w:t>
      </w:r>
      <w:r w:rsidRPr="000E162A">
        <w:lastRenderedPageBreak/>
        <w:t>cell and forms a liquid junction.</w:t>
      </w:r>
      <w:r w:rsidR="0003342C">
        <w:fldChar w:fldCharType="begin" w:fldLock="1"/>
      </w:r>
      <w:r w:rsidR="0003342C">
        <w:instrText>ADDIN CSL_CITATION { "citationItems" : [ { "id" : "ITEM-1", "itemData" : { "DOI" : "10.1021/ac5029038", "ISSN" : "0003-2700", "abstract" : "We have developed a new mass spectrometry (MS) technology, the Single-probe MS, capable of real-time, in situ metabolomic analysis of individual living cells. The Single-probe is a miniaturized multifunctional sampling and ionization device that is directly coupled to the mass spectrometer. With a sampling tip smaller than individual eukaryotic cells (&lt;10 \u03bcm), the Single-probe can be inserted into single cells to sample the intracellular compounds for real-time MS analysis. We have used the Single-probe to detect several cellular metabolites and the anticancer small molecules paclitaxel, doxorubicin, and OSW-1 in individual cervical cancer cells (HeLa). Single cell mass spectrometry (SCMS) is an emerging scientific technology that could reshape the analytical science of many research disciplines, and the Single-probe MS technology is a novel method for SCMS that, through its accessible fabrication protocols, can be broadly applied to different research areas.", "author" : [ { "dropping-particle" : "", "family" : "Pan", "given" : "Ning", "non-dropping-particle" : "", "parse-names" : false, "suffix" : "" }, { "dropping-particle" : "", "family" : "Rao", "given" : "Wei", "non-dropping-particle" : "", "parse-names" : false, "suffix" : "" }, { "dropping-particle" : "", "family" : "Kothapalli", "given" : "Naga Rama", "non-dropping-particle" : "", "parse-names" : false, "suffix" : "" }, { "dropping-particle" : "", "family" : "Liu", "given" : "Renmeng",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 : "19", "issued" : { "date-parts" : [ [ "2014", "10", "7" ] ] }, "page" : "9376-9380", "publisher" : "American Chemical Society", "title" : "The Single-Probe: A Miniaturized Multifunctional Device for Single Cell Mass Spectrometry Analysis", "type" : "article-journal", "volume" : "86" }, "uris" : [ "http://www.mendeley.com/documents/?uuid=a0e9a357-e8db-41d9-8395-49e8cf6e0d77" ] } ], "mendeley" : { "formattedCitation" : "&lt;sup&gt;84&lt;/sup&gt;", "plainTextFormattedCitation" : "84", "previouslyFormattedCitation" : "&lt;sup&gt;84&lt;/sup&gt;" }, "properties" : { "noteIndex" : 0 }, "schema" : "https://github.com/citation-style-language/schema/raw/master/csl-citation.json" }</w:instrText>
      </w:r>
      <w:r w:rsidR="0003342C">
        <w:fldChar w:fldCharType="separate"/>
      </w:r>
      <w:r w:rsidR="0003342C" w:rsidRPr="0003342C">
        <w:rPr>
          <w:noProof/>
          <w:vertAlign w:val="superscript"/>
        </w:rPr>
        <w:t>84</w:t>
      </w:r>
      <w:r w:rsidR="0003342C">
        <w:fldChar w:fldCharType="end"/>
      </w:r>
      <w:r w:rsidR="0003342C">
        <w:t xml:space="preserve"> </w:t>
      </w:r>
      <w:r w:rsidRPr="000E162A">
        <w:t>The cellular contents are extracted toward the nano-ESI emitter and ionized for MS analysis.</w:t>
      </w:r>
      <w:r w:rsidR="0003342C">
        <w:fldChar w:fldCharType="begin" w:fldLock="1"/>
      </w:r>
      <w:r w:rsidR="0003342C">
        <w:instrText>ADDIN CSL_CITATION { "citationItems" : [ { "id" : "ITEM-1", "itemData" : { "DOI" : "10.1021/ac5029038", "ISSN" : "0003-2700", "abstract" : "We have developed a new mass spectrometry (MS) technology, the Single-probe MS, capable of real-time, in situ metabolomic analysis of individual living cells. The Single-probe is a miniaturized multifunctional sampling and ionization device that is directly coupled to the mass spectrometer. With a sampling tip smaller than individual eukaryotic cells (&lt;10 \u03bcm), the Single-probe can be inserted into single cells to sample the intracellular compounds for real-time MS analysis. We have used the Single-probe to detect several cellular metabolites and the anticancer small molecules paclitaxel, doxorubicin, and OSW-1 in individual cervical cancer cells (HeLa). Single cell mass spectrometry (SCMS) is an emerging scientific technology that could reshape the analytical science of many research disciplines, and the Single-probe MS technology is a novel method for SCMS that, through its accessible fabrication protocols, can be broadly applied to different research areas.", "author" : [ { "dropping-particle" : "", "family" : "Pan", "given" : "Ning", "non-dropping-particle" : "", "parse-names" : false, "suffix" : "" }, { "dropping-particle" : "", "family" : "Rao", "given" : "Wei", "non-dropping-particle" : "", "parse-names" : false, "suffix" : "" }, { "dropping-particle" : "", "family" : "Kothapalli", "given" : "Naga Rama", "non-dropping-particle" : "", "parse-names" : false, "suffix" : "" }, { "dropping-particle" : "", "family" : "Liu", "given" : "Renmeng",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 : "19", "issued" : { "date-parts" : [ [ "2014", "10", "7" ] ] }, "page" : "9376-9380", "publisher" : "American Chemical Society", "title" : "The Single-Probe: A Miniaturized Multifunctional Device for Single Cell Mass Spectrometry Analysis", "type" : "article-journal", "volume" : "86" }, "uris" : [ "http://www.mendeley.com/documents/?uuid=a0e9a357-e8db-41d9-8395-49e8cf6e0d77" ] } ], "mendeley" : { "formattedCitation" : "&lt;sup&gt;84&lt;/sup&gt;", "plainTextFormattedCitation" : "84", "previouslyFormattedCitation" : "&lt;sup&gt;84&lt;/sup&gt;" }, "properties" : { "noteIndex" : 0 }, "schema" : "https://github.com/citation-style-language/schema/raw/master/csl-citation.json" }</w:instrText>
      </w:r>
      <w:r w:rsidR="0003342C">
        <w:fldChar w:fldCharType="separate"/>
      </w:r>
      <w:r w:rsidR="0003342C" w:rsidRPr="0003342C">
        <w:rPr>
          <w:noProof/>
          <w:vertAlign w:val="superscript"/>
        </w:rPr>
        <w:t>84</w:t>
      </w:r>
      <w:r w:rsidR="0003342C">
        <w:fldChar w:fldCharType="end"/>
      </w:r>
    </w:p>
    <w:p w14:paraId="6E0EA28B" w14:textId="2654A1DB" w:rsidR="0003342C" w:rsidRPr="000E162A" w:rsidRDefault="000E162A" w:rsidP="00926BEA">
      <w:pPr>
        <w:jc w:val="both"/>
      </w:pPr>
      <w:r w:rsidRPr="000E162A">
        <w:tab/>
        <w:t>The Single-Probe MS technique has been modified and utilized for multiple applications, including MS imaging (MSI) analysis of multicellular spheroids, and detection of intracellular compounds from algal and adherent mammalian cells.</w:t>
      </w:r>
      <w:r w:rsidRPr="000E162A">
        <w:fldChar w:fldCharType="begin" w:fldLock="1"/>
      </w:r>
      <w:r w:rsidR="006B01D5">
        <w:instrText>ADDIN CSL_CITATION { "citationItems" : [ { "id" : "ITEM-1", "itemData" : { "DOI" : "10.1021/acs.analchem.7b01746", "ISSN" : "15206882", "abstract" : "Extracellular compounds in tumors play critical roles in intercellular communication, tumor proliferation, and cancer cell metastasis. However, the lack of appropriate techniques leads to limited studies of extracellular metabolite. Here, we introduced a microscale collection device, the Micro-funnel, fabricated from biocompatible fused silica capillary. With a small probe size (\u223c25 \u03bcm), the Micro-funnel can be implanted into live multicellular tumor spheroids to accumulate the extracellular metabolites produced by cancer cells. Metabolites collected in the Micro-funnel device were then extracted by a microscale sampling and ionization device, the Single-probe, for real-time mass spectrometry (MS) analysis. We successfully detected the abundance change of anticancer drug irinotecan and its metabolites inside spheroids treated under a series of conditions. Moreover, we found that irinotecan treatment dramatically altered the composition of extracellular compounds. Specifically, we observed the increased abundances of a large number of lipids, which are potentially related to the drug resistance of cancer cells. This study provides a novel way to detect the extracellular compounds inside live spheroids, and the successful development of our technique can benefit the research in multiple areas, including the microenvironment inside live tissues, cell-cell communication, biomarker discovery, and drug development.", "author" : [ { "dropping-particle" : "", "family" : "Sun", "given" : "Mei", "non-dropping-particle" : "", "parse-names" : false, "suffix" : "" }, { "dropping-particle" : "", "family" : "Tian", "given" : "Xiang", "non-dropping-particle" : "", "parse-names" : false, "suffix" : "" }, { "dropping-particle" : "", "family" : "Yang", "given" : "Zhibo", "non-dropping-particle" : "", "parse-names" : false, "suffix" : "" } ], "container-title" : "Analytical Chemistry", "id" : "ITEM-1", "issue" : "17", "issued" : { "date-parts" : [ [ "2017", "9", "5" ] ] }, "page" : "9069-9076", "publisher" : "American Chemical Society", "title" : "Microscale Mass Spectrometry Analysis of Extracellular Metabolites in Live Multicellular Tumor Spheroids", "type" : "article-journal", "volume" : "89" }, "uris" : [ "http://www.mendeley.com/documents/?uuid=b1bd1ca3-c1e7-3436-b074-126818718bb4" ] }, { "id" : "ITEM-2", "itemData" : { "DOI" : "10.1021/acs.analchem.8b02927", "ISSN" : "15206882", "abstract" : "The exploration of single cells reveals cell heterogeneity and biological principle of cellular metabolism. Although a number of mass spectrometry (MS) based single cell MS (SCMS) techniques have been dedicatedly developed with high efficiency and sensitivity, limitations still exist. In this work, we introduced a microscale multifunctional device, the T-probe, which integrates cellular contents extraction and immediate ionization, to implement online in situ SCMS analysis at ambient conditions with minimal sample preparation. With high sensitivity and reproducibility, the T-probe was employed for MS analysis of single HeLa cells under control and anticancer drug treatment conditions. Intracellular species and xenobiotic metabolites were detected, and changes of cellular metabolic profiles induced by drug treatment were measured. Combining SCMS experiments with statistical data analyses, including Orthogonal Partial Least Squares-Discriminant Analysis (OPLS-DA) and two-sample t-test, we provided biological insights into cellular metabolic response to drug treatment. Online MS/MS analysis was conducted at single cell level to identify species of interest, including endogenous metabolites and the drug compound. Using the T-probe SCMS technique combined with comprehensive data analyses, we provide an approach to understanding cellular metabolism and evaluate chemotherapies at the single cell level.", "author" : [ { "dropping-particle" : "", "family" : "Liu", "given" : "Renmeng", "non-dropping-particle" : "", "parse-names" : false, "suffix" : "" }, { "dropping-particle" : "", "family" : "Pan", "given" : "Ning", "non-dropping-particle" : "", "parse-names" : false, "suffix" : "" }, { "dropping-particle" : "", "family" : "Zhu", "given" : "Yanlin", "non-dropping-particle" : "", "parse-names" : false, "suffix" : "" }, { "dropping-particle" : "", "family" : "Yang", "given" : "Zhibo", "non-dropping-particle" : "", "parse-names" : false, "suffix" : "" } ], "container-title" : "Analytical Chemistry", "id" : "ITEM-2", "issue" : "18", "issued" : { "date-parts" : [ [ "2018", "9", "18" ] ] }, "page" : "11078-11085", "publisher" : "American Chemical Society", "title" : "T-Probe: An Integrated Microscale Device for Online in Situ Single Cell Analysis and Metabolic Profiling Using Mass Spectrometry", "type" : "article-journal", "volume" : "90" }, "uris" : [ "http://www.mendeley.com/documents/?uuid=006b1285-4d77-357f-bab0-f616bc005649" ] }, { "id" : "ITEM-3", "itemData" : { "DOI" : "10.1007/s13361-015-1091-4", "ISSN" : "18791123", "abstract" : "Ambient mass spectrometry imaging (MSI) is an emerging field with great potential for the detailed spatial analysis of biological samples with minimal pretreatment. We have developed a miniaturized sampling and ionization device, the Single-probe, which uses in-situ surface micro-extraction to achieve high detection sensitivity and spatial resolution during MSI experiments. The Single-probe was coupled to a Thermo LTQ Orbitrap XL mass spectrometer and was able to create high spatial and high mass resolution MS images at 8\u2208\u00b1\u22082 and 8.5 \u03bcm on flat polycarbonate microscope slides and mouse kidney sections, respectively, which are among the highest resolutions available for ambient MSI techniques. Our proof-of-principle experiments indicate that the Single-probe MSI technique has the potential to obtain ambient MS images with very high spatial resolutions with minimal sample preparation, which opens the possibility for subcellular ambient tissue MSI to be performed in the future. [Figure not available: see fulltext.]", "author" : [ { "dropping-particle" : "", "family" : "Rao", "given" : "Wei", "non-dropping-particle" : "", "parse-names" : false, "suffix" : "" }, { "dropping-particle" : "", "family" : "Pan", "given" : "Ning", "non-dropping-particle" : "", "parse-names" : false, "suffix" : "" }, { "dropping-particle" : "", "family" : "Yang", "given" : "Zhibo", "non-dropping-particle" : "", "parse-names" : false, "suffix" : "" } ], "container-title" : "Journal of the American Society for Mass Spectrometry", "id" : "ITEM-3", "issue" : "6", "issued" : { "date-parts" : [ [ "2015", "6", "1" ] ] }, "page" : "986-993", "publisher" : "Springer New York LLC", "title" : "High resolution tissue imaging using the single-probe mass spectrometry under ambient conditions", "type" : "article-journal", "volume" : "26" }, "uris" : [ "http://www.mendeley.com/documents/?uuid=7b7958b6-96c3-34fd-9cb5-abeb93f448b9" ] }, { "id" : "ITEM-4", "itemData" : { "DOI" : "10.1021/acs.analchem.8b05166", "ISSN" : "15206882", "abstract" : "Cancer stem cells (CSCs) are rare types of cells responsible for tumor development, relapse, and metastasis. However, current research in CSC biology is largely limited by the difficulty of obtaining sufficient CSCs. Single-cell analysis techniques are promising tools for CSC-related studies. Here, we used the Single-probe mass spectrometry (MS) technique to investigate the metabolic features of live colorectal CSCs at the single-cell level. Experimental data were analyzed using statistical analysis methods, including the t-test and partial least squares discriminant analysis. Our results indicate that the overall metabolic profiles of CSCs are distinct from non-stem cancer cells (NSCCs). Specifically, we demonstrated that tricarboxylic acid (TCA) cycle metabolites are more abundant in CSCs compared to NSCCs, indicating their major energy production pathways are different. Moreover, CSCs have relatively higher levels of unsaturated lipids. Inhibiting the activities of stearoyl-CoA desaturase-1 (SCD1), nuclear factor \u00ce\u00b0B (NF-\u00ce\u00b0B), and aldehyde dehydrogenases (ALDH1A1) in CSCs significantly reduced the abundances of unsaturated lipids and hindered the formation of spheroids, resulting in reduced stemness of CSCs. Our techniques and experimental protocols can be potentially used for metabolomic studies of other CSCs and rare types of cells and provide a new approach to discovering functional biomarkers as therapeutic targets.", "author" : [ { "dropping-particle" : "", "family" : "Sun", "given" : "Mei", "non-dropping-particle" : "", "parse-names" : false, "suffix" : "" }, { "dropping-particle" : "", "family" : "Yang", "given" : "Zhibo", "non-dropping-particle" : "", "parse-names" : false, "suffix" : "" } ], "container-title" : "Analytical Chemistry", "id" : "ITEM-4", "issue" : "3", "issued" : { "date-parts" : [ [ "2019", "2", "5" ] ] }, "page" : "2384-2391", "publisher" : "American Chemical Society", "title" : "Metabolomic Studies of Live Single Cancer Stem Cells Using Mass Spectrometry", "type" : "article-journal", "volume" : "91" }, "uris" : [ "http://www.mendeley.com/documents/?uuid=872f18c6-6bd5-3e40-8d22-e21b9618bf44" ] }, { "id" : "ITEM-5", "itemData" : { "DOI" : "10.3791/53911", "ISSN" : "1940087X", "abstract" : "Mass spectrometry imaging (MSI) and in-situ single cell mass spectrometry (SCMS) analysis under ambient conditions are two emerging fields with great potential for the detailed mass spectrometry (MS) analysis of biomolecules from biological samples. The single-probe, a miniaturized device with integrated sampling and ionization capabilities, is capable of performing both ambient MSI and in-situ SCMS analysis. For ambient MSI, the single-probe uses surface micro-extraction to continually conduct MS analysis of the sample, and this technique allows the creation of MS images with high spatial resolution (8.5 \u03bcm) from biological samples such as mouse brain and kidney sections. Ambient MSI has the advantage that little to no sample preparation is needed before the analysis, which reduces the amount of potential artifacts present in data acquisition and allows a more representative analysis of the sample to be acquired. For in-situ SCMS, the single-probe tip can be directly inserted into live eukaryotic cells such as HeLa cells, due to the small sampling tip size (&lt; 10 \u03bcm), and this technique is capable of detecting a wide range of metabolites inside individual cells at near real-time. SCMS enables a greater sensitivity and accuracy of chemical information to be acquired at the single cell level, which could improve our understanding of biological processes at a more fundamental level than previously possible. The single-probe device can be potentially coupled with a variety of mass spectrometers for broad ranges of MSI and SCMS studies.", "author" : [ { "dropping-particle" : "", "family" : "Rao", "given" : "Wei", "non-dropping-particle" : "", "parse-names" : false, "suffix" : "" }, { "dropping-particle" : "", "family" : "Pan", "given" : "Ning", "non-dropping-particle" : "", "parse-names" : false, "suffix" : "" }, { "dropping-particle" : "", "family" : "Yang", "given" : "Zhibo", "non-dropping-particle" : "", "parse-names" : false, "suffix" : "" } ], "container-title" : "Journal of Visualized Experiments", "id" : "ITEM-5", "issue" : "112", "issued" : { "date-parts" : [ [ "2016", "6", "14" ] ] }, "publisher" : "Journal of Visualized Experiments", "title" : "Applications of the single-probe: Mass spectrometry imaging and single cell analysis under ambient conditions", "type" : "article-journal", "volume" : "2016" }, "uris" : [ "http://www.mendeley.com/documents/?uuid=f0579f40-7b75-360a-8064-0f5c7f4cb603" ] } ], "mendeley" : { "formattedCitation" : "&lt;sup&gt;85\u201389&lt;/sup&gt;", "plainTextFormattedCitation" : "85\u201389", "previouslyFormattedCitation" : "&lt;sup&gt;85\u201389&lt;/sup&gt;" }, "properties" : { "noteIndex" : 0 }, "schema" : "https://github.com/citation-style-language/schema/raw/master/csl-citation.json" }</w:instrText>
      </w:r>
      <w:r w:rsidRPr="000E162A">
        <w:fldChar w:fldCharType="separate"/>
      </w:r>
      <w:r w:rsidR="006B01D5" w:rsidRPr="006B01D5">
        <w:rPr>
          <w:noProof/>
          <w:vertAlign w:val="superscript"/>
        </w:rPr>
        <w:t>85–89</w:t>
      </w:r>
      <w:r w:rsidRPr="000E162A">
        <w:fldChar w:fldCharType="end"/>
      </w:r>
      <w:r w:rsidRPr="000E162A">
        <w:t xml:space="preserve"> </w:t>
      </w:r>
    </w:p>
    <w:p w14:paraId="6D7FA92C" w14:textId="77777777" w:rsidR="00470BD6" w:rsidRDefault="00470BD6" w:rsidP="000849BF">
      <w:pPr>
        <w:jc w:val="both"/>
      </w:pPr>
    </w:p>
    <w:p w14:paraId="344D055C" w14:textId="52890488" w:rsidR="00E340C1" w:rsidRDefault="00E340C1" w:rsidP="00E340C1">
      <w:pPr>
        <w:pStyle w:val="Heading2"/>
        <w:jc w:val="both"/>
      </w:pPr>
      <w:bookmarkStart w:id="28" w:name="_Toc39868139"/>
      <w:r>
        <w:t>1.</w:t>
      </w:r>
      <w:r w:rsidR="00DC3897">
        <w:t>6</w:t>
      </w:r>
      <w:r>
        <w:t xml:space="preserve"> </w:t>
      </w:r>
      <w:r w:rsidR="006D3D62">
        <w:t>Summary of Dissertation Research: New Precision Compounds Targeting OSBP and ORP4 and New Single Cell Mass Spectrometry for Chemotherapy Drug Administration</w:t>
      </w:r>
      <w:bookmarkEnd w:id="28"/>
      <w:r w:rsidR="006D3D62">
        <w:t xml:space="preserve"> </w:t>
      </w:r>
    </w:p>
    <w:p w14:paraId="7C3F51CC" w14:textId="32D27ADD" w:rsidR="00470BD6" w:rsidRDefault="00CC595D" w:rsidP="00E340C1">
      <w:pPr>
        <w:ind w:firstLine="720"/>
        <w:jc w:val="both"/>
      </w:pPr>
      <w:r w:rsidRPr="000E162A">
        <w:rPr>
          <w:noProof/>
        </w:rPr>
        <mc:AlternateContent>
          <mc:Choice Requires="wps">
            <w:drawing>
              <wp:anchor distT="45720" distB="45720" distL="114300" distR="114300" simplePos="0" relativeHeight="251708416" behindDoc="0" locked="0" layoutInCell="1" allowOverlap="1" wp14:anchorId="0F81E721" wp14:editId="4719AA10">
                <wp:simplePos x="0" y="0"/>
                <wp:positionH relativeFrom="margin">
                  <wp:align>left</wp:align>
                </wp:positionH>
                <wp:positionV relativeFrom="paragraph">
                  <wp:posOffset>864945</wp:posOffset>
                </wp:positionV>
                <wp:extent cx="5400675" cy="25812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2581275"/>
                        </a:xfrm>
                        <a:prstGeom prst="rect">
                          <a:avLst/>
                        </a:prstGeom>
                        <a:solidFill>
                          <a:srgbClr val="FFFFFF"/>
                        </a:solidFill>
                        <a:ln w="9525">
                          <a:solidFill>
                            <a:srgbClr val="000000"/>
                          </a:solidFill>
                          <a:miter lim="800000"/>
                          <a:headEnd/>
                          <a:tailEnd/>
                        </a:ln>
                      </wps:spPr>
                      <wps:txbx>
                        <w:txbxContent>
                          <w:p w14:paraId="5A862595" w14:textId="77777777" w:rsidR="00730B8F" w:rsidRDefault="00730B8F" w:rsidP="000849BF">
                            <w:pPr>
                              <w:keepNext/>
                            </w:pPr>
                          </w:p>
                          <w:p w14:paraId="5CE7837D" w14:textId="77777777" w:rsidR="00730B8F" w:rsidRDefault="00730B8F">
                            <w:pPr>
                              <w:keepNext/>
                            </w:pPr>
                            <w:r w:rsidRPr="004D1D03">
                              <w:rPr>
                                <w:noProof/>
                              </w:rPr>
                              <w:drawing>
                                <wp:inline distT="0" distB="0" distL="0" distR="0" wp14:anchorId="596D85F7" wp14:editId="14BE87C3">
                                  <wp:extent cx="5211445" cy="143394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49139" cy="1471832"/>
                                          </a:xfrm>
                                          <a:prstGeom prst="rect">
                                            <a:avLst/>
                                          </a:prstGeom>
                                          <a:noFill/>
                                          <a:ln>
                                            <a:noFill/>
                                          </a:ln>
                                        </pic:spPr>
                                      </pic:pic>
                                    </a:graphicData>
                                  </a:graphic>
                                </wp:inline>
                              </w:drawing>
                            </w:r>
                          </w:p>
                          <w:p w14:paraId="38AC39F6" w14:textId="50C36B04" w:rsidR="00730B8F" w:rsidRDefault="00730B8F">
                            <w:pPr>
                              <w:pStyle w:val="Caption"/>
                            </w:pPr>
                            <w:bookmarkStart w:id="29" w:name="_Toc39868216"/>
                            <w:r>
                              <w:t xml:space="preserve">Figure </w:t>
                            </w:r>
                            <w:r w:rsidR="009425BE">
                              <w:fldChar w:fldCharType="begin"/>
                            </w:r>
                            <w:r w:rsidR="009425BE">
                              <w:instrText xml:space="preserve"> SEQ Figure \* ARABIC </w:instrText>
                            </w:r>
                            <w:r w:rsidR="009425BE">
                              <w:fldChar w:fldCharType="separate"/>
                            </w:r>
                            <w:r>
                              <w:rPr>
                                <w:noProof/>
                              </w:rPr>
                              <w:t>3</w:t>
                            </w:r>
                            <w:r w:rsidR="009425BE">
                              <w:rPr>
                                <w:noProof/>
                              </w:rPr>
                              <w:fldChar w:fldCharType="end"/>
                            </w:r>
                            <w:r>
                              <w:t xml:space="preserve">: </w:t>
                            </w:r>
                            <w:r w:rsidRPr="000849BF">
                              <w:rPr>
                                <w:rFonts w:asciiTheme="majorHAnsi" w:hAnsiTheme="majorHAnsi" w:cstheme="majorHAnsi"/>
                                <w:b w:val="0"/>
                                <w:bCs w:val="0"/>
                              </w:rPr>
                              <w:t>Research Dissertation Schematic. Development of OSW-1 for antiviral/ anticancer therapeutic and methodology for gemcitabine chemotherapeutic monitoring.</w:t>
                            </w:r>
                            <w:bookmarkEnd w:id="29"/>
                          </w:p>
                          <w:p w14:paraId="36B957B3" w14:textId="53757A74" w:rsidR="00730B8F" w:rsidRDefault="00730B8F">
                            <w:pPr>
                              <w:keepNext/>
                            </w:pPr>
                          </w:p>
                          <w:p w14:paraId="3BB50283" w14:textId="1D6B416B" w:rsidR="00730B8F" w:rsidRDefault="00730B8F">
                            <w:pPr>
                              <w:keepNext/>
                            </w:pPr>
                          </w:p>
                          <w:p w14:paraId="1E1F7CB0" w14:textId="3DDBFE3B" w:rsidR="00730B8F" w:rsidRDefault="00730B8F">
                            <w:pPr>
                              <w:keepNext/>
                            </w:pPr>
                          </w:p>
                          <w:p w14:paraId="27519FA7" w14:textId="77777777" w:rsidR="00730B8F" w:rsidRDefault="00730B8F" w:rsidP="000849BF">
                            <w:pPr>
                              <w:keepN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1E721" id="_x0000_s1028" type="#_x0000_t202" style="position:absolute;left:0;text-align:left;margin-left:0;margin-top:68.1pt;width:425.25pt;height:203.25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">
                <v:textbox>
                  <w:txbxContent>
                    <w:p w14:paraId="5A862595" w14:textId="77777777" w:rsidR="00730B8F" w:rsidRDefault="00730B8F" w:rsidP="000849BF">
                      <w:pPr>
                        <w:keepNext/>
                      </w:pPr>
                    </w:p>
                    <w:p w14:paraId="5CE7837D" w14:textId="77777777" w:rsidR="00730B8F" w:rsidRDefault="00730B8F">
                      <w:pPr>
                        <w:keepNext/>
                      </w:pPr>
                      <w:r w:rsidRPr="004D1D03">
                        <w:rPr>
                          <w:noProof/>
                        </w:rPr>
                        <w:drawing>
                          <wp:inline distT="0" distB="0" distL="0" distR="0" wp14:anchorId="596D85F7" wp14:editId="14BE87C3">
                            <wp:extent cx="5211445" cy="143394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49139" cy="1471832"/>
                                    </a:xfrm>
                                    <a:prstGeom prst="rect">
                                      <a:avLst/>
                                    </a:prstGeom>
                                    <a:noFill/>
                                    <a:ln>
                                      <a:noFill/>
                                    </a:ln>
                                  </pic:spPr>
                                </pic:pic>
                              </a:graphicData>
                            </a:graphic>
                          </wp:inline>
                        </w:drawing>
                      </w:r>
                    </w:p>
                    <w:p w14:paraId="38AC39F6" w14:textId="50C36B04" w:rsidR="00730B8F" w:rsidRDefault="00730B8F">
                      <w:pPr>
                        <w:pStyle w:val="Caption"/>
                      </w:pPr>
                      <w:bookmarkStart w:id="30" w:name="_Toc39868216"/>
                      <w:r>
                        <w:t xml:space="preserve">Figure </w:t>
                      </w:r>
                      <w:r w:rsidR="009425BE">
                        <w:fldChar w:fldCharType="begin"/>
                      </w:r>
                      <w:r w:rsidR="009425BE">
                        <w:instrText xml:space="preserve"> SEQ Figure \* ARABIC </w:instrText>
                      </w:r>
                      <w:r w:rsidR="009425BE">
                        <w:fldChar w:fldCharType="separate"/>
                      </w:r>
                      <w:r>
                        <w:rPr>
                          <w:noProof/>
                        </w:rPr>
                        <w:t>3</w:t>
                      </w:r>
                      <w:r w:rsidR="009425BE">
                        <w:rPr>
                          <w:noProof/>
                        </w:rPr>
                        <w:fldChar w:fldCharType="end"/>
                      </w:r>
                      <w:r>
                        <w:t xml:space="preserve">: </w:t>
                      </w:r>
                      <w:r w:rsidRPr="000849BF">
                        <w:rPr>
                          <w:rFonts w:asciiTheme="majorHAnsi" w:hAnsiTheme="majorHAnsi" w:cstheme="majorHAnsi"/>
                          <w:b w:val="0"/>
                          <w:bCs w:val="0"/>
                        </w:rPr>
                        <w:t>Research Dissertation Schematic. Development of OSW-1 for antiviral/ anticancer therapeutic and methodology for gemcitabine chemotherapeutic monitoring.</w:t>
                      </w:r>
                      <w:bookmarkEnd w:id="30"/>
                    </w:p>
                    <w:p w14:paraId="36B957B3" w14:textId="53757A74" w:rsidR="00730B8F" w:rsidRDefault="00730B8F">
                      <w:pPr>
                        <w:keepNext/>
                      </w:pPr>
                    </w:p>
                    <w:p w14:paraId="3BB50283" w14:textId="1D6B416B" w:rsidR="00730B8F" w:rsidRDefault="00730B8F">
                      <w:pPr>
                        <w:keepNext/>
                      </w:pPr>
                    </w:p>
                    <w:p w14:paraId="1E1F7CB0" w14:textId="3DDBFE3B" w:rsidR="00730B8F" w:rsidRDefault="00730B8F">
                      <w:pPr>
                        <w:keepNext/>
                      </w:pPr>
                    </w:p>
                    <w:p w14:paraId="27519FA7" w14:textId="77777777" w:rsidR="00730B8F" w:rsidRDefault="00730B8F" w:rsidP="000849BF">
                      <w:pPr>
                        <w:keepNext/>
                      </w:pPr>
                    </w:p>
                  </w:txbxContent>
                </v:textbox>
                <w10:wrap type="square" anchorx="margin"/>
              </v:shape>
            </w:pict>
          </mc:Fallback>
        </mc:AlternateContent>
      </w:r>
      <w:r w:rsidR="00E340C1" w:rsidRPr="000E162A">
        <w:t>The development of clinical cancer personalized medicine is limited</w:t>
      </w:r>
      <w:r w:rsidR="00E340C1">
        <w:t xml:space="preserve"> by: 1) </w:t>
      </w:r>
      <w:r w:rsidR="00E340C1" w:rsidRPr="000E162A">
        <w:t xml:space="preserve"> the lack of precision drugs and therapies that target cancer specific protein targets identified in individual patient’s cancer</w:t>
      </w:r>
      <w:r w:rsidR="00E340C1">
        <w:t xml:space="preserve">; </w:t>
      </w:r>
      <w:r w:rsidR="00E340C1" w:rsidRPr="000E162A">
        <w:t xml:space="preserve">and </w:t>
      </w:r>
      <w:r w:rsidR="00E340C1">
        <w:t xml:space="preserve">2) </w:t>
      </w:r>
      <w:r w:rsidR="00E340C1" w:rsidRPr="000E162A">
        <w:t xml:space="preserve">the lack of clinical bioanalytical methodology capable of personalizing the administration of chemotherapy drugs to ensure the most effective outcomes in the individual patients. To address this dilemma, my dissertation research encompasses the </w:t>
      </w:r>
      <w:r w:rsidR="00470BD6">
        <w:t>study of OSBP and ORP4</w:t>
      </w:r>
      <w:r w:rsidR="00E340C1" w:rsidRPr="000E162A">
        <w:t xml:space="preserve"> </w:t>
      </w:r>
      <w:r w:rsidR="00470BD6">
        <w:t xml:space="preserve">as druggable </w:t>
      </w:r>
      <w:r w:rsidR="00E340C1" w:rsidRPr="000E162A">
        <w:t xml:space="preserve">targets for the </w:t>
      </w:r>
      <w:r w:rsidR="00E340C1" w:rsidRPr="000E162A">
        <w:lastRenderedPageBreak/>
        <w:t>development of new antiviral and anticancer drug therapeutics</w:t>
      </w:r>
      <w:r w:rsidR="00470BD6">
        <w:t>. Further, I have worked to develop new application</w:t>
      </w:r>
      <w:r w:rsidR="005035E8">
        <w:t>s</w:t>
      </w:r>
      <w:r w:rsidR="00470BD6">
        <w:t xml:space="preserve"> of the single cell mass spectrometry </w:t>
      </w:r>
      <w:r w:rsidR="005035E8">
        <w:t xml:space="preserve">technology to </w:t>
      </w:r>
      <w:r w:rsidR="00470BD6">
        <w:t xml:space="preserve">measure of </w:t>
      </w:r>
      <w:r w:rsidR="005035E8">
        <w:t xml:space="preserve">the </w:t>
      </w:r>
      <w:r w:rsidR="00470BD6">
        <w:t>intracellular drug levels in single cancer cells</w:t>
      </w:r>
      <w:r w:rsidR="005035E8">
        <w:t xml:space="preserve"> from patients. </w:t>
      </w:r>
    </w:p>
    <w:p w14:paraId="09D37025" w14:textId="33DFFBFA" w:rsidR="00E340C1" w:rsidRPr="000E162A" w:rsidRDefault="00470BD6" w:rsidP="00E340C1">
      <w:pPr>
        <w:ind w:firstLine="720"/>
        <w:jc w:val="both"/>
        <w:rPr>
          <w:u w:val="single"/>
        </w:rPr>
      </w:pPr>
      <w:r>
        <w:t>The three major projects of my doctoral research includ</w:t>
      </w:r>
      <w:r w:rsidR="005035E8">
        <w:t>ed</w:t>
      </w:r>
      <w:r>
        <w:t xml:space="preserve"> in this dissertation are: </w:t>
      </w:r>
      <w:r w:rsidR="00E340C1" w:rsidRPr="00251CE8">
        <w:t xml:space="preserve">1) </w:t>
      </w:r>
      <w:r>
        <w:t xml:space="preserve">determining the </w:t>
      </w:r>
      <w:r w:rsidRPr="00251CE8">
        <w:t xml:space="preserve">prophylactic </w:t>
      </w:r>
      <w:r>
        <w:t xml:space="preserve">antiviral activity of the OSW-1 compound through targeting OSBP </w:t>
      </w:r>
      <w:r w:rsidR="00E340C1" w:rsidRPr="00251CE8">
        <w:t>(</w:t>
      </w:r>
      <w:r w:rsidR="00E340C1" w:rsidRPr="000849BF">
        <w:rPr>
          <w:b/>
          <w:bCs/>
        </w:rPr>
        <w:t>Chapter 2</w:t>
      </w:r>
      <w:r w:rsidR="00E340C1" w:rsidRPr="00251CE8">
        <w:t xml:space="preserve">); 2) characterizing </w:t>
      </w:r>
      <w:r>
        <w:t xml:space="preserve">ORP4 as a precision cancer target in ovarian cancer and OSW-1 as a potential </w:t>
      </w:r>
      <w:r w:rsidR="0073747C">
        <w:t xml:space="preserve">precision cancer drug through targeting ORP4; </w:t>
      </w:r>
      <w:r w:rsidR="00E340C1" w:rsidRPr="00251CE8">
        <w:t>(</w:t>
      </w:r>
      <w:r w:rsidR="00E340C1" w:rsidRPr="000849BF">
        <w:rPr>
          <w:b/>
          <w:bCs/>
        </w:rPr>
        <w:t>Chapter 3</w:t>
      </w:r>
      <w:r w:rsidR="00E340C1" w:rsidRPr="00251CE8">
        <w:t xml:space="preserve">), and; 3) development of </w:t>
      </w:r>
      <w:r w:rsidR="0073747C">
        <w:t xml:space="preserve">single cell mass spectrometry application for the </w:t>
      </w:r>
      <w:r w:rsidR="00E340C1" w:rsidRPr="00251CE8">
        <w:t xml:space="preserve">quantification of drugs in individual cancer cells isolated from patients </w:t>
      </w:r>
      <w:r w:rsidR="0073747C">
        <w:t xml:space="preserve">undergoing chemotherapy </w:t>
      </w:r>
      <w:r w:rsidR="00E340C1" w:rsidRPr="00251CE8">
        <w:t>(</w:t>
      </w:r>
      <w:r w:rsidR="00E340C1" w:rsidRPr="000849BF">
        <w:rPr>
          <w:b/>
          <w:bCs/>
        </w:rPr>
        <w:t>Chapter</w:t>
      </w:r>
      <w:r w:rsidR="0073747C" w:rsidRPr="000849BF">
        <w:rPr>
          <w:b/>
          <w:bCs/>
        </w:rPr>
        <w:t xml:space="preserve"> </w:t>
      </w:r>
      <w:r w:rsidR="00E340C1" w:rsidRPr="000849BF">
        <w:rPr>
          <w:b/>
          <w:bCs/>
        </w:rPr>
        <w:t>4</w:t>
      </w:r>
      <w:r w:rsidR="00E340C1" w:rsidRPr="00251CE8">
        <w:t>).</w:t>
      </w:r>
      <w:r w:rsidR="00E340C1" w:rsidRPr="000E162A">
        <w:rPr>
          <w:u w:val="single"/>
        </w:rPr>
        <w:t xml:space="preserve"> </w:t>
      </w:r>
    </w:p>
    <w:p w14:paraId="41DE49AB" w14:textId="6942278D" w:rsidR="00EE7E45" w:rsidRDefault="00EE7E45" w:rsidP="00191DD9"/>
    <w:p w14:paraId="6A5E62CA" w14:textId="77777777" w:rsidR="00EE7E45" w:rsidRDefault="00EE7E45" w:rsidP="00191DD9"/>
    <w:p w14:paraId="372B4EAF" w14:textId="1376649F" w:rsidR="00655CA3" w:rsidRDefault="00655CA3" w:rsidP="00926BEA">
      <w:pPr>
        <w:rPr>
          <w:rFonts w:asciiTheme="majorHAnsi" w:hAnsiTheme="majorHAnsi" w:cstheme="majorHAnsi"/>
        </w:rPr>
      </w:pPr>
    </w:p>
    <w:p w14:paraId="3FFEE175" w14:textId="77777777" w:rsidR="00655CA3" w:rsidRDefault="00655CA3" w:rsidP="00926BEA">
      <w:pPr>
        <w:rPr>
          <w:rFonts w:asciiTheme="majorHAnsi" w:hAnsiTheme="majorHAnsi" w:cstheme="majorHAnsi"/>
        </w:rPr>
      </w:pPr>
    </w:p>
    <w:p w14:paraId="27C542E8" w14:textId="07DBEDC9" w:rsidR="00A145E9" w:rsidRDefault="00A145E9" w:rsidP="00191DD9"/>
    <w:p w14:paraId="1B3DF098" w14:textId="3243B004" w:rsidR="00CC595D" w:rsidRDefault="00CC595D" w:rsidP="00191DD9"/>
    <w:p w14:paraId="69C45727" w14:textId="2C505ADF" w:rsidR="00CC595D" w:rsidRDefault="00CC595D" w:rsidP="00191DD9"/>
    <w:p w14:paraId="21BADF7A" w14:textId="191C0338" w:rsidR="00CC595D" w:rsidRDefault="00CC595D" w:rsidP="00191DD9"/>
    <w:p w14:paraId="62B44226" w14:textId="385A9E98" w:rsidR="00CC595D" w:rsidRDefault="00CC595D" w:rsidP="00191DD9"/>
    <w:p w14:paraId="0783118D" w14:textId="4A450A04" w:rsidR="00CC595D" w:rsidRDefault="00CC595D" w:rsidP="00191DD9"/>
    <w:p w14:paraId="559E1358" w14:textId="77777777" w:rsidR="00CC595D" w:rsidRDefault="00CC595D" w:rsidP="00191DD9"/>
    <w:p w14:paraId="7353E235" w14:textId="77777777" w:rsidR="00926BEA" w:rsidRPr="00926BEA" w:rsidRDefault="00926BEA" w:rsidP="00926BEA"/>
    <w:p w14:paraId="16AE0C17" w14:textId="5C552E6E" w:rsidR="00AC19AD" w:rsidRDefault="00926BEA" w:rsidP="00012F48">
      <w:pPr>
        <w:pStyle w:val="Heading1"/>
      </w:pPr>
      <w:bookmarkStart w:id="31" w:name="_Toc39868140"/>
      <w:r>
        <w:lastRenderedPageBreak/>
        <w:t>C</w:t>
      </w:r>
      <w:r w:rsidR="00AC19AD">
        <w:t xml:space="preserve">hapter 2: </w:t>
      </w:r>
      <w:r w:rsidR="00455242">
        <w:t>Molecular Pharmacology of Antiviral Compound Targeting</w:t>
      </w:r>
      <w:r w:rsidR="00AC19AD" w:rsidRPr="00AC19AD">
        <w:t xml:space="preserve"> </w:t>
      </w:r>
      <w:r w:rsidR="00455242">
        <w:t>OSBP, Including OSW-1</w:t>
      </w:r>
      <w:bookmarkEnd w:id="31"/>
    </w:p>
    <w:p w14:paraId="05DF6208" w14:textId="77777777" w:rsidR="00455242" w:rsidRDefault="00455242" w:rsidP="00455242">
      <w:pPr>
        <w:pStyle w:val="Heading2"/>
        <w:spacing w:line="240" w:lineRule="auto"/>
        <w:contextualSpacing/>
        <w:jc w:val="both"/>
      </w:pPr>
    </w:p>
    <w:p w14:paraId="00A31206" w14:textId="5A6381F5" w:rsidR="00242945" w:rsidRDefault="00242945" w:rsidP="00242945">
      <w:pPr>
        <w:pStyle w:val="Heading2"/>
        <w:spacing w:line="240" w:lineRule="auto"/>
        <w:contextualSpacing/>
        <w:jc w:val="both"/>
      </w:pPr>
      <w:bookmarkStart w:id="32" w:name="_Toc39868141"/>
      <w:r>
        <w:t>Abstract</w:t>
      </w:r>
      <w:bookmarkEnd w:id="32"/>
    </w:p>
    <w:p w14:paraId="6E204FE1" w14:textId="0DEB4EAD" w:rsidR="00455242" w:rsidRPr="00926BEA" w:rsidRDefault="00455242" w:rsidP="000849BF">
      <w:pPr>
        <w:spacing w:line="240" w:lineRule="auto"/>
        <w:ind w:firstLine="720"/>
        <w:jc w:val="both"/>
      </w:pPr>
      <w:r>
        <w:t>O</w:t>
      </w:r>
      <w:r w:rsidRPr="00926BEA">
        <w:t xml:space="preserve">xysterol-binding protein (OSBP) is a conserved lipid regulator and </w:t>
      </w:r>
      <w:r>
        <w:t xml:space="preserve">lipid </w:t>
      </w:r>
      <w:r w:rsidRPr="00926BEA">
        <w:t xml:space="preserve">transport protein essential for the replication of several classes of RNA pathogenic viruses, including the </w:t>
      </w:r>
      <w:r w:rsidRPr="00926BEA">
        <w:rPr>
          <w:i/>
          <w:iCs/>
        </w:rPr>
        <w:t xml:space="preserve">Enterovirus </w:t>
      </w:r>
      <w:r w:rsidRPr="00926BEA">
        <w:t>genus of viruses. These RNA viruses that use OSBP to replicate in cells are</w:t>
      </w:r>
      <w:r w:rsidRPr="00926BEA">
        <w:rPr>
          <w:i/>
          <w:iCs/>
        </w:rPr>
        <w:t xml:space="preserve"> </w:t>
      </w:r>
      <w:r w:rsidRPr="00926BEA">
        <w:t xml:space="preserve">responsible for many untreatable human diseases. </w:t>
      </w:r>
      <w:r>
        <w:t xml:space="preserve">Our research group has studied the molecular pharmacology of antiviral small molecules targeting OSBP, especially the natural product compound OSW-1. </w:t>
      </w:r>
      <w:r w:rsidRPr="00926BEA">
        <w:t xml:space="preserve">We’ve identified that the OSW-1 compound is a potent inhibitor of enterovirus replication </w:t>
      </w:r>
      <w:r w:rsidRPr="00926BEA">
        <w:rPr>
          <w:i/>
          <w:iCs/>
        </w:rPr>
        <w:t>in vitro</w:t>
      </w:r>
      <w:r w:rsidRPr="00926BEA">
        <w:t xml:space="preserve"> through binding and degradation of the OSBP protein. </w:t>
      </w:r>
      <w:r>
        <w:t xml:space="preserve">We have shown that </w:t>
      </w:r>
      <w:r w:rsidRPr="00926BEA">
        <w:t>a short-term exposure (i.e., 1- 6 h) at a low dose (i.e., 1 nM) results in a long</w:t>
      </w:r>
      <w:r>
        <w:t>-</w:t>
      </w:r>
      <w:r w:rsidRPr="00926BEA">
        <w:t xml:space="preserve">term reduction of the OSBP protein for up to 72 hours with no changes in cellular viability, morphology, or proliferation, but correlates with the inhibition of viral replication. This multiday, multigeneration repression of the OSBP protein is independent of residual OSW-1 compound remaining in cell, nor is it caused by transcription inhibition, proteasome degradation, calpain activity, or autophagy. </w:t>
      </w:r>
      <w:r w:rsidR="00677FA1" w:rsidRPr="00926BEA">
        <w:t>This long-term reduction and repression of OSBP presents a new opportunity for broad spectrum anti-</w:t>
      </w:r>
      <w:r w:rsidR="00677FA1" w:rsidRPr="00926BEA">
        <w:rPr>
          <w:i/>
          <w:iCs/>
        </w:rPr>
        <w:t xml:space="preserve">Enterovirus </w:t>
      </w:r>
      <w:r w:rsidR="00677FA1" w:rsidRPr="00926BEA">
        <w:t xml:space="preserve">activity, and a new route for prophylactic treatment through targeting of a host protein. </w:t>
      </w:r>
      <w:r>
        <w:t xml:space="preserve">We have also studied the molecular pharmacology of other reported antiviral compounds that target OSBP, including the steroidal compound </w:t>
      </w:r>
      <w:r w:rsidRPr="00926BEA">
        <w:t>T-00127-HEV2 (THEV2)</w:t>
      </w:r>
      <w:r>
        <w:t xml:space="preserve">. I am co-author on both papers from our research group studying the molecular pharmacology of OSBP-targeting antiviral compounds, and my </w:t>
      </w:r>
      <w:r w:rsidR="00677FA1">
        <w:t xml:space="preserve">individual experimental research contributions to this overall published research project are reported here. </w:t>
      </w:r>
    </w:p>
    <w:p w14:paraId="2568DD02" w14:textId="77777777" w:rsidR="00455242" w:rsidRDefault="00455242" w:rsidP="00455242">
      <w:pPr>
        <w:pStyle w:val="Heading2"/>
        <w:spacing w:line="240" w:lineRule="auto"/>
        <w:contextualSpacing/>
        <w:jc w:val="both"/>
      </w:pPr>
    </w:p>
    <w:p w14:paraId="136D0558" w14:textId="17360A08" w:rsidR="00F74500" w:rsidRDefault="00F74500" w:rsidP="000849BF">
      <w:pPr>
        <w:pStyle w:val="Heading2"/>
        <w:spacing w:line="240" w:lineRule="auto"/>
        <w:contextualSpacing/>
        <w:jc w:val="both"/>
      </w:pPr>
      <w:bookmarkStart w:id="33" w:name="_Toc39868142"/>
      <w:r>
        <w:t>Allocation of Contribution</w:t>
      </w:r>
      <w:bookmarkEnd w:id="33"/>
    </w:p>
    <w:p w14:paraId="762FA86E" w14:textId="0DF0D8EA" w:rsidR="00926BEA" w:rsidRPr="00926BEA" w:rsidRDefault="009134FB" w:rsidP="000849BF">
      <w:pPr>
        <w:spacing w:line="240" w:lineRule="auto"/>
        <w:contextualSpacing/>
        <w:jc w:val="both"/>
      </w:pPr>
      <w:r>
        <w:tab/>
      </w:r>
      <w:r w:rsidR="00926BEA" w:rsidRPr="00926BEA">
        <w:t xml:space="preserve">This chapter is a partial recapitulation </w:t>
      </w:r>
      <w:r w:rsidR="00677FA1">
        <w:t>results from two</w:t>
      </w:r>
      <w:r w:rsidR="00926BEA" w:rsidRPr="00926BEA">
        <w:t xml:space="preserve"> published article</w:t>
      </w:r>
      <w:r w:rsidR="00677FA1">
        <w:t xml:space="preserve">s: the 2018 </w:t>
      </w:r>
      <w:r w:rsidR="00926BEA" w:rsidRPr="00926BEA">
        <w:rPr>
          <w:i/>
          <w:iCs/>
        </w:rPr>
        <w:t>ACS Chemical Biology</w:t>
      </w:r>
      <w:r w:rsidR="00677FA1">
        <w:rPr>
          <w:i/>
          <w:iCs/>
        </w:rPr>
        <w:t xml:space="preserve"> </w:t>
      </w:r>
      <w:r w:rsidR="00677FA1">
        <w:t>paper</w:t>
      </w:r>
      <w:r w:rsidR="00926BEA" w:rsidRPr="00926BEA">
        <w:fldChar w:fldCharType="begin" w:fldLock="1"/>
      </w:r>
      <w:r w:rsidR="006B01D5">
        <w:instrText>ADDIN CSL_CITATION { "citationItems" : [ { "id" : "ITEM-1", "itemData" : { "DOI" : "10.1021/acschembio.8b00984", "ISSN" : "1554-8929",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 "given" : "Anh T.", "non-dropping-particle" : "", "parse-names" : false, "suffix" : "" }, { "dropping-particle" : "", "family" : "Kothapalli", "given" : "Naga Rama", "non-dropping-particle" : "", "parse-names" : false, "suffix" : "" }, { "dropping-particle" : "", "family" : "Nu\u00f1ez", "given" : "Juan I.", "non-dropping-particle" : "", "parse-names" : false, "suffix" : "" }, { "dropping-particle" : "", "family" : "Ma", "given" : "Hongyan", "non-dropping-particle" : "", "parse-names" : false, "suffix" : "" }, { "dropping-particle" : "", "family" : "Wu", "given" : "Si", "non-dropping-particle" : "", "parse-names" : false, "suffix" : "" }, { "dropping-particle" : "", "family" : "Standke", "given" : "Shawna J.", "non-dropping-particle" : "", "parse-names" : false, "suffix" : "" }, { "dropping-particle" : "", "family" : "Yang", "given" : "Zhibo",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 G.", "non-dropping-particle" : "", "parse-names" : false, "suffix" : "" } ], "container-title" : "ACS Chemical Biology", "id" : "ITEM-1", "issue" : "2", "issued" : { "date-parts" : [ [ "2019", "2", "15" ] ] }, "page" : "276-287", "title" : "Transient Compound Treatment Induces a Multigenerational Reduction of Oxysterol-Binding Protein (OSBP) Levels and Prophylactic Antiviral Activity", "type" : "article-journal", "volume" : "14" }, "uris" : [ "http://www.mendeley.com/documents/?uuid=ba479cf7-d3d6-400b-87e0-437e193e43f0" ] } ], "mendeley" : { "formattedCitation" : "&lt;sup&gt;90&lt;/sup&gt;", "plainTextFormattedCitation" : "90", "previouslyFormattedCitation" : "&lt;sup&gt;90&lt;/sup&gt;" }, "properties" : { "noteIndex" : 0 }, "schema" : "https://github.com/citation-style-language/schema/raw/master/csl-citation.json" }</w:instrText>
      </w:r>
      <w:r w:rsidR="00926BEA" w:rsidRPr="00926BEA">
        <w:fldChar w:fldCharType="separate"/>
      </w:r>
      <w:r w:rsidR="006B01D5" w:rsidRPr="006B01D5">
        <w:rPr>
          <w:noProof/>
          <w:vertAlign w:val="superscript"/>
        </w:rPr>
        <w:t>90</w:t>
      </w:r>
      <w:r w:rsidR="00926BEA" w:rsidRPr="00926BEA">
        <w:fldChar w:fldCharType="end"/>
      </w:r>
      <w:r w:rsidR="00926BEA" w:rsidRPr="00926BEA">
        <w:t xml:space="preserve"> </w:t>
      </w:r>
      <w:r w:rsidR="00677FA1">
        <w:t xml:space="preserve">and the 2019 </w:t>
      </w:r>
      <w:r w:rsidR="00677FA1" w:rsidRPr="00A2584C">
        <w:rPr>
          <w:i/>
          <w:iCs/>
        </w:rPr>
        <w:t>Antiviral Research</w:t>
      </w:r>
      <w:r w:rsidR="00677FA1">
        <w:t xml:space="preserve"> paper.</w:t>
      </w:r>
      <w:r w:rsidR="0003342C">
        <w:fldChar w:fldCharType="begin" w:fldLock="1"/>
      </w:r>
      <w:r w:rsidR="00C62A07">
        <w:instrText>ADDIN CSL_CITATION { "citationItems" : [ { "id" : "ITEM-1", "itemData" : { "DOI" : "10.1016/j.antiviral.2019.104548", "ISSN" : "18729096", "abstract" : "Oxysterol-binding Protein (OSBP) is a human lipid-transport protein required for the cellular replication of many types of viruses, including several human pathogens. The structurally-diverse small molecule compounds OSW-1, itraconazole (ITZ), T-00127-HEV2 (THEV) and TTP-8307 (TTP) inhibit viral replication through interaction with the OSBP protein. The OSW-1 compound reduces intracellular OSBP, and the reduction of OSBP protein levels persists multiple days after the OSW-1-compound treatment is stopped. The OSW-1-induced reduction of OSBP levels inhibited Enterovirus replication prophylactically in cells. In this report, the OSBP-interacting compounds ITZ, THEV, and TTP are shown not to reduce OSBP levels in cells, unlike the OSW-1-compound, and the OSW-1 compound is determined to be the only compound capable of providing prophylactic antiviral activity in cells. Furthermore, OSW-1 and THEV inhibit the binding of 25-hydroxycholesterol (25-OHC) to OSBP indicating that these compounds bind at the conserved sterol ligand binding site. The ITZ and TTP compounds do not inhibit 25-hydroxycholesterol binding to OSBP, and therefore ITZ and TTP interact with OSBP through other, unidentified binding sites. Co-administration of the THEV compound partially blocks the cellular activity of OSW-1, including the reduction of cellular OSBP protein levels; co-administration of the ITZ and TTP compounds have minimal effect on OSW-1 cellular activity further supporting different modes of interaction with these compounds to OSBP. OSW-1, ITZ, THEV, and TTP treatment alter OSBP cellular localization and levels, but in four distinct ways. Co-administration of OSW-1 and ITZ induced OSBP cellular localization patterns with features similar to the effects of ITZ and OSW-1 treatment alone. Based on these results, OSBP is capable of interacting with multiple structural classes of antiviral small molecule compounds at different binding sites, and the different compounds have distinct effects on OSBP cellular activity.",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"Le-McClain", "given" : "Anh T.", "non-dropping-particle" : "", "parse-names" : false, "suffix" : "" }, { "dropping-particle" : "", "family" : "Malinky", "given" : "Cori A.", "non-dropping-particle" : "", "parse-names" : false, "suffix" : "" }, { "dropping-particle" : "", "family" : "Mettenbrink", "given" : "Evan M.", "non-dropping-particle" : "", "parse-names" : false, "suffix" : "" }, { "dropping-particle" : "", "family" : "Nu\u00f1ez", "given" : "Juan I.",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W.G.", "non-dropping-particle" : "", "parse-names" : false, "suffix" : "" } ], "container-title" : "Antiviral Research", "id" : "ITEM-1", "issued" : { "date-parts" : [ [ "2019", "10", "1" ] ] }, "publisher" : "Elsevier B.V.", "title" : "Differing activities of oxysterol-binding protein (OSBP) targeting anti-viral compounds", "type" : "article-journal", "volume" : "170" }, "uris" : [ "http://www.mendeley.com/documents/?uuid=eaf8bcf4-c68b-45ab-9314-257d6f3804cc" ] } ], "mendeley" : { "formattedCitation" : "&lt;sup&gt;45&lt;/sup&gt;", "plainTextFormattedCitation" : "45", "previouslyFormattedCitation" : "&lt;sup&gt;45&lt;/sup&gt;" }, "properties" : { "noteIndex" : 0 }, "schema" : "https://github.com/citation-style-language/schema/raw/master/csl-citation.json" }</w:instrText>
      </w:r>
      <w:r w:rsidR="0003342C">
        <w:fldChar w:fldCharType="separate"/>
      </w:r>
      <w:r w:rsidR="0003342C" w:rsidRPr="0003342C">
        <w:rPr>
          <w:noProof/>
          <w:vertAlign w:val="superscript"/>
        </w:rPr>
        <w:t>45</w:t>
      </w:r>
      <w:r w:rsidR="0003342C">
        <w:fldChar w:fldCharType="end"/>
      </w:r>
      <w:r w:rsidR="00677FA1">
        <w:t xml:space="preserve"> </w:t>
      </w:r>
      <w:r w:rsidR="00926BEA" w:rsidRPr="00926BEA">
        <w:t>The published article</w:t>
      </w:r>
      <w:r w:rsidR="00D57F06">
        <w:t>s</w:t>
      </w:r>
      <w:r w:rsidR="00926BEA" w:rsidRPr="00926BEA">
        <w:t xml:space="preserve"> was created from a group effort and has many co-authors, the major contributors were myself, Dr. Brett Roberts, and Mr. Zachary Severance. In this dissertation chapter, I have included only results from this paper that I produced, with the exception of the antiviral experiments (</w:t>
      </w:r>
      <w:r w:rsidR="00926BEA" w:rsidRPr="00926BEA">
        <w:rPr>
          <w:b/>
          <w:bCs/>
        </w:rPr>
        <w:t>Figure 13</w:t>
      </w:r>
      <w:r w:rsidR="00926BEA" w:rsidRPr="00926BEA">
        <w:t>), which were produced by our molecular virology collaborator Prof. Earl Blewett at Oklahoma State University Center of Health Sciences. The binding experiments (</w:t>
      </w:r>
      <w:r w:rsidR="00926BEA" w:rsidRPr="00926BEA">
        <w:rPr>
          <w:b/>
          <w:bCs/>
        </w:rPr>
        <w:t>Figure 4</w:t>
      </w:r>
      <w:r w:rsidR="00373C60">
        <w:rPr>
          <w:b/>
          <w:bCs/>
        </w:rPr>
        <w:t>, Figure 11</w:t>
      </w:r>
      <w:r w:rsidR="00926BEA" w:rsidRPr="00926BEA">
        <w:t>) were jointly performed between myself and Mr. Zachary Severance. Furthermore, all mass spectrometry data acquisition was conducted through our established collaboration with the research group of Prof. Zhibo Yang lab at the University of Oklahoma. I worked with Dr. Shawna Standke, a graduate student in the Yang lab</w:t>
      </w:r>
      <w:r w:rsidR="003C0825">
        <w:t>,</w:t>
      </w:r>
      <w:r w:rsidR="00926BEA" w:rsidRPr="00926BEA">
        <w:t xml:space="preserve"> to produce the mass spectroscopy results in </w:t>
      </w:r>
      <w:r w:rsidR="00926BEA" w:rsidRPr="00926BEA">
        <w:rPr>
          <w:b/>
          <w:bCs/>
        </w:rPr>
        <w:fldChar w:fldCharType="begin"/>
      </w:r>
      <w:r w:rsidR="00926BEA" w:rsidRPr="00926BEA">
        <w:rPr>
          <w:b/>
          <w:bCs/>
        </w:rPr>
        <w:instrText xml:space="preserve"> REF _Ref33174679 \h  \* MERGEFORMAT </w:instrText>
      </w:r>
      <w:r w:rsidR="00926BEA" w:rsidRPr="00926BEA">
        <w:rPr>
          <w:b/>
          <w:bCs/>
        </w:rPr>
      </w:r>
      <w:r w:rsidR="00926BEA" w:rsidRPr="00926BEA">
        <w:rPr>
          <w:b/>
          <w:bCs/>
        </w:rPr>
        <w:fldChar w:fldCharType="separate"/>
      </w:r>
      <w:r w:rsidR="00926BEA" w:rsidRPr="00926BEA">
        <w:rPr>
          <w:b/>
          <w:bCs/>
        </w:rPr>
        <w:t>Figure 6</w:t>
      </w:r>
      <w:r w:rsidR="00926BEA" w:rsidRPr="00926BEA">
        <w:fldChar w:fldCharType="end"/>
      </w:r>
      <w:r w:rsidR="00926BEA" w:rsidRPr="00926BEA">
        <w:rPr>
          <w:b/>
          <w:bCs/>
        </w:rPr>
        <w:t xml:space="preserve">, </w:t>
      </w:r>
      <w:r w:rsidR="00926BEA" w:rsidRPr="00926BEA">
        <w:rPr>
          <w:b/>
          <w:bCs/>
        </w:rPr>
        <w:fldChar w:fldCharType="begin"/>
      </w:r>
      <w:r w:rsidR="00926BEA" w:rsidRPr="00926BEA">
        <w:rPr>
          <w:b/>
          <w:bCs/>
        </w:rPr>
        <w:instrText xml:space="preserve"> REF _Ref33174682 \h  \* MERGEFORMAT </w:instrText>
      </w:r>
      <w:r w:rsidR="00926BEA" w:rsidRPr="00926BEA">
        <w:rPr>
          <w:b/>
          <w:bCs/>
        </w:rPr>
      </w:r>
      <w:r w:rsidR="00926BEA" w:rsidRPr="00926BEA">
        <w:rPr>
          <w:b/>
          <w:bCs/>
        </w:rPr>
        <w:fldChar w:fldCharType="separate"/>
      </w:r>
      <w:r w:rsidR="00926BEA" w:rsidRPr="00926BEA">
        <w:rPr>
          <w:b/>
          <w:bCs/>
        </w:rPr>
        <w:t>Figure 7</w:t>
      </w:r>
      <w:r w:rsidR="00926BEA" w:rsidRPr="00926BEA">
        <w:fldChar w:fldCharType="end"/>
      </w:r>
      <w:r w:rsidR="00926BEA" w:rsidRPr="00926BEA">
        <w:t>,</w:t>
      </w:r>
      <w:r w:rsidR="00926BEA" w:rsidRPr="00926BEA">
        <w:rPr>
          <w:b/>
          <w:bCs/>
        </w:rPr>
        <w:t xml:space="preserve"> </w:t>
      </w:r>
      <w:r w:rsidR="00926BEA" w:rsidRPr="00926BEA">
        <w:rPr>
          <w:b/>
          <w:bCs/>
        </w:rPr>
        <w:fldChar w:fldCharType="begin"/>
      </w:r>
      <w:r w:rsidR="00926BEA" w:rsidRPr="00926BEA">
        <w:rPr>
          <w:b/>
          <w:bCs/>
        </w:rPr>
        <w:instrText xml:space="preserve"> REF _Ref33174684 \h  \* MERGEFORMAT </w:instrText>
      </w:r>
      <w:r w:rsidR="00926BEA" w:rsidRPr="00926BEA">
        <w:rPr>
          <w:b/>
          <w:bCs/>
        </w:rPr>
      </w:r>
      <w:r w:rsidR="00926BEA" w:rsidRPr="00926BEA">
        <w:rPr>
          <w:b/>
          <w:bCs/>
        </w:rPr>
        <w:fldChar w:fldCharType="separate"/>
      </w:r>
      <w:r w:rsidR="00926BEA" w:rsidRPr="00926BEA">
        <w:rPr>
          <w:b/>
          <w:bCs/>
        </w:rPr>
        <w:t>Figure 8</w:t>
      </w:r>
      <w:r w:rsidR="00926BEA" w:rsidRPr="00926BEA">
        <w:fldChar w:fldCharType="end"/>
      </w:r>
      <w:r w:rsidR="00926BEA" w:rsidRPr="00926BEA">
        <w:t>,</w:t>
      </w:r>
      <w:r w:rsidR="00926BEA" w:rsidRPr="00926BEA">
        <w:rPr>
          <w:b/>
          <w:bCs/>
        </w:rPr>
        <w:t xml:space="preserve"> </w:t>
      </w:r>
      <w:r w:rsidR="00926BEA" w:rsidRPr="00926BEA">
        <w:t xml:space="preserve">and </w:t>
      </w:r>
      <w:r w:rsidR="00926BEA" w:rsidRPr="00926BEA">
        <w:rPr>
          <w:b/>
          <w:bCs/>
        </w:rPr>
        <w:fldChar w:fldCharType="begin"/>
      </w:r>
      <w:r w:rsidR="00926BEA" w:rsidRPr="00926BEA">
        <w:rPr>
          <w:b/>
          <w:bCs/>
        </w:rPr>
        <w:instrText xml:space="preserve"> REF _Ref33174688 \h  \* MERGEFORMAT </w:instrText>
      </w:r>
      <w:r w:rsidR="00926BEA" w:rsidRPr="00926BEA">
        <w:rPr>
          <w:b/>
          <w:bCs/>
        </w:rPr>
      </w:r>
      <w:r w:rsidR="00926BEA" w:rsidRPr="00926BEA">
        <w:rPr>
          <w:b/>
          <w:bCs/>
        </w:rPr>
        <w:fldChar w:fldCharType="separate"/>
      </w:r>
      <w:r w:rsidR="00926BEA" w:rsidRPr="00926BEA">
        <w:rPr>
          <w:b/>
          <w:bCs/>
        </w:rPr>
        <w:t>Figure 9</w:t>
      </w:r>
      <w:r w:rsidR="00926BEA" w:rsidRPr="00926BEA">
        <w:fldChar w:fldCharType="end"/>
      </w:r>
      <w:r w:rsidR="00926BEA" w:rsidRPr="00926BEA">
        <w:t xml:space="preserve">. The mass spectroscopy studies used the deuterated version of the OSW-1 compound produced by Dr. Anh Le-McClain in our research group. </w:t>
      </w:r>
    </w:p>
    <w:p w14:paraId="2BD3E514" w14:textId="0158AEF0" w:rsidR="001221B3" w:rsidRPr="001221B3" w:rsidRDefault="001221B3" w:rsidP="00926BEA">
      <w:pPr>
        <w:jc w:val="both"/>
      </w:pPr>
    </w:p>
    <w:p w14:paraId="3C0D81A0" w14:textId="3A4D2F5C" w:rsidR="00F74500" w:rsidRDefault="00F74500" w:rsidP="00926BEA">
      <w:pPr>
        <w:pStyle w:val="Heading2"/>
        <w:jc w:val="both"/>
      </w:pPr>
      <w:bookmarkStart w:id="34" w:name="_Toc39868143"/>
      <w:r>
        <w:lastRenderedPageBreak/>
        <w:t>2.</w:t>
      </w:r>
      <w:r w:rsidR="00D57F06">
        <w:t>1</w:t>
      </w:r>
      <w:r>
        <w:t xml:space="preserve"> </w:t>
      </w:r>
      <w:r w:rsidR="00960058">
        <w:t>Introduction</w:t>
      </w:r>
      <w:bookmarkEnd w:id="34"/>
    </w:p>
    <w:p w14:paraId="3573F501" w14:textId="0F0B5212" w:rsidR="00926BEA" w:rsidRPr="00926BEA" w:rsidRDefault="00926BEA" w:rsidP="000849BF">
      <w:pPr>
        <w:ind w:firstLine="720"/>
        <w:jc w:val="both"/>
      </w:pPr>
      <w:r w:rsidRPr="00926BEA">
        <w:t xml:space="preserve">OSBP is a required non-enzymatic host protein for the broad replication of  the </w:t>
      </w:r>
      <w:r w:rsidRPr="00926BEA">
        <w:rPr>
          <w:i/>
          <w:iCs/>
        </w:rPr>
        <w:t>Enterovirus</w:t>
      </w:r>
      <w:r w:rsidRPr="00926BEA">
        <w:t xml:space="preserve"> genus of virus responsible for many untreatable illnesses including: the common cold, acute respiratory infections, pneumonias, myocardial infections, hand, foot, and mouth disease, acute hemorrhagic conjunctivitis, and the paralytic condition acute flaccid myelitis.</w:t>
      </w:r>
      <w:r w:rsidRPr="00926BEA">
        <w:fldChar w:fldCharType="begin" w:fldLock="1"/>
      </w:r>
      <w:r w:rsidR="006B01D5">
        <w:instrText>ADDIN CSL_CITATION { "citationItems" : [ { "id" : "ITEM-1", "itemData" : { "DOI" : "10.1016/j.meegid.2012.10.016", "ISSN" : "15671348", "abstract" : "Members of the Picornaviridae family are non-enveloped, positive-stranded RNA viruses with a 30. nm icosahedral capsid. This virus family exhibits a considerable amount of genetic variability driven both by mutation and recombination. Recently, three previously unknown human picornaviruses, namely the human Saffold cardiovirus, cosavirus and salivirus, have been identified in stools or respiratory samples from subjects presenting symptoms ranging from gastroenteritis to acute flaccid paralysis. However, these viruses were also frequently detected in asymptomatic subjects and their clinical relevance remains to be elucidated. The Enterovirus genus is a prototype example of the Picornaviridae heterogeneity at both genetic and phenotypic levels. This genus is divided into 10 species, seven of which contain human viruses, including three Rhinovirus species. Both human rhino- and enteroviruses are also characterized by high levels of genetic variability, as exemplified by the existence of over 250 different serotypes and the recent discovery of new enterovirus genotypes and the Rhinovirus C species. Despite their common genomic features, rhinoviruses are restricted to the respiratory tract, whereas the vast majority of enteroviruses infect the gastrointestinal tract and can spread to other organs, such as the heart or the central nervous system. Understanding the genetic determinants of such phenotypic diversity is an important challenge and a field for future investigation. Better characterization of these ubiquitous human pathogens may help to develop vaccines or antiviral treatments and to monitor the emergence of new strains. \u00a9 2012 Elsevier B.V.", "author" : [ { "dropping-particle" : "", "family" : "Tapparel", "given" : "Caroline", "non-dropping-particle" : "", "parse-names" : false, "suffix" : "" }, { "dropping-particle" : "", "family" : "Siegrist", "given" : "Fredy", "non-dropping-particle" : "", "parse-names" : false, "suffix" : "" }, { "dropping-particle" : "", "family" : "Petty", "given" : "Tom J.", "non-dropping-particle" : "", "parse-names" : false, "suffix" : "" }, { "dropping-particle" : "", "family" : "Kaiser", "given" : "Laurent", "non-dropping-particle" : "", "parse-names" : false, "suffix" : "" } ], "container-title" : "Infection, Genetics and Evolution", "id" : "ITEM-1", "issue" : "1", "issued" : { "date-parts" : [ [ "2013", "3" ] ] }, "page" : "282-293", "title" : "Picornavirus and enterovirus diversity with associated human diseases", "type" : "article", "volume" : "14" }, "uris" : [ "http://www.mendeley.com/documents/?uuid=477712a1-0eed-3c51-98e2-46a4bf80aa6a" ] }, { "id" : "ITEM-2", "itemData" : { "DOI" : "10.1097/MOP.0000000000000303", "ISSN" : "1531698X", "abstract" : "Purpose of review Enteroviruses cause a wide variety of diseases with neurologic, respiratory, skin, and gastrointestinal findings. The purpose of this review is to clarify changes in the classification of enteroviruses, provide information about recent disease outbreaks, and to summarize progress toward the treatment and prevention of these infections. Recent findings Enteroviruses are now classified into four distinct species. New variants of coxsackievirus B1, enterovirus-A71, and enterovirus-D68 (EV-D68) have emerged as causes of recent outbreaks in the United States and other countries, including more severe disease manifestations than previously described. EV-D68 now commonly circulates in the United States, and has been linked to severe respiratory disease and associated with acute flaccid myelitis (AFM). Overcoming enormous political and logistical challenges, fewer than 100 cases of polio have been reported in 2015, and the initiation of 'endgame' strategies appears imminent. Unfortunately, treatment for enterovirus infections remains supportive, although the recently completed pleconaril trial in newborns suggests that antiviral therapy may reduce mortality in neonatal disease. Summary Clinicians should be aware of the respiratory and neurological manifestations associated with EV-D68 and the potential for severe disease seen with other recently described enterovirus variants. Healthcare professionals should recognize the utility of rapid diagnostic methods and progress toward prevention and treatment of enterovirus infections.", "author" : [ { "dropping-particle" : "", "family" : "Lugo", "given" : "Debra", "non-dropping-particle" : "", "parse-names" : false, "suffix" : "" }, { "dropping-particle" : "", "family" : "Krogstad", "given" : "Paul", "non-dropping-particle" : "", "parse-names" : false, "suffix" : "" } ], "container-title" : "Current Opinion in Pediatrics", "id" : "ITEM-2", "issue" : "1", "issued" : { "date-parts" : [ [ "2016", "2", "1" ] ] }, "page" : "107-113", "publisher" : "Lippincott Williams and Wilkins", "title" : "Enteroviruses in the early 21st century: New manifestations and challenges", "type" : "article", "volume" : "28" }, "uris" : [ "http://www.mendeley.com/documents/?uuid=6a3f53f5-5b3d-3cf2-9124-4aabf32d317f" ] }, { "id" : "ITEM-3", "itemData" : { "DOI" : "10.1016/j.jinf.2013.09.020", "ISSN" : "15322742", "abstract" : "Specific antiviral therapy is currently not available for enterovirus (EV) infections. Poliomyelitis, EV 71 neurologic disease, and neonatal EV disease are three manifestations of EV infections that exemplify the importance of developing antivirals for EV infections. Despite tremendous strides in the effort to eradicate polio through vaccination, challenges remain, including the potential for transmission of neurovirulent vaccine-derived polioviruses which have genetically reverted from live-attenuated, oral poliovirus vaccine virus. EV 71 emerged in the late 1990s in eastern Asia as a neurovirulent virus that causes large outbreaks of hand-foot-mouth disease, herpangina, and fever, and, in some children, meningitis, acute flaccid paralysis, and brainstem encephalitis complicated by pulmonary edema and cardiopulmonary collapse. EV infections in neonates can cause severe disease characterized by meningoencephalitis, myocarditis, pneumonitis, and/or hepatitis and coagulopathy. Prototypic agents for specific therapy of EV infections that act upon numerous potential viral targets exist. Three candidate compounds are currently in development: pleconaril (active against many EVs), V-073 (anti-poliovirus), and BTA-798 (active against many rhinoviruses and EVs). The three conditions described illustrate why development of antiviral medications for EV infections is a medically important need. \u00a9 2013 The British Infection Association.", "author" : [ { "dropping-particle" : "", "family" : "Abzug", "given" : "Mark J.", "non-dropping-particle" : "", "parse-names" : false, "suffix" : "" } ], "container-title" : "Journal of Infection", "id" : "ITEM-3", "issue" : "SUPPL1", "issued" : { "date-parts" : [ [ "2014", "1", "1" ] ] }, "page" : "S108-14", "publisher" : "W.B. Saunders Ltd", "title" : "The enteroviruses: Problems in need of treatments", "type" : "article-journal", "volume" : "68" }, "uris" : [ "http://www.mendeley.com/documents/?uuid=d0d637ae-3fca-3096-9807-42b6ac8b5fd3" ] }, { "id" : "ITEM-4", "itemData" : { "DOI" : "10.1371/journal.ppat.1006199", "ISSN" : "15537374", "abstract" : "In 2014, the United States experienced an epidemic of acute flaccid myelitis (AFM) cases in children coincident with a nationwide outbreak of enterovirus D68 (EV-D68) respiratory disease. Up to half of the 2014 AFM patients had EV-D68 RNA detected by RT-PCR in their respiratory secretions, although EV-D68 was only detected in cerebrospinal fluid (CSF) from one 2014 AFM patient. Given previously described molecular and epidemiologic associations between EV-D68 and AFM, we sought to develop an animal model by screening seven EV-D68 strains for the ability to induce neurological disease in neonatal mice. We found that four EV-D68 strains from the 2014 outbreak (out of five tested) produced a paralytic disease in mice resembling human AFM. The remaining 2014 strain, as well as 1962 prototype EV-D68 strains Fermon and Rhyne, did not produce, or rarely produced, paralysis in mice. In-depth examination of the paralysis caused by a representative 2014 strain, MO/14-18947, revealed infectious virus, virion particles, and viral genome in the spinal cords of paralyzed mice. Paralysis was elicited in mice following intramuscular, intracerebral, intraperitoneal, and intranasal infection, in descending frequency, and was associated with infection and loss of motor neurons in the anterior horns of spinal cord segments corresponding to paralyzed limbs. Virus isolated from spinal cords of infected mice transmitted disease when injected into na\u00efve mice, fulfilling Koch\u2019s postulates in this model. Finally, we found that EV-D68 immune sera, but not normal mouse sera, protected mice from development of paralysis and death when administered prior to viral challenge. These studies establish an experimental model to study EV-D68-induced myelitis and to better understand disease pathogenesis and develop potential therapies.", "author" : [ { "dropping-particle" : "", "family" : "Hixon", "given" : "Alison M.", "non-dropping-particle" : "", "parse-names" : false, "suffix" : "" }, { "dropping-particle" : "", "family" : "Yu", "given" : "Guixia", "non-dropping-particle" : "", "parse-names" : false, "suffix" : "" }, { "dropping-particle" : "", "family" : "Leser", "given" : "J. Smith", "non-dropping-particle" : "", "parse-names" : false, "suffix" : "" }, { "dropping-particle" : "", "family" : "Yagi", "given" : "Shigeo", "non-dropping-particle" : "", "parse-names" : false, "suffix" : "" }, { "dropping-particle" : "", "family" : "Clarke", "given" : "Penny", "non-dropping-particle" : "", "parse-names" : false, "suffix" : "" }, { "dropping-particle" : "", "family" : "Chiu", "given" : "Charles Y.", "non-dropping-particle" : "", "parse-names" : false, "suffix" : "" }, { "dropping-particle" : "", "family" : "Tyler", "given" : "Kenneth L.", "non-dropping-particle" : "", "parse-names" : false, "suffix" : "" } ], "container-title" : "PLoS Pathogens", "id" : "ITEM-4", "issue" : "2", "issued" : { "date-parts" : [ [ "2017", "2", "1" ] ] }, "page" : "e1006199", "publisher" : "Public Library of Science", "title" : "A mouse model of paralytic myelitis caused by enterovirus D68", "type" : "article-journal", "volume" : "13" }, "uris" : [ "http://www.mendeley.com/documents/?uuid=e01fd717-8ac6-3d25-ab9f-f91993e9d108" ] } ], "mendeley" : { "formattedCitation" : "&lt;sup&gt;91\u201394&lt;/sup&gt;", "plainTextFormattedCitation" : "91\u201394", "previouslyFormattedCitation" : "&lt;sup&gt;91\u201394&lt;/sup&gt;" }, "properties" : { "noteIndex" : 0 }, "schema" : "https://github.com/citation-style-language/schema/raw/master/csl-citation.json" }</w:instrText>
      </w:r>
      <w:r w:rsidRPr="00926BEA">
        <w:fldChar w:fldCharType="separate"/>
      </w:r>
      <w:r w:rsidR="006B01D5" w:rsidRPr="006B01D5">
        <w:rPr>
          <w:noProof/>
          <w:vertAlign w:val="superscript"/>
        </w:rPr>
        <w:t>91–94</w:t>
      </w:r>
      <w:r w:rsidRPr="00926BEA">
        <w:fldChar w:fldCharType="end"/>
      </w:r>
      <w:r w:rsidRPr="00926BEA">
        <w:t xml:space="preserve"> In addition, OSBP is known to be essential for hepatitis C virus, encephalomyocarditis, dengue, and zika virus replication.</w:t>
      </w:r>
      <w:r w:rsidRPr="00926BEA">
        <w:fldChar w:fldCharType="begin" w:fldLock="1"/>
      </w:r>
      <w:r w:rsidR="006B01D5">
        <w:instrText>ADDIN CSL_CITATION { "citationItems" : [ { "id" : "ITEM-1", "itemData" : { "DOI" : "10.1074/jbc.M110.182097", "ISSN" : "00219258", "abstract" : "Hepatitis C virus (HCV) RNA replicates its genome on specialized endoplasmic reticulum modified membranes termed membranous web and utilizes lipid droplets for initiating the viral nucleocapsid assembly. HCV maturation and/or the egress pathway requires host sphingolipid synthesis, which occur in the Golgi. Ceramide transfer protein (CERT) and oxysterol-binding protein (OSBP) play a crucial role in sphingolipid biosynthesis. Protein kinase D (PKD), a serine/threonine kinase, is recruited to the trans-Golgi network where it influences vesicular trafficking to the plasma membrane by regulation of several important mediators via phosphorylation. PKD attenuates the function of both CERT and OSBP by phosphorylation at their respective Ser132 and Ser240 residues (phosphorylation inhibition). Here, we investigated the functional role of PKD in HCV secretion. Our studies show that HCV gene expression downregulated PKD activation. PKD depletion by shRNA or inhibition by pharmacological inhibitor G\u00f66976 enhanced HCV secretion. Overexpression of a constitutively active form of PKD suppressed HCV secretion. The suppression by PKD was subverted by the ectopic expression of nonphosphorylatable serine mutant CERT S 132A or OSBP S240A. These observations imply that PKD negatively regulates HCV secretion/release by attenuating OSBP and CERT functions by phosphorylation inhibition. This study identifies the key role of the Golgi components in the HCV maturation process. \u00a9 2011 by The American Society for Biochemistry and Molecular Biology, Inc.", "author" : [ { "dropping-particle" : "", "family" : "Amako", "given" : "Yutaka", "non-dropping-particle" : "", "parse-names" : false, "suffix" : "" }, { "dropping-particle" : "", "family" : "Syed", "given" : "Gulam H.", "non-dropping-particle" : "", "parse-names" : false, "suffix" : "" }, { "dropping-particle" : "", "family" : "Siddiqui", "given" : "Aleem", "non-dropping-particle" : "", "parse-names" : false, "suffix" : "" } ], "container-title" : "Journal of Biological Chemistry", "id" : "ITEM-1", "issue" : "13", "issued" : { "date-parts" : [ [ "2011", "4", "1" ] ] }, "page" : "11265-11274", "title" : "Protein kinase D negatively regulates hepatitis C virus secretion through phosphorylation of oxysterol-binding protein and ceramide transfer protein", "type" : "article-journal", "volume" : "286" }, "uris" : [ "http://www.mendeley.com/documents/?uuid=72b3ab49-ccdc-3560-bbdb-fb6d0655b45b" ] }, { "id" : "ITEM-2", "itemData" : { "DOI" : "10.1016/j.antiviral.2017.01.008", "ISSN" : "18729096", "abstract" : "The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PI4KIII\u03b2-PI4P-OSBP pathway to direct cholesterol to replication organelles. Here, we uncover that TTP-8307, a known enterovirus replication inhibitor, acts through the PI4KIII\u03b2-PI4P-OSBP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 "author" : [ { "dropping-particle" : "", "family" : "Albulescu", "given" : "Lucian", "non-dropping-particle" : "", "parse-names" : false, "suffix" : "" }, { "dropping-particle" : "", "family" : "Bigay", "given" : "Jo\u00eblle", "non-dropping-particle" : "", "parse-names" : false, "suffix" : "" }, { "dropping-particle" : "", "family" : "Biswas", "given" : "Bishyajit", "non-dropping-particle" : "", "parse-names" : false, "suffix" : "" }, { "dropping-particle" : "", "family" : "Weber-Boyvat", "given" : "Marion", "non-dropping-particle" : "", "parse-names" : false, "suffix" : "" }, { "dropping-particle" : "", "family" : "Dorobantu", "given" : "Cristina M.", "non-dropping-particle" : "", "parse-names" : false, "suffix" : "" }, { "dropping-particle" : "", "family" : "Delang", "given" : "Leen", "non-dropping-particle" : "", "parse-names" : false, "suffix" : "" }, { "dropping-particle" : "", "family" : "Schaar", "given" : "Hilde M.", "non-dropping-particle" : "van der", "parse-names" : false, "suffix" : "" }, { "dropping-particle" : "", "family" : "Jung", "given" : "Young Sik", "non-dropping-particle" : "", "parse-names" : false, "suffix" : "" }, { "dropping-particle" : "", "family" : "Neyts", "given" : "Johan", "non-dropping-particle" : "", "parse-names" : false, "suffix" : "" }, { "dropping-particle" : "", "family" : "Olkkonen", "given" : "Vesa M.", "non-dropping-particle" : "", "parse-names" : false, "suffix" : "" }, { "dropping-particle" : "", "family" : "Kuppeveld", "given" : "Frank J.M.", "non-dropping-particle" : "van", "parse-names" : false, "suffix" : "" }, { "dropping-particle" : "", "family" : "Strating", "given" : "Jeroen R.P.M.", "non-dropping-particle" : "", "parse-names" : false, "suffix" : "" } ], "container-title" : "Antiviral Research", "id" : "ITEM-2", "issued" : { "date-parts" : [ [ "2017", "4", "1" ] ] }, "page" : "37-44", "publisher" : "Elsevier B.V.", "title" : "Uncovering oxysterol-binding protein (OSBP) as a target of the anti-enteroviral compound TTP-8307", "type" : "article-journal", "volume" : "140" }, "uris" : [ "http://www.mendeley.com/documents/?uuid=691e02eb-02f7-4512-b437-1ccb7c57007a" ] }, { "id" : "ITEM-3", "itemData" : { "DOI" : "10.1016/j.antiviral.2018.06.017", "ISSN" : "18729096", "abstract" : "Dengue virus (DENV) is associated with an estimated 390 million infections per year, occurring across approximately 100 countries in tropical and sub-tropical regions. To date, there are no antiviral drugs or specific therapies to treat DENV infection. Posaconazole and itraconazole are potent antifungal drugs that inhibit ergosterol biosynthesis in fungal cells, but also target a number of human proteins. Here, we show that itraconazole and posaconazole have antiviral activity against DENV. Posaconazole inhibited replication of multiple serotypes of DENV and the related flavivirus Zika virus, and reduced viral RNA replication, but not translation of the viral genome. We used a combination of knockdown and drug sensitization assays to define the molecular target of posaconazole that mediates its antiviral activity. We found that knockdown of oxysterol-binding protein (OSBP) inhibited DENV replication. Moreover, knockdown of OSBP, but not other known targets of posaconazole, enhanced the inhibitory effect of posaconazole. Our findings imply OSBP as a potential target for the development of antiviral compounds against DENV.", "author" : [ { "dropping-particle" : "", "family" : "Meutiawati", "given" : "Febrina", "non-dropping-particle" : "", "parse-names" : false, "suffix" : "" }, { "dropping-particle" : "", "family" : "Bezemer", "given" : "Bodine", "non-dropping-particle" : "", "parse-names" : false, "suffix" : "" }, { "dropping-particle" : "", "family" : "Strating", "given" : "Jeroen R.P.M.", "non-dropping-particle" : "", "parse-names" : false, "suffix" : "" }, { "dropping-particle" : "", "family" : "Overheul", "given" : "Gijs J.", "non-dropping-particle" : "", "parse-names" : false, "suffix" : "" }, { "dropping-particle" : "", "family" : "\u017dusinaite", "given" : "Eva", "non-dropping-particle" : "", "parse-names" : false, "suffix" : "" }, { "dropping-particle" : "", "family" : "Kuppeveld", "given" : "Frank J.M.", "non-dropping-particle" : "van", "parse-names" : false, "suffix" : "" }, { "dropping-particle" : "", "family" : "Cleef", "given" : "Koen W.R.", "non-dropping-particle" : "van", "parse-names" : false, "suffix" : "" }, { "dropping-particle" : "", "family" : "Rij", "given" : "Ronald P.", "non-dropping-particle" : "van", "parse-names" : false, "suffix" : "" } ], "container-title" : "Antiviral Research", "id" : "ITEM-3", "issued" : { "date-parts" : [ [ "2018", "9", "1" ] ] }, "page" : "68-79", "publisher" : "Elsevier B.V.", "title" : "Posaconazole inhibits dengue virus replication by targeting oxysterol-binding protein", "type" : "article-journal", "volume" : "157" }, "uris" : [ "http://www.mendeley.com/documents/?uuid=c8e03c14-fad4-3d72-9c0e-86c37a01540f" ] } ], "mendeley" : { "formattedCitation" : "&lt;sup&gt;48,95,96&lt;/sup&gt;", "plainTextFormattedCitation" : "48,95,96", "previouslyFormattedCitation" : "&lt;sup&gt;48,95,96&lt;/sup&gt;" }, "properties" : { "noteIndex" : 0 }, "schema" : "https://github.com/citation-style-language/schema/raw/master/csl-citation.json" }</w:instrText>
      </w:r>
      <w:r w:rsidRPr="00926BEA">
        <w:fldChar w:fldCharType="separate"/>
      </w:r>
      <w:r w:rsidR="006B01D5" w:rsidRPr="006B01D5">
        <w:rPr>
          <w:noProof/>
          <w:vertAlign w:val="superscript"/>
        </w:rPr>
        <w:t>48,95,96</w:t>
      </w:r>
      <w:r w:rsidRPr="00926BEA">
        <w:fldChar w:fldCharType="end"/>
      </w:r>
      <w:r w:rsidRPr="00926BEA">
        <w:t xml:space="preserve"> These viruses replicate in the cytosol of host cells through </w:t>
      </w:r>
      <w:r w:rsidR="00D57F06">
        <w:t xml:space="preserve">the </w:t>
      </w:r>
      <w:r w:rsidRPr="00926BEA">
        <w:t>hijacking of host proteins to produce replication organelles (RO).</w:t>
      </w:r>
      <w:r w:rsidR="00C62A07" w:rsidRPr="000849BF">
        <w:fldChar w:fldCharType="begin" w:fldLock="1"/>
      </w:r>
      <w:r w:rsidR="00C62A07">
        <w:instrText>ADDIN CSL_CITATION { "citationItems" : [ { "id" : "ITEM-1", "itemData" : { "DOI" : "10.1128/mbio.00951-19", "ISSN" : "2150-7511", "PMID" : "31186324", "abstract" : " Enterovirus genome replication occurs at virus-induced structures derived from cellular membranes and lipids. However, the origin of these replication organelles (ROs) remains uncertain. Ultrastructural evidence of the membrane donor is lacking, suggesting that the sites of its transition into ROs are rare or fleeting. To overcome this challenge, we combined live-cell imaging and serial block-face scanning electron microscopy of whole cells to capture emerging enterovirus ROs. The first foci of fluorescently labeled viral protein correlated with ROs connected to the endoplasmic reticulum (ER) and preceded the appearance of ROs stemming from the trans -Golgi network. Whole-cell data sets further revealed striking contact regions between ROs and lipid droplets that may represent a route for lipid shuttling to facilitate RO proliferation and genome replication. Our data provide direct evidence that enteroviruses use ER and then Golgi membranes to initiate RO formation, demonstrating the remarkable flexibility with which enteroviruses usurp cellular organelles.  IMPORTANCE Enteroviruses are causative agents of a range of human diseases. The replication of these viruses within cells relies on specialized membranous structures termed replication organelles (ROs) that form during infection but whose origin remains elusive. To capture the emergence of enterovirus ROs, we use correlative light and serial block-face scanning electron microscopy, a powerful method to pinpoint rare events in their whole-cell ultrastructural context. RO biogenesis was found to occur first at ER and then at Golgi membranes. Extensive contacts were found between early ROs and lipid droplets (LDs), which likely serve to provide LD-derived lipids required for replication. Together, these data establish the dual origin of enterovirus ROs and the chronology of their biogenesis at different supporting cellular membranes. ", "author" : [ { "dropping-particle" : "", "family" : "Melia", "given" : "Charlotte E.", "non-dropping-particle" : "", "parse-names" : false, "suffix" : "" }, { "dropping-particle" : "", "family" : "Peddie", "given" : "Christopher J.", "non-dropping-particle" : "", "parse-names" : false, "suffix" : "" }, { "dropping-particle" : "", "family" : "Jong", "given" : "Anja W. M.", "non-dropping-particle" : "de", "parse-names" : false, "suffix" : "" }, { "dropping-particle" : "", "family" : "Snijder", "given" : "Eric J.", "non-dropping-particle" : "", "parse-names" : false, "suffix" : "" }, { "dropping-particle" : "", "family" : "Collinson", "given" : "Lucy M.", "non-dropping-particle" : "", "parse-names" : false, "suffix" : "" }, { "dropping-particle" : "", "family" : "Koster", "given" : "Abraham J.", "non-dropping-particle" : "", "parse-names" : false, "suffix" : "" }, { "dropping-particle" : "", "family" : "Schaar", "given" : "Hilde M.", "non-dropping-particle" : "van der", "parse-names" : false, "suffix" : "" }, { "dropping-particle" : "", "family" : "Kuppeveld", "given" : "Frank J. M.", "non-dropping-particle" : "van", "parse-names" : false, "suffix" : "" }, { "dropping-particle" : "", "family" : "B\u00e1rcena", "given" : "Montserrat", "non-dropping-particle" : "", "parse-names" : false, "suffix" : "" } ], "container-title" : "mBio", "id" : "ITEM-1", "issue" : "3", "issued" : { "date-parts" : [ [ "2019", "6", "11" ] ] }, "publisher" : "American Society for Microbiology", "title" : "Origins of Enterovirus Replication Organelles Established by Whole-Cell Electron Microscopy", "type" : "article-journal", "volume" : "10" }, "uris" : [ "http://www.mendeley.com/documents/?uuid=a017521d-bceb-3047-bc31-547b6052cdc5" ] } ], "mendeley" : { "formattedCitation" : "&lt;sup&gt;97&lt;/sup&gt;", "plainTextFormattedCitation" : "97", "previouslyFormattedCitation" : "&lt;sup&gt;97&lt;/sup&gt;" }, "properties" : { "noteIndex" : 0 }, "schema" : "https://github.com/citation-style-language/schema/raw/master/csl-citation.json" }</w:instrText>
      </w:r>
      <w:r w:rsidR="00C62A07" w:rsidRPr="000849BF">
        <w:fldChar w:fldCharType="separate"/>
      </w:r>
      <w:r w:rsidR="00C62A07" w:rsidRPr="000849BF">
        <w:rPr>
          <w:noProof/>
          <w:vertAlign w:val="superscript"/>
        </w:rPr>
        <w:t>97</w:t>
      </w:r>
      <w:r w:rsidR="00C62A07" w:rsidRPr="000849BF">
        <w:fldChar w:fldCharType="end"/>
      </w:r>
      <w:r w:rsidRPr="00926BEA">
        <w:t xml:space="preserve"> RO are membrane bound structure made by stealing the membrane components of host ER and Gogi organelles.</w:t>
      </w:r>
      <w:r w:rsidRPr="00926BEA">
        <w:fldChar w:fldCharType="begin" w:fldLock="1"/>
      </w:r>
      <w:r w:rsidR="00C62A07">
        <w:instrText>ADDIN CSL_CITATION { "citationItems" : [ { "id" : "ITEM-1", "itemData" : { "DOI" : "10.1016/j.ceb.2017.02.005", "ISSN" : "18790410", "abstract" : "Positive-strand RNA (+RNA) viruses (e.g. poliovirus, hepatitis C virus, dengue virus, SARS-coronavirus) remodel cellular membranes to form so-called viral replication compartments (VRCs), which are the sites where viral RNA genome replication takes place. To induce VRC formation, these viruses extensively rewire lipid metabolism. Disparate viruses have many commonalities as well as disparities in their interactions with the host lipidome and accumulate specific sets of lipids (sterols, glycerophospholipids, sphingolipids) at their VRCs. Recent years have seen an upsurge in studies investigating the role of lipids in +RNA virus replication, in particular of sterols, and uncovered that membrane contact sites and lipid transfer proteins are hijacked by viruses and play pivotal roles in VRC formation.", "author" : [ { "dropping-particle" : "", "family" : "Strating", "given" : "Jeroen RPM", "non-dropping-particle" : "", "parse-names" : false, "suffix" : "" }, { "dropping-particle" : "", "family" : "Kuppeveld", "given" : "Frank JM", "non-dropping-particle" : "van", "parse-names" : false, "suffix" : "" } ], "container-title" : "Current Opinion in Cell Biology", "id" : "ITEM-1", "issued" : { "date-parts" : [ [ "2017", "8", "1" ] ] }, "page" : "24-33", "publisher" : "Elsevier Ltd", "title" : "Viral rewiring of cellular lipid metabolism to create membranous replication compartments", "type" : "article", "volume" : "47" }, "uris" : [ "http://www.mendeley.com/documents/?uuid=2a3616ab-814f-337f-9716-00f07027a26d" ] }, { "id" : "ITEM-2", "itemData" : { "DOI" : "10.1016/j.coviro.2012.09.006", "ISSN" : "18796257", "abstract" : "Positive-strand RNA [(+)RNA] viruses show a significant degree of conservation of their mechanisms of replication. The universal requirement of (+)RNA viruses for cellular membranes for genome replication, and the formation of membranous replication organelles with similar architecture, suggest that they target essential control mechanisms of membrane metabolism conserved among eukaryotes. Recently, significant progress has been made in understanding the role of key host factors and pathways that are hijacked for the development of replication organelles. In addition, electron tomography studies have shed new light on their ultrastructure. Collectively, these studies reveal an unexpected complexity of the spatial organization of the replication membranes and suggest that (+)RNA viruses actively change cellular membrane composition to build their replication organelles. \u00a9 2012 Elsevier B.V.", "author" : [ { "dropping-particle" : "", "family" : "Belov", "given" : "George A.", "non-dropping-particle" : "", "parse-names" : false, "suffix" : "" }, { "dropping-particle" : "", "family" : "Kuppeveld", "given" : "Frank Jm", "non-dropping-particle" : "Van", "parse-names" : false, "suffix" : "" } ], "container-title" : "Current Opinion in Virology", "id" : "ITEM-2", "issue" : "6", "issued" : { "date-parts" : [ [ "2012", "12" ] ] }, "page" : "740-747", "publisher" : "Elsevier B.V.", "title" : "(+)RNA viruses rewire cellular pathways to build replication organelles", "type" : "article", "volume" : "2" }, "uris" : [ "http://www.mendeley.com/documents/?uuid=e71c5f02-44b9-3617-a336-f14b8334a9b7" ] }, { "id" : "ITEM-3", "itemData" : { "DOI" : "10.1128/JVI.01820-06", "ISSN" : "0022-538X", "PMID" : "17079330", "abstract" : "Infection of cells with poliovirus induces a massive intracellular membrane reorganization to form vesicle-like structures where viral RNA replication occurs. The mechanism of membrane remodeling remains unknown, although some observations have implicated components of the cellular secretory and/or autophagy pathways. Recently, we showed that some members of the Arf family of small GTPases, which control secretory trafficking, became membrane-bound after the synthesis of poliovirus proteins in vitro and associated with newly formed membranous RNA replication complexes in infected cells. The recruitment of Arfs to specific target membranes is mediated by a group of guanine nucleotide exchange factors (GEFs) that recycle Arf from its inactive, GDP-bound state to an active GTP-bound form. Here we show that two different viral proteins independently recruit different Arf GEFs (GBF1 and BIG1/2) to the new structures that support virus replication. Intracellular Arf-GTP levels increase approximately 4-fold during poliovirus infection. The requirement for these GEFs explains the sensitivity of virus growth to brefeldin A, which can be rescued by the overexpression of GBF1. The recruitment of Arf to membranes via specific GEFs by poliovirus proteins provides an important clue toward identifying cellular pathways utilized by the virus to form its membranous replication complex.", "author" : [ { "dropping-particle" : "", "family" : "Belov", "given" : "George A", "non-dropping-particle" : "", "parse-names" : false, "suffix" : "" }, { "dropping-particle" : "", "family" : "Altan-Bonnet", "given" : "Nihal", "non-dropping-particle" : "", "parse-names" : false, "suffix" : "" }, { "dropping-particle" : "", "family" : "Kovtunovych", "given" : "Gennadiy", "non-dropping-particle" : "", "parse-names" : false, "suffix" : "" }, { "dropping-particle" : "", "family" : "Jackson", "given" : "Catherine L", "non-dropping-particle" : "", "parse-names" : false, "suffix" : "" }, { "dropping-particle" : "", "family" : "Lippincott-Schwartz", "given" : "Jennifer", "non-dropping-particle" : "", "parse-names" : false, "suffix" : "" }, { "dropping-particle" : "", "family" : "Ehrenfeld", "given" : "Ellie", "non-dropping-particle" : "", "parse-names" : false, "suffix" : "" } ], "container-title" : "Journal of virology", "id" : "ITEM-3", "issue" : "2", "issued" : { "date-parts" : [ [ "2007", "1" ] ] }, "page" : "558-67", "title" : "Hijacking components of the cellular secretory pathway for replication of poliovirus RNA.", "type" : "article-journal", "volume" : "81" }, "uris" : [ "http://www.mendeley.com/documents/?uuid=21a318d0-a0f4-3a8a-b3d1-605634b8e723" ] }, { "id" : "ITEM-4", "itemData" : { "DOI" : "10.1016/j.cell.2010.03.050", "ISSN" : "00928674", "abstract" : "Many RNA viruses remodel intracellular membranes to generate specialized sites for RNA replication. How membranes are remodeled and what properties make them conducive for replication are unknown. Here we show how RNA viruses can manipulate multiple components of the cellular secretory pathway to generate organelles specialized for replication that are distinct in protein and lipid composition from the host cell. Specific viral proteins modulate effector recruitment by Arf1 GTPase and its guanine nucleotide exchange factor GBF1, promoting preferential recruitment of phosphatidylinositol-4-kinase III\u03b2 (PI4KIII\u03b2) to membranes over coat proteins, yielding uncoated phosphatidylinositol-4-phosphate (PI4P) lipid-enriched organelles. The PI4P-rich lipid microenvironment is essential for both enteroviral and flaviviral RNA replication; PI4KIII\u03b2 inhibition interferes with this process; and enteroviral RNA polymerases specifically bind PI4P. These findings reveal how RNA viruses can selectively exploit specific elements of the host to form specialized organelles where cellular phosphoinositide lipids are key to regulating viral RNA replication. \u00a9 2010 Elsevier Inc.", "author" : [ { "dropping-particle" : "", "family" : "Hsu", "given" : "Nai Yun", "non-dropping-particle" : "", "parse-names" : false, "suffix" : "" }, { "dropping-particle" : "", "family" : "Ilnytska", "given" : "Olha", "non-dropping-particle" : "", "parse-names" : false, "suffix" : "" }, { "dropping-particle" : "", "family" : "Belov", "given" : "Georgiy", "non-dropping-particle" : "", "parse-names" : false, "suffix" : "" }, { "dropping-particle" : "", "family" : "Santiana", "given" : "Marianita", "non-dropping-particle" : "", "parse-names" : false, "suffix" : "" }, { "dropping-particle" : "", "family" : "Chen", "given" : "Ying Han", "non-dropping-particle" : "", "parse-names" : false, "suffix" : "" }, { "dropping-particle" : "", "family" : "Takvorian", "given" : "Peter M.", "non-dropping-particle" : "", "parse-names" : false, "suffix" : "" }, { "dropping-particle" : "", "family" : "Pau", "given" : "Cyrilla", "non-dropping-particle" : "", "parse-names" : false, "suffix" : "" }, { "dropping-particle" : "", "family" : "Schaar", "given" : "Hilde", "non-dropping-particle" : "van der", "parse-names" : false, "suffix" : "" }, { "dropping-particle" : "", "family" : "Kaushik-Basu", "given" : "Neerja", "non-dropping-particle" : "", "parse-names" : false, "suffix" : "" }, { "dropping-particle" : "", "family" : "Balla", "given" : "Tamas", "non-dropping-particle" : "", "parse-names" : false, "suffix" : "" }, { "dropping-particle" : "", "family" : "Cameron", "given" : "Craig E.", "non-dropping-particle" : "", "parse-names" : false, "suffix" : "" }, { "dropping-particle" : "", "family" : "Ehrenfeld", "given" : "Ellie", "non-dropping-particle" : "", "parse-names" : false, "suffix" : "" }, { "dropping-particle" : "", "family" : "Kuppeveld", "given" : "Frank J.M.", "non-dropping-particle" : "van", "parse-names" : false, "suffix" : "" }, { "dropping-particle" : "", "family" : "Altan-Bonnet", "given" : "Nihal", "non-dropping-particle" : "", "parse-names" : false, "suffix" : "" } ], "container-title" : "Cell", "id" : "ITEM-4", "issue" : "5", "issued" : { "date-parts" : [ [ "2010", "5", "1" ] ] }, "page" : "799-811", "publisher" : "Cell Press", "title" : "Viral reorganization of the secretory pathway generates distinct organelles for RNA replication", "type" : "article-journal", "volume" : "141" }, "uris" : [ "http://www.mendeley.com/documents/?uuid=8d4434a3-cbf4-3553-a650-86e6f989db07" ] }, { "id" : "ITEM-5", "itemData" : { "DOI" : "10.1111/1348-0421.12144", "ISSN" : "13480421", "abstract" : "Studies on anti-picornavirus compounds have revealed an essential role of a novel cellular pathway via host phosphatidylinositol-4 kinase III beta (PI4KB) and oxysterol-binding protein (OSBP) family I in poliovirus (PV) replication. However, the molecular role for this pathway in PV replication has yet to be determined. Here, viral and host proteins modulating production of phosphatidylinositol 4-phosphate (PI4P) and accumulation of unesterified cholesterol (UC) in cells were analyzed and the role of the PI4KB/OSBP pathway in PV replication characterized. Virus protein 2BC was identified as a novel interactant of PI4KB. PI4KB and VCP/p97 bind to a partially overlapped region of 2BC with different sensitivity to a 2C inhibitor. Production of PI4P and accumulation of UC were enhanced by virus protein 2BC, but suppressed by virus proteins 3A and 3AB. In PV-infected cells, a PI4KB inhibitor suppressed production of PI4P, and both a PI4KB inhibitor and an OSBP ligand suppressed accumulation of UC on virus-induced membrane structure. Inhibition of PI4KB activity caused dissociation of OSBP from virus-induced membrane structure in PV-infected cells. Synthesis of viral nascent RNA in PV-infected cells was not affected in the presence of PI4KB inhibitor and OSBP ligand however, transient pre-treatment of PV-infected cells with these inhibitors suppressed viral RNA synthesis. These results suggest that virus proteins modulate PI4KB activity and provide PI4P for recruitment of OSBP to accumulate UC on virus-induced membrane structure for formation of a virus replication complex. \u00a9 2014 The Societies and Wiley Publishing Asia Pty Ltd.", "author" : [ { "dropping-particle" : "", "family" : "Arita", "given" : "Minetaro", "non-dropping-particle" : "", "parse-names" : false, "suffix" : "" } ], "container-title" : "Microbiology and Immunology", "id" : "ITEM-5", "issue" : "4", "issued" : { "date-parts" : [ [ "2014", "4" ] ] }, "page" : "239-256", "publisher" : "Center for Academic Publications Japan", "title" : "Phosphatidylinositol-4 kinase III beta and oxysterol-binding protein accumulate unesterified cholesterol on poliovirus-induced membrane structure", "type" : "article-journal", "volume" : "58" }, "uris" : [ "http://www.mendeley.com/documents/?uuid=69aff5a4-d986-3197-bfca-fc9a28dfaac4" ] } ], "mendeley" : { "formattedCitation" : "&lt;sup&gt;98\u2013102&lt;/sup&gt;", "plainTextFormattedCitation" : "98\u2013102", "previouslyFormattedCitation" : "&lt;sup&gt;98\u2013102&lt;/sup&gt;" }, "properties" : { "noteIndex" : 0 }, "schema" : "https://github.com/citation-style-language/schema/raw/master/csl-citation.json" }</w:instrText>
      </w:r>
      <w:r w:rsidRPr="00926BEA">
        <w:fldChar w:fldCharType="separate"/>
      </w:r>
      <w:r w:rsidR="00C62A07" w:rsidRPr="00C62A07">
        <w:rPr>
          <w:noProof/>
          <w:vertAlign w:val="superscript"/>
        </w:rPr>
        <w:t>98–102</w:t>
      </w:r>
      <w:r w:rsidRPr="00926BEA">
        <w:fldChar w:fldCharType="end"/>
      </w:r>
      <w:r w:rsidRPr="00926BEA">
        <w:t xml:space="preserve"> </w:t>
      </w:r>
      <w:r w:rsidR="00D57F06">
        <w:t xml:space="preserve">The human </w:t>
      </w:r>
      <w:r w:rsidR="00D57F06" w:rsidRPr="00926BEA">
        <w:t xml:space="preserve">OSBP protein </w:t>
      </w:r>
      <w:r w:rsidR="00D57F06">
        <w:t>is reported to be critical for the formation of RNA virus</w:t>
      </w:r>
      <w:r w:rsidR="00373C60">
        <w:t>’s</w:t>
      </w:r>
      <w:r w:rsidR="00D57F06">
        <w:t xml:space="preserve"> </w:t>
      </w:r>
      <w:r w:rsidR="00D57F06" w:rsidRPr="00926BEA">
        <w:t xml:space="preserve">replication </w:t>
      </w:r>
      <w:r w:rsidR="00D57F06">
        <w:t>organelle formation</w:t>
      </w:r>
      <w:r w:rsidR="00D57F06" w:rsidRPr="00926BEA">
        <w:t>.</w:t>
      </w:r>
      <w:r w:rsidR="00D57F06" w:rsidRPr="00926BEA">
        <w:fldChar w:fldCharType="begin" w:fldLock="1"/>
      </w:r>
      <w:r w:rsidR="00CB7208">
        <w:instrText>ADDIN CSL_CITATION { "citationItems" : [ { "id" : "ITEM-1", "itemData" : { "DOI" : "10.1016/j.antiviral.2015.02.013", "ISSN" : "18729096", "abstract" : "Enteroviruses, e.g., polio-, coxsackie- and rhinoviruses, constitute a large genus within the Picornaviridae family of positive-strand RNA viruses and include many important pathogens linked to a variety of acute and chronic diseases. Despite their huge medical and economic impact, no approved antiviral therapy is yet available. Recently, the oxysterol-binding protein (OSBP) was implicated as a host factor for enterovirus replication. Here, we investigated the antiviral activity of the natural compound OSW-1, a ligand of OSBP that is under investigation as an anti-cancer drug. OSW-1 potently inhibited the replication of all enteroviruses tested, with IC50 values in the low nanomolar range, acted at the genome replication stage and was effective in all tested cell types of three different species. Importantly, OSBP overexpression rescued viral replication, demonstrating that the antiviral effect of OSW-1 is due to targeting OSBP. Together, we here report the anti-enterovirus activity of the natural anti-cancer compound OSW-1.", "author" : [ { "dropping-particle" : "", "family" : "Albulescu", "given" : "Lucian", "non-dropping-particle" : "", "parse-names" : false, "suffix" : "" }, { "dropping-particle" : "", "family" : "Strating", "given" : "Jeroen R.P.M.", "non-dropping-particle" : "", "parse-names" : false, "suffix" : "" }, { "dropping-particle" : "", "family" : "Thibaut", "given" : "Hendrik Jan", "non-dropping-particle" : "", "parse-names" : false, "suffix" : "" }, { "dropping-particle" : "", "family" : "Linden", "given" : "Lonneke", "non-dropping-particle" : "Van Der", "parse-names" : false, "suffix" : "" }, { "dropping-particle" : "", "family" : "Shair", "given" : "Matthew D.", "non-dropping-particle" : "", "parse-names" : false, "suffix" : "" }, { "dropping-particle" : "", "family" : "Neyts", "given" : "Johan", "non-dropping-particle" : "", "parse-names" : false, "suffix" : "" }, { "dropping-particle" : "", "family" : "Kuppeveld", "given" : "Frank J.M.", "non-dropping-particle" : "Van", "parse-names" : false, "suffix" : "" } ], "container-title" : "Antiviral Research", "id" : "ITEM-1", "issued" : { "date-parts" : [ [ "2015" ] ] }, "page" : "110-114", "publisher" : "Elsevier", "title" : "Broad-range inhibition of enterovirus replication by OSW-1, a natural compound targeting OSBP", "type" : "article-journal", "volume" : "117" }, "uris" : [ "http://www.mendeley.com/documents/?uuid=61d266c8-8d1e-49ee-bdde-a238798b9475" ] } ], "mendeley" : { "formattedCitation" : "&lt;sup&gt;46&lt;/sup&gt;", "plainTextFormattedCitation" : "46", "previouslyFormattedCitation" : "&lt;sup&gt;46&lt;/sup&gt;" }, "properties" : { "noteIndex" : 0 }, "schema" : "https://github.com/citation-style-language/schema/raw/master/csl-citation.json" }</w:instrText>
      </w:r>
      <w:r w:rsidR="00D57F06" w:rsidRPr="00926BEA">
        <w:fldChar w:fldCharType="separate"/>
      </w:r>
      <w:r w:rsidR="00CB7208" w:rsidRPr="00CB7208">
        <w:rPr>
          <w:noProof/>
          <w:vertAlign w:val="superscript"/>
        </w:rPr>
        <w:t>46</w:t>
      </w:r>
      <w:r w:rsidR="00D57F06" w:rsidRPr="00926BEA">
        <w:fldChar w:fldCharType="end"/>
      </w:r>
      <w:r w:rsidR="00D57F06" w:rsidRPr="00926BEA">
        <w:t xml:space="preserve"> </w:t>
      </w:r>
      <w:r w:rsidRPr="00926BEA">
        <w:t>For example, the</w:t>
      </w:r>
      <w:r w:rsidR="00D57F06">
        <w:t xml:space="preserve"> entero</w:t>
      </w:r>
      <w:r w:rsidRPr="00926BEA">
        <w:t>viral 3A protein recruits host ARF1 and GFB1 protein to the RO</w:t>
      </w:r>
      <w:r w:rsidR="00D57F06">
        <w:t>,</w:t>
      </w:r>
      <w:r w:rsidRPr="00926BEA">
        <w:t xml:space="preserve"> in turn recruiting PI4KIIIβ and leading to PI4P accumulation. OSBP is able to localize to the RO through its interactions with PI4P and ARF1, and presumably shuttles essential cholesterol to the RO similar to its endogenous function between the Golgi and ER.</w:t>
      </w:r>
      <w:r w:rsidRPr="00926BEA">
        <w:fldChar w:fldCharType="begin" w:fldLock="1"/>
      </w:r>
      <w:r w:rsidR="00C62A07">
        <w:instrText>ADDIN CSL_CITATION { "citationItems" : [ { "id" : "ITEM-1", "itemData" : { "DOI" : "10.1128/JVI.01820-06", "ISSN" : "0022-538X", "PMID" : "17079330", "abstract" : "Infection of cells with poliovirus induces a massive intracellular membrane reorganization to form vesicle-like structures where viral RNA replication occurs. The mechanism of membrane remodeling remains unknown, although some observations have implicated components of the cellular secretory and/or autophagy pathways. Recently, we showed that some members of the Arf family of small GTPases, which control secretory trafficking, became membrane-bound after the synthesis of poliovirus proteins in vitro and associated with newly formed membranous RNA replication complexes in infected cells. The recruitment of Arfs to specific target membranes is mediated by a group of guanine nucleotide exchange factors (GEFs) that recycle Arf from its inactive, GDP-bound state to an active GTP-bound form. Here we show that two different viral proteins independently recruit different Arf GEFs (GBF1 and BIG1/2) to the new structures that support virus replication. Intracellular Arf-GTP levels increase approximately 4-fold during poliovirus infection. The requirement for these GEFs explains the sensitivity of virus growth to brefeldin A, which can be rescued by the overexpression of GBF1. The recruitment of Arf to membranes via specific GEFs by poliovirus proteins provides an important clue toward identifying cellular pathways utilized by the virus to form its membranous replication complex.", "author" : [ { "dropping-particle" : "", "family" : "Belov", "given" : "George A", "non-dropping-particle" : "", "parse-names" : false, "suffix" : "" }, { "dropping-particle" : "", "family" : "Altan-Bonnet", "given" : "Nihal", "non-dropping-particle" : "", "parse-names" : false, "suffix" : "" }, { "dropping-particle" : "", "family" : "Kovtunovych", "given" : "Gennadiy", "non-dropping-particle" : "", "parse-names" : false, "suffix" : "" }, { "dropping-particle" : "", "family" : "Jackson", "given" : "Catherine L", "non-dropping-particle" : "", "parse-names" : false, "suffix" : "" }, { "dropping-particle" : "", "family" : "Lippincott-Schwartz", "given" : "Jennifer", "non-dropping-particle" : "", "parse-names" : false, "suffix" : "" }, { "dropping-particle" : "", "family" : "Ehrenfeld", "given" : "Ellie", "non-dropping-particle" : "", "parse-names" : false, "suffix" : "" } ], "container-title" : "Journal of virology", "id" : "ITEM-1", "issue" : "2", "issued" : { "date-parts" : [ [ "2007", "1" ] ] }, "page" : "558-67", "title" : "Hijacking components of the cellular secretory pathway for replication of poliovirus RNA.", "type" : "article-journal", "volume" : "81" }, "uris" : [ "http://www.mendeley.com/documents/?uuid=21a318d0-a0f4-3a8a-b3d1-605634b8e723" ] }, { "id" : "ITEM-2", "itemData" : { "DOI" : "10.1016/j.cell.2010.03.050", "ISSN" : "00928674", "abstract" : "Many RNA viruses remodel intracellular membranes to generate specialized sites for RNA replication. How membranes are remodeled and what properties make them conducive for replication are unknown. Here we show how RNA viruses can manipulate multiple components of the cellular secretory pathway to generate organelles specialized for replication that are distinct in protein and lipid composition from the host cell. Specific viral proteins modulate effector recruitment by Arf1 GTPase and its guanine nucleotide exchange factor GBF1, promoting preferential recruitment of phosphatidylinositol-4-kinase III\u03b2 (PI4KIII\u03b2) to membranes over coat proteins, yielding uncoated phosphatidylinositol-4-phosphate (PI4P) lipid-enriched organelles. The PI4P-rich lipid microenvironment is essential for both enteroviral and flaviviral RNA replication; PI4KIII\u03b2 inhibition interferes with this process; and enteroviral RNA polymerases specifically bind PI4P. These findings reveal how RNA viruses can selectively exploit specific elements of the host to form specialized organelles where cellular phosphoinositide lipids are key to regulating viral RNA replication. \u00a9 2010 Elsevier Inc.", "author" : [ { "dropping-particle" : "", "family" : "Hsu", "given" : "Nai Yun", "non-dropping-particle" : "", "parse-names" : false, "suffix" : "" }, { "dropping-particle" : "", "family" : "Ilnytska", "given" : "Olha", "non-dropping-particle" : "", "parse-names" : false, "suffix" : "" }, { "dropping-particle" : "", "family" : "Belov", "given" : "Georgiy", "non-dropping-particle" : "", "parse-names" : false, "suffix" : "" }, { "dropping-particle" : "", "family" : "Santiana", "given" : "Marianita", "non-dropping-particle" : "", "parse-names" : false, "suffix" : "" }, { "dropping-particle" : "", "family" : "Chen", "given" : "Ying Han", "non-dropping-particle" : "", "parse-names" : false, "suffix" : "" }, { "dropping-particle" : "", "family" : "Takvorian", "given" : "Peter M.", "non-dropping-particle" : "", "parse-names" : false, "suffix" : "" }, { "dropping-particle" : "", "family" : "Pau", "given" : "Cyrilla", "non-dropping-particle" : "", "parse-names" : false, "suffix" : "" }, { "dropping-particle" : "", "family" : "Schaar", "given" : "Hilde", "non-dropping-particle" : "van der", "parse-names" : false, "suffix" : "" }, { "dropping-particle" : "", "family" : "Kaushik-Basu", "given" : "Neerja", "non-dropping-particle" : "", "parse-names" : false, "suffix" : "" }, { "dropping-particle" : "", "family" : "Balla", "given" : "Tamas", "non-dropping-particle" : "", "parse-names" : false, "suffix" : "" }, { "dropping-particle" : "", "family" : "Cameron", "given" : "Craig E.", "non-dropping-particle" : "", "parse-names" : false, "suffix" : "" }, { "dropping-particle" : "", "family" : "Ehrenfeld", "given" : "Ellie", "non-dropping-particle" : "", "parse-names" : false, "suffix" : "" }, { "dropping-particle" : "", "family" : "Kuppeveld", "given" : "Frank J.M.", "non-dropping-particle" : "van", "parse-names" : false, "suffix" : "" }, { "dropping-particle" : "", "family" : "Altan-Bonnet", "given" : "Nihal", "non-dropping-particle" : "", "parse-names" : false, "suffix" : "" } ], "container-title" : "Cell", "id" : "ITEM-2", "issue" : "5", "issued" : { "date-parts" : [ [ "2010", "5", "1" ] ] }, "page" : "799-811", "publisher" : "Cell Press", "title" : "Viral reorganization of the secretory pathway generates distinct organelles for RNA replication", "type" : "article-journal", "volume" : "141" }, "uris" : [ "http://www.mendeley.com/documents/?uuid=8d4434a3-cbf4-3553-a650-86e6f989db07" ] }, { "id" : "ITEM-3", "itemData" : { "DOI" : "10.1111/1348-0421.12144", "ISSN" : "13480421", "abstract" : "Studies on anti-picornavirus compounds have revealed an essential role of a novel cellular pathway via host phosphatidylinositol-4 kinase III beta (PI4KB) and oxysterol-binding protein (OSBP) family I in poliovirus (PV) replication. However, the molecular role for this pathway in PV replication has yet to be determined. Here, viral and host proteins modulating production of phosphatidylinositol 4-phosphate (PI4P) and accumulation of unesterified cholesterol (UC) in cells were analyzed and the role of the PI4KB/OSBP pathway in PV replication characterized. Virus protein 2BC was identified as a novel interactant of PI4KB. PI4KB and VCP/p97 bind to a partially overlapped region of 2BC with different sensitivity to a 2C inhibitor. Production of PI4P and accumulation of UC were enhanced by virus protein 2BC, but suppressed by virus proteins 3A and 3AB. In PV-infected cells, a PI4KB inhibitor suppressed production of PI4P, and both a PI4KB inhibitor and an OSBP ligand suppressed accumulation of UC on virus-induced membrane structure. Inhibition of PI4KB activity caused dissociation of OSBP from virus-induced membrane structure in PV-infected cells. Synthesis of viral nascent RNA in PV-infected cells was not affected in the presence of PI4KB inhibitor and OSBP ligand however, transient pre-treatment of PV-infected cells with these inhibitors suppressed viral RNA synthesis. These results suggest that virus proteins modulate PI4KB activity and provide PI4P for recruitment of OSBP to accumulate UC on virus-induced membrane structure for formation of a virus replication complex. \u00a9 2014 The Societies and Wiley Publishing Asia Pty Ltd.", "author" : [ { "dropping-particle" : "", "family" : "Arita", "given" : "Minetaro", "non-dropping-particle" : "", "parse-names" : false, "suffix" : "" } ], "container-title" : "Microbiology and Immunology", "id" : "ITEM-3", "issue" : "4", "issued" : { "date-parts" : [ [ "2014", "4" ] ] }, "page" : "239-256", "publisher" : "Center for Academic Publications Japan", "title" : "Phosphatidylinositol-4 kinase III beta and oxysterol-binding protein accumulate unesterified cholesterol on poliovirus-induced membrane structure", "type" : "article-journal", "volume" : "58" }, "uris" : [ "http://www.mendeley.com/documents/?uuid=69aff5a4-d986-3197-bfca-fc9a28dfaac4" ] } ], "mendeley" : { "formattedCitation" : "&lt;sup&gt;100\u2013102&lt;/sup&gt;", "plainTextFormattedCitation" : "100\u2013102", "previouslyFormattedCitation" : "&lt;sup&gt;100\u2013102&lt;/sup&gt;" }, "properties" : { "noteIndex" : 0 }, "schema" : "https://github.com/citation-style-language/schema/raw/master/csl-citation.json" }</w:instrText>
      </w:r>
      <w:r w:rsidRPr="00926BEA">
        <w:fldChar w:fldCharType="separate"/>
      </w:r>
      <w:r w:rsidR="00C62A07" w:rsidRPr="00C62A07">
        <w:rPr>
          <w:noProof/>
          <w:vertAlign w:val="superscript"/>
        </w:rPr>
        <w:t>100–102</w:t>
      </w:r>
      <w:r w:rsidRPr="00926BEA">
        <w:fldChar w:fldCharType="end"/>
      </w:r>
      <w:r w:rsidRPr="00926BEA">
        <w:t xml:space="preserve"> </w:t>
      </w:r>
    </w:p>
    <w:p w14:paraId="3C8AEC86" w14:textId="553405C3" w:rsidR="00926BEA" w:rsidRPr="00926BEA" w:rsidRDefault="00926BEA" w:rsidP="00926BEA">
      <w:pPr>
        <w:jc w:val="both"/>
      </w:pPr>
      <w:r w:rsidRPr="00926BEA">
        <w:rPr>
          <w:i/>
          <w:iCs/>
        </w:rPr>
        <w:tab/>
      </w:r>
      <w:r w:rsidRPr="00926BEA">
        <w:t>The essentiality of the OSBP protein for viral replication has led to the development of multiple OSBP targeting compounds for antiviral development. OSBP has been identified as the cellular target of the anti-enteroviral compounds, TTP-8307 (TTP)</w:t>
      </w:r>
      <w:r w:rsidR="00C62A07">
        <w:fldChar w:fldCharType="begin" w:fldLock="1"/>
      </w:r>
      <w:r w:rsidR="00C62A07">
        <w:instrText>ADDIN CSL_CITATION { "citationItems" : [ { "id" : "ITEM-1", "itemData" : { "DOI" : "10.1016/j.antiviral.2017.01.008", "ISSN" : "18729096", "abstract" : "The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PI4KIII\u03b2-PI4P-OSBP pathway to direct cholesterol to replication organelles. Here, we uncover that TTP-8307, a known enterovirus replication inhibitor, acts through the PI4KIII\u03b2-PI4P-OSBP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 "author" : [ { "dropping-particle" : "", "family" : "Albulescu", "given" : "Lucian", "non-dropping-particle" : "", "parse-names" : false, "suffix" : "" }, { "dropping-particle" : "", "family" : "Bigay", "given" : "Jo\u00eblle", "non-dropping-particle" : "", "parse-names" : false, "suffix" : "" }, { "dropping-particle" : "", "family" : "Biswas", "given" : "Bishyajit", "non-dropping-particle" : "", "parse-names" : false, "suffix" : "" }, { "dropping-particle" : "", "family" : "Weber-Boyvat", "given" : "Marion", "non-dropping-particle" : "", "parse-names" : false, "suffix" : "" }, { "dropping-particle" : "", "family" : "Dorobantu", "given" : "Cristina M.", "non-dropping-particle" : "", "parse-names" : false, "suffix" : "" }, { "dropping-particle" : "", "family" : "Delang", "given" : "Leen", "non-dropping-particle" : "", "parse-names" : false, "suffix" : "" }, { "dropping-particle" : "", "family" : "Schaar", "given" : "Hilde M.", "non-dropping-particle" : "van der", "parse-names" : false, "suffix" : "" }, { "dropping-particle" : "", "family" : "Jung", "given" : "Young Sik", "non-dropping-particle" : "", "parse-names" : false, "suffix" : "" }, { "dropping-particle" : "", "family" : "Neyts", "given" : "Johan", "non-dropping-particle" : "", "parse-names" : false, "suffix" : "" }, { "dropping-particle" : "", "family" : "Olkkonen", "given" : "Vesa M.", "non-dropping-particle" : "", "parse-names" : false, "suffix" : "" }, { "dropping-particle" : "", "family" : "Kuppeveld", "given" : "Frank J.M.", "non-dropping-particle" : "van", "parse-names" : false, "suffix" : "" }, { "dropping-particle" : "", "family" : "Strating", "given" : "Jeroen R.P.M.", "non-dropping-particle" : "", "parse-names" : false, "suffix" : "" } ], "container-title" : "Antiviral Research", "id" : "ITEM-1", "issued" : { "date-parts" : [ [ "2017", "4", "1" ] ] }, "page" : "37-44", "publisher" : "Elsevier B.V.", "title" : "Uncovering oxysterol-binding protein (OSBP) as a target of the anti-enteroviral compound TTP-8307", "type" : "article-journal", "volume" : "140" }, "uris" : [ "http://www.mendeley.com/documents/?uuid=2e90a609-82b3-3463-910a-917123b10bb3" ] } ], "mendeley" : { "formattedCitation" : "&lt;sup&gt;62&lt;/sup&gt;", "plainTextFormattedCitation" : "62", "previouslyFormattedCitation" : "&lt;sup&gt;62&lt;/sup&gt;" }, "properties" : { "noteIndex" : 0 }, "schema" : "https://github.com/citation-style-language/schema/raw/master/csl-citation.json" }</w:instrText>
      </w:r>
      <w:r w:rsidR="00C62A07">
        <w:fldChar w:fldCharType="separate"/>
      </w:r>
      <w:r w:rsidR="00C62A07" w:rsidRPr="00C62A07">
        <w:rPr>
          <w:noProof/>
          <w:vertAlign w:val="superscript"/>
        </w:rPr>
        <w:t>62</w:t>
      </w:r>
      <w:r w:rsidR="00C62A07">
        <w:fldChar w:fldCharType="end"/>
      </w:r>
      <w:r w:rsidRPr="00926BEA">
        <w:t>, the FDA approved antifungal</w:t>
      </w:r>
      <w:r w:rsidR="00DB6434">
        <w:t xml:space="preserve"> </w:t>
      </w:r>
      <w:r w:rsidRPr="00926BEA">
        <w:t>itraconazole (ITZ)</w:t>
      </w:r>
      <w:r w:rsidR="00C62A07">
        <w:fldChar w:fldCharType="begin" w:fldLock="1"/>
      </w:r>
      <w:r w:rsidR="00C62A07">
        <w:instrText>ADDIN CSL_CITATION { "citationItems" : [ { "id" : "ITEM-1", "itemData" : { "DOI" : "10.1016/j.celrep.2014.12.054", "ISSN" : "22111247", "abstract" : "Itraconazole (ITZ) is a well-known antifungal agent that also has anticancer activity. In this study, weidentify ITZ as a broad-spectrum inhibitor of enteroviruses (e.g., poliovirus, coxsackievirus, enterovirus-71, rhinovirus). We demonstrate that ITZ inhibits viral RNA replication by targeting oxysterol-binding protein (OSBP) and OSBP-related protein 4 (ORP4). Consistently, OSW-1, a specific OSBP/ORP4 antagonist, also inhibits enterovirus replication. Knockdown of OSBP inhibits virus replication, whereas overexpression of OSBP or ORP4 counteracts the antiviral effects of ITZ and OSW-1. ITZ binds OSBP and inhibits its function, i.e., shuttling of cholesterol and phosphatidylinositol-4-phosphate between membranes, thereby likely perturbing the virus-induced membrane alterations essential for viral replication organelle formation. ITZ also inhibits hepatitis C virus replication, which also relies on OSBP. Together, these data implicate OSBP/ORP4 as molecular targets of ITZ and point to an essential role of OSBP/ORP4-mediated lipid exchange in virus replication that can be targeted by antiviral drugs.", "author" : [ { "dropping-particle" : "", "family" : "Strating", "given" : "Jeroen R.P.M.", "non-dropping-particle" : "", "parse-names" : false, "suffix" : "" }, { "dropping-particle" : "", "family" : "Linden", "given" : "Lonneke", "non-dropping-particle" : "van der", "parse-names" : false, "suffix" : "" }, { "dropping-particle" : "", "family" : "Albulescu", "given" : "Lucian", "non-dropping-particle" : "", "parse-names" : false, "suffix" : "" }, { "dropping-particle" : "", "family" : "Bigay", "given" : "Jo\u00eblle", "non-dropping-particle" : "", "parse-names" : false, "suffix" : "" }, { "dropping-particle" : "", "family" : "Arita", "given" : "Minetaro", "non-dropping-particle" : "", "parse-names" : false, "suffix" : "" }, { "dropping-particle" : "", "family" : "Delang", "given" : "Leen", "non-dropping-particle" : "", "parse-names" : false, "suffix" : "" }, { "dropping-particle" : "", "family" : "Leyssen", "given" : "Pieter", "non-dropping-particle" : "", "parse-names" : false, "suffix" : "" }, { "dropping-particle" : "", "family" : "Schaar", "given" : "Hilde M.", "non-dropping-particle" : "van der", "parse-names" : false, "suffix" : "" }, { "dropping-particle" : "", "family" : "Lanke", "given" : "Kjerstin H.W.", "non-dropping-particle" : "", "parse-names" : false, "suffix" : "" }, { "dropping-particle" : "", "family" : "Thibaut", "given" : "Hendrik Jan", "non-dropping-particle" : "", "parse-names" : false, "suffix" : "" }, { "dropping-particle" : "", "family" : "Ulferts", "given" : "Rachel", "non-dropping-particle" : "", "parse-names" : false, "suffix" : "" }, { "dropping-particle" : "", "family" : "Drin", "given" : "Guillaume", "non-dropping-particle" : "", "parse-names" : false, "suffix" : "" }, { "dropping-particle" : "", "family" : "Schlinck", "given" : "Nina", "non-dropping-particle" : "", "parse-names" : false, "suffix" : "" }, { "dropping-particle" : "", "family" : "Wubbolts", "given" : "Richard W.", "non-dropping-particle" : "", "parse-names" : false, "suffix" : "" }, { "dropping-particle" : "", "family" : "Sever", "given" : "Navdar", "non-dropping-particle" : "", "parse-names" : false, "suffix" : "" }, { "dropping-particle" : "", "family" : "Head", "given" : "Sarah A.", "non-dropping-particle" : "", "parse-names" : false, "suffix" : "" }, { "dropping-particle" : "", "family" : "Liu", "given" : "Jun O.", "non-dropping-particle" : "", "parse-names" : false, "suffix" : "" }, { "dropping-particle" : "", "family" : "Beachy", "given" : "Philip A.", "non-dropping-particle" : "", "parse-names" : false, "suffix" : "" }, { "dropping-particle" : "", "family" : "DeMatteis", "given" : "Maria A.", "non-dropping-particle" : "", "parse-names" : false, "suffix" : "" }, { "dropping-particle" : "", "family" : "Shair", "given" : "Matthew D.", "non-dropping-particle" : "", "parse-names" : false, "suffix" : "" }, { "dropping-particle" : "", "family" : "Olkkonen", "given" : "Vesa M.", "non-dropping-particle" : "", "parse-names" : false, "suffix" : "" }, { "dropping-particle" : "", "family" : "Neyts", "given" : "Johan", "non-dropping-particle" : "", "parse-names" : false, "suffix" : "" }, { "dropping-particle" : "", "family" : "Kuppeveld", "given" : "Frank J.M.", "non-dropping-particle" : "van", "parse-names" : false, "suffix" : "" } ], "container-title" : "Cell Reports", "id" : "ITEM-1", "issue" : "4", "issued" : { "date-parts" : [ [ "2015", "2", "3" ] ] }, "page" : "600-615", "publisher" : "Elsevier", "title" : "Itraconazole inhibits enterovirus replication by targeting the oxysterol-binding protein", "type" : "article-journal", "volume" : "10" }, "uris" : [ "http://www.mendeley.com/documents/?uuid=d6f08a36-f85c-3498-958e-0b1623c8d545" ] } ], "mendeley" : { "formattedCitation" : "&lt;sup&gt;64&lt;/sup&gt;", "plainTextFormattedCitation" : "64", "previouslyFormattedCitation" : "&lt;sup&gt;64&lt;/sup&gt;" }, "properties" : { "noteIndex" : 0 }, "schema" : "https://github.com/citation-style-language/schema/raw/master/csl-citation.json" }</w:instrText>
      </w:r>
      <w:r w:rsidR="00C62A07">
        <w:fldChar w:fldCharType="separate"/>
      </w:r>
      <w:r w:rsidR="00C62A07" w:rsidRPr="00C62A07">
        <w:rPr>
          <w:noProof/>
          <w:vertAlign w:val="superscript"/>
        </w:rPr>
        <w:t>64</w:t>
      </w:r>
      <w:r w:rsidR="00C62A07">
        <w:fldChar w:fldCharType="end"/>
      </w:r>
      <w:r w:rsidRPr="00926BEA">
        <w:t xml:space="preserve">, </w:t>
      </w:r>
      <w:r w:rsidR="00D57F06">
        <w:t xml:space="preserve">the steroidal compound </w:t>
      </w:r>
      <w:r w:rsidRPr="00926BEA">
        <w:t>T-00127-HEV2 (THEV2)</w:t>
      </w:r>
      <w:r w:rsidR="00C62A07">
        <w:fldChar w:fldCharType="begin" w:fldLock="1"/>
      </w:r>
      <w:r w:rsidR="00C62A07">
        <w:instrText>ADDIN CSL_CITATION { "citationItems" : [ { "id" : "ITEM-1", "itemData" : { "DOI" : "10.1128/JVI.03546-12", "ISSN" : "1098-5514", "PMID" : "23365445", "abstract" : "Enviroxime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 "author" : [ { "dropping-particle" : "", "family" : "Arita", "given" : "Minetaro", "non-dropping-particle" : "", "parse-names" : false, "suffix" : "" }, { "dropping-particle" : "", "family" : "Kojima", "given" : "Hirotatsu", "non-dropping-particle" : "", "parse-names" : false, "suffix" : "" }, { "dropping-particle" : "", "family" : "Nagano", "given" : "Tetsuo", "non-dropping-particle" : "", "parse-names" : false, "suffix" : "" }, { "dropping-particle" : "", "family" : "Okabe", "given" : "Takayoshi", "non-dropping-particle" : "", "parse-names" : false, "suffix" : "" }, { "dropping-particle" : "", "family" : "Wakita", "given" : "Takaji", "non-dropping-particle" : "", "parse-names" : false, "suffix" : "" }, { "dropping-particle" : "", "family" : "Shimizu", "given" : "Hiroyuki", "non-dropping-particle" : "", "parse-names" : false, "suffix" : "" } ], "container-title" : "Journal of virology", "id" : "ITEM-1", "issue" : "8", "issued" : { "date-parts" : [ [ "2013", "4" ] ] }, "page" : "4252-60", "title" : "Oxysterol-binding protein family I is the target of minor enviroxime-like compounds.", "type" : "article-journal", "volume" : "87" }, "uris" : [ "http://www.mendeley.com/documents/?uuid=51b7d014-654b-3ce1-9aef-7b3b657ea8af" ] } ], "mendeley" : { "formattedCitation" : "&lt;sup&gt;63&lt;/sup&gt;", "plainTextFormattedCitation" : "63", "previouslyFormattedCitation" : "&lt;sup&gt;63&lt;/sup&gt;" }, "properties" : { "noteIndex" : 0 }, "schema" : "https://github.com/citation-style-language/schema/raw/master/csl-citation.json" }</w:instrText>
      </w:r>
      <w:r w:rsidR="00C62A07">
        <w:fldChar w:fldCharType="separate"/>
      </w:r>
      <w:r w:rsidR="00C62A07" w:rsidRPr="00C62A07">
        <w:rPr>
          <w:noProof/>
          <w:vertAlign w:val="superscript"/>
        </w:rPr>
        <w:t>63</w:t>
      </w:r>
      <w:r w:rsidR="00C62A07">
        <w:fldChar w:fldCharType="end"/>
      </w:r>
      <w:r w:rsidRPr="00926BEA">
        <w:t>, and the anti-cancer compound, OSW-1</w:t>
      </w:r>
      <w:r w:rsidR="00C62A07">
        <w:fldChar w:fldCharType="begin" w:fldLock="1"/>
      </w:r>
      <w:r w:rsidR="00C62A07">
        <w:instrText>ADDIN CSL_CITATION { "citationItems" : [ { "id" : "ITEM-1", "itemData" : { "DOI" : "10.1016/j.antiviral.2015.02.013", "ISSN" : "18729096", "abstract" : "Enteroviruses, e.g., polio-, coxsackie- and rhinoviruses, constitute a large genus within the Picornaviridae family of positive-strand RNA viruses and include many important pathogens linked to a variety of acute and chronic diseases. Despite their huge medical and economic impact, no approved antiviral therapy is yet available. Recently, the oxysterol-binding protein (OSBP) was implicated as a host factor for enterovirus replication. Here, we investigated the antiviral activity of the natural compound OSW-1, a ligand of OSBP that is under investigation as an anti-cancer drug. OSW-1 potently inhibited the replication of all enteroviruses tested, with IC50 values in the low nanomolar range, acted at the genome replication stage and was effective in all tested cell types of three different species. Importantly, OSBP overexpression rescued viral replication, demonstrating that the antiviral effect of OSW-1 is due to targeting OSBP. Together, we here report the anti-enterovirus activity of the natural anti-cancer compound OSW-1.", "author" : [ { "dropping-particle" : "", "family" : "Albulescu", "given" : "Lucian", "non-dropping-particle" : "", "parse-names" : false, "suffix" : "" }, { "dropping-particle" : "", "family" : "Strating", "given" : "Jeroen R.P.M.", "non-dropping-particle" : "", "parse-names" : false, "suffix" : "" }, { "dropping-particle" : "", "family" : "Thibaut", "given" : "Hendrik Jan", "non-dropping-particle" : "", "parse-names" : false, "suffix" : "" }, { "dropping-particle" : "", "family" : "Linden", "given" : "Lonneke", "non-dropping-particle" : "Van Der", "parse-names" : false, "suffix" : "" }, { "dropping-particle" : "", "family" : "Shair", "given" : "Matthew D.", "non-dropping-particle" : "", "parse-names" : false, "suffix" : "" }, { "dropping-particle" : "", "family" : "Neyts", "given" : "Johan", "non-dropping-particle" : "", "parse-names" : false, "suffix" : "" }, { "dropping-particle" : "", "family" : "Kuppeveld", "given" : "Frank J.M.", "non-dropping-particle" : "Van", "parse-names" : false, "suffix" : "" } ], "container-title" : "Antiviral Research", "id" : "ITEM-1", "issued" : { "date-parts" : [ [ "2015", "5" ] ] }, "page" : "110-114", "publisher" : "Elsevier", "title" : "Broad-range inhibition of enterovirus replication by OSW-1, a natural compound targeting OSBP", "type" : "article-journal", "volume" : "117" }, "uris" : [ "http://www.mendeley.com/documents/?uuid=e54be378-e840-3683-84ff-36c01b3420d3" ] } ], "mendeley" : { "formattedCitation" : "&lt;sup&gt;61&lt;/sup&gt;", "plainTextFormattedCitation" : "61", "previouslyFormattedCitation" : "&lt;sup&gt;61&lt;/sup&gt;" }, "properties" : { "noteIndex" : 0 }, "schema" : "https://github.com/citation-style-language/schema/raw/master/csl-citation.json" }</w:instrText>
      </w:r>
      <w:r w:rsidR="00C62A07">
        <w:fldChar w:fldCharType="separate"/>
      </w:r>
      <w:r w:rsidR="00C62A07" w:rsidRPr="00C62A07">
        <w:rPr>
          <w:noProof/>
          <w:vertAlign w:val="superscript"/>
        </w:rPr>
        <w:t>61</w:t>
      </w:r>
      <w:r w:rsidR="00C62A07">
        <w:fldChar w:fldCharType="end"/>
      </w:r>
      <w:r w:rsidRPr="00926BEA">
        <w:t>.</w:t>
      </w:r>
      <w:r w:rsidR="00C62A07">
        <w:t xml:space="preserve"> </w:t>
      </w:r>
      <w:r w:rsidRPr="00926BEA">
        <w:t>ITZ is a promiscuous compound with multiple cellular targets showing anti-fungal, cancer, and viral activity.</w:t>
      </w:r>
      <w:r w:rsidRPr="00926BEA">
        <w:fldChar w:fldCharType="begin" w:fldLock="1"/>
      </w:r>
      <w:r w:rsidR="00C62A07">
        <w:instrText>ADDIN CSL_CITATION { "citationItems" : [ { "id" : "ITEM-1", "itemData" : { "DOI" : "10.3892/ol.2017.6569", "ISSN" : "17921082", "abstract" : "The repurposing of drugs is becoming increasingly attractive as it avoids the lengthy process and cost implications associated with bringing a novel drug to market. Itraconazole is a broad-spectrum anti-fungal agent. An emerging body of in vivo, in vitro and clinical evidence have confirmed that it also possesses antineoplastic activities and has a synergistic action when combined with other chemotherapeutic agents. It acts via several mechanisms to prevent tumour growth, including inhibition of the Hedgehog pathway, prevention of angiogenesis, decreased endothelial cell proliferation, cell cycle arrest and induction of auto-phagocytosis. These allow itraconazole, either alone or in combination with other cytotoxic agents, to increase drug efficacy and overcome drug resistance. This study reviews the reported literature on the use of itraconazole in a variety of malignancies and highlights the recent insights into the critical pathways acted upon to prevent tumour growth.", "author" : [ { "dropping-particle" : "", "family" : "Pounds", "given" : "Rachel", "non-dropping-particle" : "", "parse-names" : false, "suffix" : "" }, { "dropping-particle" : "", "family" : "Leonard", "given" : "Sarah", "non-dropping-particle" : "", "parse-names" : false, "suffix" : "" }, { "dropping-particle" : "", "family" : "Dawson", "given" : "Christopher", "non-dropping-particle" : "", "parse-names" : false, "suffix" : "" }, { "dropping-particle" : "", "family" : "Kehoe", "given" : "Sean", "non-dropping-particle" : "", "parse-names" : false, "suffix" : "" } ], "container-title" : "Oncology Letters", "id" : "ITEM-1", "issue" : "3", "issued" : { "date-parts" : [ [ "2017" ] ] }, "page" : "2587-2597", "publisher" : "Spandidos Publications", "title" : "Repurposing itraconazole for the treatment of cancer (review)", "type" : "article", "volume" : "14" }, "uris" : [ "http://www.mendeley.com/documents/?uuid=11fae020-226a-3bb6-87f5-1e845bea5183" ] }, { "id" : "ITEM-2", "itemData" : { "DOI" : "10.1517/17425255.2013.794785", "ISSN" : "17425255", "abstract" : "Introduction: Fungal infections are a major source of global morbidity and mortality. Itraconazole is a triazole antifungal agent that is widely used for the prevention and treatment of fungal infection. While newer antifungal agents are now available, itraconazole is an orally bioavailable agent with broad-spectrum antifungal activity. Itraconazole remains a useful drug for the management of allergic and invasive mycoses worldwide. Areas covered: This article provides a summary of the pharmacokinetics, pharmacodynamics and clinical uses of itraconazole. Additionally, the authors summarise the safety and recently described toxicodynamics and discuss the value of therapeutic drug monitoring (TDM) with itraconazole. The following search criteria were constructed in order to identify relevant literature using PubMed and Ovid-MEDLINE: itraconazole, triazole, pharmacokinetics, pharmacodynamics, toxicodynamics and TDM. Relevant abstracts and articles identified from reviewing secondary citations were additionally retrieved and included if relevant. Expert opinion: Itraconazole remains an important agent in the prevention and treatment of fungal infection. Itraconazole has a broad-spectrum of activity and is available in both an intravenous and oral form making long-term use in chronic mycoses practical. Itraconazole is widely used for the treatment of endemic fungal infections. Pharmacokinetic variability and clinically important drug interactions make TDM of itraconazole an important consideration. \u00a9 2013 Informa UK, Ltd.", "author" : [ { "dropping-particle" : "", "family" : "Lestner", "given" : "Jodi", "non-dropping-particle" : "", "parse-names" : false, "suffix" : "" }, { "dropping-particle" : "", "family" : "Hope", "given" : "William W.", "non-dropping-particle" : "", "parse-names" : false, "suffix" : "" } ], "container-title" : "Expert Opinion on Drug Metabolism and Toxicology", "id" : "ITEM-2", "issue" : "7", "issued" : { "date-parts" : [ [ "2013", "7" ] ] }, "page" : "911-926", "title" : "Itraconazole: An update on pharmacology and clinical use for treatment of invasive and allergic fungal infections", "type" : "article-journal", "volume" : "9" }, "uris" : [ "http://www.mendeley.com/documents/?uuid=30c8e8a8-1688-3e17-af4d-2115182fdb6b" ] }, { "id" : "ITEM-3", "itemData" : { "DOI" : "10.1128/AAC.05108-14", "ISSN" : "10986596", "abstract" : "There is currently no approved antiviral therapy for the prophylaxis or treatment of enterovirus infections, which remain a substantial threat to public health. To discover inhibitors that can be immediately repurposed for treatment of enterovirus infections, we developed a high-throughput screening assay that measures the cytopathic effect induced by enterovirus 71 (EV71) to screen an FDA-approved drug library. Itraconazole (ITZ), a triazole antifungal agent, was identified as an effective inhibitor of EV71 replication in the low-micromolar range (50% effective concentrations [EC50s], 1.15 \u03bcM). Besides EV71, the compound also inhibited other enteroviruses, including coxsackievirus A16, coxsackievirus B3, poliovirus 1, and enterovirus 68. Study of the mechanism of action by time-of-addition assay and transient-replicon assay revealed that ITZ targeted a step involved in RNA replication or polyprotein processing. We found that the mutations (G5213U and U5286C) conferring the resistance to the compound were in nonstructural protein 3A, and we confirmed the target amino acid substitutions (3A V51L and 3A V75A) using a reverse genetic approach. Interestingly, posaconazole, a new oral azole with a molecular structure similar to that of ITZ, also exhibited anti-EV71 activity. Moreover, ITZ-resistant viruses do not exhibit cross-resistance to posaconazole or the enviroxime-like compound GW5074, which also targets the 3A region, indicating that they may target a specific site(s) in viral genome. Although the protective activity of ITZ or posaconazole (alone or in combination with other antivirals) remains to be assessed in animal models, our findings may represent an opportunity to develop therapeutic interventions for enterovirus infection.", "author" : [ { "dropping-particle" : "", "family" : "Gao", "given" : "Qianqian", "non-dropping-particle" : "", "parse-names" : false, "suffix" : "" }, { "dropping-particle" : "", "family" : "Yuan", "given" : "Shilin", "non-dropping-particle" : "", "parse-names" : false, "suffix" : "" }, { "dropping-particle" : "", "family" : "Zhang", "given" : "Chao", "non-dropping-particle" : "", "parse-names" : false, "suffix" : "" }, { "dropping-particle" : "", "family" : "Wang", "given" : "Ying", "non-dropping-particle" : "", "parse-names" : false, "suffix" : "" }, { "dropping-particle" : "", "family" : "Wang", "given" : "Yizhuo", "non-dropping-particle" : "", "parse-names" : false, "suffix" : "" }, { "dropping-particle" : "", "family" : "He", "given" : "Guimei", "non-dropping-particle" : "", "parse-names" : false, "suffix" : "" }, { "dropping-particle" : "", "family" : "Zhang", "given" : "Shuyi", "non-dropping-particle" : "", "parse-names" : false, "suffix" : "" }, { "dropping-particle" : "", "family" : "Altmeyer", "given" : "Ralf", "non-dropping-particle" : "", "parse-names" : false, "suffix" : "" }, { "dropping-particle" : "", "family" : "Zou", "given" : "Gang", "non-dropping-particle" : "", "parse-names" : false, "suffix" : "" } ], "container-title" : "Antimicrobial Agents and Chemotherapy", "id" : "ITEM-3", "issue" : "5", "issued" : { "date-parts" : [ [ "2015", "5", "1" ] ] }, "page" : "2654-2665", "publisher" : "American Society for Microbiology", "title" : "Discovery of itraconazole with broad-spectrum in vitro antienterovirus activity that targets nonstructural protein 3A", "type" : "article-journal", "volume" : "59" }, "uris" : [ "http://www.mendeley.com/documents/?uuid=2e9ee0ea-8495-36aa-a349-13e6687fcbb5" ] } ], "mendeley" : { "formattedCitation" : "&lt;sup&gt;103\u2013105&lt;/sup&gt;", "plainTextFormattedCitation" : "103\u2013105", "previouslyFormattedCitation" : "&lt;sup&gt;103\u2013105&lt;/sup&gt;" }, "properties" : { "noteIndex" : 0 }, "schema" : "https://github.com/citation-style-language/schema/raw/master/csl-citation.json" }</w:instrText>
      </w:r>
      <w:r w:rsidRPr="00926BEA">
        <w:fldChar w:fldCharType="separate"/>
      </w:r>
      <w:r w:rsidR="00C62A07" w:rsidRPr="00C62A07">
        <w:rPr>
          <w:noProof/>
          <w:vertAlign w:val="superscript"/>
        </w:rPr>
        <w:t>103–105</w:t>
      </w:r>
      <w:r w:rsidRPr="00926BEA">
        <w:fldChar w:fldCharType="end"/>
      </w:r>
      <w:r w:rsidRPr="00926BEA">
        <w:t xml:space="preserve"> It’s broad range antiviral activity is believed to occur through it</w:t>
      </w:r>
      <w:r w:rsidR="00373C60">
        <w:t>s</w:t>
      </w:r>
      <w:r w:rsidRPr="00926BEA">
        <w:t xml:space="preserve"> reported </w:t>
      </w:r>
      <w:r w:rsidRPr="00926BEA">
        <w:lastRenderedPageBreak/>
        <w:t>binding to OSBP (Kd of 430 nM) which alters its cellular localization and inhibits cholesterol and PI4P counter transport.</w:t>
      </w:r>
      <w:r w:rsidRPr="00926BEA">
        <w:fldChar w:fldCharType="begin" w:fldLock="1"/>
      </w:r>
      <w:r w:rsidR="006B01D5">
        <w:instrText>ADDIN CSL_CITATION { "citationItems" : [ { "id" : "ITEM-1", "itemData" : { "DOI" : "10.1016/j.celrep.2014.12.054", "ISSN" : "22111247", "abstract" : "Itraconazole (ITZ) is a well-known antifungal agent that also has anticancer activity. In this study, weidentify ITZ as a broad-spectrum inhibitor of enteroviruses (e.g., poliovirus, coxsackievirus, enterovirus-71, rhinovirus). We demonstrate that ITZ inhibits viral RNA replication by targeting oxysterol-binding protein (OSBP) and OSBP-related protein 4 (ORP4). Consistently, OSW-1, a specific OSBP/ORP4 antagonist, also inhibits enterovirus replication. Knockdown of OSBP inhibits virus replication, whereas overexpression of OSBP or ORP4 counteracts the antiviral effects of ITZ and OSW-1. ITZ binds OSBP and inhibits its function, i.e., shuttling of cholesterol and phosphatidylinositol-4-phosphate between membranes, thereby likely perturbing the virus-induced membrane alterations essential for viral replication organelle formation. ITZ also inhibits hepatitis C virus replication, which also relies on OSBP. Together, these data implicate OSBP/ORP4 as molecular targets of ITZ and point to an essential role of OSBP/ORP4-mediated lipid exchange in virus replication that can be targeted by antiviral drugs.", "author" : [ { "dropping-particle" : "", "family" : "Strating", "given" : "Jeroen R.P.M.", "non-dropping-particle" : "", "parse-names" : false, "suffix" : "" }, { "dropping-particle" : "", "family" : "Linden", "given" : "Lonneke", "non-dropping-particle" : "van der", "parse-names" : false, "suffix" : "" }, { "dropping-particle" : "", "family" : "Albulescu", "given" : "Lucian", "non-dropping-particle" : "", "parse-names" : false, "suffix" : "" }, { "dropping-particle" : "", "family" : "Bigay", "given" : "Jo\u00eblle", "non-dropping-particle" : "", "parse-names" : false, "suffix" : "" }, { "dropping-particle" : "", "family" : "Arita", "given" : "Minetaro", "non-dropping-particle" : "", "parse-names" : false, "suffix" : "" }, { "dropping-particle" : "", "family" : "Delang", "given" : "Leen", "non-dropping-particle" : "", "parse-names" : false, "suffix" : "" }, { "dropping-particle" : "", "family" : "Leyssen", "given" : "Pieter", "non-dropping-particle" : "", "parse-names" : false, "suffix" : "" }, { "dropping-particle" : "", "family" : "Schaar", "given" : "Hilde M.", "non-dropping-particle" : "van der", "parse-names" : false, "suffix" : "" }, { "dropping-particle" : "", "family" : "Lanke", "given" : "Kjerstin H.W.", "non-dropping-particle" : "", "parse-names" : false, "suffix" : "" }, { "dropping-particle" : "", "family" : "Thibaut", "given" : "Hendrik Jan", "non-dropping-particle" : "", "parse-names" : false, "suffix" : "" }, { "dropping-particle" : "", "family" : "Ulferts", "given" : "Rachel", "non-dropping-particle" : "", "parse-names" : false, "suffix" : "" }, { "dropping-particle" : "", "family" : "Drin", "given" : "Guillaume", "non-dropping-particle" : "", "parse-names" : false, "suffix" : "" }, { "dropping-particle" : "", "family" : "Schlinck", "given" : "Nina", "non-dropping-particle" : "", "parse-names" : false, "suffix" : "" }, { "dropping-particle" : "", "family" : "Wubbolts", "given" : "Richard W.", "non-dropping-particle" : "", "parse-names" : false, "suffix" : "" }, { "dropping-particle" : "", "family" : "Sever", "given" : "Navdar", "non-dropping-particle" : "", "parse-names" : false, "suffix" : "" }, { "dropping-particle" : "", "family" : "Head", "given" : "Sarah A.", "non-dropping-particle" : "", "parse-names" : false, "suffix" : "" }, { "dropping-particle" : "", "family" : "Liu", "given" : "Jun O.", "non-dropping-particle" : "", "parse-names" : false, "suffix" : "" }, { "dropping-particle" : "", "family" : "Beachy", "given" : "Philip A.", "non-dropping-particle" : "", "parse-names" : false, "suffix" : "" }, { "dropping-particle" : "", "family" : "DeMatteis", "given" : "Maria A.", "non-dropping-particle" : "", "parse-names" : false, "suffix" : "" }, { "dropping-particle" : "", "family" : "Shair", "given" : "Matthew D.", "non-dropping-particle" : "", "parse-names" : false, "suffix" : "" }, { "dropping-particle" : "", "family" : "Olkkonen", "given" : "Vesa M.", "non-dropping-particle" : "", "parse-names" : false, "suffix" : "" }, { "dropping-particle" : "", "family" : "Neyts", "given" : "Johan", "non-dropping-particle" : "", "parse-names" : false, "suffix" : "" }, { "dropping-particle" : "", "family" : "Kuppeveld", "given" : "Frank J.M.", "non-dropping-particle" : "van", "parse-names" : false, "suffix" : "" } ], "container-title" : "Cell Reports", "id" : "ITEM-1", "issue" : "4", "issued" : { "date-parts" : [ [ "2015", "2", "3" ] ] }, "page" : "600-615", "publisher" : "Elsevier", "title" : "Itraconazole inhibits enterovirus replication by targeting the oxysterol-binding protein", "type" : "article-journal", "volume" : "10" }, "uris" : [ "http://www.mendeley.com/documents/?uuid=d1b307b3-3d94-47e0-b888-4cf17a6ee2d0" ] } ], "mendeley" : { "formattedCitation" : "&lt;sup&gt;64&lt;/sup&gt;", "plainTextFormattedCitation" : "64", "previouslyFormattedCitation" : "&lt;sup&gt;64&lt;/sup&gt;" }, "properties" : { "noteIndex" : 0 }, "schema" : "https://github.com/citation-style-language/schema/raw/master/csl-citation.json" }</w:instrText>
      </w:r>
      <w:r w:rsidRPr="00926BEA">
        <w:fldChar w:fldCharType="separate"/>
      </w:r>
      <w:r w:rsidR="006B01D5" w:rsidRPr="006B01D5">
        <w:rPr>
          <w:noProof/>
          <w:vertAlign w:val="superscript"/>
        </w:rPr>
        <w:t>64</w:t>
      </w:r>
      <w:r w:rsidRPr="00926BEA">
        <w:fldChar w:fldCharType="end"/>
      </w:r>
      <w:r w:rsidRPr="00926BEA">
        <w:t xml:space="preserve"> TTP-8307 was also demonstrated to inhibit OSBP trafficking and to change the cellular localization of the protein.</w:t>
      </w:r>
      <w:r w:rsidRPr="00926BEA">
        <w:fldChar w:fldCharType="begin" w:fldLock="1"/>
      </w:r>
      <w:r w:rsidR="00CB7208">
        <w:instrText>ADDIN CSL_CITATION { "citationItems" : [ { "id" : "ITEM-1", "itemData" : { "DOI" : "10.1016/j.antiviral.2017.01.008", "ISSN" : "18729096", "abstract" : "The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PI4KIII\u03b2-PI4P-OSBP pathway to direct cholesterol to replication organelles. Here, we uncover that TTP-8307, a known enterovirus replication inhibitor, acts through the PI4KIII\u03b2-PI4P-OSBP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 "author" : [ { "dropping-particle" : "", "family" : "Albulescu", "given" : "Lucian", "non-dropping-particle" : "", "parse-names" : false, "suffix" : "" }, { "dropping-particle" : "", "family" : "Bigay", "given" : "Jo\u00eblle", "non-dropping-particle" : "", "parse-names" : false, "suffix" : "" }, { "dropping-particle" : "", "family" : "Biswas", "given" : "Bishyajit", "non-dropping-particle" : "", "parse-names" : false, "suffix" : "" }, { "dropping-particle" : "", "family" : "Weber-Boyvat", "given" : "Marion", "non-dropping-particle" : "", "parse-names" : false, "suffix" : "" }, { "dropping-particle" : "", "family" : "Dorobantu", "given" : "Cristina M.", "non-dropping-particle" : "", "parse-names" : false, "suffix" : "" }, { "dropping-particle" : "", "family" : "Delang", "given" : "Leen", "non-dropping-particle" : "", "parse-names" : false, "suffix" : "" }, { "dropping-particle" : "", "family" : "Schaar", "given" : "Hilde M.", "non-dropping-particle" : "van der", "parse-names" : false, "suffix" : "" }, { "dropping-particle" : "", "family" : "Jung", "given" : "Young Sik", "non-dropping-particle" : "", "parse-names" : false, "suffix" : "" }, { "dropping-particle" : "", "family" : "Neyts", "given" : "Johan", "non-dropping-particle" : "", "parse-names" : false, "suffix" : "" }, { "dropping-particle" : "", "family" : "Olkkonen", "given" : "Vesa M.", "non-dropping-particle" : "", "parse-names" : false, "suffix" : "" }, { "dropping-particle" : "", "family" : "Kuppeveld", "given" : "Frank J.M.", "non-dropping-particle" : "van", "parse-names" : false, "suffix" : "" }, { "dropping-particle" : "", "family" : "Strating", "given" : "Jeroen R.P.M.", "non-dropping-particle" : "", "parse-names" : false, "suffix" : "" } ], "container-title" : "Antiviral Research", "id" : "ITEM-1", "issued" : { "date-parts" : [ [ "2017", "4", "1" ] ] }, "page" : "37-44", "publisher" : "Elsevier B.V.", "title" : "Uncovering oxysterol-binding protein (OSBP) as a target of the anti-enteroviral compound TTP-8307", "type" : "article-journal", "volume" : "140" }, "uris" : [ "http://www.mendeley.com/documents/?uuid=691e02eb-02f7-4512-b437-1ccb7c57007a" ] } ], "mendeley" : { "formattedCitation" : "&lt;sup&gt;48&lt;/sup&gt;", "plainTextFormattedCitation" : "48", "previouslyFormattedCitation" : "&lt;sup&gt;48&lt;/sup&gt;" }, "properties" : { "noteIndex" : 0 }, "schema" : "https://github.com/citation-style-language/schema/raw/master/csl-citation.json" }</w:instrText>
      </w:r>
      <w:r w:rsidRPr="00926BEA">
        <w:fldChar w:fldCharType="separate"/>
      </w:r>
      <w:r w:rsidR="00CB7208" w:rsidRPr="00CB7208">
        <w:rPr>
          <w:noProof/>
          <w:vertAlign w:val="superscript"/>
        </w:rPr>
        <w:t>48</w:t>
      </w:r>
      <w:r w:rsidRPr="00926BEA">
        <w:fldChar w:fldCharType="end"/>
      </w:r>
      <w:r w:rsidRPr="00926BEA">
        <w:t xml:space="preserve"> THEV2 similar to both ITZ and TTP also changed the localization of OSBP and inhibited the transfer function.</w:t>
      </w:r>
      <w:r w:rsidRPr="00926BEA">
        <w:fldChar w:fldCharType="begin" w:fldLock="1"/>
      </w:r>
      <w:r w:rsidR="006B01D5">
        <w:instrText>ADDIN CSL_CITATION { "citationItems" : [ { "id" : "ITEM-1", "itemData" : { "DOI" : "10.1128/JVI.03546-12", "ISSN" : "1098-5514", "PMID" : "23365445", "abstract" : "Enviroxime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 "author" : [ { "dropping-particle" : "", "family" : "Arita", "given" : "Minetaro", "non-dropping-particle" : "", "parse-names" : false, "suffix" : "" }, { "dropping-particle" : "", "family" : "Kojima", "given" : "Hirotatsu", "non-dropping-particle" : "", "parse-names" : false, "suffix" : "" }, { "dropping-particle" : "", "family" : "Nagano", "given" : "Tetsuo", "non-dropping-particle" : "", "parse-names" : false, "suffix" : "" }, { "dropping-particle" : "", "family" : "Okabe", "given" : "Takayoshi", "non-dropping-particle" : "", "parse-names" : false, "suffix" : "" }, { "dropping-particle" : "", "family" : "Wakita", "given" : "Takaji", "non-dropping-particle" : "", "parse-names" : false, "suffix" : "" }, { "dropping-particle" : "", "family" : "Shimizu", "given" : "Hiroyuki", "non-dropping-particle" : "", "parse-names" : false, "suffix" : "" } ], "container-title" : "Journal of virology", "id" : "ITEM-1", "issue" : "8", "issued" : { "date-parts" : [ [ "2013", "4" ] ] }, "page" : "4252-60", "title" : "Oxysterol-binding protein family I is the target of minor enviroxime-like compounds.", "type" : "article-journal", "volume" : "87" }, "uris" : [ "http://www.mendeley.com/documents/?uuid=51b7d014-654b-3ce1-9aef-7b3b657ea8af" ] } ], "mendeley" : { "formattedCitation" : "&lt;sup&gt;63&lt;/sup&gt;", "plainTextFormattedCitation" : "63", "previouslyFormattedCitation" : "&lt;sup&gt;63&lt;/sup&gt;" }, "properties" : { "noteIndex" : 0 }, "schema" : "https://github.com/citation-style-language/schema/raw/master/csl-citation.json" }</w:instrText>
      </w:r>
      <w:r w:rsidRPr="00926BEA">
        <w:fldChar w:fldCharType="separate"/>
      </w:r>
      <w:r w:rsidR="006B01D5" w:rsidRPr="006B01D5">
        <w:rPr>
          <w:noProof/>
          <w:vertAlign w:val="superscript"/>
        </w:rPr>
        <w:t>63</w:t>
      </w:r>
      <w:r w:rsidRPr="00926BEA">
        <w:fldChar w:fldCharType="end"/>
      </w:r>
      <w:r w:rsidRPr="00926BEA">
        <w:t xml:space="preserve"> Furthermore, THEV2 showed increased antiviral activity upon OSBP knockdown.</w:t>
      </w:r>
      <w:r w:rsidRPr="00926BEA">
        <w:fldChar w:fldCharType="begin" w:fldLock="1"/>
      </w:r>
      <w:r w:rsidR="006B01D5">
        <w:instrText>ADDIN CSL_CITATION { "citationItems" : [ { "id" : "ITEM-1", "itemData" : { "DOI" : "10.1128/JVI.03546-12", "ISSN" : "1098-5514", "PMID" : "23365445", "abstract" : "Enviroxime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 "author" : [ { "dropping-particle" : "", "family" : "Arita", "given" : "Minetaro", "non-dropping-particle" : "", "parse-names" : false, "suffix" : "" }, { "dropping-particle" : "", "family" : "Kojima", "given" : "Hirotatsu", "non-dropping-particle" : "", "parse-names" : false, "suffix" : "" }, { "dropping-particle" : "", "family" : "Nagano", "given" : "Tetsuo", "non-dropping-particle" : "", "parse-names" : false, "suffix" : "" }, { "dropping-particle" : "", "family" : "Okabe", "given" : "Takayoshi", "non-dropping-particle" : "", "parse-names" : false, "suffix" : "" }, { "dropping-particle" : "", "family" : "Wakita", "given" : "Takaji", "non-dropping-particle" : "", "parse-names" : false, "suffix" : "" }, { "dropping-particle" : "", "family" : "Shimizu", "given" : "Hiroyuki", "non-dropping-particle" : "", "parse-names" : false, "suffix" : "" } ], "container-title" : "Journal of virology", "id" : "ITEM-1", "issue" : "8", "issued" : { "date-parts" : [ [ "2013", "4" ] ] }, "page" : "4252-60", "title" : "Oxysterol-binding protein family I is the target of minor enviroxime-like compounds.", "type" : "article-journal", "volume" : "87" }, "uris" : [ "http://www.mendeley.com/documents/?uuid=51b7d014-654b-3ce1-9aef-7b3b657ea8af" ] } ], "mendeley" : { "formattedCitation" : "&lt;sup&gt;63&lt;/sup&gt;", "plainTextFormattedCitation" : "63", "previouslyFormattedCitation" : "&lt;sup&gt;63&lt;/sup&gt;" }, "properties" : { "noteIndex" : 0 }, "schema" : "https://github.com/citation-style-language/schema/raw/master/csl-citation.json" }</w:instrText>
      </w:r>
      <w:r w:rsidRPr="00926BEA">
        <w:fldChar w:fldCharType="separate"/>
      </w:r>
      <w:r w:rsidR="006B01D5" w:rsidRPr="006B01D5">
        <w:rPr>
          <w:noProof/>
          <w:vertAlign w:val="superscript"/>
        </w:rPr>
        <w:t>63</w:t>
      </w:r>
      <w:r w:rsidRPr="00926BEA">
        <w:fldChar w:fldCharType="end"/>
      </w:r>
      <w:r w:rsidRPr="00926BEA">
        <w:t xml:space="preserve"> OSW-1 is unique compared to the other </w:t>
      </w:r>
      <w:r w:rsidR="00127EDE">
        <w:t>OSBP-targeting</w:t>
      </w:r>
      <w:r w:rsidRPr="00926BEA">
        <w:t xml:space="preserve"> compounds as it targets both OSBP and ORP4, and that OSW-1 treatment caused a unique proteasomal degradation of OSBP.</w:t>
      </w:r>
      <w:r w:rsidRPr="00926BEA">
        <w:fldChar w:fldCharType="begin" w:fldLock="1"/>
      </w:r>
      <w:r w:rsidR="006B01D5">
        <w:instrText>ADDIN CSL_CITATION { "citationItems" : [ { "id" : "ITEM-1", "itemData" : { "DOI" : "10.1038/nchembio.625", "ISBN" : "1552-4469 (Electronic)\\n1552-4450 (Linking)", "ISSN" : "1552-4450", "PMID" : "21822274", "abstract" : "Cephalostatin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(ORP4L)\u2014proteins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 C", "author" : [ { "dropping-particle" : "", "family" : "Burgett", "given" : "Anthony W G", "non-dropping-particle" : "", "parse-names" : false, "suffix" : "" }, { "dropping-particle" : "", "family" : "Poulsen", "given" : "Thomas B", "non-dropping-particle" : "", "parse-names" : false, "suffix" : "" }, { "dropping-particle" : "", "family" : "Wangkanont", "given" : "Kittikhun", "non-dropping-particle" : "", "parse-names" : false, "suffix" : "" }, { "dropping-particle" : "", "family" : "Anderson", "given" : "D Ryan", "non-dropping-particle" : "", "parse-names" : false, "suffix" : "" }, { "dropping-particle" : "", "family" : "Kikuchi", "given" : "Chikako", "non-dropping-particle" : "", "parse-names" : false, "suffix" : "" }, { "dropping-particle" : "", "family" : "Shimada", "given" : "Kousei", "non-dropping-particle" : "", "parse-names" : false, "suffix" : "" }, { "dropping-particle" : "", "family" : "Okubo", "given" : "Shuichi", "non-dropping-particle" : "", "parse-names" : false, "suffix" : "" }, { "dropping-particle" : "", "family" : "Fortner", "given" : "Kevin C", "non-dropping-particle" : "", "parse-names" : false, "suffix" : "" }, { "dropping-particle" : "", "family" : "Mimaki", "given" : "Yoshihiro", "non-dropping-particle" : "", "parse-names" : false, "suffix" : "" }, { "dropping-particle" : "", "family" : "Kuroda", "given" : "Minpei", "non-dropping-particle" : "", "parse-names" : false, "suffix" : "" }, { "dropping-particle" : "", "family" : "Murphy", "given" : "Jason P", "non-dropping-particle" : "", "parse-names" : false, "suffix" : "" }, { "dropping-particle" : "", "family" : "Schwalb", "given" : "David J", "non-dropping-particle" : "", "parse-names" : false, "suffix" : "" }, { "dropping-particle" : "", "family" : "Petrella", "given" : "Eugene C", "non-dropping-particle" : "", "parse-names" : false, "suffix" : "" }, { "dropping-particle" : "", "family" : "Cornella-Taracido", "given" : "Ivan", "non-dropping-particle" : "", "parse-names" : false, "suffix" : "" }, { "dropping-particle" : "", "family" : "Schirle", "given" : "Markus", "non-dropping-particle" : "", "parse-names" : false, "suffix" : "" }, { "dropping-particle" : "", "family" : "Tallarico", "given" : "John A", "non-dropping-particle" : "", "parse-names" : false, "suffix" : "" }, { "dropping-particle" : "", "family" : "Shair", "given" : "Matthew D", "non-dropping-particle" : "", "parse-names" : false, "suffix" : "" } ], "container-title" : "Nature Chemical Biology", "id" : "ITEM-1", "issue" : "9", "issued" : { "date-parts" : [ [ "2011" ] ] }, "page" : "639-647", "publisher" : "Nature Publishing Group", "title" : "Natural products reveal cancer cell dependence on oxysterol-binding proteins", "type" : "article-journal", "volume" : "7" }, "uris" : [ "http://www.mendeley.com/documents/?uuid=8247cefa-1387-4829-8f62-5411ff24d436" ] } ], "mendeley" : { "formattedCitation" : "&lt;sup&gt;60&lt;/sup&gt;", "plainTextFormattedCitation" : "60", "previouslyFormattedCitation" : "&lt;sup&gt;60&lt;/sup&gt;" }, "properties" : { "noteIndex" : 0 }, "schema" : "https://github.com/citation-style-language/schema/raw/master/csl-citation.json" }</w:instrText>
      </w:r>
      <w:r w:rsidRPr="00926BEA">
        <w:fldChar w:fldCharType="separate"/>
      </w:r>
      <w:r w:rsidR="006B01D5" w:rsidRPr="006B01D5">
        <w:rPr>
          <w:noProof/>
          <w:vertAlign w:val="superscript"/>
        </w:rPr>
        <w:t>60</w:t>
      </w:r>
      <w:r w:rsidRPr="00926BEA">
        <w:fldChar w:fldCharType="end"/>
      </w:r>
      <w:r w:rsidRPr="00926BEA">
        <w:t xml:space="preserve">  OSW-1’s broad antiviral activity is correlated to OSBP binding and perturbation rather than ORP4 binding.</w:t>
      </w:r>
      <w:r w:rsidRPr="00926BEA">
        <w:fldChar w:fldCharType="begin" w:fldLock="1"/>
      </w:r>
      <w:r w:rsidR="006B01D5">
        <w:instrText>ADDIN CSL_CITATION { "citationItems" : [ { "id" : "ITEM-1", "itemData" : { "DOI" : "10.1016/j.celrep.2014.12.054", "ISSN" : "22111247", "abstract" : "Itraconazole (ITZ) is a well-known antifungal agent that also has anticancer activity. In this study, weidentify ITZ as a broad-spectrum inhibitor of enteroviruses (e.g., poliovirus, coxsackievirus, enterovirus-71, rhinovirus). We demonstrate that ITZ inhibits viral RNA replication by targeting oxysterol-binding protein (OSBP) and OSBP-related protein 4 (ORP4). Consistently, OSW-1, a specific OSBP/ORP4 antagonist, also inhibits enterovirus replication. Knockdown of OSBP inhibits virus replication, whereas overexpression of OSBP or ORP4 counteracts the antiviral effects of ITZ and OSW-1. ITZ binds OSBP and inhibits its function, i.e., shuttling of cholesterol and phosphatidylinositol-4-phosphate between membranes, thereby likely perturbing the virus-induced membrane alterations essential for viral replication organelle formation. ITZ also inhibits hepatitis C virus replication, which also relies on OSBP. Together, these data implicate OSBP/ORP4 as molecular targets of ITZ and point to an essential role of OSBP/ORP4-mediated lipid exchange in virus replication that can be targeted by antiviral drugs.", "author" : [ { "dropping-particle" : "", "family" : "Strating", "given" : "Jeroen R.P.M.", "non-dropping-particle" : "", "parse-names" : false, "suffix" : "" }, { "dropping-particle" : "", "family" : "Linden", "given" : "Lonneke", "non-dropping-particle" : "van der", "parse-names" : false, "suffix" : "" }, { "dropping-particle" : "", "family" : "Albulescu", "given" : "Lucian", "non-dropping-particle" : "", "parse-names" : false, "suffix" : "" }, { "dropping-particle" : "", "family" : "Bigay", "given" : "Jo\u00eblle", "non-dropping-particle" : "", "parse-names" : false, "suffix" : "" }, { "dropping-particle" : "", "family" : "Arita", "given" : "Minetaro", "non-dropping-particle" : "", "parse-names" : false, "suffix" : "" }, { "dropping-particle" : "", "family" : "Delang", "given" : "Leen", "non-dropping-particle" : "", "parse-names" : false, "suffix" : "" }, { "dropping-particle" : "", "family" : "Leyssen", "given" : "Pieter", "non-dropping-particle" : "", "parse-names" : false, "suffix" : "" }, { "dropping-particle" : "", "family" : "Schaar", "given" : "Hilde M.", "non-dropping-particle" : "van der", "parse-names" : false, "suffix" : "" }, { "dropping-particle" : "", "family" : "Lanke", "given" : "Kjerstin H.W.", "non-dropping-particle" : "", "parse-names" : false, "suffix" : "" }, { "dropping-particle" : "", "family" : "Thibaut", "given" : "Hendrik Jan", "non-dropping-particle" : "", "parse-names" : false, "suffix" : "" }, { "dropping-particle" : "", "family" : "Ulferts", "given" : "Rachel", "non-dropping-particle" : "", "parse-names" : false, "suffix" : "" }, { "dropping-particle" : "", "family" : "Drin", "given" : "Guillaume", "non-dropping-particle" : "", "parse-names" : false, "suffix" : "" }, { "dropping-particle" : "", "family" : "Schlinck", "given" : "Nina", "non-dropping-particle" : "", "parse-names" : false, "suffix" : "" }, { "dropping-particle" : "", "family" : "Wubbolts", "given" : "Richard W.", "non-dropping-particle" : "", "parse-names" : false, "suffix" : "" }, { "dropping-particle" : "", "family" : "Sever", "given" : "Navdar", "non-dropping-particle" : "", "parse-names" : false, "suffix" : "" }, { "dropping-particle" : "", "family" : "Head", "given" : "Sarah A.", "non-dropping-particle" : "", "parse-names" : false, "suffix" : "" }, { "dropping-particle" : "", "family" : "Liu", "given" : "Jun O.", "non-dropping-particle" : "", "parse-names" : false, "suffix" : "" }, { "dropping-particle" : "", "family" : "Beachy", "given" : "Philip A.", "non-dropping-particle" : "", "parse-names" : false, "suffix" : "" }, { "dropping-particle" : "", "family" : "DeMatteis", "given" : "Maria A.", "non-dropping-particle" : "", "parse-names" : false, "suffix" : "" }, { "dropping-particle" : "", "family" : "Shair", "given" : "Matthew D.", "non-dropping-particle" : "", "parse-names" : false, "suffix" : "" }, { "dropping-particle" : "", "family" : "Olkkonen", "given" : "Vesa M.", "non-dropping-particle" : "", "parse-names" : false, "suffix" : "" }, { "dropping-particle" : "", "family" : "Neyts", "given" : "Johan", "non-dropping-particle" : "", "parse-names" : false, "suffix" : "" }, { "dropping-particle" : "", "family" : "Kuppeveld", "given" : "Frank J.M.", "non-dropping-particle" : "van", "parse-names" : false, "suffix" : "" } ], "container-title" : "Cell Reports", "id" : "ITEM-1", "issue" : "4", "issued" : { "date-parts" : [ [ "2015", "2", "3" ] ] }, "page" : "600-615", "publisher" : "Elsevier", "title" : "Itraconazole inhibits enterovirus replication by targeting the oxysterol-binding protein", "type" : "article-journal", "volume" : "10" }, "uris" : [ "http://www.mendeley.com/documents/?uuid=d1b307b3-3d94-47e0-b888-4cf17a6ee2d0" ] }, { "id" : "ITEM-2", "itemData" : { "DOI" : "10.1016/j.antiviral.2015.02.013", "ISSN" : "18729096", "abstract" : "Enteroviruses, e.g., polio-, coxsackie- and rhinoviruses, constitute a large genus within the Picornaviridae family of positive-strand RNA viruses and include many important pathogens linked to a variety of acute and chronic diseases. Despite their huge medical and economic impact, no approved antiviral therapy is yet available. Recently, the oxysterol-binding protein (OSBP) was implicated as a host factor for enterovirus replication. Here, we investigated the antiviral activity of the natural compound OSW-1, a ligand of OSBP that is under investigation as an anti-cancer drug. OSW-1 potently inhibited the replication of all enteroviruses tested, with IC50 values in the low nanomolar range, acted at the genome replication stage and was effective in all tested cell types of three different species. Importantly, OSBP overexpression rescued viral replication, demonstrating that the antiviral effect of OSW-1 is due to targeting OSBP. Together, we here report the anti-enterovirus activity of the natural anti-cancer compound OSW-1.", "author" : [ { "dropping-particle" : "", "family" : "Albulescu", "given" : "Lucian", "non-dropping-particle" : "", "parse-names" : false, "suffix" : "" }, { "dropping-particle" : "", "family" : "Strating", "given" : "Jeroen R.P.M.", "non-dropping-particle" : "", "parse-names" : false, "suffix" : "" }, { "dropping-particle" : "", "family" : "Thibaut", "given" : "Hendrik Jan", "non-dropping-particle" : "", "parse-names" : false, "suffix" : "" }, { "dropping-particle" : "", "family" : "Linden", "given" : "Lonneke", "non-dropping-particle" : "Van Der", "parse-names" : false, "suffix" : "" }, { "dropping-particle" : "", "family" : "Shair", "given" : "Matthew D.", "non-dropping-particle" : "", "parse-names" : false, "suffix" : "" }, { "dropping-particle" : "", "family" : "Neyts", "given" : "Johan", "non-dropping-particle" : "", "parse-names" : false, "suffix" : "" }, { "dropping-particle" : "", "family" : "Kuppeveld", "given" : "Frank J.M.", "non-dropping-particle" : "Van", "parse-names" : false, "suffix" : "" } ], "container-title" : "Antiviral Research", "id" : "ITEM-2", "issued" : { "date-parts" : [ [ "2015" ] ] }, "page" : "110-114", "publisher" : "Elsevier", "title" : "Broad-range inhibition of enterovirus replication by OSW-1, a natural compound targeting OSBP", "type" : "article-journal", "volume" : "117" }, "uris" : [ "http://www.mendeley.com/documents/?uuid=61d266c8-8d1e-49ee-bdde-a238798b9475" ] } ], "mendeley" : { "formattedCitation" : "&lt;sup&gt;46,64&lt;/sup&gt;", "plainTextFormattedCitation" : "46,64", "previouslyFormattedCitation" : "&lt;sup&gt;46,64&lt;/sup&gt;" }, "properties" : { "noteIndex" : 0 }, "schema" : "https://github.com/citation-style-language/schema/raw/master/csl-citation.json" }</w:instrText>
      </w:r>
      <w:r w:rsidRPr="00926BEA">
        <w:fldChar w:fldCharType="separate"/>
      </w:r>
      <w:r w:rsidR="006B01D5" w:rsidRPr="006B01D5">
        <w:rPr>
          <w:noProof/>
          <w:vertAlign w:val="superscript"/>
        </w:rPr>
        <w:t>46,64</w:t>
      </w:r>
      <w:r w:rsidRPr="00926BEA">
        <w:fldChar w:fldCharType="end"/>
      </w:r>
      <w:r w:rsidRPr="00926BEA">
        <w:t xml:space="preserve"> </w:t>
      </w:r>
    </w:p>
    <w:p w14:paraId="38A09D42" w14:textId="0F46C4BA" w:rsidR="00926BEA" w:rsidRPr="00926BEA" w:rsidRDefault="00926BEA" w:rsidP="00926BEA">
      <w:pPr>
        <w:ind w:firstLine="720"/>
        <w:jc w:val="both"/>
      </w:pPr>
      <w:r w:rsidRPr="00926BEA">
        <w:t xml:space="preserve">Herein, this chapter describes </w:t>
      </w:r>
      <w:r w:rsidR="003060FE">
        <w:t xml:space="preserve">my contributions to the </w:t>
      </w:r>
      <w:r w:rsidR="00373C60">
        <w:t>i</w:t>
      </w:r>
      <w:r w:rsidR="003060FE">
        <w:t xml:space="preserve">dentification of OSW-1 as a </w:t>
      </w:r>
      <w:r w:rsidR="00373C60" w:rsidRPr="00926BEA">
        <w:t>broad-spectrum</w:t>
      </w:r>
      <w:r w:rsidR="003060FE">
        <w:t xml:space="preserve"> </w:t>
      </w:r>
      <w:r w:rsidRPr="00926BEA">
        <w:t xml:space="preserve">prophylactic </w:t>
      </w:r>
      <w:r w:rsidR="003060FE">
        <w:t xml:space="preserve">compound that works through a </w:t>
      </w:r>
      <w:r w:rsidRPr="00926BEA">
        <w:t xml:space="preserve">non-toxic, selective, </w:t>
      </w:r>
      <w:r w:rsidR="003060FE">
        <w:t xml:space="preserve">and </w:t>
      </w:r>
      <w:r w:rsidR="00373C60" w:rsidRPr="00926BEA">
        <w:t>long-term</w:t>
      </w:r>
      <w:r w:rsidRPr="00926BEA">
        <w:t xml:space="preserve"> degradation of the host OSBP protein. </w:t>
      </w:r>
      <w:r w:rsidR="003060FE">
        <w:t>I show that t</w:t>
      </w:r>
      <w:r w:rsidR="003060FE" w:rsidRPr="00926BEA">
        <w:t>h</w:t>
      </w:r>
      <w:r w:rsidR="003060FE">
        <w:t>e</w:t>
      </w:r>
      <w:r w:rsidR="003060FE" w:rsidRPr="00926BEA">
        <w:t xml:space="preserve"> </w:t>
      </w:r>
      <w:r w:rsidRPr="00926BEA">
        <w:t>multiday repression of OSBP is independent of residual OSW-1 compound</w:t>
      </w:r>
      <w:r w:rsidR="003060FE">
        <w:t xml:space="preserve"> present in the cell. I also shown that the OSBP repression is not due to OSBP cleavage by activation of </w:t>
      </w:r>
      <w:r w:rsidR="00CC595D">
        <w:t>c</w:t>
      </w:r>
      <w:r w:rsidRPr="00926BEA">
        <w:t>alpain proteas</w:t>
      </w:r>
      <w:r w:rsidR="003060FE">
        <w:t>e</w:t>
      </w:r>
      <w:r w:rsidRPr="00926BEA">
        <w:t xml:space="preserve"> activity. </w:t>
      </w:r>
      <w:r w:rsidR="003060FE">
        <w:t>Further, my results demonstrate that the other OSBP-targeting antiviral activity THEV2 binds at an overlapping site to OSW-1, but unlike OSW-1, THEV does to induce the repression of OSBP in cells. My research contributions</w:t>
      </w:r>
      <w:r w:rsidRPr="00926BEA">
        <w:t xml:space="preserve"> </w:t>
      </w:r>
      <w:r w:rsidR="00373C60" w:rsidRPr="00926BEA">
        <w:t>have</w:t>
      </w:r>
      <w:r w:rsidRPr="00926BEA">
        <w:t xml:space="preserve"> clear applications for </w:t>
      </w:r>
      <w:r w:rsidR="003060FE">
        <w:t xml:space="preserve">potentially developing new OSW-1-derived </w:t>
      </w:r>
      <w:r w:rsidRPr="00926BEA">
        <w:t>antiviral prophylactics and therapeutic</w:t>
      </w:r>
      <w:r w:rsidR="003060FE">
        <w:t>s.</w:t>
      </w:r>
      <w:r w:rsidRPr="00926BEA">
        <w:t xml:space="preserve">  </w:t>
      </w:r>
    </w:p>
    <w:p w14:paraId="16175F10" w14:textId="5E5B5DEC" w:rsidR="00A66B3A" w:rsidRDefault="00A66B3A" w:rsidP="002902C7">
      <w:pPr>
        <w:jc w:val="both"/>
      </w:pPr>
    </w:p>
    <w:p w14:paraId="722F12A1" w14:textId="12EA99E9" w:rsidR="00A66B3A" w:rsidRDefault="00A66B3A" w:rsidP="002902C7">
      <w:pPr>
        <w:jc w:val="both"/>
      </w:pPr>
    </w:p>
    <w:p w14:paraId="572D2D00" w14:textId="057B0A33" w:rsidR="000844BF" w:rsidRPr="000844BF" w:rsidRDefault="00960058" w:rsidP="002902C7">
      <w:pPr>
        <w:pStyle w:val="Heading2"/>
        <w:jc w:val="both"/>
      </w:pPr>
      <w:bookmarkStart w:id="35" w:name="_Toc39868144"/>
      <w:r>
        <w:lastRenderedPageBreak/>
        <w:t>2.</w:t>
      </w:r>
      <w:r w:rsidR="00B1334A">
        <w:t>2</w:t>
      </w:r>
      <w:r>
        <w:t xml:space="preserve"> Methods</w:t>
      </w:r>
      <w:bookmarkEnd w:id="35"/>
    </w:p>
    <w:p w14:paraId="6AC66942" w14:textId="35EAC406" w:rsidR="00FA147C" w:rsidRPr="00FA147C" w:rsidRDefault="00FA147C" w:rsidP="00F01888">
      <w:pPr>
        <w:pStyle w:val="Heading3"/>
      </w:pPr>
      <w:bookmarkStart w:id="36" w:name="_Toc39868145"/>
      <w:r>
        <w:t>2.</w:t>
      </w:r>
      <w:r w:rsidR="00B1334A">
        <w:t>2</w:t>
      </w:r>
      <w:r w:rsidR="005668C1">
        <w:t>.</w:t>
      </w:r>
      <w:r>
        <w:t>1 Cell Lines and Viruses</w:t>
      </w:r>
      <w:bookmarkEnd w:id="36"/>
    </w:p>
    <w:p w14:paraId="4B17F1E4" w14:textId="3F1F4AD2" w:rsidR="00D8318F" w:rsidRDefault="00D8318F" w:rsidP="002902C7">
      <w:pPr>
        <w:ind w:firstLine="720"/>
        <w:jc w:val="both"/>
      </w:pPr>
      <w:r>
        <w:t>HCT116 (ATCC CCL-247)</w:t>
      </w:r>
      <w:r w:rsidR="00A81EC6">
        <w:t xml:space="preserve"> colon cancer cell line</w:t>
      </w:r>
      <w:r>
        <w:t xml:space="preserve"> was cultured in McCoy 5A media (Thermo 16600108) supplemented with 10% Hyclone and 1% penicillin streptomycin.</w:t>
      </w:r>
      <w:r w:rsidR="00BA1E73" w:rsidRPr="00BA1E73">
        <w:t xml:space="preserve"> </w:t>
      </w:r>
      <w:r w:rsidR="00BA1E73">
        <w:t xml:space="preserve">HEK293 embryonic kidney cell line </w:t>
      </w:r>
      <w:r w:rsidR="004F2827">
        <w:t>was cultured in DMEM (Thermo 11995073) supplemented with 10% Hyclone (Fisher Sci SH3006603) and 1% penicillin-streptomycin (Thermo 15140122).</w:t>
      </w:r>
      <w:r w:rsidR="003942E8" w:rsidRPr="003942E8">
        <w:t xml:space="preserve"> </w:t>
      </w:r>
      <w:r w:rsidR="003942E8">
        <w:t>K-562 (ATCC CCL-243) was cultured in RPMI 1640 (Thermo 22400105) media supplemented with 10% Hyclone and 1% penicillin streptomycin.</w:t>
      </w:r>
      <w:r w:rsidR="008B105D" w:rsidRPr="008B105D">
        <w:t xml:space="preserve"> </w:t>
      </w:r>
      <w:r w:rsidR="008B105D">
        <w:t>Coxsackievirus A9 (strain CoxA9-01) and Echovirus 2 (strain Echo2- 01) were obtained from the Oklahoma State Department of Health Laboratory. They are clinical isolates, obtained from OK residents and typed by the OK State Department of Health and/or the Center for Disease Control and Prevention. All other identifiers have been stripped off. These viruses were passaged twice in RD cells, aliquoted in 1.0 mL amounts and stored in complete medium at -80 ⁰C. Each virus was titered on RD cells using a TCID-50 assay1 . To allow m.o.i. to be determined a conversion factor of 0.7 was used to change TCID-50 to pfu/ml.</w:t>
      </w:r>
    </w:p>
    <w:p w14:paraId="2E863A6C" w14:textId="77777777" w:rsidR="001C558B" w:rsidRDefault="001C558B" w:rsidP="002902C7">
      <w:pPr>
        <w:jc w:val="both"/>
      </w:pPr>
    </w:p>
    <w:p w14:paraId="6EBBFD79" w14:textId="64CFD278" w:rsidR="008B105D" w:rsidRDefault="008B105D" w:rsidP="00F01888">
      <w:pPr>
        <w:pStyle w:val="Heading3"/>
      </w:pPr>
      <w:bookmarkStart w:id="37" w:name="_Toc39868146"/>
      <w:r>
        <w:t>2.</w:t>
      </w:r>
      <w:r w:rsidR="00B1334A">
        <w:t>2</w:t>
      </w:r>
      <w:r w:rsidR="005668C1">
        <w:t>.</w:t>
      </w:r>
      <w:r w:rsidR="001C558B">
        <w:t>2</w:t>
      </w:r>
      <w:r>
        <w:t xml:space="preserve"> </w:t>
      </w:r>
      <w:r w:rsidR="00FD74A5">
        <w:t>Cell Lysis</w:t>
      </w:r>
      <w:bookmarkEnd w:id="37"/>
    </w:p>
    <w:p w14:paraId="7DC8BB48" w14:textId="3624A027" w:rsidR="002C6AA7" w:rsidRDefault="002C6AA7" w:rsidP="002902C7">
      <w:pPr>
        <w:ind w:firstLine="720"/>
        <w:jc w:val="both"/>
      </w:pPr>
      <w:r>
        <w:t xml:space="preserve">Adherent cells were </w:t>
      </w:r>
      <w:r>
        <w:rPr>
          <w:rFonts w:cs="Arial"/>
        </w:rPr>
        <w:t xml:space="preserve">lysed by aspiration of media, wash with 1X PBS, addition of </w:t>
      </w:r>
      <w:r>
        <w:t>TrypLE</w:t>
      </w:r>
      <w:r>
        <w:rPr>
          <w:vertAlign w:val="superscript"/>
        </w:rPr>
        <w:t>TM</w:t>
      </w:r>
      <w:r>
        <w:t xml:space="preserve"> Express (Gibco 12605- 010), and neutralized through the addition of media. Cells were spun at at 14,000 RCF for 0.45 min at 4C. Supernatant was aspirated, cell pellet washed with 1X PBS, and resuspended in 50 </w:t>
      </w:r>
      <w:r>
        <w:rPr>
          <w:rFonts w:cs="Arial"/>
        </w:rPr>
        <w:t>µ</w:t>
      </w:r>
      <w:r>
        <w:t xml:space="preserve">L of AC lysis buffer (150 mM NaCl, 1.5 mM MgCl2, 5% glycerol, 0.8% NP40, 1mM DTT, 50 mM HEPES, 25 mM NaF, 1 </w:t>
      </w:r>
      <w:r>
        <w:lastRenderedPageBreak/>
        <w:t>mM Na3PO4) with 3X HALT/EDTA protease inhibitor (Thermo 78438) and 0.2 mM phenylmethanesulfonylfluoride (Goldbio). Cells were freeze/ thawed (X3) with LN</w:t>
      </w:r>
      <w:r>
        <w:rPr>
          <w:vertAlign w:val="subscript"/>
        </w:rPr>
        <w:t xml:space="preserve">2 </w:t>
      </w:r>
      <w:r>
        <w:t xml:space="preserve">and centrifuged for 15 min at 14,000 RCF at 4C. Resulting cell lysate was Bradford for protein concentration. </w:t>
      </w:r>
    </w:p>
    <w:p w14:paraId="3620C412" w14:textId="77777777" w:rsidR="00F81DCE" w:rsidRPr="004E22DF" w:rsidRDefault="00F81DCE" w:rsidP="002902C7">
      <w:pPr>
        <w:jc w:val="both"/>
        <w:rPr>
          <w:rFonts w:cs="Arial"/>
        </w:rPr>
      </w:pPr>
    </w:p>
    <w:p w14:paraId="769A037F" w14:textId="7D2DF154" w:rsidR="00FE29F0" w:rsidRDefault="00FE29F0" w:rsidP="00F01888">
      <w:pPr>
        <w:pStyle w:val="Heading3"/>
      </w:pPr>
      <w:bookmarkStart w:id="38" w:name="_Toc39868147"/>
      <w:r>
        <w:t>2.</w:t>
      </w:r>
      <w:r w:rsidR="00B1334A">
        <w:t>2</w:t>
      </w:r>
      <w:r w:rsidR="005668C1">
        <w:t>.</w:t>
      </w:r>
      <w:r w:rsidR="001C558B">
        <w:t>3</w:t>
      </w:r>
      <w:r>
        <w:t xml:space="preserve"> Immunoblotting</w:t>
      </w:r>
      <w:bookmarkEnd w:id="38"/>
    </w:p>
    <w:p w14:paraId="71C0BAAD" w14:textId="77777777" w:rsidR="00F81DCE" w:rsidRPr="00AA5332" w:rsidRDefault="00F81DCE" w:rsidP="002902C7">
      <w:pPr>
        <w:ind w:firstLine="720"/>
        <w:jc w:val="both"/>
      </w:pPr>
      <w:r>
        <w:rPr>
          <w:rFonts w:cs="Arial"/>
        </w:rPr>
        <w:t>SDS-PAGE gels (8.5%) were loaded with 25 µg of protein, transferred to nitrocellulose membrane (</w:t>
      </w:r>
      <w:r>
        <w:t xml:space="preserve">(Bio-Rad 1620115) with a constant voltage of 100V for 1 h at 4C. The membrane was blocked in 5% milk for 0.5 h. Following washing with TBST (X3), the membrane was incubated with 1:500 ORP4 antibody (Santa Cruz sc-365922) or 1:1000 OSBP antibody (Santa Cruz sc-365771) overnight at 4C. Following washing, the membrane was incubated with 1:3000 Secondary antibody (Santa Cruz sc-2060) for 1 h at RT. Following washing, the membrane was developed with ClarityTM Western ECL substrate (Bio-Rad 1705061) and imaged on the Bio-Rad ChemiDocTM Touch Imaging System. The membrane was incubated with 1:1000 β-actin HRP (Santa Cruz sc-47778 HRP) after washing and developed as previously described. </w:t>
      </w:r>
    </w:p>
    <w:p w14:paraId="1280C98C" w14:textId="0FB11538" w:rsidR="00F81DCE" w:rsidRDefault="00F81DCE" w:rsidP="002902C7">
      <w:pPr>
        <w:jc w:val="both"/>
      </w:pPr>
    </w:p>
    <w:p w14:paraId="3806881B" w14:textId="226944D1" w:rsidR="00E81B99" w:rsidRDefault="00E81B99" w:rsidP="00F01888">
      <w:pPr>
        <w:pStyle w:val="Heading3"/>
      </w:pPr>
      <w:bookmarkStart w:id="39" w:name="_Toc39868148"/>
      <w:r>
        <w:t>2</w:t>
      </w:r>
      <w:r w:rsidR="00B1334A">
        <w:t>.2</w:t>
      </w:r>
      <w:r w:rsidR="005668C1">
        <w:t>.</w:t>
      </w:r>
      <w:r w:rsidR="001C558B">
        <w:t>4</w:t>
      </w:r>
      <w:r>
        <w:t xml:space="preserve"> </w:t>
      </w:r>
      <w:r w:rsidR="00B1334A">
        <w:t xml:space="preserve">OSW-1 Compound </w:t>
      </w:r>
      <w:r>
        <w:t>Washout Treatments</w:t>
      </w:r>
      <w:bookmarkEnd w:id="39"/>
    </w:p>
    <w:p w14:paraId="383185F9" w14:textId="2DDB5CFD" w:rsidR="00102D85" w:rsidRDefault="00D81DE7" w:rsidP="002902C7">
      <w:pPr>
        <w:ind w:firstLine="720"/>
        <w:jc w:val="both"/>
      </w:pPr>
      <w:r>
        <w:t xml:space="preserve">Cells were treated with 1 nM OSW-1, 1 nM Taxol, or DMSO media for 6 hr or the indicated time period. Media was removed and the cells were gently washed with 5 mL of complete media 3 times and then 10 mL of fresh, OSW-1-compound free media was added back to the cells. The cells were then allowed to recover for the indicated times (0-72 hrs) and were lysed as described above and analyzed by Western blot. </w:t>
      </w:r>
    </w:p>
    <w:p w14:paraId="6634F36C" w14:textId="522A08C4" w:rsidR="00102D85" w:rsidRDefault="00102D85" w:rsidP="00F01888">
      <w:pPr>
        <w:pStyle w:val="Heading3"/>
      </w:pPr>
      <w:bookmarkStart w:id="40" w:name="_Toc39868149"/>
      <w:r>
        <w:lastRenderedPageBreak/>
        <w:t>2.</w:t>
      </w:r>
      <w:r w:rsidR="005668C1">
        <w:t>4.</w:t>
      </w:r>
      <w:r w:rsidR="001C558B">
        <w:t>5</w:t>
      </w:r>
      <w:r>
        <w:t xml:space="preserve"> Deuterated OSW-1</w:t>
      </w:r>
      <w:bookmarkEnd w:id="40"/>
      <w:r>
        <w:t xml:space="preserve"> </w:t>
      </w:r>
    </w:p>
    <w:p w14:paraId="235B3457" w14:textId="6B6550DA" w:rsidR="00D81DE7" w:rsidRDefault="00EB6185" w:rsidP="002902C7">
      <w:pPr>
        <w:ind w:firstLine="720"/>
        <w:jc w:val="both"/>
      </w:pPr>
      <w:r>
        <w:t>The deuterated OSW-1 analog (Fig. 1A, 2) was produced via total synthesis of OSW-1 adapted from literature procedure.</w:t>
      </w:r>
      <w:r w:rsidR="002D3633" w:rsidRPr="002D3633">
        <w:t xml:space="preserve"> </w:t>
      </w:r>
      <w:r w:rsidR="002D3633">
        <w:t>During the synthesis of the xylose component, a benzoate group containing the deuterated methyl substituent was introduced. 1H NMR (400 MHz, Acetonitrile-d3) δ 8.02 (d, J = 9.0 Hz, 2H), 7.02 (d, J = 8.9 Hz, 2H), 5.31 (d, J = 4.9 Hz, 1H), 4.84 (t, J = 8.2 Hz, 1H), 4.73 (dd, J = 8.3, 6.2 Hz, 1H), 4.61 (d, J = 7.7 Hz, 1H), 4.20 (s, 1H), 4.01 (d, J = 6.2 Hz, 1H), 3.92 (dd, J = 11.5, 4.9 Hz, 1H), 3.88 (s, 1H), 3.76 (dd, J = 12.4, 4.2 Hz, 1H), 3.67 (dt, J = 8.2, 4.2 Hz, 2H), 3.64 – 3.50 (m, 2H), 3.42 (dd, J = 12.4, 2.3 Hz, 1H), 3.38 – 3.22 (m, 2H), 2.86 (q, J = 7.3 Hz, 1H), 2.69 (s, 1H), 2.46 (ddd, J = 18.2, 9.0, 6.5 Hz, 1H), 2.23 – 2.08 (m, 5H), 1.99 – 1.90 (m, 1H), 1.85 – 1.76 (m, 1H), 1.75 – 1.68 (m, 2H), 1.67 (s, 3H), 1.64 – 1.38 (m, 5H), 1.32 (dt, J = 13.1, 6.6 Hz, 1H), 1.29 – 1.14 (m, 3H), 1.07 (d, J = 7.4 Hz, 3H), 1.04 – 1.01 (m, 1H), 1.00 (s, 3H), 0.94 – 0.83 (m, 1H), 0.82 – 0.74 (m, 9H). 13C NMR (101 MHz, Acetonitrile-d3) δ 220.09, 169.95, 165.66, 164.73, 142.44, 132.79, 123.64, 121.86, 114.81, 102.92, 100.98, 88.19, 86.20, 80.82, 75.74, 74.47, 71.90, 71.72, 70.49, 67.67, 66.46, 65.22, 50.89, 49.20, 46.94, 46.54, 43.07, 39.71, 38.13, 37.35, 35.74, 33.19, 32.86, 32.69, 32.63, 32.37, 28.19, 22.88, 22.67, 21.34, 21.04, 19.79, 13.56, 12.16. HRMS calcd for C47H65D3O15Na: 898.4639 [M + Na]+, found 898.4611.</w:t>
      </w:r>
    </w:p>
    <w:p w14:paraId="28DBB794" w14:textId="61BD9A40" w:rsidR="0007216C" w:rsidRDefault="0007216C" w:rsidP="002902C7">
      <w:pPr>
        <w:jc w:val="both"/>
      </w:pPr>
    </w:p>
    <w:p w14:paraId="675EE613" w14:textId="43597D29" w:rsidR="0007216C" w:rsidRDefault="0007216C" w:rsidP="00F01888">
      <w:pPr>
        <w:pStyle w:val="Heading3"/>
      </w:pPr>
      <w:bookmarkStart w:id="41" w:name="_Toc39868150"/>
      <w:r>
        <w:t>2.</w:t>
      </w:r>
      <w:r w:rsidR="00B1334A">
        <w:t>2</w:t>
      </w:r>
      <w:r w:rsidR="005668C1">
        <w:t>.</w:t>
      </w:r>
      <w:r w:rsidR="003E51C4">
        <w:t>6</w:t>
      </w:r>
      <w:r>
        <w:t xml:space="preserve"> OSW-</w:t>
      </w:r>
      <w:r w:rsidR="001C558B">
        <w:t>1</w:t>
      </w:r>
      <w:r>
        <w:t xml:space="preserve"> Quantification</w:t>
      </w:r>
      <w:bookmarkEnd w:id="41"/>
      <w:r>
        <w:t xml:space="preserve"> </w:t>
      </w:r>
    </w:p>
    <w:p w14:paraId="346A0B9A" w14:textId="5F16E5A3" w:rsidR="0007216C" w:rsidRPr="0007216C" w:rsidRDefault="003C5D62" w:rsidP="002902C7">
      <w:pPr>
        <w:ind w:firstLine="720"/>
        <w:jc w:val="both"/>
      </w:pPr>
      <w:r>
        <w:t>LCMS</w:t>
      </w:r>
      <w:r w:rsidR="004627D2">
        <w:t>: HCT-116 cells (1.5x10</w:t>
      </w:r>
      <w:r w:rsidR="0022221B">
        <w:rPr>
          <w:vertAlign w:val="superscript"/>
        </w:rPr>
        <w:t>5</w:t>
      </w:r>
      <w:r w:rsidR="004627D2">
        <w:t xml:space="preserve">) were seeded in a 6-well plate. Upon 60% confluency, cell lysate was created following a 1 hr treatment of 100 nM OSW-1, with or without a 24 hr post wash recovery. Trypsin (0.5 mL) was used to detach the cells, with </w:t>
      </w:r>
      <w:r w:rsidR="004627D2">
        <w:lastRenderedPageBreak/>
        <w:t>additional McCoy’s media (0.5 mL) to stop digestion. Cell count was performed using a Bio-Rad TC20TM Automated Cell Counter with trypan blue viability staining. Cells were spun at 500 xg for 5 min followed by a 1-mL PBS wash. The cell pellet was lysed using 1 mL of 50 nM d-OSW-1 dissolved in cold acetonitrile and methanol (1:1) with brief vortexing on ice for 10 min. The cell pellet was spun at 15000 xg at 4°C for 15 min. The supernatant was transferred to a new tube and dried using a speed vacuum (Savant SPD11V, Thermo Scientific) at 70°C. Prior to analysis, cells are resuspended in 150 µL of ACN: H2O (1:10). Analysis was performed using a Waters nanoAQUITY BEH C-18 column (100 µm x 100 mm, 1.7 µm) coupled with a mass spectrometer (Thermo LTQ Orbitrap XL, Waltham, MA) using a flow rate of 0.3 uL/min. Mobile phase A is ACN with 0.1% formic acid, and mobile phase B is H2O with 0.1% formic acid. The time/%A are as follows: 0/0, 1/50, 2/100, 3/100, and 4/0 for a total runtime of 5 minutes.</w:t>
      </w:r>
    </w:p>
    <w:p w14:paraId="41D36F3A" w14:textId="1CE12C4C" w:rsidR="0007216C" w:rsidRDefault="004627D2" w:rsidP="002902C7">
      <w:pPr>
        <w:jc w:val="both"/>
      </w:pPr>
      <w:r w:rsidRPr="004627D2">
        <w:rPr>
          <w:u w:val="single"/>
        </w:rPr>
        <w:t xml:space="preserve">SCMS: </w:t>
      </w:r>
      <w:r w:rsidR="0022221B">
        <w:t>HCT-116 cells (1.5x10</w:t>
      </w:r>
      <w:r w:rsidR="0022221B">
        <w:rPr>
          <w:vertAlign w:val="superscript"/>
        </w:rPr>
        <w:t>5</w:t>
      </w:r>
      <w:r w:rsidR="0022221B">
        <w:t xml:space="preserve"> ) were seeded on to a glass microchip (18 mm diameter) with chemically-etched microwells (55 µm diameter; 25 µm deep) placed into each well of a 6-well plate. Upon 60% cell confluency, cells were treated as described for nano-UPLC/MS. Following treatment, the microchip was washed with 5 mL of FBS-free McCoy’s media and placed on an X, Y, Z-translational stage for quantification. MS analysis was performed as previously described.4 Briefly, singleprobes were coupled to the mass spectrometer by using a flexible arm clamp to position the nano-ESI emitter in front of the inlet. The solvent-providing capillary was connected to the solvent through the conductive union. For quantification, 50 nM d-OSW-1 was added into the solvent. High voltage (~4.5 kV) was used for SCMS experiments in the positive ion mode with a mass resolution (m/∆m) of 60,000. A flow rate of ~5 nL/s was used (the actual flowrate </w:t>
      </w:r>
      <w:r w:rsidR="0022221B">
        <w:lastRenderedPageBreak/>
        <w:t>is optimized for each Single-probe). Data was collected using Xcaliber software and exported into Excel for analysis.</w:t>
      </w:r>
    </w:p>
    <w:p w14:paraId="056D334F" w14:textId="77777777" w:rsidR="00252A2F" w:rsidRPr="004627D2" w:rsidRDefault="00252A2F" w:rsidP="002902C7">
      <w:pPr>
        <w:jc w:val="both"/>
        <w:rPr>
          <w:u w:val="single"/>
        </w:rPr>
      </w:pPr>
    </w:p>
    <w:p w14:paraId="57C6F454" w14:textId="0C748FF6" w:rsidR="000F236F" w:rsidRDefault="000F236F" w:rsidP="00F01888">
      <w:pPr>
        <w:pStyle w:val="Heading3"/>
      </w:pPr>
      <w:bookmarkStart w:id="42" w:name="_Toc39868151"/>
      <w:r>
        <w:t>2.</w:t>
      </w:r>
      <w:r w:rsidR="00B1334A">
        <w:t>2</w:t>
      </w:r>
      <w:r w:rsidR="005668C1">
        <w:t>.</w:t>
      </w:r>
      <w:r w:rsidR="001C558B">
        <w:t>7</w:t>
      </w:r>
      <w:r>
        <w:t xml:space="preserve"> Calpain Analysis</w:t>
      </w:r>
      <w:bookmarkEnd w:id="42"/>
    </w:p>
    <w:p w14:paraId="3DCB9C63" w14:textId="7901B358" w:rsidR="000F236F" w:rsidRPr="000F236F" w:rsidRDefault="00252A2F" w:rsidP="002902C7">
      <w:pPr>
        <w:ind w:firstLine="720"/>
        <w:jc w:val="both"/>
      </w:pPr>
      <w:r>
        <w:t>For the continual treatment, HeLa cells were seeded out in a 6 well plate. Upon 70% confluency, cells were treated with DMSO, DMSO and ALLN (10µM), OSW-1 (1nM), or OSW-1 (1nM) and ALLN (10µM) for 24 hr. Cells were lysed and analyzed following the 6-well lysis method and the western blot protocol. Under the washout experimental conditions, cells were treated with DMSO or OSW-1 (1nM) for 6 hr. Cells were washed out according to the washout experimental method. After 24 hr recovery, one set of DMSO and one set of OSW-1 was lysed following the 6 well lysis method. At the same time (24hr post-wash), ALLN (10µM) was added to one set of DMSO and one set of OSW-1. The cells continued to incubate until 48 hr post-wash, at which point they were lysed and analyzed using the western blot method.</w:t>
      </w:r>
    </w:p>
    <w:p w14:paraId="2B62FE30" w14:textId="46E1F092" w:rsidR="00D81DE7" w:rsidRDefault="00D81DE7" w:rsidP="002902C7">
      <w:pPr>
        <w:jc w:val="both"/>
      </w:pPr>
    </w:p>
    <w:p w14:paraId="0153451B" w14:textId="6A45EF09" w:rsidR="004F558A" w:rsidRDefault="004F558A" w:rsidP="00F01888">
      <w:pPr>
        <w:pStyle w:val="Heading3"/>
      </w:pPr>
      <w:bookmarkStart w:id="43" w:name="_Toc39868152"/>
      <w:r>
        <w:t>2</w:t>
      </w:r>
      <w:r w:rsidR="00B1334A">
        <w:t>.2</w:t>
      </w:r>
      <w:r w:rsidR="005668C1">
        <w:t>.</w:t>
      </w:r>
      <w:r w:rsidR="001C558B">
        <w:t>8</w:t>
      </w:r>
      <w:r>
        <w:t xml:space="preserve"> Antiviral Analysis</w:t>
      </w:r>
      <w:bookmarkEnd w:id="43"/>
    </w:p>
    <w:p w14:paraId="384658C8" w14:textId="78C4FED0" w:rsidR="002C6AA7" w:rsidRPr="002C6AA7" w:rsidRDefault="00471D45" w:rsidP="002902C7">
      <w:pPr>
        <w:ind w:firstLine="720"/>
        <w:jc w:val="both"/>
      </w:pPr>
      <w:r>
        <w:t xml:space="preserve">Antiviral assays were done in the research group of Prof. Earl Blewett at Oklahoma State University Center for Health Sciences (OSU-CHS). </w:t>
      </w:r>
      <w:r w:rsidR="0056552C">
        <w:t xml:space="preserve">HeLa cells were grown to &lt;75% </w:t>
      </w:r>
      <w:r w:rsidR="00A52DB6">
        <w:t xml:space="preserve">confluency (healthy log phase cells) in complete media, DMEM (Hyclone SH30081.0) with 10% FBS (Atlanta Biological S11550) and 1% penicillin-streptomycin (Gibco 15140-122). For experiments, cells were trypsinized, counted using a hemocytometer and seeded into 20 wells of two 24-well trays (Falcon 3047) with 2.0 x 105 cells per well, in 1.0 mL complete media. Each treatment is performed using </w:t>
      </w:r>
      <w:r w:rsidR="00A52DB6">
        <w:lastRenderedPageBreak/>
        <w:t>quadruplicate wells (n=4) and each virus was on a separate plate. After seeding, cells were incubated 20 hr at 37 ºC, 5% CO2, at which point cells have grown to a near confluent monolayer. For the OSW-1 compound continual treatment experiments, (Fig. 6A), the media was gently removed from each well, and 1mL of media was added with the desired OSW1-compound concentration to each well, without disturbing the cells. Cells were incubated for 6 hr, after which time the media was removed and cells were gently washed three times with 1.0 mL of FBS-free DMEM media. After the media was removed, CoxA9-01 or Echo2-01 viruses, diluted in serum-free DMEM with a M.O.I. of 1.0 was added to the culture. The 2.0 x 10</w:t>
      </w:r>
      <w:r w:rsidR="00A52DB6" w:rsidRPr="00A2584C">
        <w:rPr>
          <w:vertAlign w:val="superscript"/>
        </w:rPr>
        <w:t>5</w:t>
      </w:r>
      <w:r w:rsidR="00A52DB6">
        <w:t xml:space="preserve"> cells per well was assumed to double during incubation so 4.0 x 105 pfu/well of virus was used for an M.O.I. of 1.0. The virus and cells were incubated for 30 minutes at 37 ºC 5% CO2. Then, the virus inoculum was removed, and the culture washed one time with 1.0 mL of serum-free media per well. Then, 1.0 mL of complete media with the indicated concentration of OSW-1 was added to the well, and the infected cells were then incubated for 10 hr at 37 ºC, 5% CO2. After 10 hrs the plate was stored at -80 ⁰C until the TCID-50 titration. This experiment was performed independently three times to generate the data in the figure. For the OSW-1 compound washout treatment experiments, cells were seeded as above. After 20 hr incubation the media was gently removed from each well, and 1mL of media was added with the desired OSW-1-compound concentration to each well, without disturbing the cells. Cells were incubated for 6 hr, after which time the media was removed and cells were gently washed three times with 1.0 mL of FBS-free DMEM media. This was replaced with complete media and cells allowed to incubate for 20 hrs. After the media was removed, CoxA9-01 or Echo2-01 viruses, diluted in serum-free DMEM with a </w:t>
      </w:r>
      <w:r w:rsidR="00A52DB6">
        <w:lastRenderedPageBreak/>
        <w:t>M.O.I. of 1.0 was added to the culture. The 2.0 x 10</w:t>
      </w:r>
      <w:r w:rsidR="00A52DB6" w:rsidRPr="00A2584C">
        <w:rPr>
          <w:vertAlign w:val="superscript"/>
        </w:rPr>
        <w:t>5</w:t>
      </w:r>
      <w:r w:rsidR="00A52DB6">
        <w:t xml:space="preserve"> cells per well was assumed to double and double again during incubation so 8.0 x 10</w:t>
      </w:r>
      <w:r w:rsidR="00A52DB6" w:rsidRPr="00A2584C">
        <w:rPr>
          <w:vertAlign w:val="superscript"/>
        </w:rPr>
        <w:t>5</w:t>
      </w:r>
      <w:r w:rsidR="00A52DB6">
        <w:t xml:space="preserve"> pfu/well of virus was 14 used for an M.O.I. of 1.0. The virus and cells were incubated for 30 minutes at 37 ºC 5% CO2. Then, the virus inoculum was removed, and the culture washed one time with 1.0 mL of serum-free media per well. Then, 1.0 mL of complete media was added to the well, and the infected cells were then incubated for 10 hr at 37 ºC, 5% CO2. After 10 hr incubation, the plate was stored at -80 ⁰C until processing. Then, the plates were rapidly thawed, the cells in media were scrapped from the wells into sterile 1.5 mL centrifuge tubes and the suspension then centrifuged at 10,000 g at 4⁰C to produce the virus containing supernatant, which is assayed for TCID-50 titration on sub-confluent RD cells. This experiment was performed independently three times to generate the data in the figure.</w:t>
      </w:r>
    </w:p>
    <w:p w14:paraId="71250565" w14:textId="134B1D24" w:rsidR="008B105D" w:rsidRDefault="008B105D" w:rsidP="002902C7">
      <w:pPr>
        <w:jc w:val="both"/>
      </w:pPr>
    </w:p>
    <w:p w14:paraId="61594BB5" w14:textId="0608EA23" w:rsidR="004B320D" w:rsidRDefault="004B320D" w:rsidP="00F01888">
      <w:pPr>
        <w:pStyle w:val="Heading3"/>
      </w:pPr>
      <w:bookmarkStart w:id="44" w:name="_Toc39868153"/>
      <w:r>
        <w:t>2.</w:t>
      </w:r>
      <w:r w:rsidR="00B1334A">
        <w:t>2</w:t>
      </w:r>
      <w:r w:rsidR="005668C1">
        <w:t>.9</w:t>
      </w:r>
      <w:r>
        <w:t xml:space="preserve"> Competitive Binding Assay</w:t>
      </w:r>
      <w:bookmarkEnd w:id="44"/>
      <w:r>
        <w:t xml:space="preserve"> </w:t>
      </w:r>
    </w:p>
    <w:p w14:paraId="744CE75F" w14:textId="2EF3B48B" w:rsidR="004B320D" w:rsidRPr="003510A4" w:rsidRDefault="004B320D" w:rsidP="002902C7">
      <w:pPr>
        <w:ind w:firstLine="720"/>
        <w:jc w:val="both"/>
      </w:pPr>
      <w:r>
        <w:t xml:space="preserve">OSBP </w:t>
      </w:r>
      <w:r w:rsidR="008349FA">
        <w:t xml:space="preserve">and ORP4L were cloned into pcDNA 3.1 vector. </w:t>
      </w:r>
      <w:r w:rsidR="003D35CE">
        <w:t xml:space="preserve">ORP4L contained a Myc-His tag, whereas OSBP did not. The vectors were transfected into HEK-293T cells </w:t>
      </w:r>
      <w:r w:rsidR="00732729">
        <w:t>with lipofectamine 2000. Following a 48 hr incubation, cells were lysed with M</w:t>
      </w:r>
      <w:r w:rsidR="007C455C">
        <w:t xml:space="preserve">-per-HALT with EDTA. Protein lysate was isolated through ultracentrifugation at 100,000g for 1 hr. </w:t>
      </w:r>
      <w:r w:rsidR="00D87019">
        <w:t xml:space="preserve">Lysate was diluted to a working concentration of 0.2 mg/ mL </w:t>
      </w:r>
      <w:r w:rsidR="00816332">
        <w:t xml:space="preserve">The lysate was incubated with </w:t>
      </w:r>
      <w:r w:rsidR="003510A4">
        <w:t>[</w:t>
      </w:r>
      <w:r w:rsidR="003510A4">
        <w:rPr>
          <w:vertAlign w:val="superscript"/>
        </w:rPr>
        <w:t>3</w:t>
      </w:r>
      <w:r w:rsidR="003510A4">
        <w:t xml:space="preserve">H] 25-OHC at 4 </w:t>
      </w:r>
      <w:r w:rsidR="003510A4">
        <w:rPr>
          <w:rFonts w:cstheme="minorHAnsi"/>
        </w:rPr>
        <w:t>°</w:t>
      </w:r>
      <w:r w:rsidR="003510A4">
        <w:t xml:space="preserve">C </w:t>
      </w:r>
      <w:r w:rsidR="00A54A54">
        <w:t xml:space="preserve">for 16 hr followed by </w:t>
      </w:r>
      <w:r w:rsidR="007E3809">
        <w:t xml:space="preserve">a 30 min RT incubation with </w:t>
      </w:r>
      <w:r w:rsidR="00A54A54">
        <w:t xml:space="preserve">charcoal dextran </w:t>
      </w:r>
      <w:r w:rsidR="007E3809">
        <w:t>and centrifuge for 15 min at 1,900 g.</w:t>
      </w:r>
      <w:r w:rsidR="005A4849">
        <w:t xml:space="preserve"> The cleared lysate was added to scintillation fluid and quantified using a To</w:t>
      </w:r>
      <w:r w:rsidR="00B752D1">
        <w:t xml:space="preserve">pCount scintillation counter. </w:t>
      </w:r>
    </w:p>
    <w:p w14:paraId="4E393692" w14:textId="03EF5057" w:rsidR="001038E1" w:rsidRDefault="001038E1" w:rsidP="001038E1">
      <w:pPr>
        <w:ind w:firstLine="720"/>
      </w:pPr>
    </w:p>
    <w:p w14:paraId="34D5F7B3" w14:textId="77777777" w:rsidR="001038E1" w:rsidRPr="00D8318F" w:rsidRDefault="001038E1" w:rsidP="00A2584C"/>
    <w:p w14:paraId="38D67B9F" w14:textId="6A61FE28" w:rsidR="00960058" w:rsidRDefault="00960058" w:rsidP="00C840F8">
      <w:pPr>
        <w:pStyle w:val="Heading2"/>
        <w:jc w:val="both"/>
      </w:pPr>
      <w:bookmarkStart w:id="45" w:name="_Toc39868154"/>
      <w:r>
        <w:lastRenderedPageBreak/>
        <w:t>2.</w:t>
      </w:r>
      <w:r w:rsidR="00783D30">
        <w:t>3</w:t>
      </w:r>
      <w:r>
        <w:t xml:space="preserve"> Results</w:t>
      </w:r>
      <w:bookmarkEnd w:id="45"/>
    </w:p>
    <w:p w14:paraId="0A018FFB" w14:textId="3F066841" w:rsidR="00A273B6" w:rsidRPr="00A273B6" w:rsidRDefault="00A273B6" w:rsidP="00F01888">
      <w:pPr>
        <w:pStyle w:val="Heading3"/>
      </w:pPr>
      <w:bookmarkStart w:id="46" w:name="_Toc39868155"/>
      <w:r>
        <w:t>2.</w:t>
      </w:r>
      <w:r w:rsidR="00783D30">
        <w:t>3</w:t>
      </w:r>
      <w:r w:rsidR="005668C1">
        <w:t>.1</w:t>
      </w:r>
      <w:r>
        <w:t xml:space="preserve"> OSW-1 </w:t>
      </w:r>
      <w:r w:rsidR="00AD26F2">
        <w:t xml:space="preserve">Treatment </w:t>
      </w:r>
      <w:r w:rsidR="005F7515">
        <w:t>Selectively Degrades OSBP</w:t>
      </w:r>
      <w:r w:rsidR="00AD26F2">
        <w:t xml:space="preserve"> in Cells</w:t>
      </w:r>
      <w:bookmarkEnd w:id="46"/>
    </w:p>
    <w:p w14:paraId="4327BB5F" w14:textId="2F7E0F30" w:rsidR="00C23719" w:rsidRDefault="00595F26" w:rsidP="001038E1">
      <w:pPr>
        <w:ind w:firstLine="720"/>
        <w:jc w:val="both"/>
      </w:pPr>
      <w:r>
        <w:rPr>
          <w:noProof/>
        </w:rPr>
        <mc:AlternateContent>
          <mc:Choice Requires="wps">
            <w:drawing>
              <wp:anchor distT="45720" distB="45720" distL="114300" distR="114300" simplePos="0" relativeHeight="251632640" behindDoc="0" locked="0" layoutInCell="1" allowOverlap="1" wp14:anchorId="2A1E420A" wp14:editId="3ED1DB40">
                <wp:simplePos x="0" y="0"/>
                <wp:positionH relativeFrom="margin">
                  <wp:align>left</wp:align>
                </wp:positionH>
                <wp:positionV relativeFrom="paragraph">
                  <wp:posOffset>3124835</wp:posOffset>
                </wp:positionV>
                <wp:extent cx="5388610" cy="3244850"/>
                <wp:effectExtent l="0" t="0" r="2159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8610" cy="3244850"/>
                        </a:xfrm>
                        <a:prstGeom prst="rect">
                          <a:avLst/>
                        </a:prstGeom>
                        <a:solidFill>
                          <a:srgbClr val="FFFFFF"/>
                        </a:solidFill>
                        <a:ln w="9525">
                          <a:solidFill>
                            <a:srgbClr val="000000"/>
                          </a:solidFill>
                          <a:miter lim="800000"/>
                          <a:headEnd/>
                          <a:tailEnd/>
                        </a:ln>
                      </wps:spPr>
                      <wps:txbx>
                        <w:txbxContent>
                          <w:p w14:paraId="17844641" w14:textId="77777777" w:rsidR="00730B8F" w:rsidRDefault="00730B8F" w:rsidP="00C840F8">
                            <w:pPr>
                              <w:keepNext/>
                            </w:pPr>
                            <w:bookmarkStart w:id="47" w:name="_Hlk37252085"/>
                            <w:bookmarkEnd w:id="47"/>
                            <w:r w:rsidRPr="00C840F8">
                              <w:rPr>
                                <w:noProof/>
                              </w:rPr>
                              <w:drawing>
                                <wp:inline distT="0" distB="0" distL="0" distR="0" wp14:anchorId="70D15BC8" wp14:editId="3CD2A5E4">
                                  <wp:extent cx="5214802" cy="22695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5214802" cy="2269523"/>
                                          </a:xfrm>
                                          <a:prstGeom prst="rect">
                                            <a:avLst/>
                                          </a:prstGeom>
                                          <a:noFill/>
                                          <a:ln>
                                            <a:noFill/>
                                          </a:ln>
                                        </pic:spPr>
                                      </pic:pic>
                                    </a:graphicData>
                                  </a:graphic>
                                </wp:inline>
                              </w:drawing>
                            </w:r>
                          </w:p>
                          <w:p w14:paraId="4887E994" w14:textId="2C7D5244" w:rsidR="00730B8F" w:rsidRPr="00952E0F" w:rsidRDefault="00730B8F" w:rsidP="00C840F8">
                            <w:pPr>
                              <w:pStyle w:val="Caption"/>
                              <w:rPr>
                                <w:b w:val="0"/>
                                <w:bCs w:val="0"/>
                              </w:rPr>
                            </w:pPr>
                            <w:bookmarkStart w:id="48" w:name="_Toc39868217"/>
                            <w:r>
                              <w:t xml:space="preserve">Figure </w:t>
                            </w:r>
                            <w:r w:rsidR="009425BE">
                              <w:fldChar w:fldCharType="begin"/>
                            </w:r>
                            <w:r w:rsidR="009425BE">
                              <w:instrText xml:space="preserve"> SEQ Figure \* ARABIC </w:instrText>
                            </w:r>
                            <w:r w:rsidR="009425BE">
                              <w:fldChar w:fldCharType="separate"/>
                            </w:r>
                            <w:r>
                              <w:rPr>
                                <w:noProof/>
                              </w:rPr>
                              <w:t>4</w:t>
                            </w:r>
                            <w:r w:rsidR="009425BE">
                              <w:rPr>
                                <w:noProof/>
                              </w:rPr>
                              <w:fldChar w:fldCharType="end"/>
                            </w:r>
                            <w:r>
                              <w:rPr>
                                <w:noProof/>
                              </w:rPr>
                              <w:t xml:space="preserve">: </w:t>
                            </w:r>
                            <w:r w:rsidRPr="00952E0F">
                              <w:rPr>
                                <w:b w:val="0"/>
                                <w:bCs w:val="0"/>
                                <w:noProof/>
                              </w:rPr>
                              <w:t xml:space="preserve">OSW-1 </w:t>
                            </w:r>
                            <w:r>
                              <w:rPr>
                                <w:b w:val="0"/>
                                <w:bCs w:val="0"/>
                                <w:noProof/>
                              </w:rPr>
                              <w:t>competitive b</w:t>
                            </w:r>
                            <w:r w:rsidRPr="00952E0F">
                              <w:rPr>
                                <w:b w:val="0"/>
                                <w:bCs w:val="0"/>
                                <w:noProof/>
                              </w:rPr>
                              <w:t>inding to the</w:t>
                            </w:r>
                            <w:r>
                              <w:rPr>
                                <w:b w:val="0"/>
                                <w:bCs w:val="0"/>
                                <w:noProof/>
                              </w:rPr>
                              <w:t xml:space="preserve"> human</w:t>
                            </w:r>
                            <w:r w:rsidRPr="00952E0F">
                              <w:rPr>
                                <w:b w:val="0"/>
                                <w:bCs w:val="0"/>
                                <w:noProof/>
                              </w:rPr>
                              <w:t xml:space="preserve"> OSBP and ORP4 protein</w:t>
                            </w:r>
                            <w:r>
                              <w:rPr>
                                <w:b w:val="0"/>
                                <w:bCs w:val="0"/>
                                <w:noProof/>
                              </w:rPr>
                              <w:t xml:space="preserve"> against 25-OHC.</w:t>
                            </w:r>
                            <w:bookmarkEnd w:id="48"/>
                            <w:r>
                              <w:rPr>
                                <w:b w:val="0"/>
                                <w:bCs w:val="0"/>
                                <w:noProof/>
                              </w:rPr>
                              <w:t xml:space="preserve"> </w:t>
                            </w:r>
                          </w:p>
                          <w:p w14:paraId="2118B4ED" w14:textId="77777777" w:rsidR="00730B8F" w:rsidRDefault="00730B8F"/>
                          <w:p w14:paraId="4BE199A0" w14:textId="77777777" w:rsidR="00730B8F" w:rsidRDefault="00730B8F"/>
                          <w:p w14:paraId="46EB3C44" w14:textId="28CF6B70" w:rsidR="00730B8F" w:rsidRDefault="00730B8F" w:rsidP="00C840F8">
                            <w:pPr>
                              <w:keepNext/>
                            </w:pPr>
                            <w:r w:rsidRPr="00C840F8">
                              <w:rPr>
                                <w:noProof/>
                              </w:rPr>
                              <w:drawing>
                                <wp:inline distT="0" distB="0" distL="0" distR="0" wp14:anchorId="70D15BC8" wp14:editId="189AB702">
                                  <wp:extent cx="5252936" cy="226797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56517" cy="2269523"/>
                                          </a:xfrm>
                                          <a:prstGeom prst="rect">
                                            <a:avLst/>
                                          </a:prstGeom>
                                          <a:noFill/>
                                          <a:ln>
                                            <a:noFill/>
                                          </a:ln>
                                        </pic:spPr>
                                      </pic:pic>
                                    </a:graphicData>
                                  </a:graphic>
                                </wp:inline>
                              </w:drawing>
                            </w:r>
                          </w:p>
                          <w:p w14:paraId="4973C65B" w14:textId="5C850F31" w:rsidR="00730B8F" w:rsidRPr="00952E0F" w:rsidRDefault="00730B8F" w:rsidP="00C840F8">
                            <w:pPr>
                              <w:pStyle w:val="Caption"/>
                              <w:rPr>
                                <w:b w:val="0"/>
                                <w:bCs w:val="0"/>
                              </w:rPr>
                            </w:pPr>
                            <w:bookmarkStart w:id="49" w:name="_Ref33174826"/>
                            <w:r>
                              <w:t xml:space="preserve">Figure </w:t>
                            </w:r>
                            <w:r>
                              <w:fldChar w:fldCharType="begin"/>
                            </w:r>
                            <w:r>
                              <w:instrText xml:space="preserve">  \* ARABIC </w:instrText>
                            </w:r>
                            <w:r>
                              <w:fldChar w:fldCharType="separate"/>
                            </w:r>
                            <w:r>
                              <w:rPr>
                                <w:noProof/>
                              </w:rPr>
                              <w:t>5</w:t>
                            </w:r>
                            <w:r>
                              <w:rPr>
                                <w:noProof/>
                              </w:rPr>
                              <w:fldChar w:fldCharType="end"/>
                            </w:r>
                            <w:bookmarkEnd w:id="49"/>
                            <w:r>
                              <w:rPr>
                                <w:noProof/>
                              </w:rPr>
                              <w:t xml:space="preserve">: </w:t>
                            </w:r>
                            <w:r w:rsidRPr="00952E0F">
                              <w:rPr>
                                <w:b w:val="0"/>
                                <w:bCs w:val="0"/>
                                <w:noProof/>
                              </w:rPr>
                              <w:t xml:space="preserve">OSW-1 </w:t>
                            </w:r>
                            <w:r>
                              <w:rPr>
                                <w:b w:val="0"/>
                                <w:bCs w:val="0"/>
                                <w:noProof/>
                              </w:rPr>
                              <w:t>competitive b</w:t>
                            </w:r>
                            <w:r w:rsidRPr="00952E0F">
                              <w:rPr>
                                <w:b w:val="0"/>
                                <w:bCs w:val="0"/>
                                <w:noProof/>
                              </w:rPr>
                              <w:t>inding to the</w:t>
                            </w:r>
                            <w:r>
                              <w:rPr>
                                <w:b w:val="0"/>
                                <w:bCs w:val="0"/>
                                <w:noProof/>
                              </w:rPr>
                              <w:t xml:space="preserve"> human</w:t>
                            </w:r>
                            <w:r w:rsidRPr="00952E0F">
                              <w:rPr>
                                <w:b w:val="0"/>
                                <w:bCs w:val="0"/>
                                <w:noProof/>
                              </w:rPr>
                              <w:t xml:space="preserve"> OSBP and ORP4 protein</w:t>
                            </w:r>
                            <w:r>
                              <w:rPr>
                                <w:b w:val="0"/>
                                <w:bCs w:val="0"/>
                                <w:noProof/>
                              </w:rPr>
                              <w:t xml:space="preserve"> against 25-OHC. </w:t>
                            </w:r>
                          </w:p>
                          <w:p w14:paraId="4525EBE0" w14:textId="1D11976F"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E420A" id="_x0000_s1029" type="#_x0000_t202" style="position:absolute;left:0;text-align:left;margin-left:0;margin-top:246.05pt;width:424.3pt;height:255.5pt;z-index:2516326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">
                <v:textbox>
                  <w:txbxContent>
                    <w:p w14:paraId="17844641" w14:textId="77777777" w:rsidR="00730B8F" w:rsidRDefault="00730B8F" w:rsidP="00C840F8">
                      <w:pPr>
                        <w:keepNext/>
                      </w:pPr>
                      <w:bookmarkStart w:id="50" w:name="_Hlk37252085"/>
                      <w:bookmarkEnd w:id="50"/>
                      <w:r w:rsidRPr="00C840F8">
                        <w:rPr>
                          <w:noProof/>
                        </w:rPr>
                        <w:drawing>
                          <wp:inline distT="0" distB="0" distL="0" distR="0" wp14:anchorId="70D15BC8" wp14:editId="3CD2A5E4">
                            <wp:extent cx="5214802" cy="22695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5214802" cy="2269523"/>
                                    </a:xfrm>
                                    <a:prstGeom prst="rect">
                                      <a:avLst/>
                                    </a:prstGeom>
                                    <a:noFill/>
                                    <a:ln>
                                      <a:noFill/>
                                    </a:ln>
                                  </pic:spPr>
                                </pic:pic>
                              </a:graphicData>
                            </a:graphic>
                          </wp:inline>
                        </w:drawing>
                      </w:r>
                    </w:p>
                    <w:p w14:paraId="4887E994" w14:textId="2C7D5244" w:rsidR="00730B8F" w:rsidRPr="00952E0F" w:rsidRDefault="00730B8F" w:rsidP="00C840F8">
                      <w:pPr>
                        <w:pStyle w:val="Caption"/>
                        <w:rPr>
                          <w:b w:val="0"/>
                          <w:bCs w:val="0"/>
                        </w:rPr>
                      </w:pPr>
                      <w:bookmarkStart w:id="51" w:name="_Toc39868217"/>
                      <w:r>
                        <w:t xml:space="preserve">Figure </w:t>
                      </w:r>
                      <w:r w:rsidR="009425BE">
                        <w:fldChar w:fldCharType="begin"/>
                      </w:r>
                      <w:r w:rsidR="009425BE">
                        <w:instrText xml:space="preserve"> SEQ Figure \* ARABIC </w:instrText>
                      </w:r>
                      <w:r w:rsidR="009425BE">
                        <w:fldChar w:fldCharType="separate"/>
                      </w:r>
                      <w:r>
                        <w:rPr>
                          <w:noProof/>
                        </w:rPr>
                        <w:t>4</w:t>
                      </w:r>
                      <w:r w:rsidR="009425BE">
                        <w:rPr>
                          <w:noProof/>
                        </w:rPr>
                        <w:fldChar w:fldCharType="end"/>
                      </w:r>
                      <w:r>
                        <w:rPr>
                          <w:noProof/>
                        </w:rPr>
                        <w:t xml:space="preserve">: </w:t>
                      </w:r>
                      <w:r w:rsidRPr="00952E0F">
                        <w:rPr>
                          <w:b w:val="0"/>
                          <w:bCs w:val="0"/>
                          <w:noProof/>
                        </w:rPr>
                        <w:t xml:space="preserve">OSW-1 </w:t>
                      </w:r>
                      <w:r>
                        <w:rPr>
                          <w:b w:val="0"/>
                          <w:bCs w:val="0"/>
                          <w:noProof/>
                        </w:rPr>
                        <w:t>competitive b</w:t>
                      </w:r>
                      <w:r w:rsidRPr="00952E0F">
                        <w:rPr>
                          <w:b w:val="0"/>
                          <w:bCs w:val="0"/>
                          <w:noProof/>
                        </w:rPr>
                        <w:t>inding to the</w:t>
                      </w:r>
                      <w:r>
                        <w:rPr>
                          <w:b w:val="0"/>
                          <w:bCs w:val="0"/>
                          <w:noProof/>
                        </w:rPr>
                        <w:t xml:space="preserve"> human</w:t>
                      </w:r>
                      <w:r w:rsidRPr="00952E0F">
                        <w:rPr>
                          <w:b w:val="0"/>
                          <w:bCs w:val="0"/>
                          <w:noProof/>
                        </w:rPr>
                        <w:t xml:space="preserve"> OSBP and ORP4 protein</w:t>
                      </w:r>
                      <w:r>
                        <w:rPr>
                          <w:b w:val="0"/>
                          <w:bCs w:val="0"/>
                          <w:noProof/>
                        </w:rPr>
                        <w:t xml:space="preserve"> against 25-OHC.</w:t>
                      </w:r>
                      <w:bookmarkEnd w:id="51"/>
                      <w:r>
                        <w:rPr>
                          <w:b w:val="0"/>
                          <w:bCs w:val="0"/>
                          <w:noProof/>
                        </w:rPr>
                        <w:t xml:space="preserve"> </w:t>
                      </w:r>
                    </w:p>
                    <w:p w14:paraId="2118B4ED" w14:textId="77777777" w:rsidR="00730B8F" w:rsidRDefault="00730B8F"/>
                    <w:p w14:paraId="4BE199A0" w14:textId="77777777" w:rsidR="00730B8F" w:rsidRDefault="00730B8F"/>
                    <w:p w14:paraId="46EB3C44" w14:textId="28CF6B70" w:rsidR="00730B8F" w:rsidRDefault="00730B8F" w:rsidP="00C840F8">
                      <w:pPr>
                        <w:keepNext/>
                      </w:pPr>
                      <w:r w:rsidRPr="00C840F8">
                        <w:rPr>
                          <w:noProof/>
                        </w:rPr>
                        <w:drawing>
                          <wp:inline distT="0" distB="0" distL="0" distR="0" wp14:anchorId="70D15BC8" wp14:editId="189AB702">
                            <wp:extent cx="5252936" cy="226797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56517" cy="2269523"/>
                                    </a:xfrm>
                                    <a:prstGeom prst="rect">
                                      <a:avLst/>
                                    </a:prstGeom>
                                    <a:noFill/>
                                    <a:ln>
                                      <a:noFill/>
                                    </a:ln>
                                  </pic:spPr>
                                </pic:pic>
                              </a:graphicData>
                            </a:graphic>
                          </wp:inline>
                        </w:drawing>
                      </w:r>
                    </w:p>
                    <w:p w14:paraId="4973C65B" w14:textId="5C850F31" w:rsidR="00730B8F" w:rsidRPr="00952E0F" w:rsidRDefault="00730B8F" w:rsidP="00C840F8">
                      <w:pPr>
                        <w:pStyle w:val="Caption"/>
                        <w:rPr>
                          <w:b w:val="0"/>
                          <w:bCs w:val="0"/>
                        </w:rPr>
                      </w:pPr>
                      <w:bookmarkStart w:id="52" w:name="_Ref33174826"/>
                      <w:r>
                        <w:t xml:space="preserve">Figure </w:t>
                      </w:r>
                      <w:r>
                        <w:fldChar w:fldCharType="begin"/>
                      </w:r>
                      <w:r>
                        <w:instrText xml:space="preserve">  \* ARABIC </w:instrText>
                      </w:r>
                      <w:r>
                        <w:fldChar w:fldCharType="separate"/>
                      </w:r>
                      <w:r>
                        <w:rPr>
                          <w:noProof/>
                        </w:rPr>
                        <w:t>5</w:t>
                      </w:r>
                      <w:r>
                        <w:rPr>
                          <w:noProof/>
                        </w:rPr>
                        <w:fldChar w:fldCharType="end"/>
                      </w:r>
                      <w:bookmarkEnd w:id="52"/>
                      <w:r>
                        <w:rPr>
                          <w:noProof/>
                        </w:rPr>
                        <w:t xml:space="preserve">: </w:t>
                      </w:r>
                      <w:r w:rsidRPr="00952E0F">
                        <w:rPr>
                          <w:b w:val="0"/>
                          <w:bCs w:val="0"/>
                          <w:noProof/>
                        </w:rPr>
                        <w:t xml:space="preserve">OSW-1 </w:t>
                      </w:r>
                      <w:r>
                        <w:rPr>
                          <w:b w:val="0"/>
                          <w:bCs w:val="0"/>
                          <w:noProof/>
                        </w:rPr>
                        <w:t>competitive b</w:t>
                      </w:r>
                      <w:r w:rsidRPr="00952E0F">
                        <w:rPr>
                          <w:b w:val="0"/>
                          <w:bCs w:val="0"/>
                          <w:noProof/>
                        </w:rPr>
                        <w:t>inding to the</w:t>
                      </w:r>
                      <w:r>
                        <w:rPr>
                          <w:b w:val="0"/>
                          <w:bCs w:val="0"/>
                          <w:noProof/>
                        </w:rPr>
                        <w:t xml:space="preserve"> human</w:t>
                      </w:r>
                      <w:r w:rsidRPr="00952E0F">
                        <w:rPr>
                          <w:b w:val="0"/>
                          <w:bCs w:val="0"/>
                          <w:noProof/>
                        </w:rPr>
                        <w:t xml:space="preserve"> OSBP and ORP4 protein</w:t>
                      </w:r>
                      <w:r>
                        <w:rPr>
                          <w:b w:val="0"/>
                          <w:bCs w:val="0"/>
                          <w:noProof/>
                        </w:rPr>
                        <w:t xml:space="preserve"> against 25-OHC. </w:t>
                      </w:r>
                    </w:p>
                    <w:p w14:paraId="4525EBE0" w14:textId="1D11976F" w:rsidR="00730B8F" w:rsidRDefault="00730B8F"/>
                  </w:txbxContent>
                </v:textbox>
                <w10:wrap type="square" anchorx="margin"/>
              </v:shape>
            </w:pict>
          </mc:Fallback>
        </mc:AlternateContent>
      </w:r>
      <w:r w:rsidR="00F00664">
        <w:t>The OSW-1</w:t>
      </w:r>
      <w:r w:rsidR="0098557A">
        <w:t xml:space="preserve"> </w:t>
      </w:r>
      <w:r w:rsidR="00BE5473">
        <w:t>compound</w:t>
      </w:r>
      <w:r w:rsidR="00F00664">
        <w:t xml:space="preserve"> (</w:t>
      </w:r>
      <w:r w:rsidR="007B294C" w:rsidRPr="000849BF">
        <w:rPr>
          <w:b/>
          <w:bCs/>
        </w:rPr>
        <w:fldChar w:fldCharType="begin"/>
      </w:r>
      <w:r w:rsidR="007B294C" w:rsidRPr="000849BF">
        <w:rPr>
          <w:b/>
          <w:bCs/>
        </w:rPr>
        <w:instrText xml:space="preserve"> REF _Ref34052173 \h </w:instrText>
      </w:r>
      <w:r w:rsidR="00783D30">
        <w:rPr>
          <w:b/>
          <w:bCs/>
        </w:rPr>
        <w:instrText xml:space="preserve"> \* MERGEFORMAT </w:instrText>
      </w:r>
      <w:r w:rsidR="007B294C" w:rsidRPr="000849BF">
        <w:rPr>
          <w:b/>
          <w:bCs/>
        </w:rPr>
      </w:r>
      <w:r w:rsidR="007B294C" w:rsidRPr="000849BF">
        <w:rPr>
          <w:b/>
          <w:bCs/>
        </w:rPr>
        <w:fldChar w:fldCharType="separate"/>
      </w:r>
      <w:r w:rsidR="007B294C" w:rsidRPr="000849BF">
        <w:rPr>
          <w:b/>
          <w:bCs/>
        </w:rPr>
        <w:t xml:space="preserve">Figure </w:t>
      </w:r>
      <w:r w:rsidR="007B294C" w:rsidRPr="000849BF">
        <w:rPr>
          <w:b/>
          <w:bCs/>
          <w:noProof/>
        </w:rPr>
        <w:t>5</w:t>
      </w:r>
      <w:r w:rsidR="007B294C" w:rsidRPr="000849BF">
        <w:rPr>
          <w:b/>
          <w:bCs/>
        </w:rPr>
        <w:fldChar w:fldCharType="end"/>
      </w:r>
      <w:r w:rsidR="002C1BA0">
        <w:t xml:space="preserve">) </w:t>
      </w:r>
      <w:r w:rsidR="00C62A07">
        <w:t xml:space="preserve">is known to bind to both OSBP and ORP4 with high affinity </w:t>
      </w:r>
      <w:r w:rsidR="00A50759">
        <w:t>(</w:t>
      </w:r>
      <w:r w:rsidR="007B294C" w:rsidRPr="002A3B57">
        <w:rPr>
          <w:b/>
          <w:bCs/>
        </w:rPr>
        <w:fldChar w:fldCharType="begin"/>
      </w:r>
      <w:r w:rsidR="007B294C" w:rsidRPr="000849BF">
        <w:rPr>
          <w:b/>
          <w:bCs/>
        </w:rPr>
        <w:instrText xml:space="preserve"> REF _Ref33174826 \h </w:instrText>
      </w:r>
      <w:r w:rsidR="00783D30" w:rsidRPr="000849BF">
        <w:rPr>
          <w:b/>
          <w:bCs/>
        </w:rPr>
        <w:instrText xml:space="preserve"> \* MERGEFORMAT </w:instrText>
      </w:r>
      <w:r w:rsidR="007B294C" w:rsidRPr="002A3B57">
        <w:rPr>
          <w:b/>
          <w:bCs/>
        </w:rPr>
      </w:r>
      <w:r w:rsidR="007B294C" w:rsidRPr="002A3B57">
        <w:rPr>
          <w:b/>
          <w:bCs/>
        </w:rPr>
        <w:fldChar w:fldCharType="separate"/>
      </w:r>
      <w:r w:rsidR="007B294C" w:rsidRPr="000849BF">
        <w:rPr>
          <w:b/>
          <w:bCs/>
        </w:rPr>
        <w:t xml:space="preserve">Figure </w:t>
      </w:r>
      <w:r w:rsidR="007B294C" w:rsidRPr="000849BF">
        <w:rPr>
          <w:b/>
          <w:bCs/>
          <w:noProof/>
        </w:rPr>
        <w:t>4</w:t>
      </w:r>
      <w:r w:rsidR="007B294C" w:rsidRPr="002A3B57">
        <w:rPr>
          <w:b/>
          <w:bCs/>
        </w:rPr>
        <w:fldChar w:fldCharType="end"/>
      </w:r>
      <w:r w:rsidR="00A50759">
        <w:t>)</w:t>
      </w:r>
      <w:r w:rsidR="00C62A07">
        <w:t xml:space="preserve"> and </w:t>
      </w:r>
      <w:r w:rsidR="00783D30">
        <w:t xml:space="preserve">induce </w:t>
      </w:r>
      <w:r w:rsidR="002C6152">
        <w:t>deg</w:t>
      </w:r>
      <w:r w:rsidR="00260D8F">
        <w:t>rad</w:t>
      </w:r>
      <w:r w:rsidR="00783D30">
        <w:t>ation of</w:t>
      </w:r>
      <w:r w:rsidR="00260D8F">
        <w:t xml:space="preserve"> OSBP.</w:t>
      </w:r>
      <w:r w:rsidR="007B294C">
        <w:fldChar w:fldCharType="begin" w:fldLock="1"/>
      </w:r>
      <w:r w:rsidR="006B01D5">
        <w:instrText>ADDIN CSL_CITATION { "citationItems" : [ { "id" : "ITEM-1", "itemData" : { "DOI" : "10.1038/nchembio.625", "ISBN" : "1552-4469 (Electronic)\\n1552-4450 (Linking)", "ISSN" : "1552-4450", "PMID" : "21822274", "abstract" : "Cephalostatin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(ORP4L)\u2014proteins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 C", "author" : [ { "dropping-particle" : "", "family" : "Burgett", "given" : "Anthony W G", "non-dropping-particle" : "", "parse-names" : false, "suffix" : "" }, { "dropping-particle" : "", "family" : "Poulsen", "given" : "Thomas B", "non-dropping-particle" : "", "parse-names" : false, "suffix" : "" }, { "dropping-particle" : "", "family" : "Wangkanont", "given" : "Kittikhun", "non-dropping-particle" : "", "parse-names" : false, "suffix" : "" }, { "dropping-particle" : "", "family" : "Anderson", "given" : "D Ryan", "non-dropping-particle" : "", "parse-names" : false, "suffix" : "" }, { "dropping-particle" : "", "family" : "Kikuchi", "given" : "Chikako", "non-dropping-particle" : "", "parse-names" : false, "suffix" : "" }, { "dropping-particle" : "", "family" : "Shimada", "given" : "Kousei", "non-dropping-particle" : "", "parse-names" : false, "suffix" : "" }, { "dropping-particle" : "", "family" : "Okubo", "given" : "Shuichi", "non-dropping-particle" : "", "parse-names" : false, "suffix" : "" }, { "dropping-particle" : "", "family" : "Fortner", "given" : "Kevin C", "non-dropping-particle" : "", "parse-names" : false, "suffix" : "" }, { "dropping-particle" : "", "family" : "Mimaki", "given" : "Yoshihiro", "non-dropping-particle" : "", "parse-names" : false, "suffix" : "" }, { "dropping-particle" : "", "family" : "Kuroda", "given" : "Minpei", "non-dropping-particle" : "", "parse-names" : false, "suffix" : "" }, { "dropping-particle" : "", "family" : "Murphy", "given" : "Jason P", "non-dropping-particle" : "", "parse-names" : false, "suffix" : "" }, { "dropping-particle" : "", "family" : "Schwalb", "given" : "David J", "non-dropping-particle" : "", "parse-names" : false, "suffix" : "" }, { "dropping-particle" : "", "family" : "Petrella", "given" : "Eugene C", "non-dropping-particle" : "", "parse-names" : false, "suffix" : "" }, { "dropping-particle" : "", "family" : "Cornella-Taracido", "given" : "Ivan", "non-dropping-particle" : "", "parse-names" : false, "suffix" : "" }, { "dropping-particle" : "", "family" : "Schirle", "given" : "Markus", "non-dropping-particle" : "", "parse-names" : false, "suffix" : "" }, { "dropping-particle" : "", "family" : "Tallarico", "given" : "John A", "non-dropping-particle" : "", "parse-names" : false, "suffix" : "" }, { "dropping-particle" : "", "family" : "Shair", "given" : "Matthew D", "non-dropping-particle" : "", "parse-names" : false, "suffix" : "" } ], "container-title" : "Nature Chemical Biology", "id" : "ITEM-1", "issue" : "9", "issued" : { "date-parts" : [ [ "2011" ] ] }, "page" : "639-647", "publisher" : "Nature Publishing Group", "title" : "Natural products reveal cancer cell dependence on oxysterol-binding proteins", "type" : "article-journal", "volume" : "7" }, "uris" : [ "http://www.mendeley.com/documents/?uuid=8247cefa-1387-4829-8f62-5411ff24d436" ] } ], "mendeley" : { "formattedCitation" : "&lt;sup&gt;60&lt;/sup&gt;", "plainTextFormattedCitation" : "60", "previouslyFormattedCitation" : "&lt;sup&gt;60&lt;/sup&gt;" }, "properties" : { "noteIndex" : 0 }, "schema" : "https://github.com/citation-style-language/schema/raw/master/csl-citation.json" }</w:instrText>
      </w:r>
      <w:r w:rsidR="007B294C">
        <w:fldChar w:fldCharType="separate"/>
      </w:r>
      <w:r w:rsidR="006B01D5" w:rsidRPr="006B01D5">
        <w:rPr>
          <w:noProof/>
          <w:vertAlign w:val="superscript"/>
        </w:rPr>
        <w:t>60</w:t>
      </w:r>
      <w:r w:rsidR="007B294C">
        <w:fldChar w:fldCharType="end"/>
      </w:r>
      <w:r w:rsidR="00260D8F">
        <w:t xml:space="preserve"> </w:t>
      </w:r>
      <w:r w:rsidR="00C23719">
        <w:t>I also showed that</w:t>
      </w:r>
      <w:r w:rsidR="00783D30">
        <w:t xml:space="preserve"> OSW-1-induced degradation of OSBP </w:t>
      </w:r>
      <w:r w:rsidR="00C23719">
        <w:t xml:space="preserve">in HCT-116 cells in a time </w:t>
      </w:r>
      <w:r w:rsidR="00935149">
        <w:t xml:space="preserve">time-dependent </w:t>
      </w:r>
      <w:r w:rsidR="00C23719">
        <w:t>manner (</w:t>
      </w:r>
      <w:r w:rsidR="00C23719" w:rsidRPr="000849BF">
        <w:rPr>
          <w:b/>
          <w:bCs/>
        </w:rPr>
        <w:t>Figure 5</w:t>
      </w:r>
      <w:r w:rsidR="00C23719">
        <w:rPr>
          <w:b/>
          <w:bCs/>
        </w:rPr>
        <w:t>B</w:t>
      </w:r>
      <w:r w:rsidR="00C23719">
        <w:t>). An OSW-1 treatment of 1 nM induced a rapid reduction in OSBP levels, starting at 4 hours of treatment, until ~90% of OSBP had been reduced at after 24 hours treatment. Interestingly, I showed for the first time that although ORP4 levels were also reduced upon 1 nM OSW-1 treatment, the reduction of ORP4 levels were much slower and less significant, leading to only a ~50% reduction of ORP4 after 24 hours treatment (</w:t>
      </w:r>
      <w:r w:rsidR="00C23719" w:rsidRPr="000849BF">
        <w:rPr>
          <w:b/>
          <w:bCs/>
        </w:rPr>
        <w:t>Figure 5B</w:t>
      </w:r>
      <w:r w:rsidR="00C23719">
        <w:t xml:space="preserve">). </w:t>
      </w:r>
    </w:p>
    <w:p w14:paraId="6F44149B" w14:textId="7C889F77" w:rsidR="00A66B3A" w:rsidRDefault="00C23719" w:rsidP="001038E1">
      <w:pPr>
        <w:ind w:firstLine="720"/>
        <w:jc w:val="both"/>
      </w:pPr>
      <w:r>
        <w:t xml:space="preserve">Having established the OSW-1-induced reduction of OSBP, experiments were then performed to determine how quickly OSBP levels returned to normal levels once OSW-1 treatment stopped. These ‘washout experiments’ </w:t>
      </w:r>
      <w:r w:rsidR="00DD1DBF">
        <w:t xml:space="preserve">were performed through </w:t>
      </w:r>
      <w:r w:rsidR="00DD1DBF">
        <w:lastRenderedPageBreak/>
        <w:t xml:space="preserve">treating the cells with 1 nM of OSW-1 for 6 hours, </w:t>
      </w:r>
      <w:r w:rsidR="00E248D8">
        <w:t xml:space="preserve"> followed by removal </w:t>
      </w:r>
      <w:r w:rsidR="00DD1DBF">
        <w:t xml:space="preserve">of the compound-containing media, washing the cells with </w:t>
      </w:r>
      <w:r w:rsidR="00E248D8">
        <w:t>fresh media</w:t>
      </w:r>
      <w:r w:rsidR="00DD1DBF">
        <w:t xml:space="preserve"> three times</w:t>
      </w:r>
      <w:r w:rsidR="007F4E4B">
        <w:t xml:space="preserve">, and </w:t>
      </w:r>
      <w:r w:rsidR="00DD1DBF">
        <w:t>the</w:t>
      </w:r>
      <w:r w:rsidR="00373C60">
        <w:t>n</w:t>
      </w:r>
      <w:r w:rsidR="00DD1DBF">
        <w:t xml:space="preserve"> incubating the cells </w:t>
      </w:r>
      <w:r w:rsidR="007F4E4B">
        <w:t>several days in OSW-1 free media</w:t>
      </w:r>
      <w:r w:rsidR="00DD1DBF">
        <w:t>. The washout experiment showed th</w:t>
      </w:r>
      <w:r w:rsidR="00EF694C">
        <w:t>at</w:t>
      </w:r>
      <w:r w:rsidR="00DD1DBF">
        <w:t xml:space="preserve"> 1 nM, 6 hr treatment induced a ~90% reduction of OSBP that remained reduced </w:t>
      </w:r>
      <w:r w:rsidR="00CE1452">
        <w:t xml:space="preserve"> </w:t>
      </w:r>
      <w:r w:rsidR="007F4E4B">
        <w:t xml:space="preserve"> </w:t>
      </w:r>
      <w:r w:rsidR="00DD1DBF">
        <w:t>for 72 hours after compound treatment stopped (</w:t>
      </w:r>
      <w:r w:rsidR="00DD1DBF" w:rsidRPr="000849BF">
        <w:rPr>
          <w:b/>
          <w:bCs/>
        </w:rPr>
        <w:t>Figure 5C</w:t>
      </w:r>
      <w:r w:rsidR="00DD1DBF">
        <w:t xml:space="preserve">). </w:t>
      </w:r>
      <w:r w:rsidR="007F4E4B">
        <w:t xml:space="preserve">  </w:t>
      </w:r>
      <w:r w:rsidR="00EF694C">
        <w:t xml:space="preserve">This response is selective only to the OSW-1 compound and not due to a cytotoxic event (e.g., taxol treatment). </w:t>
      </w:r>
      <w:r w:rsidR="007F4E4B">
        <w:t xml:space="preserve">for up to </w:t>
      </w:r>
      <w:r w:rsidR="00ED22D1">
        <w:t>72 hr</w:t>
      </w:r>
      <w:r w:rsidR="0079352B">
        <w:t xml:space="preserve"> (</w:t>
      </w:r>
      <w:r w:rsidR="007B294C" w:rsidRPr="002A3B57">
        <w:rPr>
          <w:b/>
          <w:bCs/>
        </w:rPr>
        <w:fldChar w:fldCharType="begin"/>
      </w:r>
      <w:r w:rsidR="007B294C" w:rsidRPr="000849BF">
        <w:rPr>
          <w:b/>
          <w:bCs/>
        </w:rPr>
        <w:instrText xml:space="preserve"> REF _Ref34052173 \h </w:instrText>
      </w:r>
      <w:r w:rsidR="00EF694C" w:rsidRPr="000849BF">
        <w:rPr>
          <w:b/>
          <w:bCs/>
        </w:rPr>
        <w:instrText xml:space="preserve"> \* MERGEFORMAT </w:instrText>
      </w:r>
      <w:r w:rsidR="007B294C" w:rsidRPr="002A3B57">
        <w:rPr>
          <w:b/>
          <w:bCs/>
        </w:rPr>
      </w:r>
      <w:r w:rsidR="007B294C" w:rsidRPr="002A3B57">
        <w:rPr>
          <w:b/>
          <w:bCs/>
        </w:rPr>
        <w:fldChar w:fldCharType="separate"/>
      </w:r>
      <w:r w:rsidR="007B294C" w:rsidRPr="000849BF">
        <w:rPr>
          <w:b/>
          <w:bCs/>
        </w:rPr>
        <w:t xml:space="preserve">Figure </w:t>
      </w:r>
      <w:r w:rsidR="007B294C" w:rsidRPr="000849BF">
        <w:rPr>
          <w:b/>
          <w:bCs/>
          <w:noProof/>
        </w:rPr>
        <w:t>5</w:t>
      </w:r>
      <w:r w:rsidR="007B294C" w:rsidRPr="002A3B57">
        <w:rPr>
          <w:b/>
          <w:bCs/>
        </w:rPr>
        <w:fldChar w:fldCharType="end"/>
      </w:r>
      <w:r w:rsidR="00EF694C">
        <w:rPr>
          <w:b/>
          <w:bCs/>
        </w:rPr>
        <w:t>C</w:t>
      </w:r>
      <w:r w:rsidR="00870AA6">
        <w:t xml:space="preserve">). </w:t>
      </w:r>
    </w:p>
    <w:p w14:paraId="362E385D" w14:textId="6261913E" w:rsidR="00F00664" w:rsidRDefault="005F1D2D" w:rsidP="00053F38">
      <w:pPr>
        <w:ind w:firstLine="720"/>
        <w:jc w:val="both"/>
      </w:pPr>
      <w:r>
        <w:t xml:space="preserve">This repression of OSBP </w:t>
      </w:r>
      <w:r w:rsidR="00EF694C">
        <w:t xml:space="preserve">upon washout conditions </w:t>
      </w:r>
      <w:r>
        <w:t>is shown t</w:t>
      </w:r>
      <w:r w:rsidR="00C90D69">
        <w:t>o</w:t>
      </w:r>
      <w:r>
        <w:t xml:space="preserve"> be both concentration and time dependent</w:t>
      </w:r>
      <w:r w:rsidR="00EF694C">
        <w:t xml:space="preserve"> in HCT-116 (</w:t>
      </w:r>
      <w:r w:rsidR="00EF694C" w:rsidRPr="000849BF">
        <w:rPr>
          <w:b/>
          <w:bCs/>
        </w:rPr>
        <w:t>Fig</w:t>
      </w:r>
      <w:r w:rsidR="002A3B57">
        <w:rPr>
          <w:b/>
          <w:bCs/>
        </w:rPr>
        <w:t>ure</w:t>
      </w:r>
      <w:r w:rsidR="00EF694C" w:rsidRPr="000849BF">
        <w:rPr>
          <w:b/>
          <w:bCs/>
        </w:rPr>
        <w:t xml:space="preserve"> 5D-F</w:t>
      </w:r>
      <w:r w:rsidR="00EF694C">
        <w:t>)</w:t>
      </w:r>
      <w:r>
        <w:t xml:space="preserve">. </w:t>
      </w:r>
      <w:r w:rsidR="006A6D60">
        <w:t xml:space="preserve">Treatments as short as </w:t>
      </w:r>
      <w:r w:rsidR="009C3A6C">
        <w:t xml:space="preserve"> 1 h</w:t>
      </w:r>
      <w:r w:rsidR="006A6D60">
        <w:t>our</w:t>
      </w:r>
      <w:r w:rsidR="009C3A6C">
        <w:t xml:space="preserve"> </w:t>
      </w:r>
      <w:r w:rsidR="006A6D60">
        <w:t xml:space="preserve">with </w:t>
      </w:r>
      <w:r w:rsidR="006120B0">
        <w:t>1</w:t>
      </w:r>
      <w:r w:rsidR="00455242">
        <w:t xml:space="preserve"> </w:t>
      </w:r>
      <w:r w:rsidR="006120B0">
        <w:t xml:space="preserve">nM </w:t>
      </w:r>
      <w:r w:rsidR="001B03A0">
        <w:t>transient treatment</w:t>
      </w:r>
      <w:r w:rsidR="00515D47">
        <w:t xml:space="preserve"> of OSW-1</w:t>
      </w:r>
      <w:r w:rsidR="001B03A0">
        <w:t xml:space="preserve"> is </w:t>
      </w:r>
      <w:r w:rsidR="00E41E0A">
        <w:t>sufficient</w:t>
      </w:r>
      <w:r w:rsidR="001B03A0">
        <w:t xml:space="preserve"> to induce the </w:t>
      </w:r>
      <w:r w:rsidR="006A6D60">
        <w:t xml:space="preserve">90% reduction in </w:t>
      </w:r>
      <w:r w:rsidR="00515D47">
        <w:t xml:space="preserve">OSBP </w:t>
      </w:r>
      <w:r w:rsidR="006A6D60">
        <w:t xml:space="preserve">levels </w:t>
      </w:r>
      <w:r w:rsidR="00515D47">
        <w:t>24 h</w:t>
      </w:r>
      <w:r w:rsidR="006A6D60">
        <w:t>ours</w:t>
      </w:r>
      <w:r w:rsidR="00515D47">
        <w:t xml:space="preserve"> later</w:t>
      </w:r>
      <w:r w:rsidR="00EF694C">
        <w:t xml:space="preserve"> (</w:t>
      </w:r>
      <w:r w:rsidR="00EF694C" w:rsidRPr="000849BF">
        <w:rPr>
          <w:b/>
          <w:bCs/>
        </w:rPr>
        <w:t>Fig</w:t>
      </w:r>
      <w:r w:rsidR="002A3B57">
        <w:rPr>
          <w:b/>
          <w:bCs/>
        </w:rPr>
        <w:t>ure</w:t>
      </w:r>
      <w:r w:rsidR="00EF694C" w:rsidRPr="000849BF">
        <w:rPr>
          <w:b/>
          <w:bCs/>
        </w:rPr>
        <w:t xml:space="preserve"> 5D</w:t>
      </w:r>
      <w:r w:rsidR="00EF694C">
        <w:t>)</w:t>
      </w:r>
      <w:r w:rsidR="006A6D60">
        <w:t>, and a 30 min 1 nM OSW-1 treatment induces a partial reduction of OSBP (</w:t>
      </w:r>
      <w:r w:rsidR="006A6D60" w:rsidRPr="000849BF">
        <w:rPr>
          <w:b/>
          <w:bCs/>
        </w:rPr>
        <w:t>Fig</w:t>
      </w:r>
      <w:r w:rsidR="002A3B57">
        <w:rPr>
          <w:b/>
          <w:bCs/>
        </w:rPr>
        <w:t>ure</w:t>
      </w:r>
      <w:r w:rsidR="006A6D60" w:rsidRPr="000849BF">
        <w:rPr>
          <w:b/>
          <w:bCs/>
        </w:rPr>
        <w:t xml:space="preserve"> 5E</w:t>
      </w:r>
      <w:r w:rsidR="006A6D60">
        <w:t xml:space="preserve">). </w:t>
      </w:r>
      <w:r w:rsidR="00515D47">
        <w:t xml:space="preserve"> Furthermore,</w:t>
      </w:r>
      <w:r w:rsidR="00B36E90">
        <w:t xml:space="preserve"> </w:t>
      </w:r>
      <w:r w:rsidR="004958CE">
        <w:t>a</w:t>
      </w:r>
      <w:r w:rsidR="00515D47">
        <w:t xml:space="preserve">s little as </w:t>
      </w:r>
      <w:r w:rsidR="00E41E0A">
        <w:t xml:space="preserve">0.5 nM </w:t>
      </w:r>
      <w:r w:rsidR="00515D47">
        <w:t>OSW-1</w:t>
      </w:r>
      <w:r w:rsidR="00EF694C">
        <w:t xml:space="preserve"> </w:t>
      </w:r>
      <w:r w:rsidR="004958CE">
        <w:t>for 1 hr</w:t>
      </w:r>
      <w:r w:rsidR="00515D47">
        <w:t xml:space="preserve"> </w:t>
      </w:r>
      <w:r w:rsidR="004958CE">
        <w:t xml:space="preserve">is capable of producing </w:t>
      </w:r>
      <w:r w:rsidR="000908CC">
        <w:t xml:space="preserve">significant degradation and repression of OSBP at 24 </w:t>
      </w:r>
      <w:r w:rsidR="00EF694C">
        <w:t>hour</w:t>
      </w:r>
      <w:r w:rsidR="006A6D60">
        <w:t>s</w:t>
      </w:r>
      <w:r w:rsidR="000908CC">
        <w:t xml:space="preserve"> post</w:t>
      </w:r>
      <w:r w:rsidR="006A6D60">
        <w:t>-</w:t>
      </w:r>
      <w:r w:rsidR="000908CC">
        <w:t>wash</w:t>
      </w:r>
      <w:r w:rsidR="00EF694C">
        <w:t>out</w:t>
      </w:r>
      <w:r w:rsidR="000908CC">
        <w:t>.</w:t>
      </w:r>
      <w:r w:rsidR="009E5088">
        <w:t xml:space="preserve"> </w:t>
      </w:r>
      <w:r w:rsidR="00366BCE">
        <w:t>(</w:t>
      </w:r>
      <w:r w:rsidR="007B294C" w:rsidRPr="002A3B57">
        <w:rPr>
          <w:b/>
          <w:bCs/>
        </w:rPr>
        <w:fldChar w:fldCharType="begin"/>
      </w:r>
      <w:r w:rsidR="007B294C" w:rsidRPr="000849BF">
        <w:rPr>
          <w:b/>
          <w:bCs/>
        </w:rPr>
        <w:instrText xml:space="preserve"> REF _Ref34052173 \h </w:instrText>
      </w:r>
      <w:r w:rsidR="00EF694C" w:rsidRPr="000849BF">
        <w:rPr>
          <w:b/>
          <w:bCs/>
        </w:rPr>
        <w:instrText xml:space="preserve"> \* MERGEFORMAT </w:instrText>
      </w:r>
      <w:r w:rsidR="007B294C" w:rsidRPr="002A3B57">
        <w:rPr>
          <w:b/>
          <w:bCs/>
        </w:rPr>
      </w:r>
      <w:r w:rsidR="007B294C" w:rsidRPr="002A3B57">
        <w:rPr>
          <w:b/>
          <w:bCs/>
        </w:rPr>
        <w:fldChar w:fldCharType="separate"/>
      </w:r>
      <w:r w:rsidR="007B294C" w:rsidRPr="000849BF">
        <w:rPr>
          <w:b/>
          <w:bCs/>
        </w:rPr>
        <w:t>Fig</w:t>
      </w:r>
      <w:r w:rsidR="002A3B57">
        <w:rPr>
          <w:b/>
          <w:bCs/>
        </w:rPr>
        <w:t xml:space="preserve">ure </w:t>
      </w:r>
      <w:r w:rsidR="007B294C" w:rsidRPr="000849BF">
        <w:rPr>
          <w:b/>
          <w:bCs/>
        </w:rPr>
        <w:t xml:space="preserve"> </w:t>
      </w:r>
      <w:r w:rsidR="007B294C" w:rsidRPr="000849BF">
        <w:rPr>
          <w:b/>
          <w:bCs/>
          <w:noProof/>
        </w:rPr>
        <w:t>5</w:t>
      </w:r>
      <w:r w:rsidR="007B294C" w:rsidRPr="002A3B57">
        <w:rPr>
          <w:b/>
          <w:bCs/>
        </w:rPr>
        <w:fldChar w:fldCharType="end"/>
      </w:r>
      <w:r w:rsidR="00EF694C" w:rsidRPr="00EF694C">
        <w:rPr>
          <w:b/>
          <w:bCs/>
        </w:rPr>
        <w:t>E</w:t>
      </w:r>
      <w:r w:rsidR="00366BCE">
        <w:t xml:space="preserve">). </w:t>
      </w:r>
      <w:r w:rsidR="002832B6">
        <w:t xml:space="preserve">Multiple other cells lines treated with low-dose, transient OSW-1 concentration showed similar </w:t>
      </w:r>
      <w:r w:rsidR="00C62A07">
        <w:t>long term</w:t>
      </w:r>
      <w:r w:rsidR="002832B6">
        <w:t xml:space="preserve"> reduction in OSBP levels.</w:t>
      </w:r>
      <w:r w:rsidR="00C62A07">
        <w:fldChar w:fldCharType="begin" w:fldLock="1"/>
      </w:r>
      <w:r w:rsidR="00C62A07">
        <w:instrText>ADDIN CSL_CITATION { "citationItems" : [ { "id" : "ITEM-1", "itemData" : { "DOI" : "10.1021/acschembio.8b00984", "ISSN" : "1554-8929",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 "given" : "Anh T.", "non-dropping-particle" : "", "parse-names" : false, "suffix" : "" }, { "dropping-particle" : "", "family" : "Kothapalli", "given" : "Naga Rama", "non-dropping-particle" : "", "parse-names" : false, "suffix" : "" }, { "dropping-particle" : "", "family" : "Nu\u00f1ez", "given" : "Juan I.", "non-dropping-particle" : "", "parse-names" : false, "suffix" : "" }, { "dropping-particle" : "", "family" : "Ma", "given" : "Hongyan", "non-dropping-particle" : "", "parse-names" : false, "suffix" : "" }, { "dropping-particle" : "", "family" : "Wu", "given" : "Si", "non-dropping-particle" : "", "parse-names" : false, "suffix" : "" }, { "dropping-particle" : "", "family" : "Standke", "given" : "Shawna J.", "non-dropping-particle" : "", "parse-names" : false, "suffix" : "" }, { "dropping-particle" : "", "family" : "Yang", "given" : "Zhibo",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 G.", "non-dropping-particle" : "", "parse-names" : false, "suffix" : "" } ], "container-title" : "ACS Chemical Biology", "id" : "ITEM-1", "issue" : "2", "issued" : { "date-parts" : [ [ "2019", "2", "15" ] ] }, "page" : "276-287", "title" : "Transient Compound Treatment Induces a Multigenerational Reduction of Oxysterol-Binding Protein (OSBP) Levels and Prophylactic Antiviral Activity", "type" : "article-journal", "volume" : "14" }, "uris" : [ "http://www.mendeley.com/documents/?uuid=ba479cf7-d3d6-400b-87e0-437e193e43f0" ] } ], "mendeley" : { "formattedCitation" : "&lt;sup&gt;90&lt;/sup&gt;", "plainTextFormattedCitation" : "90", "previouslyFormattedCitation" : "&lt;sup&gt;90&lt;/sup&gt;" }, "properties" : { "noteIndex" : 0 }, "schema" : "https://github.com/citation-style-language/schema/raw/master/csl-citation.json" }</w:instrText>
      </w:r>
      <w:r w:rsidR="00C62A07">
        <w:fldChar w:fldCharType="separate"/>
      </w:r>
      <w:r w:rsidR="00C62A07" w:rsidRPr="00C62A07">
        <w:rPr>
          <w:noProof/>
          <w:vertAlign w:val="superscript"/>
        </w:rPr>
        <w:t>90</w:t>
      </w:r>
      <w:r w:rsidR="00C62A07">
        <w:fldChar w:fldCharType="end"/>
      </w:r>
    </w:p>
    <w:p w14:paraId="69214187" w14:textId="77777777" w:rsidR="00C62A07" w:rsidRDefault="00C62A07" w:rsidP="00053F38">
      <w:pPr>
        <w:ind w:firstLine="720"/>
        <w:jc w:val="both"/>
      </w:pPr>
    </w:p>
    <w:p w14:paraId="57489521" w14:textId="540DE8E4" w:rsidR="005F7515" w:rsidRDefault="005F7515" w:rsidP="00F01888">
      <w:pPr>
        <w:pStyle w:val="Heading3"/>
      </w:pPr>
      <w:bookmarkStart w:id="53" w:name="_Toc39868156"/>
      <w:r>
        <w:t>2.</w:t>
      </w:r>
      <w:r w:rsidR="005668C1">
        <w:t>5.2</w:t>
      </w:r>
      <w:r>
        <w:t xml:space="preserve"> O</w:t>
      </w:r>
      <w:r w:rsidR="006C348E">
        <w:t xml:space="preserve">SBP Repression is </w:t>
      </w:r>
      <w:r w:rsidR="00AD26F2">
        <w:t>I</w:t>
      </w:r>
      <w:r w:rsidR="006C348E">
        <w:t>ndependent of Residual OSW-1.</w:t>
      </w:r>
      <w:bookmarkEnd w:id="53"/>
      <w:r w:rsidR="006C348E">
        <w:t xml:space="preserve"> </w:t>
      </w:r>
    </w:p>
    <w:p w14:paraId="56505407" w14:textId="404E389D" w:rsidR="006C348E" w:rsidRDefault="00F7117D" w:rsidP="00C123B0">
      <w:pPr>
        <w:ind w:firstLine="720"/>
        <w:jc w:val="both"/>
      </w:pPr>
      <w:r>
        <w:t xml:space="preserve">Mass spectrometry quantification was used to </w:t>
      </w:r>
      <w:r w:rsidR="00356373">
        <w:t xml:space="preserve">determine </w:t>
      </w:r>
      <w:r w:rsidR="00181322">
        <w:t>if the long term (</w:t>
      </w:r>
      <w:r w:rsidRPr="000849BF">
        <w:rPr>
          <w:b/>
          <w:bCs/>
        </w:rPr>
        <w:t>Fig</w:t>
      </w:r>
      <w:r w:rsidR="002A3B57">
        <w:rPr>
          <w:b/>
          <w:bCs/>
        </w:rPr>
        <w:t>ure</w:t>
      </w:r>
      <w:r w:rsidRPr="000849BF">
        <w:rPr>
          <w:b/>
          <w:bCs/>
        </w:rPr>
        <w:t xml:space="preserve"> 5C</w:t>
      </w:r>
      <w:r w:rsidR="00181322">
        <w:t xml:space="preserve">) </w:t>
      </w:r>
      <w:r w:rsidR="005332EB">
        <w:t xml:space="preserve">repression of OSBP is due to residual intracellular OSW-1 </w:t>
      </w:r>
      <w:r>
        <w:t xml:space="preserve">remaining </w:t>
      </w:r>
      <w:r w:rsidR="005332EB">
        <w:t>post</w:t>
      </w:r>
      <w:r>
        <w:t>-</w:t>
      </w:r>
      <w:r w:rsidR="005332EB">
        <w:t>wash</w:t>
      </w:r>
      <w:r>
        <w:t xml:space="preserve">out. </w:t>
      </w:r>
      <w:r w:rsidR="005332EB">
        <w:t xml:space="preserve"> </w:t>
      </w:r>
      <w:r w:rsidR="009422F7">
        <w:t xml:space="preserve">A liquid-chromatography mass spectrometry </w:t>
      </w:r>
      <w:r w:rsidR="009B5F4B">
        <w:t>(LCMS)</w:t>
      </w:r>
      <w:r>
        <w:t xml:space="preserve"> </w:t>
      </w:r>
      <w:r w:rsidR="009422F7">
        <w:t xml:space="preserve">analysis was first performed on cellular </w:t>
      </w:r>
      <w:r w:rsidR="005249CC">
        <w:t xml:space="preserve">lysate from </w:t>
      </w:r>
      <w:r>
        <w:t xml:space="preserve">OSW-1-treated </w:t>
      </w:r>
      <w:r w:rsidR="005249CC">
        <w:t xml:space="preserve">HCT-116 cells. Cells were treated with 100 nM OSW-1 for 1 hr, </w:t>
      </w:r>
      <w:r>
        <w:t xml:space="preserve">compound-containing media was removed, the cells were </w:t>
      </w:r>
      <w:r w:rsidR="005249CC">
        <w:t>washed</w:t>
      </w:r>
      <w:r>
        <w:t xml:space="preserve"> three times </w:t>
      </w:r>
      <w:r w:rsidR="004F64F9">
        <w:t xml:space="preserve">and incubated in compound-free media for </w:t>
      </w:r>
      <w:r w:rsidR="005249CC">
        <w:t>either 0 hr or 2</w:t>
      </w:r>
      <w:r w:rsidR="000C2118">
        <w:t xml:space="preserve">4 hr. </w:t>
      </w:r>
      <w:r w:rsidR="00BE1C51">
        <w:t xml:space="preserve">An internal standard </w:t>
      </w:r>
      <w:r w:rsidR="00A51461">
        <w:rPr>
          <w:noProof/>
        </w:rPr>
        <w:lastRenderedPageBreak/>
        <mc:AlternateContent>
          <mc:Choice Requires="wps">
            <w:drawing>
              <wp:inline distT="0" distB="0" distL="0" distR="0" wp14:anchorId="5157D220" wp14:editId="0CE17B46">
                <wp:extent cx="5394960" cy="8201025"/>
                <wp:effectExtent l="0" t="0" r="15240" b="28575"/>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8201025"/>
                        </a:xfrm>
                        <a:prstGeom prst="rect">
                          <a:avLst/>
                        </a:prstGeom>
                        <a:solidFill>
                          <a:srgbClr val="FFFFFF"/>
                        </a:solidFill>
                        <a:ln w="9525">
                          <a:solidFill>
                            <a:srgbClr val="000000"/>
                          </a:solidFill>
                          <a:miter lim="800000"/>
                          <a:headEnd/>
                          <a:tailEnd/>
                        </a:ln>
                      </wps:spPr>
                      <wps:txbx>
                        <w:txbxContent>
                          <w:p w14:paraId="452EC258" w14:textId="77777777" w:rsidR="00730B8F" w:rsidRDefault="00730B8F">
                            <w:pPr>
                              <w:keepNext/>
                            </w:pPr>
                            <w:r w:rsidRPr="0086234A">
                              <w:rPr>
                                <w:noProof/>
                              </w:rPr>
                              <w:drawing>
                                <wp:inline distT="0" distB="0" distL="0" distR="0" wp14:anchorId="4F8F80F6" wp14:editId="4F533615">
                                  <wp:extent cx="5225551" cy="670779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5225551" cy="6707799"/>
                                          </a:xfrm>
                                          <a:prstGeom prst="rect">
                                            <a:avLst/>
                                          </a:prstGeom>
                                          <a:noFill/>
                                          <a:ln>
                                            <a:noFill/>
                                          </a:ln>
                                        </pic:spPr>
                                      </pic:pic>
                                    </a:graphicData>
                                  </a:graphic>
                                </wp:inline>
                              </w:drawing>
                            </w:r>
                          </w:p>
                          <w:p w14:paraId="16093D70" w14:textId="2C3D864F" w:rsidR="00730B8F" w:rsidRPr="00952E0F" w:rsidRDefault="00730B8F" w:rsidP="000849BF">
                            <w:pPr>
                              <w:pStyle w:val="Caption"/>
                              <w:rPr>
                                <w:b w:val="0"/>
                                <w:bCs w:val="0"/>
                              </w:rPr>
                            </w:pPr>
                            <w:bookmarkStart w:id="54" w:name="_Ref38441104"/>
                            <w:bookmarkStart w:id="55" w:name="_Toc39868218"/>
                            <w:r>
                              <w:t xml:space="preserve">Figure </w:t>
                            </w:r>
                            <w:r w:rsidR="009425BE">
                              <w:fldChar w:fldCharType="begin"/>
                            </w:r>
                            <w:r w:rsidR="009425BE">
                              <w:instrText xml:space="preserve"> SEQ Figure \* ARABIC </w:instrText>
                            </w:r>
                            <w:r w:rsidR="009425BE">
                              <w:fldChar w:fldCharType="separate"/>
                            </w:r>
                            <w:r>
                              <w:rPr>
                                <w:noProof/>
                              </w:rPr>
                              <w:t>5</w:t>
                            </w:r>
                            <w:r w:rsidR="009425BE">
                              <w:rPr>
                                <w:noProof/>
                              </w:rPr>
                              <w:fldChar w:fldCharType="end"/>
                            </w:r>
                            <w:bookmarkEnd w:id="54"/>
                            <w:r>
                              <w:t xml:space="preserve">: </w:t>
                            </w:r>
                            <w:r>
                              <w:rPr>
                                <w:b w:val="0"/>
                                <w:bCs w:val="0"/>
                                <w:noProof/>
                              </w:rPr>
                              <w:t xml:space="preserve">OSW-1 degrades the OSBP protein in a time and concentration dependent </w:t>
                            </w:r>
                            <w:r w:rsidRPr="00EF1E04">
                              <w:rPr>
                                <w:b w:val="0"/>
                                <w:bCs w:val="0"/>
                                <w:noProof/>
                              </w:rPr>
                              <w:t xml:space="preserve">manner in HCT-116 cells </w:t>
                            </w:r>
                            <w:r>
                              <w:rPr>
                                <w:b w:val="0"/>
                                <w:bCs w:val="0"/>
                                <w:noProof/>
                              </w:rPr>
                              <w:t xml:space="preserve"> A) The OSW-1 molecule. B) OSBP and ORP4 Western blot following 1 nM OSW-1 treatment. C) A 6 h treatment of compound, followed by 3X wash and Western blot at the provided times. D) 1 nM OSW-1 treatment for the indicated time followed by 24 h recovery. E) 1 nM OSW-1 treatment for the indicated time followed by 24 h recovery. F)  1 hr treatment at indicated OSW-1 concentrations  followed by 24 hr recovery.</w:t>
                            </w:r>
                            <w:bookmarkEnd w:id="55"/>
                          </w:p>
                          <w:p w14:paraId="7B86B545" w14:textId="77777777" w:rsidR="00730B8F" w:rsidRPr="00952E0F" w:rsidRDefault="00730B8F" w:rsidP="00A51461">
                            <w:pPr>
                              <w:pStyle w:val="Caption"/>
                              <w:rPr>
                                <w:b w:val="0"/>
                                <w:bCs w:val="0"/>
                              </w:rPr>
                            </w:pPr>
                          </w:p>
                          <w:p w14:paraId="79E5121F" w14:textId="77777777" w:rsidR="00730B8F" w:rsidRDefault="00730B8F" w:rsidP="00A51461"/>
                        </w:txbxContent>
                      </wps:txbx>
                      <wps:bodyPr rot="0" vert="horz" wrap="square" lIns="91440" tIns="45720" rIns="91440" bIns="45720" anchor="t" anchorCtr="0">
                        <a:noAutofit/>
                      </wps:bodyPr>
                    </wps:wsp>
                  </a:graphicData>
                </a:graphic>
              </wp:inline>
            </w:drawing>
          </mc:Choice>
          <mc:Fallback>
            <w:pict>
              <v:shape w14:anchorId="5157D220" id="Text Box 2" o:spid="_x0000_s1030" type="#_x0000_t202" style="width:424.8pt;height:6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">
                <v:textbox>
                  <w:txbxContent>
                    <w:p w14:paraId="452EC258" w14:textId="77777777" w:rsidR="00730B8F" w:rsidRDefault="00730B8F">
                      <w:pPr>
                        <w:keepNext/>
                      </w:pPr>
                      <w:r w:rsidRPr="0086234A">
                        <w:rPr>
                          <w:noProof/>
                        </w:rPr>
                        <w:drawing>
                          <wp:inline distT="0" distB="0" distL="0" distR="0" wp14:anchorId="4F8F80F6" wp14:editId="4F533615">
                            <wp:extent cx="5225551" cy="670779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5225551" cy="6707799"/>
                                    </a:xfrm>
                                    <a:prstGeom prst="rect">
                                      <a:avLst/>
                                    </a:prstGeom>
                                    <a:noFill/>
                                    <a:ln>
                                      <a:noFill/>
                                    </a:ln>
                                  </pic:spPr>
                                </pic:pic>
                              </a:graphicData>
                            </a:graphic>
                          </wp:inline>
                        </w:drawing>
                      </w:r>
                    </w:p>
                    <w:p w14:paraId="16093D70" w14:textId="2C3D864F" w:rsidR="00730B8F" w:rsidRPr="00952E0F" w:rsidRDefault="00730B8F" w:rsidP="000849BF">
                      <w:pPr>
                        <w:pStyle w:val="Caption"/>
                        <w:rPr>
                          <w:b w:val="0"/>
                          <w:bCs w:val="0"/>
                        </w:rPr>
                      </w:pPr>
                      <w:bookmarkStart w:id="56" w:name="_Ref38441104"/>
                      <w:bookmarkStart w:id="57" w:name="_Toc39868218"/>
                      <w:r>
                        <w:t xml:space="preserve">Figure </w:t>
                      </w:r>
                      <w:r w:rsidR="009425BE">
                        <w:fldChar w:fldCharType="begin"/>
                      </w:r>
                      <w:r w:rsidR="009425BE">
                        <w:instrText xml:space="preserve"> SEQ Figure \* ARABIC </w:instrText>
                      </w:r>
                      <w:r w:rsidR="009425BE">
                        <w:fldChar w:fldCharType="separate"/>
                      </w:r>
                      <w:r>
                        <w:rPr>
                          <w:noProof/>
                        </w:rPr>
                        <w:t>5</w:t>
                      </w:r>
                      <w:r w:rsidR="009425BE">
                        <w:rPr>
                          <w:noProof/>
                        </w:rPr>
                        <w:fldChar w:fldCharType="end"/>
                      </w:r>
                      <w:bookmarkEnd w:id="56"/>
                      <w:r>
                        <w:t xml:space="preserve">: </w:t>
                      </w:r>
                      <w:r>
                        <w:rPr>
                          <w:b w:val="0"/>
                          <w:bCs w:val="0"/>
                          <w:noProof/>
                        </w:rPr>
                        <w:t xml:space="preserve">OSW-1 degrades the OSBP protein in a time and concentration dependent </w:t>
                      </w:r>
                      <w:r w:rsidRPr="00EF1E04">
                        <w:rPr>
                          <w:b w:val="0"/>
                          <w:bCs w:val="0"/>
                          <w:noProof/>
                        </w:rPr>
                        <w:t xml:space="preserve">manner in HCT-116 cells </w:t>
                      </w:r>
                      <w:r>
                        <w:rPr>
                          <w:b w:val="0"/>
                          <w:bCs w:val="0"/>
                          <w:noProof/>
                        </w:rPr>
                        <w:t xml:space="preserve"> A) The OSW-1 molecule. B) OSBP and ORP4 Western blot following 1 nM OSW-1 treatment. C) A 6 h treatment of compound, followed by 3X wash and Western blot at the provided times. D) 1 nM OSW-1 treatment for the indicated time followed by 24 h recovery. E) 1 nM OSW-1 treatment for the indicated time followed by 24 h recovery. F)  1 hr treatment at indicated OSW-1 concentrations  followed by 24 hr recovery.</w:t>
                      </w:r>
                      <w:bookmarkEnd w:id="57"/>
                    </w:p>
                    <w:p w14:paraId="7B86B545" w14:textId="77777777" w:rsidR="00730B8F" w:rsidRPr="00952E0F" w:rsidRDefault="00730B8F" w:rsidP="00A51461">
                      <w:pPr>
                        <w:pStyle w:val="Caption"/>
                        <w:rPr>
                          <w:b w:val="0"/>
                          <w:bCs w:val="0"/>
                        </w:rPr>
                      </w:pPr>
                    </w:p>
                    <w:p w14:paraId="79E5121F" w14:textId="77777777" w:rsidR="00730B8F" w:rsidRDefault="00730B8F" w:rsidP="00A51461"/>
                  </w:txbxContent>
                </v:textbox>
                <w10:anchorlock/>
              </v:shape>
            </w:pict>
          </mc:Fallback>
        </mc:AlternateContent>
      </w:r>
      <w:r w:rsidR="00BE1C51">
        <w:lastRenderedPageBreak/>
        <w:t xml:space="preserve">of deuterated OSW-1 </w:t>
      </w:r>
      <w:r w:rsidR="00C92984">
        <w:t xml:space="preserve">added to the lysate in order to </w:t>
      </w:r>
      <w:r w:rsidR="00BE1C51">
        <w:t xml:space="preserve">quantify the amount of </w:t>
      </w:r>
      <w:r w:rsidR="00C92984">
        <w:t xml:space="preserve">OSW-1 </w:t>
      </w:r>
      <w:r w:rsidR="00BE1C51">
        <w:t xml:space="preserve">compound present in the lysate. </w:t>
      </w:r>
      <w:r w:rsidR="00D26016">
        <w:t xml:space="preserve">Following the 1 hr treatment, </w:t>
      </w:r>
      <w:r w:rsidR="00C22EB5">
        <w:t xml:space="preserve">an </w:t>
      </w:r>
      <w:r w:rsidR="00C92984">
        <w:t xml:space="preserve">OSW-1 </w:t>
      </w:r>
      <w:r w:rsidR="00633601">
        <w:t>intracellular</w:t>
      </w:r>
      <w:r w:rsidR="00C22EB5">
        <w:t xml:space="preserve"> </w:t>
      </w:r>
      <w:r w:rsidR="00633601">
        <w:t xml:space="preserve">concentration of 1.74 </w:t>
      </w:r>
      <w:r w:rsidR="00633601">
        <w:rPr>
          <w:rFonts w:cstheme="minorHAnsi"/>
        </w:rPr>
        <w:t>±</w:t>
      </w:r>
      <w:r w:rsidR="00633601">
        <w:t xml:space="preserve"> 0.74 </w:t>
      </w:r>
      <w:r w:rsidR="00633601">
        <w:rPr>
          <w:rFonts w:cstheme="minorHAnsi"/>
        </w:rPr>
        <w:t>μ</w:t>
      </w:r>
      <w:r w:rsidR="00633601">
        <w:t xml:space="preserve">M was </w:t>
      </w:r>
      <w:r w:rsidR="00C92984">
        <w:t xml:space="preserve">measured </w:t>
      </w:r>
      <w:r w:rsidR="00633601">
        <w:t>(</w:t>
      </w:r>
      <w:r w:rsidR="004079A8" w:rsidRPr="002A3B57">
        <w:rPr>
          <w:b/>
          <w:bCs/>
        </w:rPr>
        <w:fldChar w:fldCharType="begin"/>
      </w:r>
      <w:r w:rsidR="004079A8" w:rsidRPr="000849BF">
        <w:rPr>
          <w:b/>
          <w:bCs/>
        </w:rPr>
        <w:instrText xml:space="preserve"> REF _Ref33174679 \h </w:instrText>
      </w:r>
      <w:r w:rsidR="00C92984" w:rsidRPr="000849BF">
        <w:rPr>
          <w:b/>
          <w:bCs/>
        </w:rPr>
        <w:instrText xml:space="preserve"> \* MERGEFORMAT </w:instrText>
      </w:r>
      <w:r w:rsidR="004079A8" w:rsidRPr="002A3B57">
        <w:rPr>
          <w:b/>
          <w:bCs/>
        </w:rPr>
      </w:r>
      <w:r w:rsidR="004079A8" w:rsidRPr="002A3B57">
        <w:rPr>
          <w:b/>
          <w:bCs/>
        </w:rPr>
        <w:fldChar w:fldCharType="separate"/>
      </w:r>
      <w:r w:rsidR="004079A8" w:rsidRPr="000849BF">
        <w:rPr>
          <w:b/>
          <w:bCs/>
        </w:rPr>
        <w:t xml:space="preserve">Figure </w:t>
      </w:r>
      <w:r w:rsidR="004079A8" w:rsidRPr="000849BF">
        <w:rPr>
          <w:b/>
          <w:bCs/>
          <w:noProof/>
        </w:rPr>
        <w:t>6</w:t>
      </w:r>
      <w:r w:rsidR="004079A8" w:rsidRPr="002A3B57">
        <w:rPr>
          <w:b/>
          <w:bCs/>
        </w:rPr>
        <w:fldChar w:fldCharType="end"/>
      </w:r>
      <w:r w:rsidR="004079A8" w:rsidRPr="00C92984">
        <w:rPr>
          <w:b/>
          <w:bCs/>
        </w:rPr>
        <w:t xml:space="preserve">, </w:t>
      </w:r>
      <w:r w:rsidR="00C92984" w:rsidRPr="002A3B57">
        <w:rPr>
          <w:b/>
          <w:bCs/>
        </w:rPr>
        <w:fldChar w:fldCharType="begin"/>
      </w:r>
      <w:r w:rsidR="00C92984" w:rsidRPr="00C92984">
        <w:rPr>
          <w:b/>
          <w:bCs/>
        </w:rPr>
        <w:instrText xml:space="preserve"> REF _Ref33174684 \h </w:instrText>
      </w:r>
      <w:r w:rsidR="00C92984" w:rsidRPr="000849BF">
        <w:rPr>
          <w:b/>
          <w:bCs/>
        </w:rPr>
        <w:instrText xml:space="preserve"> \* MERGEFORMAT </w:instrText>
      </w:r>
      <w:r w:rsidR="00C92984" w:rsidRPr="002A3B57">
        <w:rPr>
          <w:b/>
          <w:bCs/>
        </w:rPr>
      </w:r>
      <w:r w:rsidR="00C92984" w:rsidRPr="002A3B57">
        <w:rPr>
          <w:b/>
          <w:bCs/>
        </w:rPr>
        <w:fldChar w:fldCharType="separate"/>
      </w:r>
      <w:r w:rsidR="00C92984" w:rsidRPr="000849BF">
        <w:rPr>
          <w:b/>
          <w:bCs/>
        </w:rPr>
        <w:t xml:space="preserve">Figure </w:t>
      </w:r>
      <w:r w:rsidR="00C92984" w:rsidRPr="000849BF">
        <w:rPr>
          <w:b/>
          <w:bCs/>
          <w:noProof/>
        </w:rPr>
        <w:t>8</w:t>
      </w:r>
      <w:r w:rsidR="00C92984" w:rsidRPr="002A3B57">
        <w:rPr>
          <w:b/>
          <w:bCs/>
        </w:rPr>
        <w:fldChar w:fldCharType="end"/>
      </w:r>
      <w:r w:rsidR="00633601">
        <w:t>). However, following 24 hr recovery</w:t>
      </w:r>
      <w:r w:rsidR="00C92984">
        <w:t xml:space="preserve"> post-washout</w:t>
      </w:r>
      <w:r w:rsidR="00633601">
        <w:t xml:space="preserve">, the OSW-1 compound was undetected </w:t>
      </w:r>
      <w:r w:rsidR="005C285C">
        <w:t>(</w:t>
      </w:r>
      <w:r w:rsidR="004079A8" w:rsidRPr="002A3B57">
        <w:rPr>
          <w:b/>
          <w:bCs/>
        </w:rPr>
        <w:fldChar w:fldCharType="begin"/>
      </w:r>
      <w:r w:rsidR="004079A8" w:rsidRPr="000849BF">
        <w:rPr>
          <w:b/>
          <w:bCs/>
        </w:rPr>
        <w:instrText xml:space="preserve"> REF _Ref33174679 \h </w:instrText>
      </w:r>
      <w:r w:rsidR="00C92984" w:rsidRPr="000849BF">
        <w:rPr>
          <w:b/>
          <w:bCs/>
        </w:rPr>
        <w:instrText xml:space="preserve"> \* MERGEFORMAT </w:instrText>
      </w:r>
      <w:r w:rsidR="004079A8" w:rsidRPr="002A3B57">
        <w:rPr>
          <w:b/>
          <w:bCs/>
        </w:rPr>
      </w:r>
      <w:r w:rsidR="004079A8" w:rsidRPr="002A3B57">
        <w:rPr>
          <w:b/>
          <w:bCs/>
        </w:rPr>
        <w:fldChar w:fldCharType="separate"/>
      </w:r>
      <w:r w:rsidR="004079A8" w:rsidRPr="000849BF">
        <w:rPr>
          <w:b/>
          <w:bCs/>
        </w:rPr>
        <w:t xml:space="preserve">Figure </w:t>
      </w:r>
      <w:r w:rsidR="004079A8" w:rsidRPr="000849BF">
        <w:rPr>
          <w:b/>
          <w:bCs/>
          <w:noProof/>
        </w:rPr>
        <w:t>6</w:t>
      </w:r>
      <w:r w:rsidR="004079A8" w:rsidRPr="002A3B57">
        <w:rPr>
          <w:b/>
          <w:bCs/>
        </w:rPr>
        <w:fldChar w:fldCharType="end"/>
      </w:r>
      <w:r w:rsidR="005C285C" w:rsidRPr="000849BF">
        <w:t>,</w:t>
      </w:r>
      <w:r w:rsidR="005C285C" w:rsidRPr="00C92984">
        <w:rPr>
          <w:b/>
          <w:bCs/>
        </w:rPr>
        <w:t xml:space="preserve"> </w:t>
      </w:r>
      <w:r w:rsidR="004079A8" w:rsidRPr="002A3B57">
        <w:rPr>
          <w:b/>
          <w:bCs/>
        </w:rPr>
        <w:fldChar w:fldCharType="begin"/>
      </w:r>
      <w:r w:rsidR="004079A8" w:rsidRPr="00C92984">
        <w:rPr>
          <w:b/>
          <w:bCs/>
        </w:rPr>
        <w:instrText xml:space="preserve"> REF _Ref33174684 \h </w:instrText>
      </w:r>
      <w:r w:rsidR="00C92984" w:rsidRPr="000849BF">
        <w:rPr>
          <w:b/>
          <w:bCs/>
        </w:rPr>
        <w:instrText xml:space="preserve"> \* MERGEFORMAT </w:instrText>
      </w:r>
      <w:r w:rsidR="004079A8" w:rsidRPr="002A3B57">
        <w:rPr>
          <w:b/>
          <w:bCs/>
        </w:rPr>
      </w:r>
      <w:r w:rsidR="004079A8" w:rsidRPr="002A3B57">
        <w:rPr>
          <w:b/>
          <w:bCs/>
        </w:rPr>
        <w:fldChar w:fldCharType="separate"/>
      </w:r>
      <w:r w:rsidR="004079A8" w:rsidRPr="000849BF">
        <w:rPr>
          <w:b/>
          <w:bCs/>
        </w:rPr>
        <w:t xml:space="preserve">Figure </w:t>
      </w:r>
      <w:r w:rsidR="004079A8" w:rsidRPr="000849BF">
        <w:rPr>
          <w:b/>
          <w:bCs/>
          <w:noProof/>
        </w:rPr>
        <w:t>8</w:t>
      </w:r>
      <w:r w:rsidR="004079A8" w:rsidRPr="002A3B57">
        <w:rPr>
          <w:b/>
          <w:bCs/>
        </w:rPr>
        <w:fldChar w:fldCharType="end"/>
      </w:r>
      <w:r w:rsidR="00633601">
        <w:t>)</w:t>
      </w:r>
      <w:r w:rsidR="007B499E">
        <w:t>. Furthermore, a comple</w:t>
      </w:r>
      <w:r w:rsidR="007C112F">
        <w:t>mentary analysis using the Single-Probe</w:t>
      </w:r>
      <w:r w:rsidR="009B5F4B">
        <w:t xml:space="preserve"> </w:t>
      </w:r>
      <w:r w:rsidR="00C92984">
        <w:t xml:space="preserve">single cell </w:t>
      </w:r>
      <w:r w:rsidR="009B5F4B">
        <w:t xml:space="preserve">mass </w:t>
      </w:r>
      <w:r w:rsidR="00A51461">
        <w:rPr>
          <w:noProof/>
        </w:rPr>
        <mc:AlternateContent>
          <mc:Choice Requires="wps">
            <w:drawing>
              <wp:anchor distT="45720" distB="45720" distL="114300" distR="114300" simplePos="0" relativeHeight="251635712" behindDoc="0" locked="0" layoutInCell="1" allowOverlap="1" wp14:anchorId="68389D7F" wp14:editId="38F5194B">
                <wp:simplePos x="0" y="0"/>
                <wp:positionH relativeFrom="margin">
                  <wp:align>right</wp:align>
                </wp:positionH>
                <wp:positionV relativeFrom="paragraph">
                  <wp:posOffset>-569</wp:posOffset>
                </wp:positionV>
                <wp:extent cx="5388610" cy="5826760"/>
                <wp:effectExtent l="0" t="0" r="21590" b="2159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8610" cy="5826760"/>
                        </a:xfrm>
                        <a:prstGeom prst="rect">
                          <a:avLst/>
                        </a:prstGeom>
                        <a:solidFill>
                          <a:srgbClr val="FFFFFF"/>
                        </a:solidFill>
                        <a:ln w="9525">
                          <a:solidFill>
                            <a:srgbClr val="000000"/>
                          </a:solidFill>
                          <a:miter lim="800000"/>
                          <a:headEnd/>
                          <a:tailEnd/>
                        </a:ln>
                      </wps:spPr>
                      <wps:txbx>
                        <w:txbxContent>
                          <w:p w14:paraId="495A2264" w14:textId="77777777" w:rsidR="00730B8F" w:rsidRDefault="00730B8F" w:rsidP="00453E21">
                            <w:pPr>
                              <w:keepNext/>
                            </w:pPr>
                            <w:r w:rsidRPr="00453E21">
                              <w:rPr>
                                <w:noProof/>
                              </w:rPr>
                              <w:drawing>
                                <wp:inline distT="0" distB="0" distL="0" distR="0" wp14:anchorId="2D5FA122" wp14:editId="19F0B3DD">
                                  <wp:extent cx="5196840" cy="48044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96840" cy="4804410"/>
                                          </a:xfrm>
                                          <a:prstGeom prst="rect">
                                            <a:avLst/>
                                          </a:prstGeom>
                                          <a:noFill/>
                                          <a:ln>
                                            <a:noFill/>
                                          </a:ln>
                                        </pic:spPr>
                                      </pic:pic>
                                    </a:graphicData>
                                  </a:graphic>
                                </wp:inline>
                              </w:drawing>
                            </w:r>
                          </w:p>
                          <w:p w14:paraId="21E63CC2" w14:textId="4F565219" w:rsidR="00730B8F" w:rsidRPr="006A1B00" w:rsidRDefault="00730B8F" w:rsidP="00453E21">
                            <w:pPr>
                              <w:pStyle w:val="Caption"/>
                              <w:rPr>
                                <w:b w:val="0"/>
                                <w:bCs w:val="0"/>
                              </w:rPr>
                            </w:pPr>
                            <w:bookmarkStart w:id="58" w:name="_Toc39868219"/>
                            <w:r>
                              <w:t xml:space="preserve">Figure </w:t>
                            </w:r>
                            <w:r w:rsidR="009425BE">
                              <w:fldChar w:fldCharType="begin"/>
                            </w:r>
                            <w:r w:rsidR="009425BE">
                              <w:instrText xml:space="preserve"> SEQ Figure \* ARABIC </w:instrText>
                            </w:r>
                            <w:r w:rsidR="009425BE">
                              <w:fldChar w:fldCharType="separate"/>
                            </w:r>
                            <w:r>
                              <w:rPr>
                                <w:noProof/>
                              </w:rPr>
                              <w:t>6</w:t>
                            </w:r>
                            <w:r w:rsidR="009425BE">
                              <w:rPr>
                                <w:noProof/>
                              </w:rPr>
                              <w:fldChar w:fldCharType="end"/>
                            </w:r>
                            <w:r>
                              <w:rPr>
                                <w:noProof/>
                              </w:rPr>
                              <w:t xml:space="preserve">: </w:t>
                            </w:r>
                            <w:r>
                              <w:rPr>
                                <w:b w:val="0"/>
                                <w:bCs w:val="0"/>
                                <w:noProof/>
                              </w:rPr>
                              <w:t>Liquid Chromatography Mass Spectrometry (LCMS) quantificaiton of OSW-1 at 0 h and 24 h post washout of a 100 nM treatment for 1 h. The deuterated OSW-1 analog (5 nM) is used as an internal standard for quantification.</w:t>
                            </w:r>
                            <w:bookmarkEnd w:id="58"/>
                            <w:r>
                              <w:rPr>
                                <w:b w:val="0"/>
                                <w:bCs w:val="0"/>
                                <w:noProof/>
                              </w:rPr>
                              <w:t xml:space="preserve"> </w:t>
                            </w:r>
                          </w:p>
                          <w:p w14:paraId="18B59D92" w14:textId="77777777" w:rsidR="00730B8F" w:rsidRDefault="00730B8F"/>
                          <w:p w14:paraId="0A6A9B45" w14:textId="77777777" w:rsidR="00730B8F" w:rsidRDefault="00730B8F"/>
                          <w:p w14:paraId="5B038C27" w14:textId="36D36681" w:rsidR="00730B8F" w:rsidRDefault="00730B8F" w:rsidP="00453E21">
                            <w:pPr>
                              <w:keepNext/>
                            </w:pPr>
                            <w:r w:rsidRPr="00453E21">
                              <w:rPr>
                                <w:noProof/>
                              </w:rPr>
                              <w:drawing>
                                <wp:inline distT="0" distB="0" distL="0" distR="0" wp14:anchorId="2D5FA122" wp14:editId="19F0B3DD">
                                  <wp:extent cx="5196840" cy="4804410"/>
                                  <wp:effectExtent l="0" t="0" r="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96840" cy="4804410"/>
                                          </a:xfrm>
                                          <a:prstGeom prst="rect">
                                            <a:avLst/>
                                          </a:prstGeom>
                                          <a:noFill/>
                                          <a:ln>
                                            <a:noFill/>
                                          </a:ln>
                                        </pic:spPr>
                                      </pic:pic>
                                    </a:graphicData>
                                  </a:graphic>
                                </wp:inline>
                              </w:drawing>
                            </w:r>
                          </w:p>
                          <w:p w14:paraId="3224A1DD" w14:textId="5E4FCA15" w:rsidR="00730B8F" w:rsidRPr="006A1B00" w:rsidRDefault="00730B8F" w:rsidP="00453E21">
                            <w:pPr>
                              <w:pStyle w:val="Caption"/>
                              <w:rPr>
                                <w:b w:val="0"/>
                                <w:bCs w:val="0"/>
                              </w:rPr>
                            </w:pPr>
                            <w:bookmarkStart w:id="59" w:name="_Ref33174679"/>
                            <w:r>
                              <w:t xml:space="preserve">Figure </w:t>
                            </w:r>
                            <w:r>
                              <w:fldChar w:fldCharType="begin"/>
                            </w:r>
                            <w:r>
                              <w:instrText xml:space="preserve">  \* ARABIC </w:instrText>
                            </w:r>
                            <w:r>
                              <w:fldChar w:fldCharType="separate"/>
                            </w:r>
                            <w:r>
                              <w:rPr>
                                <w:noProof/>
                              </w:rPr>
                              <w:t>10</w:t>
                            </w:r>
                            <w:r>
                              <w:rPr>
                                <w:noProof/>
                              </w:rPr>
                              <w:fldChar w:fldCharType="end"/>
                            </w:r>
                            <w:bookmarkEnd w:id="59"/>
                            <w:r>
                              <w:rPr>
                                <w:noProof/>
                              </w:rPr>
                              <w:t xml:space="preserve">: </w:t>
                            </w:r>
                            <w:r>
                              <w:rPr>
                                <w:b w:val="0"/>
                                <w:bCs w:val="0"/>
                                <w:noProof/>
                              </w:rPr>
                              <w:t xml:space="preserve">Liquid Chromatography Mass Spectrometry (LCMS) quantificaiton of OSW-1 at 0 h and 24 h post washout of a 100 nM treatment for 1 h. The deuterated OSW-1 analog (5 nM) is used as an internal standard for quantification. </w:t>
                            </w:r>
                          </w:p>
                          <w:p w14:paraId="6CFF4F75" w14:textId="369DB3B2"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89D7F" id="_x0000_s1031" type="#_x0000_t202" style="position:absolute;left:0;text-align:left;margin-left:373.1pt;margin-top:-.05pt;width:424.3pt;height:458.8pt;z-index:251635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">
                <v:textbox>
                  <w:txbxContent>
                    <w:p w14:paraId="495A2264" w14:textId="77777777" w:rsidR="00730B8F" w:rsidRDefault="00730B8F" w:rsidP="00453E21">
                      <w:pPr>
                        <w:keepNext/>
                      </w:pPr>
                      <w:r w:rsidRPr="00453E21">
                        <w:rPr>
                          <w:noProof/>
                        </w:rPr>
                        <w:drawing>
                          <wp:inline distT="0" distB="0" distL="0" distR="0" wp14:anchorId="2D5FA122" wp14:editId="19F0B3DD">
                            <wp:extent cx="5196840" cy="48044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96840" cy="4804410"/>
                                    </a:xfrm>
                                    <a:prstGeom prst="rect">
                                      <a:avLst/>
                                    </a:prstGeom>
                                    <a:noFill/>
                                    <a:ln>
                                      <a:noFill/>
                                    </a:ln>
                                  </pic:spPr>
                                </pic:pic>
                              </a:graphicData>
                            </a:graphic>
                          </wp:inline>
                        </w:drawing>
                      </w:r>
                    </w:p>
                    <w:p w14:paraId="21E63CC2" w14:textId="4F565219" w:rsidR="00730B8F" w:rsidRPr="006A1B00" w:rsidRDefault="00730B8F" w:rsidP="00453E21">
                      <w:pPr>
                        <w:pStyle w:val="Caption"/>
                        <w:rPr>
                          <w:b w:val="0"/>
                          <w:bCs w:val="0"/>
                        </w:rPr>
                      </w:pPr>
                      <w:bookmarkStart w:id="60" w:name="_Toc39868219"/>
                      <w:r>
                        <w:t xml:space="preserve">Figure </w:t>
                      </w:r>
                      <w:r w:rsidR="009425BE">
                        <w:fldChar w:fldCharType="begin"/>
                      </w:r>
                      <w:r w:rsidR="009425BE">
                        <w:instrText xml:space="preserve"> SEQ Figure \* ARABIC </w:instrText>
                      </w:r>
                      <w:r w:rsidR="009425BE">
                        <w:fldChar w:fldCharType="separate"/>
                      </w:r>
                      <w:r>
                        <w:rPr>
                          <w:noProof/>
                        </w:rPr>
                        <w:t>6</w:t>
                      </w:r>
                      <w:r w:rsidR="009425BE">
                        <w:rPr>
                          <w:noProof/>
                        </w:rPr>
                        <w:fldChar w:fldCharType="end"/>
                      </w:r>
                      <w:r>
                        <w:rPr>
                          <w:noProof/>
                        </w:rPr>
                        <w:t xml:space="preserve">: </w:t>
                      </w:r>
                      <w:r>
                        <w:rPr>
                          <w:b w:val="0"/>
                          <w:bCs w:val="0"/>
                          <w:noProof/>
                        </w:rPr>
                        <w:t>Liquid Chromatography Mass Spectrometry (LCMS) quantificaiton of OSW-1 at 0 h and 24 h post washout of a 100 nM treatment for 1 h. The deuterated OSW-1 analog (5 nM) is used as an internal standard for quantification.</w:t>
                      </w:r>
                      <w:bookmarkEnd w:id="60"/>
                      <w:r>
                        <w:rPr>
                          <w:b w:val="0"/>
                          <w:bCs w:val="0"/>
                          <w:noProof/>
                        </w:rPr>
                        <w:t xml:space="preserve"> </w:t>
                      </w:r>
                    </w:p>
                    <w:p w14:paraId="18B59D92" w14:textId="77777777" w:rsidR="00730B8F" w:rsidRDefault="00730B8F"/>
                    <w:p w14:paraId="0A6A9B45" w14:textId="77777777" w:rsidR="00730B8F" w:rsidRDefault="00730B8F"/>
                    <w:p w14:paraId="5B038C27" w14:textId="36D36681" w:rsidR="00730B8F" w:rsidRDefault="00730B8F" w:rsidP="00453E21">
                      <w:pPr>
                        <w:keepNext/>
                      </w:pPr>
                      <w:r w:rsidRPr="00453E21">
                        <w:rPr>
                          <w:noProof/>
                        </w:rPr>
                        <w:drawing>
                          <wp:inline distT="0" distB="0" distL="0" distR="0" wp14:anchorId="2D5FA122" wp14:editId="19F0B3DD">
                            <wp:extent cx="5196840" cy="4804410"/>
                            <wp:effectExtent l="0" t="0" r="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96840" cy="4804410"/>
                                    </a:xfrm>
                                    <a:prstGeom prst="rect">
                                      <a:avLst/>
                                    </a:prstGeom>
                                    <a:noFill/>
                                    <a:ln>
                                      <a:noFill/>
                                    </a:ln>
                                  </pic:spPr>
                                </pic:pic>
                              </a:graphicData>
                            </a:graphic>
                          </wp:inline>
                        </w:drawing>
                      </w:r>
                    </w:p>
                    <w:p w14:paraId="3224A1DD" w14:textId="5E4FCA15" w:rsidR="00730B8F" w:rsidRPr="006A1B00" w:rsidRDefault="00730B8F" w:rsidP="00453E21">
                      <w:pPr>
                        <w:pStyle w:val="Caption"/>
                        <w:rPr>
                          <w:b w:val="0"/>
                          <w:bCs w:val="0"/>
                        </w:rPr>
                      </w:pPr>
                      <w:bookmarkStart w:id="61" w:name="_Ref33174679"/>
                      <w:r>
                        <w:t xml:space="preserve">Figure </w:t>
                      </w:r>
                      <w:r>
                        <w:fldChar w:fldCharType="begin"/>
                      </w:r>
                      <w:r>
                        <w:instrText xml:space="preserve">  \* ARABIC </w:instrText>
                      </w:r>
                      <w:r>
                        <w:fldChar w:fldCharType="separate"/>
                      </w:r>
                      <w:r>
                        <w:rPr>
                          <w:noProof/>
                        </w:rPr>
                        <w:t>10</w:t>
                      </w:r>
                      <w:r>
                        <w:rPr>
                          <w:noProof/>
                        </w:rPr>
                        <w:fldChar w:fldCharType="end"/>
                      </w:r>
                      <w:bookmarkEnd w:id="61"/>
                      <w:r>
                        <w:rPr>
                          <w:noProof/>
                        </w:rPr>
                        <w:t xml:space="preserve">: </w:t>
                      </w:r>
                      <w:r>
                        <w:rPr>
                          <w:b w:val="0"/>
                          <w:bCs w:val="0"/>
                          <w:noProof/>
                        </w:rPr>
                        <w:t xml:space="preserve">Liquid Chromatography Mass Spectrometry (LCMS) quantificaiton of OSW-1 at 0 h and 24 h post washout of a 100 nM treatment for 1 h. The deuterated OSW-1 analog (5 nM) is used as an internal standard for quantification. </w:t>
                      </w:r>
                    </w:p>
                    <w:p w14:paraId="6CFF4F75" w14:textId="369DB3B2" w:rsidR="00730B8F" w:rsidRDefault="00730B8F"/>
                  </w:txbxContent>
                </v:textbox>
                <w10:wrap type="square" anchorx="margin"/>
              </v:shape>
            </w:pict>
          </mc:Fallback>
        </mc:AlternateContent>
      </w:r>
      <w:r w:rsidR="009B5F4B">
        <w:t>spectrometry</w:t>
      </w:r>
      <w:r w:rsidR="007C112F">
        <w:t xml:space="preserve"> technology developed by our collaborator, Dr. Yang, </w:t>
      </w:r>
      <w:r w:rsidR="009B5F4B">
        <w:t>was used to validate the LCMS results.</w:t>
      </w:r>
      <w:r w:rsidR="00C62A07">
        <w:fldChar w:fldCharType="begin" w:fldLock="1"/>
      </w:r>
      <w:r w:rsidR="00C62A07">
        <w:instrText>ADDIN CSL_CITATION { "citationItems" : [ { "id" : "ITEM-1", "itemData" : { "DOI" : "10.1021/ac5029038", "ISSN" : "0003-2700", "abstract" : "We have developed a new mass spectrometry (MS) technology, the Single-probe MS, capable of real-time, in situ metabolomic analysis of individual living cells. The Single-probe is a miniaturized multifunctional sampling and ionization device that is directly coupled to the mass spectrometer. With a sampling tip smaller than individual eukaryotic cells (&lt;10 \u03bcm), the Single-probe can be inserted into single cells to sample the intracellular compounds for real-time MS analysis. We have used the Single-probe to detect several cellular metabolites and the anticancer small molecules paclitaxel, doxorubicin, and OSW-1 in individual cervical cancer cells (HeLa). Single cell mass spectrometry (SCMS) is an emerging scientific technology that could reshape the analytical science of many research disciplines, and the Single-probe MS technology is a novel method for SCMS that, through its accessible fabrication protocols, can be broadly applied to different research areas.", "author" : [ { "dropping-particle" : "", "family" : "Pan", "given" : "Ning", "non-dropping-particle" : "", "parse-names" : false, "suffix" : "" }, { "dropping-particle" : "", "family" : "Rao", "given" : "Wei", "non-dropping-particle" : "", "parse-names" : false, "suffix" : "" }, { "dropping-particle" : "", "family" : "Kothapalli", "given" : "Naga Rama", "non-dropping-particle" : "", "parse-names" : false, "suffix" : "" }, { "dropping-particle" : "", "family" : "Liu", "given" : "Renmeng",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 : "19", "issued" : { "date-parts" : [ [ "2014", "10", "7" ] ] }, "page" : "9376-9380", "publisher" : "American Chemical Society", "title" : "The Single-Probe: A Miniaturized Multifunctional Device for Single Cell Mass Spectrometry Analysis", "type" : "article-journal", "volume" : "86" }, "uris" : [ "http://www.mendeley.com/documents/?uuid=a0e9a357-e8db-41d9-8395-49e8cf6e0d77" ] } ], "mendeley" : { "formattedCitation" : "&lt;sup&gt;84&lt;/sup&gt;", "plainTextFormattedCitation" : "84", "previouslyFormattedCitation" : "&lt;sup&gt;84&lt;/sup&gt;" }, "properties" : { "noteIndex" : 0 }, "schema" : "https://github.com/citation-style-language/schema/raw/master/csl-citation.json" }</w:instrText>
      </w:r>
      <w:r w:rsidR="00C62A07">
        <w:fldChar w:fldCharType="separate"/>
      </w:r>
      <w:r w:rsidR="00C62A07" w:rsidRPr="00C62A07">
        <w:rPr>
          <w:noProof/>
          <w:vertAlign w:val="superscript"/>
        </w:rPr>
        <w:t>84</w:t>
      </w:r>
      <w:r w:rsidR="00C62A07">
        <w:fldChar w:fldCharType="end"/>
      </w:r>
      <w:r w:rsidR="00C62A07">
        <w:t xml:space="preserve"> </w:t>
      </w:r>
      <w:r w:rsidR="00C92984">
        <w:t>The ability of the Single-probe system to detect intracellular OSW-</w:t>
      </w:r>
      <w:r w:rsidR="00C92984">
        <w:lastRenderedPageBreak/>
        <w:t xml:space="preserve">1 in single cells has been </w:t>
      </w:r>
      <w:r w:rsidR="00086F44">
        <w:t>previously demonstrated</w:t>
      </w:r>
      <w:r w:rsidR="00C92984">
        <w:t>.</w:t>
      </w:r>
      <w:r w:rsidR="00C62A07" w:rsidRPr="000849BF">
        <w:fldChar w:fldCharType="begin" w:fldLock="1"/>
      </w:r>
      <w:r w:rsidR="00C62A07">
        <w:instrText>ADDIN CSL_CITATION { "citationItems" : [ { "id" : "ITEM-1", "itemData" : { "DOI" : "10.1021/ac5029038", "ISSN" : "0003-2700", "abstract" : "We have developed a new mass spectrometry (MS) technology, the Single-probe MS, capable of real-time, in situ metabolomic analysis of individual living cells. The Single-probe is a miniaturized multifunctional sampling and ionization device that is directly coupled to the mass spectrometer. With a sampling tip smaller than individual eukaryotic cells (&lt;10 \u03bcm), the Single-probe can be inserted into single cells to sample the intracellular compounds for real-time MS analysis. We have used the Single-probe to detect several cellular metabolites and the anticancer small molecules paclitaxel, doxorubicin, and OSW-1 in individual cervical cancer cells (HeLa). Single cell mass spectrometry (SCMS) is an emerging scientific technology that could reshape the analytical science of many research disciplines, and the Single-probe MS technology is a novel method for SCMS that, through its accessible fabrication protocols, can be broadly applied to different research areas.", "author" : [ { "dropping-particle" : "", "family" : "Pan", "given" : "Ning", "non-dropping-particle" : "", "parse-names" : false, "suffix" : "" }, { "dropping-particle" : "", "family" : "Rao", "given" : "Wei", "non-dropping-particle" : "", "parse-names" : false, "suffix" : "" }, { "dropping-particle" : "", "family" : "Kothapalli", "given" : "Naga Rama", "non-dropping-particle" : "", "parse-names" : false, "suffix" : "" }, { "dropping-particle" : "", "family" : "Liu", "given" : "Renmeng",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 : "19", "issued" : { "date-parts" : [ [ "2014", "10", "7" ] ] }, "page" : "9376-9380", "publisher" : "American Chemical Society", "title" : "The Single-Probe: A Miniaturized Multifunctional Device for Single Cell Mass Spectrometry Analysis", "type" : "article-journal", "volume" : "86" }, "uris" : [ "http://www.mendeley.com/documents/?uuid=a0e9a357-e8db-41d9-8395-49e8cf6e0d77" ] } ], "mendeley" : { "formattedCitation" : "&lt;sup&gt;84&lt;/sup&gt;", "plainTextFormattedCitation" : "84", "previouslyFormattedCitation" : "&lt;sup&gt;84&lt;/sup&gt;" }, "properties" : { "noteIndex" : 0 }, "schema" : "https://github.com/citation-style-language/schema/raw/master/csl-citation.json" }</w:instrText>
      </w:r>
      <w:r w:rsidR="00C62A07" w:rsidRPr="000849BF">
        <w:fldChar w:fldCharType="separate"/>
      </w:r>
      <w:r w:rsidR="00C62A07" w:rsidRPr="000849BF">
        <w:rPr>
          <w:noProof/>
          <w:vertAlign w:val="superscript"/>
        </w:rPr>
        <w:t>84</w:t>
      </w:r>
      <w:r w:rsidR="00C62A07" w:rsidRPr="000849BF">
        <w:fldChar w:fldCharType="end"/>
      </w:r>
      <w:r w:rsidR="00C92984">
        <w:t xml:space="preserve"> In individual HCT-116 cells,</w:t>
      </w:r>
      <w:r w:rsidR="00086F44">
        <w:t xml:space="preserve"> the OSW-1 compound was </w:t>
      </w:r>
      <w:r w:rsidR="006A3136">
        <w:t xml:space="preserve">detected following </w:t>
      </w:r>
      <w:r w:rsidR="00C423D1">
        <w:t xml:space="preserve">the 1 hr </w:t>
      </w:r>
      <w:r w:rsidR="008D37D7">
        <w:t>treatment but</w:t>
      </w:r>
      <w:r w:rsidR="00C423D1">
        <w:t xml:space="preserve"> was not de</w:t>
      </w:r>
      <w:r w:rsidR="008D37D7">
        <w:t>tected following a 24 hr recover</w:t>
      </w:r>
      <w:r w:rsidR="006A3136">
        <w:t>y after washout</w:t>
      </w:r>
      <w:r w:rsidR="008D37D7">
        <w:t xml:space="preserve"> (</w:t>
      </w:r>
      <w:r w:rsidR="004079A8" w:rsidRPr="002A3B57">
        <w:rPr>
          <w:b/>
          <w:bCs/>
        </w:rPr>
        <w:fldChar w:fldCharType="begin"/>
      </w:r>
      <w:r w:rsidR="004079A8" w:rsidRPr="000849BF">
        <w:rPr>
          <w:b/>
          <w:bCs/>
        </w:rPr>
        <w:instrText xml:space="preserve"> REF _Ref33174682 \h </w:instrText>
      </w:r>
      <w:r w:rsidR="006A3136" w:rsidRPr="000849BF">
        <w:rPr>
          <w:b/>
          <w:bCs/>
        </w:rPr>
        <w:instrText xml:space="preserve"> \* MERGEFORMAT </w:instrText>
      </w:r>
      <w:r w:rsidR="004079A8" w:rsidRPr="002A3B57">
        <w:rPr>
          <w:b/>
          <w:bCs/>
        </w:rPr>
      </w:r>
      <w:r w:rsidR="004079A8" w:rsidRPr="002A3B57">
        <w:rPr>
          <w:b/>
          <w:bCs/>
        </w:rPr>
        <w:fldChar w:fldCharType="separate"/>
      </w:r>
      <w:r w:rsidR="004079A8" w:rsidRPr="000849BF">
        <w:rPr>
          <w:b/>
          <w:bCs/>
        </w:rPr>
        <w:t xml:space="preserve">Figure </w:t>
      </w:r>
      <w:r w:rsidR="004079A8" w:rsidRPr="000849BF">
        <w:rPr>
          <w:b/>
          <w:bCs/>
          <w:noProof/>
        </w:rPr>
        <w:t>7</w:t>
      </w:r>
      <w:r w:rsidR="004079A8" w:rsidRPr="002A3B57">
        <w:rPr>
          <w:b/>
          <w:bCs/>
        </w:rPr>
        <w:fldChar w:fldCharType="end"/>
      </w:r>
      <w:r w:rsidR="005C285C" w:rsidRPr="005C285C">
        <w:rPr>
          <w:b/>
          <w:bCs/>
        </w:rPr>
        <w:t xml:space="preserve">, </w:t>
      </w:r>
      <w:r w:rsidR="004079A8" w:rsidRPr="002A3B57">
        <w:rPr>
          <w:b/>
          <w:bCs/>
        </w:rPr>
        <w:fldChar w:fldCharType="begin"/>
      </w:r>
      <w:r w:rsidR="004079A8" w:rsidRPr="006A3136">
        <w:rPr>
          <w:b/>
          <w:bCs/>
        </w:rPr>
        <w:instrText xml:space="preserve"> REF _Ref33174688 \h </w:instrText>
      </w:r>
      <w:r w:rsidR="006A3136" w:rsidRPr="000849BF">
        <w:rPr>
          <w:b/>
          <w:bCs/>
        </w:rPr>
        <w:instrText xml:space="preserve"> \* MERGEFORMAT </w:instrText>
      </w:r>
      <w:r w:rsidR="004079A8" w:rsidRPr="002A3B57">
        <w:rPr>
          <w:b/>
          <w:bCs/>
        </w:rPr>
      </w:r>
      <w:r w:rsidR="004079A8" w:rsidRPr="002A3B57">
        <w:rPr>
          <w:b/>
          <w:bCs/>
        </w:rPr>
        <w:fldChar w:fldCharType="separate"/>
      </w:r>
      <w:r w:rsidR="004079A8" w:rsidRPr="000849BF">
        <w:rPr>
          <w:b/>
          <w:bCs/>
        </w:rPr>
        <w:t xml:space="preserve">Figure </w:t>
      </w:r>
      <w:r w:rsidR="004079A8" w:rsidRPr="000849BF">
        <w:rPr>
          <w:b/>
          <w:bCs/>
          <w:noProof/>
        </w:rPr>
        <w:t>9</w:t>
      </w:r>
      <w:r w:rsidR="004079A8" w:rsidRPr="002A3B57">
        <w:rPr>
          <w:b/>
          <w:bCs/>
        </w:rPr>
        <w:fldChar w:fldCharType="end"/>
      </w:r>
      <w:r w:rsidR="008D37D7">
        <w:t>)</w:t>
      </w:r>
      <w:r w:rsidR="00D65C63">
        <w:t xml:space="preserve">. </w:t>
      </w:r>
      <w:r w:rsidR="008D37D7">
        <w:t>Together, this suggests that the OSBP repression is independent of</w:t>
      </w:r>
      <w:r w:rsidR="00373C60">
        <w:t xml:space="preserve"> prolonged intracellular amounts of </w:t>
      </w:r>
      <w:r w:rsidR="008D37D7">
        <w:t xml:space="preserve"> the </w:t>
      </w:r>
      <w:r w:rsidR="00D65C63">
        <w:t>OSW-1 compound.</w:t>
      </w:r>
      <w:r w:rsidR="008D37D7">
        <w:t xml:space="preserve"> </w:t>
      </w:r>
    </w:p>
    <w:p w14:paraId="79D8F384" w14:textId="664943A7" w:rsidR="00C62A07" w:rsidRDefault="00A51461" w:rsidP="00C123B0">
      <w:pPr>
        <w:ind w:firstLine="720"/>
        <w:jc w:val="both"/>
      </w:pPr>
      <w:r>
        <w:rPr>
          <w:noProof/>
        </w:rPr>
        <mc:AlternateContent>
          <mc:Choice Requires="wps">
            <w:drawing>
              <wp:anchor distT="45720" distB="45720" distL="114300" distR="114300" simplePos="0" relativeHeight="251641856" behindDoc="0" locked="0" layoutInCell="1" allowOverlap="1" wp14:anchorId="39A72AAE" wp14:editId="28C17959">
                <wp:simplePos x="0" y="0"/>
                <wp:positionH relativeFrom="margin">
                  <wp:align>right</wp:align>
                </wp:positionH>
                <wp:positionV relativeFrom="paragraph">
                  <wp:posOffset>415290</wp:posOffset>
                </wp:positionV>
                <wp:extent cx="5384165" cy="5716270"/>
                <wp:effectExtent l="0" t="0" r="26035" b="1778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165" cy="5716270"/>
                        </a:xfrm>
                        <a:prstGeom prst="rect">
                          <a:avLst/>
                        </a:prstGeom>
                        <a:solidFill>
                          <a:srgbClr val="FFFFFF"/>
                        </a:solidFill>
                        <a:ln w="9525">
                          <a:solidFill>
                            <a:srgbClr val="000000"/>
                          </a:solidFill>
                          <a:miter lim="800000"/>
                          <a:headEnd/>
                          <a:tailEnd/>
                        </a:ln>
                      </wps:spPr>
                      <wps:txbx>
                        <w:txbxContent>
                          <w:p w14:paraId="7D663AB2" w14:textId="77777777" w:rsidR="00730B8F" w:rsidRDefault="00730B8F" w:rsidP="00B27A4C">
                            <w:pPr>
                              <w:keepNext/>
                            </w:pPr>
                            <w:r w:rsidRPr="00B27A4C">
                              <w:rPr>
                                <w:noProof/>
                              </w:rPr>
                              <w:drawing>
                                <wp:inline distT="0" distB="0" distL="0" distR="0" wp14:anchorId="7C19976B" wp14:editId="4F52B69F">
                                  <wp:extent cx="5294630" cy="480123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94630" cy="4801235"/>
                                          </a:xfrm>
                                          <a:prstGeom prst="rect">
                                            <a:avLst/>
                                          </a:prstGeom>
                                          <a:noFill/>
                                          <a:ln>
                                            <a:noFill/>
                                          </a:ln>
                                        </pic:spPr>
                                      </pic:pic>
                                    </a:graphicData>
                                  </a:graphic>
                                </wp:inline>
                              </w:drawing>
                            </w:r>
                          </w:p>
                          <w:p w14:paraId="55E6B4B6" w14:textId="650B5F92" w:rsidR="00730B8F" w:rsidRPr="006A1B00" w:rsidRDefault="00730B8F" w:rsidP="006223D0">
                            <w:pPr>
                              <w:pStyle w:val="Caption"/>
                              <w:rPr>
                                <w:b w:val="0"/>
                                <w:bCs w:val="0"/>
                              </w:rPr>
                            </w:pPr>
                            <w:bookmarkStart w:id="62" w:name="_Toc39868220"/>
                            <w:r>
                              <w:t xml:space="preserve">Figure </w:t>
                            </w:r>
                            <w:r w:rsidR="009425BE">
                              <w:fldChar w:fldCharType="begin"/>
                            </w:r>
                            <w:r w:rsidR="009425BE">
                              <w:instrText xml:space="preserve"> SEQ Figure \* ARABIC </w:instrText>
                            </w:r>
                            <w:r w:rsidR="009425BE">
                              <w:fldChar w:fldCharType="separate"/>
                            </w:r>
                            <w:r>
                              <w:rPr>
                                <w:noProof/>
                              </w:rPr>
                              <w:t>7</w:t>
                            </w:r>
                            <w:r w:rsidR="009425BE">
                              <w:rPr>
                                <w:noProof/>
                              </w:rPr>
                              <w:fldChar w:fldCharType="end"/>
                            </w:r>
                            <w:r>
                              <w:rPr>
                                <w:noProof/>
                              </w:rPr>
                              <w:t xml:space="preserve">: </w:t>
                            </w:r>
                            <w:r>
                              <w:rPr>
                                <w:b w:val="0"/>
                                <w:bCs w:val="0"/>
                                <w:noProof/>
                              </w:rPr>
                              <w:t>Chromatogram of LCMS quantificaiton of OSW-1 (</w:t>
                            </w:r>
                            <w:r w:rsidRPr="000849BF">
                              <w:rPr>
                                <w:b w:val="0"/>
                                <w:bCs w:val="0"/>
                                <w:i/>
                                <w:iCs/>
                                <w:noProof/>
                              </w:rPr>
                              <w:t xml:space="preserve">m/z </w:t>
                            </w:r>
                            <w:r>
                              <w:rPr>
                                <w:b w:val="0"/>
                                <w:bCs w:val="0"/>
                                <w:noProof/>
                              </w:rPr>
                              <w:t>895.44) at 0 h and 24 h post washout of a 100 nM treatment for 1 h. The deuterated OSW-1 analog (</w:t>
                            </w:r>
                            <w:r w:rsidRPr="000849BF">
                              <w:rPr>
                                <w:b w:val="0"/>
                                <w:bCs w:val="0"/>
                                <w:i/>
                                <w:iCs/>
                                <w:noProof/>
                              </w:rPr>
                              <w:t xml:space="preserve">m/z </w:t>
                            </w:r>
                            <w:r w:rsidRPr="00D75CCA">
                              <w:rPr>
                                <w:b w:val="0"/>
                                <w:bCs w:val="0"/>
                                <w:noProof/>
                              </w:rPr>
                              <w:t>898.46</w:t>
                            </w:r>
                            <w:r w:rsidRPr="000849BF">
                              <w:rPr>
                                <w:b w:val="0"/>
                                <w:bCs w:val="0"/>
                                <w:noProof/>
                              </w:rPr>
                              <w:t>)</w:t>
                            </w:r>
                            <w:r w:rsidRPr="00D75CCA">
                              <w:rPr>
                                <w:b w:val="0"/>
                                <w:bCs w:val="0"/>
                                <w:noProof/>
                              </w:rPr>
                              <w:t xml:space="preserve"> (</w:t>
                            </w:r>
                            <w:r>
                              <w:rPr>
                                <w:b w:val="0"/>
                                <w:bCs w:val="0"/>
                                <w:noProof/>
                              </w:rPr>
                              <w:t>5 nM) is used as an internal standard for quantification.</w:t>
                            </w:r>
                            <w:bookmarkEnd w:id="62"/>
                            <w:r>
                              <w:rPr>
                                <w:b w:val="0"/>
                                <w:bCs w:val="0"/>
                                <w:noProof/>
                              </w:rPr>
                              <w:t xml:space="preserve"> </w:t>
                            </w:r>
                          </w:p>
                          <w:p w14:paraId="3A052768" w14:textId="77777777" w:rsidR="00730B8F" w:rsidRDefault="00730B8F"/>
                          <w:p w14:paraId="72C59D8B" w14:textId="77777777" w:rsidR="00730B8F" w:rsidRDefault="00730B8F"/>
                          <w:p w14:paraId="6011BC02" w14:textId="2239C965" w:rsidR="00730B8F" w:rsidRDefault="00730B8F" w:rsidP="00B27A4C">
                            <w:pPr>
                              <w:keepNext/>
                            </w:pPr>
                            <w:r w:rsidRPr="00B27A4C">
                              <w:rPr>
                                <w:noProof/>
                              </w:rPr>
                              <w:drawing>
                                <wp:inline distT="0" distB="0" distL="0" distR="0" wp14:anchorId="7C19976B" wp14:editId="4F52B69F">
                                  <wp:extent cx="5294630" cy="4801235"/>
                                  <wp:effectExtent l="0" t="0" r="0" b="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94630" cy="4801235"/>
                                          </a:xfrm>
                                          <a:prstGeom prst="rect">
                                            <a:avLst/>
                                          </a:prstGeom>
                                          <a:noFill/>
                                          <a:ln>
                                            <a:noFill/>
                                          </a:ln>
                                        </pic:spPr>
                                      </pic:pic>
                                    </a:graphicData>
                                  </a:graphic>
                                </wp:inline>
                              </w:drawing>
                            </w:r>
                          </w:p>
                          <w:p w14:paraId="34CF6D09" w14:textId="5A20A3F1" w:rsidR="00730B8F" w:rsidRPr="006A1B00" w:rsidRDefault="00730B8F" w:rsidP="006223D0">
                            <w:pPr>
                              <w:pStyle w:val="Caption"/>
                              <w:rPr>
                                <w:b w:val="0"/>
                                <w:bCs w:val="0"/>
                              </w:rPr>
                            </w:pPr>
                            <w:bookmarkStart w:id="63" w:name="_Ref33174684"/>
                            <w:r>
                              <w:t xml:space="preserve">Figure </w:t>
                            </w:r>
                            <w:r>
                              <w:fldChar w:fldCharType="begin"/>
                            </w:r>
                            <w:r>
                              <w:instrText xml:space="preserve">  \* ARABIC </w:instrText>
                            </w:r>
                            <w:r>
                              <w:fldChar w:fldCharType="separate"/>
                            </w:r>
                            <w:r>
                              <w:rPr>
                                <w:noProof/>
                              </w:rPr>
                              <w:t>12</w:t>
                            </w:r>
                            <w:r>
                              <w:rPr>
                                <w:noProof/>
                              </w:rPr>
                              <w:fldChar w:fldCharType="end"/>
                            </w:r>
                            <w:bookmarkEnd w:id="63"/>
                            <w:r>
                              <w:rPr>
                                <w:noProof/>
                              </w:rPr>
                              <w:t xml:space="preserve">: </w:t>
                            </w:r>
                            <w:r>
                              <w:rPr>
                                <w:b w:val="0"/>
                                <w:bCs w:val="0"/>
                                <w:noProof/>
                              </w:rPr>
                              <w:t>Chromatogram of LCMS quantificaiton of OSW-1 (</w:t>
                            </w:r>
                            <w:r w:rsidRPr="000849BF">
                              <w:rPr>
                                <w:b w:val="0"/>
                                <w:bCs w:val="0"/>
                                <w:i/>
                                <w:iCs/>
                                <w:noProof/>
                              </w:rPr>
                              <w:t xml:space="preserve">m/z </w:t>
                            </w:r>
                            <w:r>
                              <w:rPr>
                                <w:b w:val="0"/>
                                <w:bCs w:val="0"/>
                                <w:noProof/>
                              </w:rPr>
                              <w:t>895.44) at 0 h and 24 h post washout of a 100 nM treatment for 1 h. The deuterated OSW-1 analog (</w:t>
                            </w:r>
                            <w:r w:rsidRPr="000849BF">
                              <w:rPr>
                                <w:b w:val="0"/>
                                <w:bCs w:val="0"/>
                                <w:i/>
                                <w:iCs/>
                                <w:noProof/>
                              </w:rPr>
                              <w:t xml:space="preserve">m/z </w:t>
                            </w:r>
                            <w:r w:rsidRPr="00D75CCA">
                              <w:rPr>
                                <w:b w:val="0"/>
                                <w:bCs w:val="0"/>
                                <w:noProof/>
                              </w:rPr>
                              <w:t>898.46</w:t>
                            </w:r>
                            <w:r w:rsidRPr="000849BF">
                              <w:rPr>
                                <w:b w:val="0"/>
                                <w:bCs w:val="0"/>
                                <w:noProof/>
                              </w:rPr>
                              <w:t>)</w:t>
                            </w:r>
                            <w:r w:rsidRPr="00D75CCA">
                              <w:rPr>
                                <w:b w:val="0"/>
                                <w:bCs w:val="0"/>
                                <w:noProof/>
                              </w:rPr>
                              <w:t xml:space="preserve"> (</w:t>
                            </w:r>
                            <w:r>
                              <w:rPr>
                                <w:b w:val="0"/>
                                <w:bCs w:val="0"/>
                                <w:noProof/>
                              </w:rPr>
                              <w:t xml:space="preserve">5 nM) is used as an internal standard for quantification. </w:t>
                            </w:r>
                          </w:p>
                          <w:p w14:paraId="2F76E612" w14:textId="55EF8016"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72AAE" id="_x0000_s1032" type="#_x0000_t202" style="position:absolute;left:0;text-align:left;margin-left:372.75pt;margin-top:32.7pt;width:423.95pt;height:450.1pt;z-index:251641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">
                <v:textbox>
                  <w:txbxContent>
                    <w:p w14:paraId="7D663AB2" w14:textId="77777777" w:rsidR="00730B8F" w:rsidRDefault="00730B8F" w:rsidP="00B27A4C">
                      <w:pPr>
                        <w:keepNext/>
                      </w:pPr>
                      <w:r w:rsidRPr="00B27A4C">
                        <w:rPr>
                          <w:noProof/>
                        </w:rPr>
                        <w:drawing>
                          <wp:inline distT="0" distB="0" distL="0" distR="0" wp14:anchorId="7C19976B" wp14:editId="4F52B69F">
                            <wp:extent cx="5294630" cy="480123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94630" cy="4801235"/>
                                    </a:xfrm>
                                    <a:prstGeom prst="rect">
                                      <a:avLst/>
                                    </a:prstGeom>
                                    <a:noFill/>
                                    <a:ln>
                                      <a:noFill/>
                                    </a:ln>
                                  </pic:spPr>
                                </pic:pic>
                              </a:graphicData>
                            </a:graphic>
                          </wp:inline>
                        </w:drawing>
                      </w:r>
                    </w:p>
                    <w:p w14:paraId="55E6B4B6" w14:textId="650B5F92" w:rsidR="00730B8F" w:rsidRPr="006A1B00" w:rsidRDefault="00730B8F" w:rsidP="006223D0">
                      <w:pPr>
                        <w:pStyle w:val="Caption"/>
                        <w:rPr>
                          <w:b w:val="0"/>
                          <w:bCs w:val="0"/>
                        </w:rPr>
                      </w:pPr>
                      <w:bookmarkStart w:id="64" w:name="_Toc39868220"/>
                      <w:r>
                        <w:t xml:space="preserve">Figure </w:t>
                      </w:r>
                      <w:r w:rsidR="009425BE">
                        <w:fldChar w:fldCharType="begin"/>
                      </w:r>
                      <w:r w:rsidR="009425BE">
                        <w:instrText xml:space="preserve"> SEQ Figure \* ARABIC </w:instrText>
                      </w:r>
                      <w:r w:rsidR="009425BE">
                        <w:fldChar w:fldCharType="separate"/>
                      </w:r>
                      <w:r>
                        <w:rPr>
                          <w:noProof/>
                        </w:rPr>
                        <w:t>7</w:t>
                      </w:r>
                      <w:r w:rsidR="009425BE">
                        <w:rPr>
                          <w:noProof/>
                        </w:rPr>
                        <w:fldChar w:fldCharType="end"/>
                      </w:r>
                      <w:r>
                        <w:rPr>
                          <w:noProof/>
                        </w:rPr>
                        <w:t xml:space="preserve">: </w:t>
                      </w:r>
                      <w:r>
                        <w:rPr>
                          <w:b w:val="0"/>
                          <w:bCs w:val="0"/>
                          <w:noProof/>
                        </w:rPr>
                        <w:t>Chromatogram of LCMS quantificaiton of OSW-1 (</w:t>
                      </w:r>
                      <w:r w:rsidRPr="000849BF">
                        <w:rPr>
                          <w:b w:val="0"/>
                          <w:bCs w:val="0"/>
                          <w:i/>
                          <w:iCs/>
                          <w:noProof/>
                        </w:rPr>
                        <w:t xml:space="preserve">m/z </w:t>
                      </w:r>
                      <w:r>
                        <w:rPr>
                          <w:b w:val="0"/>
                          <w:bCs w:val="0"/>
                          <w:noProof/>
                        </w:rPr>
                        <w:t>895.44) at 0 h and 24 h post washout of a 100 nM treatment for 1 h. The deuterated OSW-1 analog (</w:t>
                      </w:r>
                      <w:r w:rsidRPr="000849BF">
                        <w:rPr>
                          <w:b w:val="0"/>
                          <w:bCs w:val="0"/>
                          <w:i/>
                          <w:iCs/>
                          <w:noProof/>
                        </w:rPr>
                        <w:t xml:space="preserve">m/z </w:t>
                      </w:r>
                      <w:r w:rsidRPr="00D75CCA">
                        <w:rPr>
                          <w:b w:val="0"/>
                          <w:bCs w:val="0"/>
                          <w:noProof/>
                        </w:rPr>
                        <w:t>898.46</w:t>
                      </w:r>
                      <w:r w:rsidRPr="000849BF">
                        <w:rPr>
                          <w:b w:val="0"/>
                          <w:bCs w:val="0"/>
                          <w:noProof/>
                        </w:rPr>
                        <w:t>)</w:t>
                      </w:r>
                      <w:r w:rsidRPr="00D75CCA">
                        <w:rPr>
                          <w:b w:val="0"/>
                          <w:bCs w:val="0"/>
                          <w:noProof/>
                        </w:rPr>
                        <w:t xml:space="preserve"> (</w:t>
                      </w:r>
                      <w:r>
                        <w:rPr>
                          <w:b w:val="0"/>
                          <w:bCs w:val="0"/>
                          <w:noProof/>
                        </w:rPr>
                        <w:t>5 nM) is used as an internal standard for quantification.</w:t>
                      </w:r>
                      <w:bookmarkEnd w:id="64"/>
                      <w:r>
                        <w:rPr>
                          <w:b w:val="0"/>
                          <w:bCs w:val="0"/>
                          <w:noProof/>
                        </w:rPr>
                        <w:t xml:space="preserve"> </w:t>
                      </w:r>
                    </w:p>
                    <w:p w14:paraId="3A052768" w14:textId="77777777" w:rsidR="00730B8F" w:rsidRDefault="00730B8F"/>
                    <w:p w14:paraId="72C59D8B" w14:textId="77777777" w:rsidR="00730B8F" w:rsidRDefault="00730B8F"/>
                    <w:p w14:paraId="6011BC02" w14:textId="2239C965" w:rsidR="00730B8F" w:rsidRDefault="00730B8F" w:rsidP="00B27A4C">
                      <w:pPr>
                        <w:keepNext/>
                      </w:pPr>
                      <w:r w:rsidRPr="00B27A4C">
                        <w:rPr>
                          <w:noProof/>
                        </w:rPr>
                        <w:drawing>
                          <wp:inline distT="0" distB="0" distL="0" distR="0" wp14:anchorId="7C19976B" wp14:editId="4F52B69F">
                            <wp:extent cx="5294630" cy="4801235"/>
                            <wp:effectExtent l="0" t="0" r="0" b="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94630" cy="4801235"/>
                                    </a:xfrm>
                                    <a:prstGeom prst="rect">
                                      <a:avLst/>
                                    </a:prstGeom>
                                    <a:noFill/>
                                    <a:ln>
                                      <a:noFill/>
                                    </a:ln>
                                  </pic:spPr>
                                </pic:pic>
                              </a:graphicData>
                            </a:graphic>
                          </wp:inline>
                        </w:drawing>
                      </w:r>
                    </w:p>
                    <w:p w14:paraId="34CF6D09" w14:textId="5A20A3F1" w:rsidR="00730B8F" w:rsidRPr="006A1B00" w:rsidRDefault="00730B8F" w:rsidP="006223D0">
                      <w:pPr>
                        <w:pStyle w:val="Caption"/>
                        <w:rPr>
                          <w:b w:val="0"/>
                          <w:bCs w:val="0"/>
                        </w:rPr>
                      </w:pPr>
                      <w:bookmarkStart w:id="65" w:name="_Ref33174684"/>
                      <w:r>
                        <w:t xml:space="preserve">Figure </w:t>
                      </w:r>
                      <w:r>
                        <w:fldChar w:fldCharType="begin"/>
                      </w:r>
                      <w:r>
                        <w:instrText xml:space="preserve">  \* ARABIC </w:instrText>
                      </w:r>
                      <w:r>
                        <w:fldChar w:fldCharType="separate"/>
                      </w:r>
                      <w:r>
                        <w:rPr>
                          <w:noProof/>
                        </w:rPr>
                        <w:t>12</w:t>
                      </w:r>
                      <w:r>
                        <w:rPr>
                          <w:noProof/>
                        </w:rPr>
                        <w:fldChar w:fldCharType="end"/>
                      </w:r>
                      <w:bookmarkEnd w:id="65"/>
                      <w:r>
                        <w:rPr>
                          <w:noProof/>
                        </w:rPr>
                        <w:t xml:space="preserve">: </w:t>
                      </w:r>
                      <w:r>
                        <w:rPr>
                          <w:b w:val="0"/>
                          <w:bCs w:val="0"/>
                          <w:noProof/>
                        </w:rPr>
                        <w:t>Chromatogram of LCMS quantificaiton of OSW-1 (</w:t>
                      </w:r>
                      <w:r w:rsidRPr="000849BF">
                        <w:rPr>
                          <w:b w:val="0"/>
                          <w:bCs w:val="0"/>
                          <w:i/>
                          <w:iCs/>
                          <w:noProof/>
                        </w:rPr>
                        <w:t xml:space="preserve">m/z </w:t>
                      </w:r>
                      <w:r>
                        <w:rPr>
                          <w:b w:val="0"/>
                          <w:bCs w:val="0"/>
                          <w:noProof/>
                        </w:rPr>
                        <w:t>895.44) at 0 h and 24 h post washout of a 100 nM treatment for 1 h. The deuterated OSW-1 analog (</w:t>
                      </w:r>
                      <w:r w:rsidRPr="000849BF">
                        <w:rPr>
                          <w:b w:val="0"/>
                          <w:bCs w:val="0"/>
                          <w:i/>
                          <w:iCs/>
                          <w:noProof/>
                        </w:rPr>
                        <w:t xml:space="preserve">m/z </w:t>
                      </w:r>
                      <w:r w:rsidRPr="00D75CCA">
                        <w:rPr>
                          <w:b w:val="0"/>
                          <w:bCs w:val="0"/>
                          <w:noProof/>
                        </w:rPr>
                        <w:t>898.46</w:t>
                      </w:r>
                      <w:r w:rsidRPr="000849BF">
                        <w:rPr>
                          <w:b w:val="0"/>
                          <w:bCs w:val="0"/>
                          <w:noProof/>
                        </w:rPr>
                        <w:t>)</w:t>
                      </w:r>
                      <w:r w:rsidRPr="00D75CCA">
                        <w:rPr>
                          <w:b w:val="0"/>
                          <w:bCs w:val="0"/>
                          <w:noProof/>
                        </w:rPr>
                        <w:t xml:space="preserve"> (</w:t>
                      </w:r>
                      <w:r>
                        <w:rPr>
                          <w:b w:val="0"/>
                          <w:bCs w:val="0"/>
                          <w:noProof/>
                        </w:rPr>
                        <w:t xml:space="preserve">5 nM) is used as an internal standard for quantification. </w:t>
                      </w:r>
                    </w:p>
                    <w:p w14:paraId="2F76E612" w14:textId="55EF8016" w:rsidR="00730B8F" w:rsidRDefault="00730B8F"/>
                  </w:txbxContent>
                </v:textbox>
                <w10:wrap type="square" anchorx="margin"/>
              </v:shape>
            </w:pict>
          </mc:Fallback>
        </mc:AlternateContent>
      </w:r>
    </w:p>
    <w:p w14:paraId="55EE050E" w14:textId="58C347C8" w:rsidR="006C348E" w:rsidRDefault="006C348E" w:rsidP="00F01888">
      <w:pPr>
        <w:pStyle w:val="Heading3"/>
      </w:pPr>
      <w:bookmarkStart w:id="66" w:name="_Toc39868157"/>
      <w:r>
        <w:lastRenderedPageBreak/>
        <w:t>2.</w:t>
      </w:r>
      <w:r w:rsidR="006A3136">
        <w:t>3</w:t>
      </w:r>
      <w:r w:rsidR="005668C1">
        <w:t>.3</w:t>
      </w:r>
      <w:r>
        <w:t xml:space="preserve"> OSBP Repression is independent of Calpain activity</w:t>
      </w:r>
      <w:bookmarkEnd w:id="66"/>
      <w:r>
        <w:t xml:space="preserve"> </w:t>
      </w:r>
    </w:p>
    <w:p w14:paraId="04C77CB9" w14:textId="352B04E2" w:rsidR="00987D06" w:rsidRDefault="00A51461" w:rsidP="00C840F8">
      <w:pPr>
        <w:ind w:firstLine="720"/>
        <w:jc w:val="both"/>
      </w:pPr>
      <w:r>
        <w:rPr>
          <w:noProof/>
        </w:rPr>
        <mc:AlternateContent>
          <mc:Choice Requires="wps">
            <w:drawing>
              <wp:anchor distT="45720" distB="45720" distL="114300" distR="114300" simplePos="0" relativeHeight="251638784" behindDoc="0" locked="0" layoutInCell="1" allowOverlap="1" wp14:anchorId="3521660F" wp14:editId="4F02E3CD">
                <wp:simplePos x="0" y="0"/>
                <wp:positionH relativeFrom="margin">
                  <wp:align>left</wp:align>
                </wp:positionH>
                <wp:positionV relativeFrom="paragraph">
                  <wp:posOffset>1467118</wp:posOffset>
                </wp:positionV>
                <wp:extent cx="5417820" cy="5631815"/>
                <wp:effectExtent l="0" t="0" r="11430" b="2603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5631815"/>
                        </a:xfrm>
                        <a:prstGeom prst="rect">
                          <a:avLst/>
                        </a:prstGeom>
                        <a:solidFill>
                          <a:srgbClr val="FFFFFF"/>
                        </a:solidFill>
                        <a:ln w="9525">
                          <a:solidFill>
                            <a:srgbClr val="000000"/>
                          </a:solidFill>
                          <a:miter lim="800000"/>
                          <a:headEnd/>
                          <a:tailEnd/>
                        </a:ln>
                      </wps:spPr>
                      <wps:txbx>
                        <w:txbxContent>
                          <w:p w14:paraId="57428125" w14:textId="77777777" w:rsidR="00730B8F" w:rsidRDefault="00730B8F" w:rsidP="00C53932">
                            <w:pPr>
                              <w:keepNext/>
                            </w:pPr>
                            <w:r w:rsidRPr="00C53932">
                              <w:rPr>
                                <w:noProof/>
                              </w:rPr>
                              <w:drawing>
                                <wp:inline distT="0" distB="0" distL="0" distR="0" wp14:anchorId="2A12B39E" wp14:editId="1D622D21">
                                  <wp:extent cx="5226050" cy="4686300"/>
                                  <wp:effectExtent l="0" t="0" r="0" b="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26050" cy="4686300"/>
                                          </a:xfrm>
                                          <a:prstGeom prst="rect">
                                            <a:avLst/>
                                          </a:prstGeom>
                                          <a:noFill/>
                                          <a:ln>
                                            <a:noFill/>
                                          </a:ln>
                                        </pic:spPr>
                                      </pic:pic>
                                    </a:graphicData>
                                  </a:graphic>
                                </wp:inline>
                              </w:drawing>
                            </w:r>
                          </w:p>
                          <w:p w14:paraId="2D6155D7" w14:textId="6D1D576C" w:rsidR="00730B8F" w:rsidRPr="006A1B00" w:rsidRDefault="00730B8F" w:rsidP="006E5657">
                            <w:pPr>
                              <w:pStyle w:val="Caption"/>
                              <w:rPr>
                                <w:b w:val="0"/>
                                <w:bCs w:val="0"/>
                              </w:rPr>
                            </w:pPr>
                            <w:bookmarkStart w:id="67" w:name="_Toc39868221"/>
                            <w:r>
                              <w:t xml:space="preserve">Figure </w:t>
                            </w:r>
                            <w:r w:rsidR="009425BE">
                              <w:fldChar w:fldCharType="begin"/>
                            </w:r>
                            <w:r w:rsidR="009425BE">
                              <w:instrText xml:space="preserve"> SEQ Figure \* ARABIC </w:instrText>
                            </w:r>
                            <w:r w:rsidR="009425BE">
                              <w:fldChar w:fldCharType="separate"/>
                            </w:r>
                            <w:r>
                              <w:rPr>
                                <w:noProof/>
                              </w:rPr>
                              <w:t>8</w:t>
                            </w:r>
                            <w:r w:rsidR="009425BE">
                              <w:rPr>
                                <w:noProof/>
                              </w:rPr>
                              <w:fldChar w:fldCharType="end"/>
                            </w:r>
                            <w:r>
                              <w:rPr>
                                <w:noProof/>
                              </w:rPr>
                              <w:t xml:space="preserve">: </w:t>
                            </w:r>
                            <w:r>
                              <w:rPr>
                                <w:b w:val="0"/>
                                <w:bCs w:val="0"/>
                                <w:noProof/>
                              </w:rPr>
                              <w:t>Single Cell Mass Spectrometry (SCMS) quantificaiton of OSW-1 at 0 hr and 24 hr post-washout of a 100 nM treatment for 1 hr. The deuterated OSW-1 analog (5 nM) is used as an internal standard for quantification.</w:t>
                            </w:r>
                            <w:bookmarkEnd w:id="67"/>
                            <w:r>
                              <w:rPr>
                                <w:b w:val="0"/>
                                <w:bCs w:val="0"/>
                                <w:noProof/>
                              </w:rPr>
                              <w:t xml:space="preserve"> </w:t>
                            </w:r>
                          </w:p>
                          <w:p w14:paraId="0A26D414" w14:textId="77777777" w:rsidR="00730B8F" w:rsidRDefault="00730B8F" w:rsidP="00C53932">
                            <w:pPr>
                              <w:pStyle w:val="Caption"/>
                            </w:pPr>
                          </w:p>
                          <w:p w14:paraId="0EA2B4DF" w14:textId="77777777" w:rsidR="00730B8F" w:rsidRDefault="00730B8F"/>
                          <w:p w14:paraId="13018BEE" w14:textId="77777777" w:rsidR="00730B8F" w:rsidRDefault="00730B8F"/>
                          <w:p w14:paraId="007FD3CC" w14:textId="3D61F6CA" w:rsidR="00730B8F" w:rsidRDefault="00730B8F" w:rsidP="00C53932">
                            <w:pPr>
                              <w:keepNext/>
                            </w:pPr>
                            <w:r w:rsidRPr="00C53932">
                              <w:rPr>
                                <w:noProof/>
                              </w:rPr>
                              <w:drawing>
                                <wp:inline distT="0" distB="0" distL="0" distR="0" wp14:anchorId="2A12B39E" wp14:editId="1D622D21">
                                  <wp:extent cx="5226050" cy="4686300"/>
                                  <wp:effectExtent l="0" t="0" r="0" b="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26050" cy="4686300"/>
                                          </a:xfrm>
                                          <a:prstGeom prst="rect">
                                            <a:avLst/>
                                          </a:prstGeom>
                                          <a:noFill/>
                                          <a:ln>
                                            <a:noFill/>
                                          </a:ln>
                                        </pic:spPr>
                                      </pic:pic>
                                    </a:graphicData>
                                  </a:graphic>
                                </wp:inline>
                              </w:drawing>
                            </w:r>
                          </w:p>
                          <w:p w14:paraId="783E169F" w14:textId="04830F26" w:rsidR="00730B8F" w:rsidRPr="006A1B00" w:rsidRDefault="00730B8F" w:rsidP="006E5657">
                            <w:pPr>
                              <w:pStyle w:val="Caption"/>
                              <w:rPr>
                                <w:b w:val="0"/>
                                <w:bCs w:val="0"/>
                              </w:rPr>
                            </w:pPr>
                            <w:bookmarkStart w:id="68" w:name="_Ref33174682"/>
                            <w:r>
                              <w:t xml:space="preserve">Figure </w:t>
                            </w:r>
                            <w:r>
                              <w:fldChar w:fldCharType="begin"/>
                            </w:r>
                            <w:r>
                              <w:instrText xml:space="preserve">  \* ARABIC </w:instrText>
                            </w:r>
                            <w:r>
                              <w:fldChar w:fldCharType="separate"/>
                            </w:r>
                            <w:r>
                              <w:rPr>
                                <w:noProof/>
                              </w:rPr>
                              <w:t>14</w:t>
                            </w:r>
                            <w:r>
                              <w:rPr>
                                <w:noProof/>
                              </w:rPr>
                              <w:fldChar w:fldCharType="end"/>
                            </w:r>
                            <w:bookmarkEnd w:id="68"/>
                            <w:r>
                              <w:rPr>
                                <w:noProof/>
                              </w:rPr>
                              <w:t xml:space="preserve">: </w:t>
                            </w:r>
                            <w:r>
                              <w:rPr>
                                <w:b w:val="0"/>
                                <w:bCs w:val="0"/>
                                <w:noProof/>
                              </w:rPr>
                              <w:t xml:space="preserve">Single Cell Mass Spectrometry (SCMS) quantificaiton of OSW-1 at 0 hr and 24 hr post-washout of a 100 nM treatment for 1 hr. The deuterated OSW-1 analog (5 nM) is used as an internal standard for quantification. </w:t>
                            </w:r>
                          </w:p>
                          <w:p w14:paraId="42ECE3D2" w14:textId="759889B0" w:rsidR="00730B8F" w:rsidRDefault="00730B8F" w:rsidP="00C53932">
                            <w:pPr>
                              <w:pStyle w:val="Caption"/>
                            </w:pPr>
                          </w:p>
                          <w:p w14:paraId="727AF039" w14:textId="0AF5530D"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1660F" id="_x0000_s1033" type="#_x0000_t202" style="position:absolute;left:0;text-align:left;margin-left:0;margin-top:115.5pt;width:426.6pt;height:443.45pt;z-index:251638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">
                <v:textbox>
                  <w:txbxContent>
                    <w:p w14:paraId="57428125" w14:textId="77777777" w:rsidR="00730B8F" w:rsidRDefault="00730B8F" w:rsidP="00C53932">
                      <w:pPr>
                        <w:keepNext/>
                      </w:pPr>
                      <w:r w:rsidRPr="00C53932">
                        <w:rPr>
                          <w:noProof/>
                        </w:rPr>
                        <w:drawing>
                          <wp:inline distT="0" distB="0" distL="0" distR="0" wp14:anchorId="2A12B39E" wp14:editId="1D622D21">
                            <wp:extent cx="5226050" cy="4686300"/>
                            <wp:effectExtent l="0" t="0" r="0" b="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26050" cy="4686300"/>
                                    </a:xfrm>
                                    <a:prstGeom prst="rect">
                                      <a:avLst/>
                                    </a:prstGeom>
                                    <a:noFill/>
                                    <a:ln>
                                      <a:noFill/>
                                    </a:ln>
                                  </pic:spPr>
                                </pic:pic>
                              </a:graphicData>
                            </a:graphic>
                          </wp:inline>
                        </w:drawing>
                      </w:r>
                    </w:p>
                    <w:p w14:paraId="2D6155D7" w14:textId="6D1D576C" w:rsidR="00730B8F" w:rsidRPr="006A1B00" w:rsidRDefault="00730B8F" w:rsidP="006E5657">
                      <w:pPr>
                        <w:pStyle w:val="Caption"/>
                        <w:rPr>
                          <w:b w:val="0"/>
                          <w:bCs w:val="0"/>
                        </w:rPr>
                      </w:pPr>
                      <w:bookmarkStart w:id="69" w:name="_Toc39868221"/>
                      <w:r>
                        <w:t xml:space="preserve">Figure </w:t>
                      </w:r>
                      <w:r w:rsidR="009425BE">
                        <w:fldChar w:fldCharType="begin"/>
                      </w:r>
                      <w:r w:rsidR="009425BE">
                        <w:instrText xml:space="preserve"> SEQ Figure \* ARABIC </w:instrText>
                      </w:r>
                      <w:r w:rsidR="009425BE">
                        <w:fldChar w:fldCharType="separate"/>
                      </w:r>
                      <w:r>
                        <w:rPr>
                          <w:noProof/>
                        </w:rPr>
                        <w:t>8</w:t>
                      </w:r>
                      <w:r w:rsidR="009425BE">
                        <w:rPr>
                          <w:noProof/>
                        </w:rPr>
                        <w:fldChar w:fldCharType="end"/>
                      </w:r>
                      <w:r>
                        <w:rPr>
                          <w:noProof/>
                        </w:rPr>
                        <w:t xml:space="preserve">: </w:t>
                      </w:r>
                      <w:r>
                        <w:rPr>
                          <w:b w:val="0"/>
                          <w:bCs w:val="0"/>
                          <w:noProof/>
                        </w:rPr>
                        <w:t>Single Cell Mass Spectrometry (SCMS) quantificaiton of OSW-1 at 0 hr and 24 hr post-washout of a 100 nM treatment for 1 hr. The deuterated OSW-1 analog (5 nM) is used as an internal standard for quantification.</w:t>
                      </w:r>
                      <w:bookmarkEnd w:id="69"/>
                      <w:r>
                        <w:rPr>
                          <w:b w:val="0"/>
                          <w:bCs w:val="0"/>
                          <w:noProof/>
                        </w:rPr>
                        <w:t xml:space="preserve"> </w:t>
                      </w:r>
                    </w:p>
                    <w:p w14:paraId="0A26D414" w14:textId="77777777" w:rsidR="00730B8F" w:rsidRDefault="00730B8F" w:rsidP="00C53932">
                      <w:pPr>
                        <w:pStyle w:val="Caption"/>
                      </w:pPr>
                    </w:p>
                    <w:p w14:paraId="0EA2B4DF" w14:textId="77777777" w:rsidR="00730B8F" w:rsidRDefault="00730B8F"/>
                    <w:p w14:paraId="13018BEE" w14:textId="77777777" w:rsidR="00730B8F" w:rsidRDefault="00730B8F"/>
                    <w:p w14:paraId="007FD3CC" w14:textId="3D61F6CA" w:rsidR="00730B8F" w:rsidRDefault="00730B8F" w:rsidP="00C53932">
                      <w:pPr>
                        <w:keepNext/>
                      </w:pPr>
                      <w:r w:rsidRPr="00C53932">
                        <w:rPr>
                          <w:noProof/>
                        </w:rPr>
                        <w:drawing>
                          <wp:inline distT="0" distB="0" distL="0" distR="0" wp14:anchorId="2A12B39E" wp14:editId="1D622D21">
                            <wp:extent cx="5226050" cy="4686300"/>
                            <wp:effectExtent l="0" t="0" r="0" b="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26050" cy="4686300"/>
                                    </a:xfrm>
                                    <a:prstGeom prst="rect">
                                      <a:avLst/>
                                    </a:prstGeom>
                                    <a:noFill/>
                                    <a:ln>
                                      <a:noFill/>
                                    </a:ln>
                                  </pic:spPr>
                                </pic:pic>
                              </a:graphicData>
                            </a:graphic>
                          </wp:inline>
                        </w:drawing>
                      </w:r>
                    </w:p>
                    <w:p w14:paraId="783E169F" w14:textId="04830F26" w:rsidR="00730B8F" w:rsidRPr="006A1B00" w:rsidRDefault="00730B8F" w:rsidP="006E5657">
                      <w:pPr>
                        <w:pStyle w:val="Caption"/>
                        <w:rPr>
                          <w:b w:val="0"/>
                          <w:bCs w:val="0"/>
                        </w:rPr>
                      </w:pPr>
                      <w:bookmarkStart w:id="70" w:name="_Ref33174682"/>
                      <w:r>
                        <w:t xml:space="preserve">Figure </w:t>
                      </w:r>
                      <w:r>
                        <w:fldChar w:fldCharType="begin"/>
                      </w:r>
                      <w:r>
                        <w:instrText xml:space="preserve">  \* ARABIC </w:instrText>
                      </w:r>
                      <w:r>
                        <w:fldChar w:fldCharType="separate"/>
                      </w:r>
                      <w:r>
                        <w:rPr>
                          <w:noProof/>
                        </w:rPr>
                        <w:t>14</w:t>
                      </w:r>
                      <w:r>
                        <w:rPr>
                          <w:noProof/>
                        </w:rPr>
                        <w:fldChar w:fldCharType="end"/>
                      </w:r>
                      <w:bookmarkEnd w:id="70"/>
                      <w:r>
                        <w:rPr>
                          <w:noProof/>
                        </w:rPr>
                        <w:t xml:space="preserve">: </w:t>
                      </w:r>
                      <w:r>
                        <w:rPr>
                          <w:b w:val="0"/>
                          <w:bCs w:val="0"/>
                          <w:noProof/>
                        </w:rPr>
                        <w:t xml:space="preserve">Single Cell Mass Spectrometry (SCMS) quantificaiton of OSW-1 at 0 hr and 24 hr post-washout of a 100 nM treatment for 1 hr. The deuterated OSW-1 analog (5 nM) is used as an internal standard for quantification. </w:t>
                      </w:r>
                    </w:p>
                    <w:p w14:paraId="42ECE3D2" w14:textId="759889B0" w:rsidR="00730B8F" w:rsidRDefault="00730B8F" w:rsidP="00C53932">
                      <w:pPr>
                        <w:pStyle w:val="Caption"/>
                      </w:pPr>
                    </w:p>
                    <w:p w14:paraId="727AF039" w14:textId="0AF5530D" w:rsidR="00730B8F" w:rsidRDefault="00730B8F"/>
                  </w:txbxContent>
                </v:textbox>
                <w10:wrap type="square" anchorx="margin"/>
              </v:shape>
            </w:pict>
          </mc:Fallback>
        </mc:AlternateContent>
      </w:r>
      <w:r w:rsidR="00D65C63">
        <w:t xml:space="preserve">The OSW-1 compound has been shown to influence calcium regulation in </w:t>
      </w:r>
      <w:r w:rsidR="001B068A">
        <w:t>l</w:t>
      </w:r>
      <w:r w:rsidR="00D65C63">
        <w:t>ymphoblastic leukemia cells.</w:t>
      </w:r>
      <w:r w:rsidR="00BE56CA">
        <w:fldChar w:fldCharType="begin" w:fldLock="1"/>
      </w:r>
      <w:r w:rsidR="006B01D5">
        <w:instrText>ADDIN CSL_CITATION { "citationItems" : [ { "id" : "ITEM-1", "itemData" : { "DOI" : "10.1074/jbc.M112.384776", "ISSN" : "00219258", "abstract" : "3\u03b2,16\u03b2,17\u03b1-Trihydroxycholest-5-en-22-one 16-O-(2-O-4-methoxybenzoyl-\u03b2-D-xylopyranosyl)-(1\u21923) -2-O-acetyl-\u03b1-L-arabinopyranoside (OSW-1) is a natural product with potent antitumor activity against various types of cancer cells, but the exact mechanisms of action remain to be defined. In this study, we showed that OSW-1 effectively killed leukemia cells at subnanomolar concentrations through a unique mechanism by causing a time-dependent elevation of cytosolic Ca 2+ prior to induction of apoptosis. A mechanistic study revealed that this compound inhibited the sodium-calcium exchanger 1 on the plasma membrane, leading to an increase in cytosolic Ca2+ and a decrease in cytosolic Na+. The elevated cytosolic Ca2+ caused mitochondrial calcium overload and resulted in a loss of mitochondrial membrane potential, release of cytochrome c, and activation of caspase-3. Furthermore, OSW-1 also caused a Ca2+-dependent cleavage of the survival factor GRP78. Inhibition of Ca2+ entry into the mitochondria by the uniporter inhibitor RU360 or by cyclosporin A significantly prevented the OSW-1-induced cell death, indicating the important role of mitochondria in mediating the cytotoxic activity. The extremely potent activity of OSW-1 against leukemia cells and its unique mechanism of action suggest that this compound may be potentially useful in the treatment of leukemia. \u00a9 2013 by The American Society for Biochemistry and Molecular Biology, Inc.", "author" : [ { "dropping-particle" : "", "family" : "Garcia-Prieto", "given" : "Celia", "non-dropping-particle" : "", "parse-names" : false, "suffix" : "" }, { "dropping-particle" : "", "family" : "Ahmed", "given" : "Kausar Begam Riaz", "non-dropping-particle" : "", "parse-names" : false, "suffix" : "" }, { "dropping-particle" : "", "family" : "Chen", "given" : "Zhao", "non-dropping-particle" : "", "parse-names" : false, "suffix" : "" }, { "dropping-particle" : "", "family" : "Zhou", "given" : "Yan", "non-dropping-particle" : "", "parse-names" : false, "suffix" : "" }, { "dropping-particle" : "", "family" : "Hammoudi", "given" : "Naima", "non-dropping-particle" : "", "parse-names" : false, "suffix" : "" }, { "dropping-particle" : "", "family" : "Kang", "given" : "Ying", "non-dropping-particle" : "", "parse-names" : false, "suffix" : "" }, { "dropping-particle" : "", "family" : "Lou", "given" : "Changgang", "non-dropping-particle" : "", "parse-names" : false, "suffix" : "" }, { "dropping-particle" : "", "family" : "Mei", "given" : "Yan", "non-dropping-particle" : "", "parse-names" : false, "suffix" : "" }, { "dropping-particle" : "", "family" : "Jin", "given" : "Zhendong", "non-dropping-particle" : "", "parse-names" : false, "suffix" : "" }, { "dropping-particle" : "", "family" : "Huang", "given" : "Peng", "non-dropping-particle" : "", "parse-names" : false, "suffix" : "" } ], "container-title" : "Journal of Biological Chemistry", "id" : "ITEM-1", "issue" : "5", "issued" : { "date-parts" : [ [ "2013", "2", "1" ] ] }, "page" : "3240-3250", "title" : "Effective killing of leukemia cells by the natural product OSW-1 through disruption of cellular calcium homeostasis", "type" : "article-journal", "volume" : "288" }, "uris" : [ "http://www.mendeley.com/documents/?uuid=5cd6c4af-7651-47c4-81ed-ab268667674a" ] } ], "mendeley" : { "formattedCitation" : "&lt;sup&gt;57&lt;/sup&gt;", "plainTextFormattedCitation" : "57", "previouslyFormattedCitation" : "&lt;sup&gt;57&lt;/sup&gt;" }, "properties" : { "noteIndex" : 0 }, "schema" : "https://github.com/citation-style-language/schema/raw/master/csl-citation.json" }</w:instrText>
      </w:r>
      <w:r w:rsidR="00BE56CA">
        <w:fldChar w:fldCharType="separate"/>
      </w:r>
      <w:r w:rsidR="006B01D5" w:rsidRPr="006B01D5">
        <w:rPr>
          <w:noProof/>
          <w:vertAlign w:val="superscript"/>
        </w:rPr>
        <w:t>57</w:t>
      </w:r>
      <w:r w:rsidR="00BE56CA">
        <w:fldChar w:fldCharType="end"/>
      </w:r>
      <w:r w:rsidR="00D65C63">
        <w:t xml:space="preserve"> Because of this, </w:t>
      </w:r>
      <w:r w:rsidR="006A3136">
        <w:t xml:space="preserve">I tested if the calcium-activated protease calpain could be </w:t>
      </w:r>
      <w:r w:rsidR="00F86612">
        <w:t xml:space="preserve">responsible for the </w:t>
      </w:r>
      <w:r w:rsidR="00B72F03">
        <w:t>long-term</w:t>
      </w:r>
      <w:r w:rsidR="00F86612">
        <w:t xml:space="preserve"> repression of OSBP </w:t>
      </w:r>
      <w:r w:rsidR="006A3136">
        <w:t xml:space="preserve">upon OSW-1 </w:t>
      </w:r>
      <w:r w:rsidR="00D75CCA">
        <w:rPr>
          <w:noProof/>
        </w:rPr>
        <w:lastRenderedPageBreak/>
        <mc:AlternateContent>
          <mc:Choice Requires="wps">
            <w:drawing>
              <wp:anchor distT="45720" distB="45720" distL="114300" distR="114300" simplePos="0" relativeHeight="251714560" behindDoc="0" locked="0" layoutInCell="1" allowOverlap="1" wp14:anchorId="577D64FD" wp14:editId="76E18F16">
                <wp:simplePos x="0" y="0"/>
                <wp:positionH relativeFrom="margin">
                  <wp:align>right</wp:align>
                </wp:positionH>
                <wp:positionV relativeFrom="paragraph">
                  <wp:posOffset>167767</wp:posOffset>
                </wp:positionV>
                <wp:extent cx="5379085" cy="6400800"/>
                <wp:effectExtent l="0" t="0" r="1206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085" cy="6400800"/>
                        </a:xfrm>
                        <a:prstGeom prst="rect">
                          <a:avLst/>
                        </a:prstGeom>
                        <a:solidFill>
                          <a:srgbClr val="FFFFFF"/>
                        </a:solidFill>
                        <a:ln w="9525">
                          <a:solidFill>
                            <a:srgbClr val="000000"/>
                          </a:solidFill>
                          <a:miter lim="800000"/>
                          <a:headEnd/>
                          <a:tailEnd/>
                        </a:ln>
                      </wps:spPr>
                      <wps:txbx>
                        <w:txbxContent>
                          <w:p w14:paraId="427373E4" w14:textId="77777777" w:rsidR="00730B8F" w:rsidRDefault="00730B8F" w:rsidP="00C92984">
                            <w:pPr>
                              <w:keepNext/>
                            </w:pPr>
                            <w:r w:rsidRPr="00D05835">
                              <w:rPr>
                                <w:noProof/>
                              </w:rPr>
                              <w:drawing>
                                <wp:inline distT="0" distB="0" distL="0" distR="0" wp14:anchorId="0C0D272F" wp14:editId="6FA4ECB2">
                                  <wp:extent cx="5187315" cy="5410835"/>
                                  <wp:effectExtent l="0" t="0" r="0" b="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87315" cy="5410835"/>
                                          </a:xfrm>
                                          <a:prstGeom prst="rect">
                                            <a:avLst/>
                                          </a:prstGeom>
                                          <a:noFill/>
                                          <a:ln>
                                            <a:noFill/>
                                          </a:ln>
                                        </pic:spPr>
                                      </pic:pic>
                                    </a:graphicData>
                                  </a:graphic>
                                </wp:inline>
                              </w:drawing>
                            </w:r>
                          </w:p>
                          <w:p w14:paraId="6231C359" w14:textId="32E8D941" w:rsidR="00730B8F" w:rsidRDefault="00730B8F" w:rsidP="00C92984">
                            <w:pPr>
                              <w:pStyle w:val="Caption"/>
                            </w:pPr>
                            <w:bookmarkStart w:id="71" w:name="_Toc39868222"/>
                            <w:r>
                              <w:t xml:space="preserve">Figure </w:t>
                            </w:r>
                            <w:r w:rsidR="009425BE">
                              <w:fldChar w:fldCharType="begin"/>
                            </w:r>
                            <w:r w:rsidR="009425BE">
                              <w:instrText xml:space="preserve"> SEQ Figure \* ARABIC </w:instrText>
                            </w:r>
                            <w:r w:rsidR="009425BE">
                              <w:fldChar w:fldCharType="separate"/>
                            </w:r>
                            <w:r>
                              <w:rPr>
                                <w:noProof/>
                              </w:rPr>
                              <w:t>9</w:t>
                            </w:r>
                            <w:r w:rsidR="009425BE">
                              <w:rPr>
                                <w:noProof/>
                              </w:rPr>
                              <w:fldChar w:fldCharType="end"/>
                            </w:r>
                            <w:r>
                              <w:rPr>
                                <w:noProof/>
                              </w:rPr>
                              <w:t xml:space="preserve">: </w:t>
                            </w:r>
                            <w:r>
                              <w:rPr>
                                <w:b w:val="0"/>
                                <w:bCs w:val="0"/>
                                <w:noProof/>
                              </w:rPr>
                              <w:t>Chromatogram of SCMS quantificaiton of OSW-1 (</w:t>
                            </w:r>
                            <w:r w:rsidRPr="00AD461B">
                              <w:rPr>
                                <w:b w:val="0"/>
                                <w:bCs w:val="0"/>
                                <w:i/>
                                <w:iCs/>
                                <w:noProof/>
                              </w:rPr>
                              <w:t xml:space="preserve">m/z </w:t>
                            </w:r>
                            <w:r>
                              <w:rPr>
                                <w:b w:val="0"/>
                                <w:bCs w:val="0"/>
                                <w:noProof/>
                              </w:rPr>
                              <w:t>895.44)  at 0 h and 24 h post washout of a 100 nM treatment for 1 h using an internal standard of deuterated OSW-1 (</w:t>
                            </w:r>
                            <w:r w:rsidRPr="00AD461B">
                              <w:rPr>
                                <w:b w:val="0"/>
                                <w:bCs w:val="0"/>
                                <w:i/>
                                <w:iCs/>
                                <w:noProof/>
                              </w:rPr>
                              <w:t xml:space="preserve">m/z </w:t>
                            </w:r>
                            <w:r w:rsidRPr="00AD461B">
                              <w:rPr>
                                <w:b w:val="0"/>
                                <w:bCs w:val="0"/>
                                <w:noProof/>
                              </w:rPr>
                              <w:t>898.46)</w:t>
                            </w:r>
                            <w:r>
                              <w:rPr>
                                <w:b w:val="0"/>
                                <w:bCs w:val="0"/>
                                <w:noProof/>
                              </w:rPr>
                              <w:t>. Phosphatidylcholine (</w:t>
                            </w:r>
                            <w:r w:rsidRPr="00AD461B">
                              <w:rPr>
                                <w:b w:val="0"/>
                                <w:bCs w:val="0"/>
                                <w:i/>
                                <w:iCs/>
                                <w:noProof/>
                              </w:rPr>
                              <w:t>m/z</w:t>
                            </w:r>
                            <w:r>
                              <w:rPr>
                                <w:b w:val="0"/>
                                <w:bCs w:val="0"/>
                                <w:i/>
                                <w:iCs/>
                                <w:noProof/>
                              </w:rPr>
                              <w:t xml:space="preserve"> </w:t>
                            </w:r>
                            <w:r>
                              <w:rPr>
                                <w:b w:val="0"/>
                                <w:bCs w:val="0"/>
                                <w:noProof/>
                              </w:rPr>
                              <w:t>782.56</w:t>
                            </w:r>
                            <w:r w:rsidRPr="00AD461B">
                              <w:rPr>
                                <w:b w:val="0"/>
                                <w:bCs w:val="0"/>
                                <w:noProof/>
                              </w:rPr>
                              <w:t>)</w:t>
                            </w:r>
                            <w:r>
                              <w:rPr>
                                <w:b w:val="0"/>
                                <w:bCs w:val="0"/>
                                <w:noProof/>
                              </w:rPr>
                              <w:t xml:space="preserve"> is used as a marker of intraceullular content being analysed.</w:t>
                            </w:r>
                            <w:bookmarkEnd w:id="71"/>
                            <w:r>
                              <w:rPr>
                                <w:b w:val="0"/>
                                <w:bCs w:val="0"/>
                                <w:noProof/>
                              </w:rPr>
                              <w:t xml:space="preserve"> </w:t>
                            </w:r>
                          </w:p>
                          <w:p w14:paraId="2A201F26" w14:textId="77777777" w:rsidR="00730B8F" w:rsidRDefault="00730B8F" w:rsidP="00C92984"/>
                          <w:p w14:paraId="2D57CB46" w14:textId="77777777" w:rsidR="00730B8F" w:rsidRDefault="00730B8F"/>
                          <w:p w14:paraId="5544530A" w14:textId="1C1E076F" w:rsidR="00730B8F" w:rsidRDefault="00730B8F" w:rsidP="00C92984">
                            <w:pPr>
                              <w:keepNext/>
                            </w:pPr>
                            <w:r w:rsidRPr="00D05835">
                              <w:rPr>
                                <w:noProof/>
                              </w:rPr>
                              <w:drawing>
                                <wp:inline distT="0" distB="0" distL="0" distR="0" wp14:anchorId="0C0D272F" wp14:editId="6FA4ECB2">
                                  <wp:extent cx="5187315" cy="5410835"/>
                                  <wp:effectExtent l="0" t="0" r="0"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87315" cy="5410835"/>
                                          </a:xfrm>
                                          <a:prstGeom prst="rect">
                                            <a:avLst/>
                                          </a:prstGeom>
                                          <a:noFill/>
                                          <a:ln>
                                            <a:noFill/>
                                          </a:ln>
                                        </pic:spPr>
                                      </pic:pic>
                                    </a:graphicData>
                                  </a:graphic>
                                </wp:inline>
                              </w:drawing>
                            </w:r>
                          </w:p>
                          <w:p w14:paraId="393280EC" w14:textId="2A647DDB" w:rsidR="00730B8F" w:rsidRDefault="00730B8F" w:rsidP="00C92984">
                            <w:pPr>
                              <w:pStyle w:val="Caption"/>
                            </w:pPr>
                            <w:r>
                              <w:t xml:space="preserve">Figure </w:t>
                            </w:r>
                            <w:r>
                              <w:fldChar w:fldCharType="begin"/>
                            </w:r>
                            <w:r>
                              <w:instrText xml:space="preserve">  \* ARABIC </w:instrText>
                            </w:r>
                            <w:r>
                              <w:fldChar w:fldCharType="separate"/>
                            </w:r>
                            <w:r>
                              <w:rPr>
                                <w:noProof/>
                              </w:rPr>
                              <w:t>18</w:t>
                            </w:r>
                            <w:r>
                              <w:rPr>
                                <w:noProof/>
                              </w:rPr>
                              <w:fldChar w:fldCharType="end"/>
                            </w:r>
                            <w:r>
                              <w:rPr>
                                <w:noProof/>
                              </w:rPr>
                              <w:t xml:space="preserve">: </w:t>
                            </w:r>
                            <w:r>
                              <w:rPr>
                                <w:b w:val="0"/>
                                <w:bCs w:val="0"/>
                                <w:noProof/>
                              </w:rPr>
                              <w:t>Chromatogram of SCMS quantificaiton of OSW-1 (</w:t>
                            </w:r>
                            <w:r w:rsidRPr="00AD461B">
                              <w:rPr>
                                <w:b w:val="0"/>
                                <w:bCs w:val="0"/>
                                <w:i/>
                                <w:iCs/>
                                <w:noProof/>
                              </w:rPr>
                              <w:t xml:space="preserve">m/z </w:t>
                            </w:r>
                            <w:r>
                              <w:rPr>
                                <w:b w:val="0"/>
                                <w:bCs w:val="0"/>
                                <w:noProof/>
                              </w:rPr>
                              <w:t>895.44)  at 0 h and 24 h post washout of a 100 nM treatment for 1 h using an internal standard of deuterated OSW-1 (</w:t>
                            </w:r>
                            <w:r w:rsidRPr="00AD461B">
                              <w:rPr>
                                <w:b w:val="0"/>
                                <w:bCs w:val="0"/>
                                <w:i/>
                                <w:iCs/>
                                <w:noProof/>
                              </w:rPr>
                              <w:t xml:space="preserve">m/z </w:t>
                            </w:r>
                            <w:r w:rsidRPr="00AD461B">
                              <w:rPr>
                                <w:b w:val="0"/>
                                <w:bCs w:val="0"/>
                                <w:noProof/>
                              </w:rPr>
                              <w:t>898.46)</w:t>
                            </w:r>
                            <w:r>
                              <w:rPr>
                                <w:b w:val="0"/>
                                <w:bCs w:val="0"/>
                                <w:noProof/>
                              </w:rPr>
                              <w:t>. Phosphatidylcholine (</w:t>
                            </w:r>
                            <w:r w:rsidRPr="00AD461B">
                              <w:rPr>
                                <w:b w:val="0"/>
                                <w:bCs w:val="0"/>
                                <w:i/>
                                <w:iCs/>
                                <w:noProof/>
                              </w:rPr>
                              <w:t>m/z</w:t>
                            </w:r>
                            <w:r>
                              <w:rPr>
                                <w:b w:val="0"/>
                                <w:bCs w:val="0"/>
                                <w:i/>
                                <w:iCs/>
                                <w:noProof/>
                              </w:rPr>
                              <w:t xml:space="preserve"> </w:t>
                            </w:r>
                            <w:r>
                              <w:rPr>
                                <w:b w:val="0"/>
                                <w:bCs w:val="0"/>
                                <w:noProof/>
                              </w:rPr>
                              <w:t>782.56</w:t>
                            </w:r>
                            <w:r w:rsidRPr="00AD461B">
                              <w:rPr>
                                <w:b w:val="0"/>
                                <w:bCs w:val="0"/>
                                <w:noProof/>
                              </w:rPr>
                              <w:t>)</w:t>
                            </w:r>
                            <w:r>
                              <w:rPr>
                                <w:b w:val="0"/>
                                <w:bCs w:val="0"/>
                                <w:noProof/>
                              </w:rPr>
                              <w:t xml:space="preserve"> is used as a marker of intraceullular content being analysed. </w:t>
                            </w:r>
                          </w:p>
                          <w:p w14:paraId="6188B2DA" w14:textId="77777777" w:rsidR="00730B8F" w:rsidRDefault="00730B8F" w:rsidP="00C929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D64FD" id="_x0000_s1034" type="#_x0000_t202" style="position:absolute;left:0;text-align:left;margin-left:372.35pt;margin-top:13.2pt;width:423.55pt;height:7in;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">
                <v:textbox>
                  <w:txbxContent>
                    <w:p w14:paraId="427373E4" w14:textId="77777777" w:rsidR="00730B8F" w:rsidRDefault="00730B8F" w:rsidP="00C92984">
                      <w:pPr>
                        <w:keepNext/>
                      </w:pPr>
                      <w:r w:rsidRPr="00D05835">
                        <w:rPr>
                          <w:noProof/>
                        </w:rPr>
                        <w:drawing>
                          <wp:inline distT="0" distB="0" distL="0" distR="0" wp14:anchorId="0C0D272F" wp14:editId="6FA4ECB2">
                            <wp:extent cx="5187315" cy="5410835"/>
                            <wp:effectExtent l="0" t="0" r="0" b="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87315" cy="5410835"/>
                                    </a:xfrm>
                                    <a:prstGeom prst="rect">
                                      <a:avLst/>
                                    </a:prstGeom>
                                    <a:noFill/>
                                    <a:ln>
                                      <a:noFill/>
                                    </a:ln>
                                  </pic:spPr>
                                </pic:pic>
                              </a:graphicData>
                            </a:graphic>
                          </wp:inline>
                        </w:drawing>
                      </w:r>
                    </w:p>
                    <w:p w14:paraId="6231C359" w14:textId="32E8D941" w:rsidR="00730B8F" w:rsidRDefault="00730B8F" w:rsidP="00C92984">
                      <w:pPr>
                        <w:pStyle w:val="Caption"/>
                      </w:pPr>
                      <w:bookmarkStart w:id="72" w:name="_Toc39868222"/>
                      <w:r>
                        <w:t xml:space="preserve">Figure </w:t>
                      </w:r>
                      <w:r w:rsidR="009425BE">
                        <w:fldChar w:fldCharType="begin"/>
                      </w:r>
                      <w:r w:rsidR="009425BE">
                        <w:instrText xml:space="preserve"> SEQ Figure \* ARABIC </w:instrText>
                      </w:r>
                      <w:r w:rsidR="009425BE">
                        <w:fldChar w:fldCharType="separate"/>
                      </w:r>
                      <w:r>
                        <w:rPr>
                          <w:noProof/>
                        </w:rPr>
                        <w:t>9</w:t>
                      </w:r>
                      <w:r w:rsidR="009425BE">
                        <w:rPr>
                          <w:noProof/>
                        </w:rPr>
                        <w:fldChar w:fldCharType="end"/>
                      </w:r>
                      <w:r>
                        <w:rPr>
                          <w:noProof/>
                        </w:rPr>
                        <w:t xml:space="preserve">: </w:t>
                      </w:r>
                      <w:r>
                        <w:rPr>
                          <w:b w:val="0"/>
                          <w:bCs w:val="0"/>
                          <w:noProof/>
                        </w:rPr>
                        <w:t>Chromatogram of SCMS quantificaiton of OSW-1 (</w:t>
                      </w:r>
                      <w:r w:rsidRPr="00AD461B">
                        <w:rPr>
                          <w:b w:val="0"/>
                          <w:bCs w:val="0"/>
                          <w:i/>
                          <w:iCs/>
                          <w:noProof/>
                        </w:rPr>
                        <w:t xml:space="preserve">m/z </w:t>
                      </w:r>
                      <w:r>
                        <w:rPr>
                          <w:b w:val="0"/>
                          <w:bCs w:val="0"/>
                          <w:noProof/>
                        </w:rPr>
                        <w:t>895.44)  at 0 h and 24 h post washout of a 100 nM treatment for 1 h using an internal standard of deuterated OSW-1 (</w:t>
                      </w:r>
                      <w:r w:rsidRPr="00AD461B">
                        <w:rPr>
                          <w:b w:val="0"/>
                          <w:bCs w:val="0"/>
                          <w:i/>
                          <w:iCs/>
                          <w:noProof/>
                        </w:rPr>
                        <w:t xml:space="preserve">m/z </w:t>
                      </w:r>
                      <w:r w:rsidRPr="00AD461B">
                        <w:rPr>
                          <w:b w:val="0"/>
                          <w:bCs w:val="0"/>
                          <w:noProof/>
                        </w:rPr>
                        <w:t>898.46)</w:t>
                      </w:r>
                      <w:r>
                        <w:rPr>
                          <w:b w:val="0"/>
                          <w:bCs w:val="0"/>
                          <w:noProof/>
                        </w:rPr>
                        <w:t>. Phosphatidylcholine (</w:t>
                      </w:r>
                      <w:r w:rsidRPr="00AD461B">
                        <w:rPr>
                          <w:b w:val="0"/>
                          <w:bCs w:val="0"/>
                          <w:i/>
                          <w:iCs/>
                          <w:noProof/>
                        </w:rPr>
                        <w:t>m/z</w:t>
                      </w:r>
                      <w:r>
                        <w:rPr>
                          <w:b w:val="0"/>
                          <w:bCs w:val="0"/>
                          <w:i/>
                          <w:iCs/>
                          <w:noProof/>
                        </w:rPr>
                        <w:t xml:space="preserve"> </w:t>
                      </w:r>
                      <w:r>
                        <w:rPr>
                          <w:b w:val="0"/>
                          <w:bCs w:val="0"/>
                          <w:noProof/>
                        </w:rPr>
                        <w:t>782.56</w:t>
                      </w:r>
                      <w:r w:rsidRPr="00AD461B">
                        <w:rPr>
                          <w:b w:val="0"/>
                          <w:bCs w:val="0"/>
                          <w:noProof/>
                        </w:rPr>
                        <w:t>)</w:t>
                      </w:r>
                      <w:r>
                        <w:rPr>
                          <w:b w:val="0"/>
                          <w:bCs w:val="0"/>
                          <w:noProof/>
                        </w:rPr>
                        <w:t xml:space="preserve"> is used as a marker of intraceullular content being analysed.</w:t>
                      </w:r>
                      <w:bookmarkEnd w:id="72"/>
                      <w:r>
                        <w:rPr>
                          <w:b w:val="0"/>
                          <w:bCs w:val="0"/>
                          <w:noProof/>
                        </w:rPr>
                        <w:t xml:space="preserve"> </w:t>
                      </w:r>
                    </w:p>
                    <w:p w14:paraId="2A201F26" w14:textId="77777777" w:rsidR="00730B8F" w:rsidRDefault="00730B8F" w:rsidP="00C92984"/>
                    <w:p w14:paraId="2D57CB46" w14:textId="77777777" w:rsidR="00730B8F" w:rsidRDefault="00730B8F"/>
                    <w:p w14:paraId="5544530A" w14:textId="1C1E076F" w:rsidR="00730B8F" w:rsidRDefault="00730B8F" w:rsidP="00C92984">
                      <w:pPr>
                        <w:keepNext/>
                      </w:pPr>
                      <w:r w:rsidRPr="00D05835">
                        <w:rPr>
                          <w:noProof/>
                        </w:rPr>
                        <w:drawing>
                          <wp:inline distT="0" distB="0" distL="0" distR="0" wp14:anchorId="0C0D272F" wp14:editId="6FA4ECB2">
                            <wp:extent cx="5187315" cy="5410835"/>
                            <wp:effectExtent l="0" t="0" r="0"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87315" cy="5410835"/>
                                    </a:xfrm>
                                    <a:prstGeom prst="rect">
                                      <a:avLst/>
                                    </a:prstGeom>
                                    <a:noFill/>
                                    <a:ln>
                                      <a:noFill/>
                                    </a:ln>
                                  </pic:spPr>
                                </pic:pic>
                              </a:graphicData>
                            </a:graphic>
                          </wp:inline>
                        </w:drawing>
                      </w:r>
                    </w:p>
                    <w:p w14:paraId="393280EC" w14:textId="2A647DDB" w:rsidR="00730B8F" w:rsidRDefault="00730B8F" w:rsidP="00C92984">
                      <w:pPr>
                        <w:pStyle w:val="Caption"/>
                      </w:pPr>
                      <w:r>
                        <w:t xml:space="preserve">Figure </w:t>
                      </w:r>
                      <w:r>
                        <w:fldChar w:fldCharType="begin"/>
                      </w:r>
                      <w:r>
                        <w:instrText xml:space="preserve">  \* ARABIC </w:instrText>
                      </w:r>
                      <w:r>
                        <w:fldChar w:fldCharType="separate"/>
                      </w:r>
                      <w:r>
                        <w:rPr>
                          <w:noProof/>
                        </w:rPr>
                        <w:t>18</w:t>
                      </w:r>
                      <w:r>
                        <w:rPr>
                          <w:noProof/>
                        </w:rPr>
                        <w:fldChar w:fldCharType="end"/>
                      </w:r>
                      <w:r>
                        <w:rPr>
                          <w:noProof/>
                        </w:rPr>
                        <w:t xml:space="preserve">: </w:t>
                      </w:r>
                      <w:r>
                        <w:rPr>
                          <w:b w:val="0"/>
                          <w:bCs w:val="0"/>
                          <w:noProof/>
                        </w:rPr>
                        <w:t>Chromatogram of SCMS quantificaiton of OSW-1 (</w:t>
                      </w:r>
                      <w:r w:rsidRPr="00AD461B">
                        <w:rPr>
                          <w:b w:val="0"/>
                          <w:bCs w:val="0"/>
                          <w:i/>
                          <w:iCs/>
                          <w:noProof/>
                        </w:rPr>
                        <w:t xml:space="preserve">m/z </w:t>
                      </w:r>
                      <w:r>
                        <w:rPr>
                          <w:b w:val="0"/>
                          <w:bCs w:val="0"/>
                          <w:noProof/>
                        </w:rPr>
                        <w:t>895.44)  at 0 h and 24 h post washout of a 100 nM treatment for 1 h using an internal standard of deuterated OSW-1 (</w:t>
                      </w:r>
                      <w:r w:rsidRPr="00AD461B">
                        <w:rPr>
                          <w:b w:val="0"/>
                          <w:bCs w:val="0"/>
                          <w:i/>
                          <w:iCs/>
                          <w:noProof/>
                        </w:rPr>
                        <w:t xml:space="preserve">m/z </w:t>
                      </w:r>
                      <w:r w:rsidRPr="00AD461B">
                        <w:rPr>
                          <w:b w:val="0"/>
                          <w:bCs w:val="0"/>
                          <w:noProof/>
                        </w:rPr>
                        <w:t>898.46)</w:t>
                      </w:r>
                      <w:r>
                        <w:rPr>
                          <w:b w:val="0"/>
                          <w:bCs w:val="0"/>
                          <w:noProof/>
                        </w:rPr>
                        <w:t>. Phosphatidylcholine (</w:t>
                      </w:r>
                      <w:r w:rsidRPr="00AD461B">
                        <w:rPr>
                          <w:b w:val="0"/>
                          <w:bCs w:val="0"/>
                          <w:i/>
                          <w:iCs/>
                          <w:noProof/>
                        </w:rPr>
                        <w:t>m/z</w:t>
                      </w:r>
                      <w:r>
                        <w:rPr>
                          <w:b w:val="0"/>
                          <w:bCs w:val="0"/>
                          <w:i/>
                          <w:iCs/>
                          <w:noProof/>
                        </w:rPr>
                        <w:t xml:space="preserve"> </w:t>
                      </w:r>
                      <w:r>
                        <w:rPr>
                          <w:b w:val="0"/>
                          <w:bCs w:val="0"/>
                          <w:noProof/>
                        </w:rPr>
                        <w:t>782.56</w:t>
                      </w:r>
                      <w:r w:rsidRPr="00AD461B">
                        <w:rPr>
                          <w:b w:val="0"/>
                          <w:bCs w:val="0"/>
                          <w:noProof/>
                        </w:rPr>
                        <w:t>)</w:t>
                      </w:r>
                      <w:r>
                        <w:rPr>
                          <w:b w:val="0"/>
                          <w:bCs w:val="0"/>
                          <w:noProof/>
                        </w:rPr>
                        <w:t xml:space="preserve"> is used as a marker of intraceullular content being analysed. </w:t>
                      </w:r>
                    </w:p>
                    <w:p w14:paraId="6188B2DA" w14:textId="77777777" w:rsidR="00730B8F" w:rsidRDefault="00730B8F" w:rsidP="00C92984"/>
                  </w:txbxContent>
                </v:textbox>
                <w10:wrap type="square" anchorx="margin"/>
              </v:shape>
            </w:pict>
          </mc:Fallback>
        </mc:AlternateContent>
      </w:r>
      <w:r w:rsidR="006A3136">
        <w:t>treatment</w:t>
      </w:r>
      <w:r w:rsidR="00F86612">
        <w:t xml:space="preserve">. </w:t>
      </w:r>
      <w:r w:rsidR="006A3136">
        <w:t xml:space="preserve">Co-administration of the </w:t>
      </w:r>
      <w:r w:rsidR="005169FD">
        <w:t>calpain inhibitor ALLN</w:t>
      </w:r>
      <w:r w:rsidR="006A3136">
        <w:t xml:space="preserve"> </w:t>
      </w:r>
      <w:r w:rsidR="00106338">
        <w:t xml:space="preserve">at </w:t>
      </w:r>
      <w:r w:rsidR="00106338" w:rsidRPr="000849BF">
        <w:t xml:space="preserve">10 </w:t>
      </w:r>
      <w:r w:rsidR="00106338" w:rsidRPr="000849BF">
        <w:rPr>
          <w:rFonts w:cstheme="minorHAnsi"/>
        </w:rPr>
        <w:t>µ</w:t>
      </w:r>
      <w:r w:rsidR="00106338" w:rsidRPr="000849BF">
        <w:t>M</w:t>
      </w:r>
      <w:r w:rsidR="00106338">
        <w:t xml:space="preserve"> </w:t>
      </w:r>
      <w:r w:rsidR="006A3136">
        <w:t>with</w:t>
      </w:r>
      <w:r w:rsidR="00106338">
        <w:t xml:space="preserve"> 1 nM of</w:t>
      </w:r>
      <w:r w:rsidR="006A3136">
        <w:t xml:space="preserve"> OSW-1 in HEK-293 cells did prevent the initial </w:t>
      </w:r>
      <w:r w:rsidR="008173B8">
        <w:t>degradation of OSB</w:t>
      </w:r>
      <w:r w:rsidR="006A3136">
        <w:t>P,</w:t>
      </w:r>
      <w:r w:rsidR="009F7A91">
        <w:t xml:space="preserve"> but</w:t>
      </w:r>
      <w:r w:rsidR="008173B8">
        <w:t xml:space="preserve"> </w:t>
      </w:r>
      <w:r w:rsidR="006A3136">
        <w:t xml:space="preserve">addition of the ALLN inhibitor in cells with already reduced OSBP levels did not </w:t>
      </w:r>
      <w:r w:rsidR="00907E72">
        <w:t xml:space="preserve">significantly rescue the </w:t>
      </w:r>
      <w:r w:rsidR="006A3136">
        <w:t xml:space="preserve">OSBP levels </w:t>
      </w:r>
      <w:r w:rsidR="00391BE1">
        <w:t>(</w:t>
      </w:r>
      <w:r w:rsidR="004079A8" w:rsidRPr="002A3B57">
        <w:rPr>
          <w:b/>
          <w:bCs/>
        </w:rPr>
        <w:fldChar w:fldCharType="begin"/>
      </w:r>
      <w:r w:rsidR="004079A8" w:rsidRPr="000849BF">
        <w:rPr>
          <w:b/>
          <w:bCs/>
        </w:rPr>
        <w:instrText xml:space="preserve"> REF _Ref34052463 \h </w:instrText>
      </w:r>
      <w:r w:rsidR="006A3136" w:rsidRPr="000849BF">
        <w:rPr>
          <w:b/>
          <w:bCs/>
        </w:rPr>
        <w:instrText xml:space="preserve"> \* MERGEFORMAT </w:instrText>
      </w:r>
      <w:r w:rsidR="004079A8" w:rsidRPr="002A3B57">
        <w:rPr>
          <w:b/>
          <w:bCs/>
        </w:rPr>
      </w:r>
      <w:r w:rsidR="004079A8" w:rsidRPr="002A3B57">
        <w:rPr>
          <w:b/>
          <w:bCs/>
        </w:rPr>
        <w:fldChar w:fldCharType="separate"/>
      </w:r>
      <w:r w:rsidR="004079A8" w:rsidRPr="000849BF">
        <w:rPr>
          <w:b/>
          <w:bCs/>
        </w:rPr>
        <w:t xml:space="preserve">Figure </w:t>
      </w:r>
      <w:r w:rsidR="004079A8" w:rsidRPr="000849BF">
        <w:rPr>
          <w:b/>
          <w:bCs/>
          <w:noProof/>
        </w:rPr>
        <w:t>10</w:t>
      </w:r>
      <w:r w:rsidR="004079A8" w:rsidRPr="002A3B57">
        <w:rPr>
          <w:b/>
          <w:bCs/>
        </w:rPr>
        <w:fldChar w:fldCharType="end"/>
      </w:r>
      <w:r w:rsidR="00391BE1">
        <w:t>)</w:t>
      </w:r>
      <w:r w:rsidR="00046AE5">
        <w:t xml:space="preserve">. </w:t>
      </w:r>
      <w:r w:rsidR="00D75CCA">
        <w:t>These results</w:t>
      </w:r>
      <w:r w:rsidR="00E01348">
        <w:t xml:space="preserve"> indicates that the longterm repression of OSBP was not </w:t>
      </w:r>
      <w:r w:rsidR="00E01348">
        <w:lastRenderedPageBreak/>
        <w:t>due to the calpain protease. The long</w:t>
      </w:r>
      <w:r w:rsidR="00360683">
        <w:t>-</w:t>
      </w:r>
      <w:r w:rsidR="00E01348">
        <w:t xml:space="preserve">term </w:t>
      </w:r>
      <w:r w:rsidR="00046AE5">
        <w:t xml:space="preserve">repression of OSBP was also </w:t>
      </w:r>
      <w:r w:rsidR="00E01348">
        <w:t xml:space="preserve">shown to be </w:t>
      </w:r>
      <w:r>
        <w:rPr>
          <w:noProof/>
        </w:rPr>
        <mc:AlternateContent>
          <mc:Choice Requires="wps">
            <w:drawing>
              <wp:anchor distT="45720" distB="45720" distL="114300" distR="114300" simplePos="0" relativeHeight="251644928" behindDoc="0" locked="0" layoutInCell="1" allowOverlap="1" wp14:anchorId="3869BDCE" wp14:editId="5FBF7CA6">
                <wp:simplePos x="0" y="0"/>
                <wp:positionH relativeFrom="margin">
                  <wp:align>left</wp:align>
                </wp:positionH>
                <wp:positionV relativeFrom="paragraph">
                  <wp:posOffset>744889</wp:posOffset>
                </wp:positionV>
                <wp:extent cx="5379085" cy="3766185"/>
                <wp:effectExtent l="0" t="0" r="12065" b="24765"/>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085" cy="3766185"/>
                        </a:xfrm>
                        <a:prstGeom prst="rect">
                          <a:avLst/>
                        </a:prstGeom>
                        <a:solidFill>
                          <a:srgbClr val="FFFFFF"/>
                        </a:solidFill>
                        <a:ln w="9525">
                          <a:solidFill>
                            <a:srgbClr val="000000"/>
                          </a:solidFill>
                          <a:miter lim="800000"/>
                          <a:headEnd/>
                          <a:tailEnd/>
                        </a:ln>
                      </wps:spPr>
                      <wps:txbx>
                        <w:txbxContent>
                          <w:p w14:paraId="512005E9" w14:textId="77777777" w:rsidR="00730B8F" w:rsidRDefault="00730B8F" w:rsidP="00081BBE">
                            <w:pPr>
                              <w:keepNext/>
                            </w:pPr>
                            <w:r w:rsidRPr="00081BBE">
                              <w:rPr>
                                <w:noProof/>
                              </w:rPr>
                              <w:drawing>
                                <wp:inline distT="0" distB="0" distL="0" distR="0" wp14:anchorId="58813C63" wp14:editId="4174E3A5">
                                  <wp:extent cx="5038090" cy="2681605"/>
                                  <wp:effectExtent l="0" t="0" r="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38090" cy="2681605"/>
                                          </a:xfrm>
                                          <a:prstGeom prst="rect">
                                            <a:avLst/>
                                          </a:prstGeom>
                                          <a:noFill/>
                                          <a:ln>
                                            <a:noFill/>
                                          </a:ln>
                                        </pic:spPr>
                                      </pic:pic>
                                    </a:graphicData>
                                  </a:graphic>
                                </wp:inline>
                              </w:drawing>
                            </w:r>
                          </w:p>
                          <w:p w14:paraId="548F9E79" w14:textId="6C3CFD9F" w:rsidR="00730B8F" w:rsidRPr="00990406" w:rsidRDefault="00730B8F" w:rsidP="00081BBE">
                            <w:pPr>
                              <w:pStyle w:val="Caption"/>
                              <w:rPr>
                                <w:b w:val="0"/>
                                <w:bCs w:val="0"/>
                              </w:rPr>
                            </w:pPr>
                            <w:bookmarkStart w:id="73" w:name="_Toc39868223"/>
                            <w:r>
                              <w:t xml:space="preserve">Figure </w:t>
                            </w:r>
                            <w:r w:rsidR="009425BE">
                              <w:fldChar w:fldCharType="begin"/>
                            </w:r>
                            <w:r w:rsidR="009425BE">
                              <w:instrText xml:space="preserve"> SEQ Figure \* ARABIC </w:instrText>
                            </w:r>
                            <w:r w:rsidR="009425BE">
                              <w:fldChar w:fldCharType="separate"/>
                            </w:r>
                            <w:r>
                              <w:rPr>
                                <w:noProof/>
                              </w:rPr>
                              <w:t>10</w:t>
                            </w:r>
                            <w:r w:rsidR="009425BE">
                              <w:rPr>
                                <w:noProof/>
                              </w:rPr>
                              <w:fldChar w:fldCharType="end"/>
                            </w:r>
                            <w:r>
                              <w:rPr>
                                <w:noProof/>
                              </w:rPr>
                              <w:t xml:space="preserve">: </w:t>
                            </w:r>
                            <w:r>
                              <w:rPr>
                                <w:b w:val="0"/>
                                <w:bCs w:val="0"/>
                              </w:rPr>
                              <w:t xml:space="preserve">Western blot analysis of OSBP levels in HEK-293 cells of A) 24 h co-incubation of OSW-1 1 nM and calpain inhibitor ALLN 10 </w:t>
                            </w:r>
                            <w:r>
                              <w:rPr>
                                <w:rFonts w:cstheme="minorHAnsi"/>
                                <w:b w:val="0"/>
                                <w:bCs w:val="0"/>
                              </w:rPr>
                              <w:t>µ</w:t>
                            </w:r>
                            <w:r>
                              <w:rPr>
                                <w:b w:val="0"/>
                                <w:bCs w:val="0"/>
                              </w:rPr>
                              <w:t>M, and B) following 6 h 1 nM treatment of OSW-1, washout, recovery for 24 h and treatment with calpain inhibitor, ALLN for an additional 24 h.</w:t>
                            </w:r>
                            <w:bookmarkEnd w:id="73"/>
                            <w:r>
                              <w:rPr>
                                <w:b w:val="0"/>
                                <w:bCs w:val="0"/>
                              </w:rPr>
                              <w:t xml:space="preserve"> </w:t>
                            </w:r>
                          </w:p>
                          <w:p w14:paraId="24BF7834" w14:textId="77777777" w:rsidR="00730B8F" w:rsidRDefault="00730B8F"/>
                          <w:p w14:paraId="60731A1C" w14:textId="77777777" w:rsidR="00730B8F" w:rsidRDefault="00730B8F"/>
                          <w:p w14:paraId="3AFA0355" w14:textId="3ABD9F5B" w:rsidR="00730B8F" w:rsidRDefault="00730B8F" w:rsidP="00081BBE">
                            <w:pPr>
                              <w:keepNext/>
                            </w:pPr>
                            <w:r w:rsidRPr="00081BBE">
                              <w:rPr>
                                <w:noProof/>
                              </w:rPr>
                              <w:drawing>
                                <wp:inline distT="0" distB="0" distL="0" distR="0" wp14:anchorId="58813C63" wp14:editId="4174E3A5">
                                  <wp:extent cx="5038090" cy="2681605"/>
                                  <wp:effectExtent l="0" t="0" r="0" b="0"/>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38090" cy="2681605"/>
                                          </a:xfrm>
                                          <a:prstGeom prst="rect">
                                            <a:avLst/>
                                          </a:prstGeom>
                                          <a:noFill/>
                                          <a:ln>
                                            <a:noFill/>
                                          </a:ln>
                                        </pic:spPr>
                                      </pic:pic>
                                    </a:graphicData>
                                  </a:graphic>
                                </wp:inline>
                              </w:drawing>
                            </w:r>
                          </w:p>
                          <w:p w14:paraId="245E9DFC" w14:textId="07ECFB5F" w:rsidR="00730B8F" w:rsidRPr="00990406" w:rsidRDefault="00730B8F" w:rsidP="00081BBE">
                            <w:pPr>
                              <w:pStyle w:val="Caption"/>
                              <w:rPr>
                                <w:b w:val="0"/>
                                <w:bCs w:val="0"/>
                              </w:rPr>
                            </w:pPr>
                            <w:bookmarkStart w:id="74" w:name="_Ref34052463"/>
                            <w:r>
                              <w:t xml:space="preserve">Figure </w:t>
                            </w:r>
                            <w:r>
                              <w:fldChar w:fldCharType="begin"/>
                            </w:r>
                            <w:r>
                              <w:instrText xml:space="preserve">  \* ARABIC </w:instrText>
                            </w:r>
                            <w:r>
                              <w:fldChar w:fldCharType="separate"/>
                            </w:r>
                            <w:r>
                              <w:rPr>
                                <w:noProof/>
                              </w:rPr>
                              <w:t>20</w:t>
                            </w:r>
                            <w:r>
                              <w:rPr>
                                <w:noProof/>
                              </w:rPr>
                              <w:fldChar w:fldCharType="end"/>
                            </w:r>
                            <w:bookmarkEnd w:id="74"/>
                            <w:r>
                              <w:rPr>
                                <w:noProof/>
                              </w:rPr>
                              <w:t xml:space="preserve">: </w:t>
                            </w:r>
                            <w:r>
                              <w:rPr>
                                <w:b w:val="0"/>
                                <w:bCs w:val="0"/>
                              </w:rPr>
                              <w:t xml:space="preserve">Western blot analysis of OSBP levels in HEK-293 cells of A) 24 h co-incubation of OSW-1 1 nM and calpain inhibitor ALLN 10 </w:t>
                            </w:r>
                            <w:r>
                              <w:rPr>
                                <w:rFonts w:cstheme="minorHAnsi"/>
                                <w:b w:val="0"/>
                                <w:bCs w:val="0"/>
                              </w:rPr>
                              <w:t>µ</w:t>
                            </w:r>
                            <w:r>
                              <w:rPr>
                                <w:b w:val="0"/>
                                <w:bCs w:val="0"/>
                              </w:rPr>
                              <w:t xml:space="preserve">M, and B) following 6 h 1 nM treatment of OSW-1, washout, recovery for 24 h and treatment with calpain inhibitor, ALLN for an additional 24 h. </w:t>
                            </w:r>
                          </w:p>
                          <w:p w14:paraId="475D660D" w14:textId="3CFC6D4D"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9BDCE" id="_x0000_s1035" type="#_x0000_t202" style="position:absolute;left:0;text-align:left;margin-left:0;margin-top:58.65pt;width:423.55pt;height:296.55pt;z-index:251644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m2KQIAAE4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">
                <v:textbox>
                  <w:txbxContent>
                    <w:p w14:paraId="512005E9" w14:textId="77777777" w:rsidR="00730B8F" w:rsidRDefault="00730B8F" w:rsidP="00081BBE">
                      <w:pPr>
                        <w:keepNext/>
                      </w:pPr>
                      <w:r w:rsidRPr="00081BBE">
                        <w:rPr>
                          <w:noProof/>
                        </w:rPr>
                        <w:drawing>
                          <wp:inline distT="0" distB="0" distL="0" distR="0" wp14:anchorId="58813C63" wp14:editId="4174E3A5">
                            <wp:extent cx="5038090" cy="2681605"/>
                            <wp:effectExtent l="0" t="0" r="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38090" cy="2681605"/>
                                    </a:xfrm>
                                    <a:prstGeom prst="rect">
                                      <a:avLst/>
                                    </a:prstGeom>
                                    <a:noFill/>
                                    <a:ln>
                                      <a:noFill/>
                                    </a:ln>
                                  </pic:spPr>
                                </pic:pic>
                              </a:graphicData>
                            </a:graphic>
                          </wp:inline>
                        </w:drawing>
                      </w:r>
                    </w:p>
                    <w:p w14:paraId="548F9E79" w14:textId="6C3CFD9F" w:rsidR="00730B8F" w:rsidRPr="00990406" w:rsidRDefault="00730B8F" w:rsidP="00081BBE">
                      <w:pPr>
                        <w:pStyle w:val="Caption"/>
                        <w:rPr>
                          <w:b w:val="0"/>
                          <w:bCs w:val="0"/>
                        </w:rPr>
                      </w:pPr>
                      <w:bookmarkStart w:id="75" w:name="_Toc39868223"/>
                      <w:r>
                        <w:t xml:space="preserve">Figure </w:t>
                      </w:r>
                      <w:r w:rsidR="009425BE">
                        <w:fldChar w:fldCharType="begin"/>
                      </w:r>
                      <w:r w:rsidR="009425BE">
                        <w:instrText xml:space="preserve"> SEQ Figure \* ARABIC </w:instrText>
                      </w:r>
                      <w:r w:rsidR="009425BE">
                        <w:fldChar w:fldCharType="separate"/>
                      </w:r>
                      <w:r>
                        <w:rPr>
                          <w:noProof/>
                        </w:rPr>
                        <w:t>10</w:t>
                      </w:r>
                      <w:r w:rsidR="009425BE">
                        <w:rPr>
                          <w:noProof/>
                        </w:rPr>
                        <w:fldChar w:fldCharType="end"/>
                      </w:r>
                      <w:r>
                        <w:rPr>
                          <w:noProof/>
                        </w:rPr>
                        <w:t xml:space="preserve">: </w:t>
                      </w:r>
                      <w:r>
                        <w:rPr>
                          <w:b w:val="0"/>
                          <w:bCs w:val="0"/>
                        </w:rPr>
                        <w:t xml:space="preserve">Western blot analysis of OSBP levels in HEK-293 cells of A) 24 h co-incubation of OSW-1 1 nM and calpain inhibitor ALLN 10 </w:t>
                      </w:r>
                      <w:r>
                        <w:rPr>
                          <w:rFonts w:cstheme="minorHAnsi"/>
                          <w:b w:val="0"/>
                          <w:bCs w:val="0"/>
                        </w:rPr>
                        <w:t>µ</w:t>
                      </w:r>
                      <w:r>
                        <w:rPr>
                          <w:b w:val="0"/>
                          <w:bCs w:val="0"/>
                        </w:rPr>
                        <w:t>M, and B) following 6 h 1 nM treatment of OSW-1, washout, recovery for 24 h and treatment with calpain inhibitor, ALLN for an additional 24 h.</w:t>
                      </w:r>
                      <w:bookmarkEnd w:id="75"/>
                      <w:r>
                        <w:rPr>
                          <w:b w:val="0"/>
                          <w:bCs w:val="0"/>
                        </w:rPr>
                        <w:t xml:space="preserve"> </w:t>
                      </w:r>
                    </w:p>
                    <w:p w14:paraId="24BF7834" w14:textId="77777777" w:rsidR="00730B8F" w:rsidRDefault="00730B8F"/>
                    <w:p w14:paraId="60731A1C" w14:textId="77777777" w:rsidR="00730B8F" w:rsidRDefault="00730B8F"/>
                    <w:p w14:paraId="3AFA0355" w14:textId="3ABD9F5B" w:rsidR="00730B8F" w:rsidRDefault="00730B8F" w:rsidP="00081BBE">
                      <w:pPr>
                        <w:keepNext/>
                      </w:pPr>
                      <w:r w:rsidRPr="00081BBE">
                        <w:rPr>
                          <w:noProof/>
                        </w:rPr>
                        <w:drawing>
                          <wp:inline distT="0" distB="0" distL="0" distR="0" wp14:anchorId="58813C63" wp14:editId="4174E3A5">
                            <wp:extent cx="5038090" cy="2681605"/>
                            <wp:effectExtent l="0" t="0" r="0" b="0"/>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38090" cy="2681605"/>
                                    </a:xfrm>
                                    <a:prstGeom prst="rect">
                                      <a:avLst/>
                                    </a:prstGeom>
                                    <a:noFill/>
                                    <a:ln>
                                      <a:noFill/>
                                    </a:ln>
                                  </pic:spPr>
                                </pic:pic>
                              </a:graphicData>
                            </a:graphic>
                          </wp:inline>
                        </w:drawing>
                      </w:r>
                    </w:p>
                    <w:p w14:paraId="245E9DFC" w14:textId="07ECFB5F" w:rsidR="00730B8F" w:rsidRPr="00990406" w:rsidRDefault="00730B8F" w:rsidP="00081BBE">
                      <w:pPr>
                        <w:pStyle w:val="Caption"/>
                        <w:rPr>
                          <w:b w:val="0"/>
                          <w:bCs w:val="0"/>
                        </w:rPr>
                      </w:pPr>
                      <w:bookmarkStart w:id="76" w:name="_Ref34052463"/>
                      <w:r>
                        <w:t xml:space="preserve">Figure </w:t>
                      </w:r>
                      <w:r>
                        <w:fldChar w:fldCharType="begin"/>
                      </w:r>
                      <w:r>
                        <w:instrText xml:space="preserve">  \* ARABIC </w:instrText>
                      </w:r>
                      <w:r>
                        <w:fldChar w:fldCharType="separate"/>
                      </w:r>
                      <w:r>
                        <w:rPr>
                          <w:noProof/>
                        </w:rPr>
                        <w:t>20</w:t>
                      </w:r>
                      <w:r>
                        <w:rPr>
                          <w:noProof/>
                        </w:rPr>
                        <w:fldChar w:fldCharType="end"/>
                      </w:r>
                      <w:bookmarkEnd w:id="76"/>
                      <w:r>
                        <w:rPr>
                          <w:noProof/>
                        </w:rPr>
                        <w:t xml:space="preserve">: </w:t>
                      </w:r>
                      <w:r>
                        <w:rPr>
                          <w:b w:val="0"/>
                          <w:bCs w:val="0"/>
                        </w:rPr>
                        <w:t xml:space="preserve">Western blot analysis of OSBP levels in HEK-293 cells of A) 24 h co-incubation of OSW-1 1 nM and calpain inhibitor ALLN 10 </w:t>
                      </w:r>
                      <w:r>
                        <w:rPr>
                          <w:rFonts w:cstheme="minorHAnsi"/>
                          <w:b w:val="0"/>
                          <w:bCs w:val="0"/>
                        </w:rPr>
                        <w:t>µ</w:t>
                      </w:r>
                      <w:r>
                        <w:rPr>
                          <w:b w:val="0"/>
                          <w:bCs w:val="0"/>
                        </w:rPr>
                        <w:t xml:space="preserve">M, and B) following 6 h 1 nM treatment of OSW-1, washout, recovery for 24 h and treatment with calpain inhibitor, ALLN for an additional 24 h. </w:t>
                      </w:r>
                    </w:p>
                    <w:p w14:paraId="475D660D" w14:textId="3CFC6D4D" w:rsidR="00730B8F" w:rsidRDefault="00730B8F"/>
                  </w:txbxContent>
                </v:textbox>
                <w10:wrap type="square" anchorx="margin"/>
              </v:shape>
            </w:pict>
          </mc:Fallback>
        </mc:AlternateContent>
      </w:r>
      <w:r w:rsidR="00046AE5">
        <w:t xml:space="preserve">independent of </w:t>
      </w:r>
      <w:r w:rsidR="00E01348">
        <w:t xml:space="preserve">OSBP </w:t>
      </w:r>
      <w:r w:rsidR="00CE6014">
        <w:t xml:space="preserve">transcription inhibition, </w:t>
      </w:r>
      <w:r w:rsidR="00620C58">
        <w:t>proteasome activity, or aut</w:t>
      </w:r>
      <w:r w:rsidR="00987D06">
        <w:t>ophagy</w:t>
      </w:r>
      <w:r w:rsidR="00E01348">
        <w:t>.</w:t>
      </w:r>
      <w:r w:rsidR="00C62A07" w:rsidRPr="000849BF">
        <w:fldChar w:fldCharType="begin" w:fldLock="1"/>
      </w:r>
      <w:r w:rsidR="00C62A07">
        <w:instrText>ADDIN CSL_CITATION { "citationItems" : [ { "id" : "ITEM-1", "itemData" : { "DOI" : "10.1021/acschembio.8b00984", "ISSN" : "1554-8929",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 "given" : "Anh T.", "non-dropping-particle" : "", "parse-names" : false, "suffix" : "" }, { "dropping-particle" : "", "family" : "Kothapalli", "given" : "Naga Rama", "non-dropping-particle" : "", "parse-names" : false, "suffix" : "" }, { "dropping-particle" : "", "family" : "Nu\u00f1ez", "given" : "Juan I.", "non-dropping-particle" : "", "parse-names" : false, "suffix" : "" }, { "dropping-particle" : "", "family" : "Ma", "given" : "Hongyan", "non-dropping-particle" : "", "parse-names" : false, "suffix" : "" }, { "dropping-particle" : "", "family" : "Wu", "given" : "Si", "non-dropping-particle" : "", "parse-names" : false, "suffix" : "" }, { "dropping-particle" : "", "family" : "Standke", "given" : "Shawna J.", "non-dropping-particle" : "", "parse-names" : false, "suffix" : "" }, { "dropping-particle" : "", "family" : "Yang", "given" : "Zhibo",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 G.", "non-dropping-particle" : "", "parse-names" : false, "suffix" : "" } ], "container-title" : "ACS Chemical Biology", "id" : "ITEM-1", "issue" : "2", "issued" : { "date-parts" : [ [ "2019", "2", "15" ] ] }, "page" : "276-287", "title" : "Transient Compound Treatment Induces a Multigenerational Reduction of Oxysterol-Binding Protein (OSBP) Levels and Prophylactic Antiviral Activity", "type" : "article-journal", "volume" : "14" }, "uris" : [ "http://www.mendeley.com/documents/?uuid=ba479cf7-d3d6-400b-87e0-437e193e43f0" ] } ], "mendeley" : { "formattedCitation" : "&lt;sup&gt;90&lt;/sup&gt;", "plainTextFormattedCitation" : "90", "previouslyFormattedCitation" : "&lt;sup&gt;90&lt;/sup&gt;" }, "properties" : { "noteIndex" : 0 }, "schema" : "https://github.com/citation-style-language/schema/raw/master/csl-citation.json" }</w:instrText>
      </w:r>
      <w:r w:rsidR="00C62A07" w:rsidRPr="000849BF">
        <w:fldChar w:fldCharType="separate"/>
      </w:r>
      <w:r w:rsidR="00C62A07" w:rsidRPr="000849BF">
        <w:rPr>
          <w:noProof/>
          <w:vertAlign w:val="superscript"/>
        </w:rPr>
        <w:t>90</w:t>
      </w:r>
      <w:r w:rsidR="00C62A07" w:rsidRPr="000849BF">
        <w:fldChar w:fldCharType="end"/>
      </w:r>
    </w:p>
    <w:p w14:paraId="6F98BC04" w14:textId="7BB15267" w:rsidR="006C348E" w:rsidRDefault="006C348E" w:rsidP="006C348E">
      <w:pPr>
        <w:jc w:val="both"/>
      </w:pPr>
    </w:p>
    <w:p w14:paraId="41EA512B" w14:textId="2D7489BD" w:rsidR="00996396" w:rsidRDefault="00996396" w:rsidP="00F01888">
      <w:pPr>
        <w:pStyle w:val="Heading3"/>
      </w:pPr>
    </w:p>
    <w:p w14:paraId="158D7D82" w14:textId="4CE321C4" w:rsidR="006C348E" w:rsidRDefault="006C348E" w:rsidP="00F01888">
      <w:pPr>
        <w:pStyle w:val="Heading3"/>
      </w:pPr>
      <w:bookmarkStart w:id="77" w:name="_Toc39868158"/>
      <w:r>
        <w:t>2.</w:t>
      </w:r>
      <w:r w:rsidR="005668C1">
        <w:t>5.4</w:t>
      </w:r>
      <w:r>
        <w:t xml:space="preserve"> O</w:t>
      </w:r>
      <w:r w:rsidR="00F6083E">
        <w:t>SW-1 and THEV2 bind OSBP and ORP4</w:t>
      </w:r>
      <w:bookmarkEnd w:id="77"/>
    </w:p>
    <w:p w14:paraId="78CC506D" w14:textId="1EEABAAD" w:rsidR="00A66B3A" w:rsidRDefault="00AE327E" w:rsidP="005F5973">
      <w:pPr>
        <w:ind w:firstLine="720"/>
        <w:jc w:val="both"/>
      </w:pPr>
      <w:r>
        <w:t xml:space="preserve">In addition to OSW-1, the antiviral compounds </w:t>
      </w:r>
      <w:r w:rsidR="00F62DD9">
        <w:t>ITZ</w:t>
      </w:r>
      <w:r w:rsidR="002D37D2">
        <w:t>, TTP, and THEV2</w:t>
      </w:r>
      <w:r>
        <w:t xml:space="preserve"> were reported to function through targeting OSBP.</w:t>
      </w:r>
      <w:r w:rsidR="00C62A07" w:rsidRPr="000849BF">
        <w:fldChar w:fldCharType="begin" w:fldLock="1"/>
      </w:r>
      <w:r w:rsidR="00C62A07" w:rsidRPr="000849BF">
        <w:instrText>ADDIN CSL_CITATION { "citationItems" : [ { "id" : "ITEM-1", "itemData" : { "DOI" : "10.1016/j.celrep.2014.12.054", "ISSN" : "22111247", "abstract" : "Itraconazole (ITZ) is a well-known antifungal agent that also has anticancer activity. In this study, weidentify ITZ as a broad-spectrum inhibitor of enteroviruses (e.g., poliovirus, coxsackievirus, enterovirus-71, rhinovirus). We demonstrate that ITZ inhibits viral RNA replication by targeting oxysterol-binding protein (OSBP) and OSBP-related protein 4 (ORP4). Consistently, OSW-1, a specific OSBP/ORP4 antagonist, also inhibits enterovirus replication. Knockdown of OSBP inhibits virus replication, whereas overexpression of OSBP or ORP4 counteracts the antiviral effects of ITZ and OSW-1. ITZ binds OSBP and inhibits its function, i.e., shuttling of cholesterol and phosphatidylinositol-4-phosphate between membranes, thereby likely perturbing the virus-induced membrane alterations essential for viral replication organelle formation. ITZ also inhibits hepatitis C virus replication, which also relies on OSBP. Together, these data implicate OSBP/ORP4 as molecular targets of ITZ and point to an essential role of OSBP/ORP4-mediated lipid exchange in virus replication that can be targeted by antiviral drugs.", "author" : [ { "dropping-particle" : "", "family" : "Strating", "given" : "Jeroen R.P.M.", "non-dropping-particle" : "", "parse-names" : false, "suffix" : "" }, { "dropping-particle" : "", "family" : "Linden", "given" : "Lonneke", "non-dropping-particle" : "van der", "parse-names" : false, "suffix" : "" }, { "dropping-particle" : "", "family" : "Albulescu", "given" : "Lucian", "non-dropping-particle" : "", "parse-names" : false, "suffix" : "" }, { "dropping-particle" : "", "family" : "Bigay", "given" : "Jo\u00eblle", "non-dropping-particle" : "", "parse-names" : false, "suffix" : "" }, { "dropping-particle" : "", "family" : "Arita", "given" : "Minetaro", "non-dropping-particle" : "", "parse-names" : false, "suffix" : "" }, { "dropping-particle" : "", "family" : "Delang", "given" : "Leen", "non-dropping-particle" : "", "parse-names" : false, "suffix" : "" }, { "dropping-particle" : "", "family" : "Leyssen", "given" : "Pieter", "non-dropping-particle" : "", "parse-names" : false, "suffix" : "" }, { "dropping-particle" : "", "family" : "Schaar", "given" : "Hilde M.", "non-dropping-particle" : "van der", "parse-names" : false, "suffix" : "" }, { "dropping-particle" : "", "family" : "Lanke", "given" : "Kjerstin H.W.", "non-dropping-particle" : "", "parse-names" : false, "suffix" : "" }, { "dropping-particle" : "", "family" : "Thibaut", "given" : "Hendrik Jan", "non-dropping-particle" : "", "parse-names" : false, "suffix" : "" }, { "dropping-particle" : "", "family" : "Ulferts", "given" : "Rachel", "non-dropping-particle" : "", "parse-names" : false, "suffix" : "" }, { "dropping-particle" : "", "family" : "Drin", "given" : "Guillaume", "non-dropping-particle" : "", "parse-names" : false, "suffix" : "" }, { "dropping-particle" : "", "family" : "Schlinck", "given" : "Nina", "non-dropping-particle" : "", "parse-names" : false, "suffix" : "" }, { "dropping-particle" : "", "family" : "Wubbolts", "given" : "Richard W.", "non-dropping-particle" : "", "parse-names" : false, "suffix" : "" }, { "dropping-particle" : "", "family" : "Sever", "given" : "Navdar", "non-dropping-particle" : "", "parse-names" : false, "suffix" : "" }, { "dropping-particle" : "", "family" : "Head", "given" : "Sarah A.", "non-dropping-particle" : "", "parse-names" : false, "suffix" : "" }, { "dropping-particle" : "", "family" : "Liu", "given" : "Jun O.", "non-dropping-particle" : "", "parse-names" : false, "suffix" : "" }, { "dropping-particle" : "", "family" : "Beachy", "given" : "Philip A.", "non-dropping-particle" : "", "parse-names" : false, "suffix" : "" }, { "dropping-particle" : "", "family" : "DeMatteis", "given" : "Maria A.", "non-dropping-particle" : "", "parse-names" : false, "suffix" : "" }, { "dropping-particle" : "", "family" : "Shair", "given" : "Matthew D.", "non-dropping-particle" : "", "parse-names" : false, "suffix" : "" }, { "dropping-particle" : "", "family" : "Olkkonen", "given" : "Vesa M.", "non-dropping-particle" : "", "parse-names" : false, "suffix" : "" }, { "dropping-particle" : "", "family" : "Neyts", "given" : "Johan", "non-dropping-particle" : "", "parse-names" : false, "suffix" : "" }, { "dropping-particle" : "", "family" : "Kuppeveld", "given" : "Frank J.M.", "non-dropping-particle" : "van", "parse-names" : false, "suffix" : "" } ], "container-title" : "Cell Reports", "id" : "ITEM-1", "issue" : "4", "issued" : { "date-parts" : [ [ "2015", "2", "3" ] ] }, "page" : "600-615", "publisher" : "Elsevier", "title" : "Itraconazole inhibits enterovirus replication by targeting the oxysterol-binding protein", "type" : "article-journal", "volume" : "10" }, "uris" : [ "http://www.mendeley.com/documents/?uuid=d6f08a36-f85c-3498-958e-0b1623c8d545" ] }, { "id" : "ITEM-2", "itemData" : { "DOI" : "10.1016/j.antiviral.2017.01.008", "ISSN" : "18729096", "abstract" : "The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PI4KIII\u03b2-PI4P-OSBP pathway to direct cholesterol to replication organelles. Here, we uncover that TTP-8307, a known enterovirus replication inhibitor, acts through the PI4KIII\u03b2-PI4P-OSBP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 "author" : [ { "dropping-particle" : "", "family" : "Albulescu", "given" : "Lucian", "non-dropping-particle" : "", "parse-names" : false, "suffix" : "" }, { "dropping-particle" : "", "family" : "Bigay", "given" : "Jo\u00eblle", "non-dropping-particle" : "", "parse-names" : false, "suffix" : "" }, { "dropping-particle" : "", "family" : "Biswas", "given" : "Bishyajit", "non-dropping-particle" : "", "parse-names" : false, "suffix" : "" }, { "dropping-particle" : "", "family" : "Weber-Boyvat", "given" : "Marion", "non-dropping-particle" : "", "parse-names" : false, "suffix" : "" }, { "dropping-particle" : "", "family" : "Dorobantu", "given" : "Cristina M.", "non-dropping-particle" : "", "parse-names" : false, "suffix" : "" }, { "dropping-particle" : "", "family" : "Delang", "given" : "Leen", "non-dropping-particle" : "", "parse-names" : false, "suffix" : "" }, { "dropping-particle" : "", "family" : "Schaar", "given" : "Hilde M.", "non-dropping-particle" : "van der", "parse-names" : false, "suffix" : "" }, { "dropping-particle" : "", "family" : "Jung", "given" : "Young Sik", "non-dropping-particle" : "", "parse-names" : false, "suffix" : "" }, { "dropping-particle" : "", "family" : "Neyts", "given" : "Johan", "non-dropping-particle" : "", "parse-names" : false, "suffix" : "" }, { "dropping-particle" : "", "family" : "Olkkonen", "given" : "Vesa M.", "non-dropping-particle" : "", "parse-names" : false, "suffix" : "" }, { "dropping-particle" : "", "family" : "Kuppeveld", "given" : "Frank J.M.", "non-dropping-particle" : "van", "parse-names" : false, "suffix" : "" }, { "dropping-particle" : "", "family" : "Strating", "given" : "Jeroen R.P.M.", "non-dropping-particle" : "", "parse-names" : false, "suffix" : "" } ], "container-title" : "Antiviral Research", "id" : "ITEM-2", "issued" : { "date-parts" : [ [ "2017", "4", "1" ] ] }, "page" : "37-44", "publisher" : "Elsevier B.V.", "title" : "Uncovering oxysterol-binding protein (OSBP) as a target of the anti-enteroviral compound TTP-8307", "type" : "article-journal", "volume" : "140" }, "uris" : [ "http://www.mendeley.com/documents/?uuid=2e90a609-82b3-3463-910a-917123b10bb3" ] }, { "id" : "ITEM-3", "itemData" : { "DOI" : "10.1128/JVI.03546-12", "ISSN" : "1098-5514", "PMID" : "23365445", "abstract" : "Enviroxime is an antipicornavirus compound that targets host phosphatidylinositol 4-kinase III beta (PI4KB) activity for its antipicornavirus activity. To date, several antipoliovirus (PV) compounds similar to enviroxime that are associated with a common resistance mutation in viral protein 3A (a G5318A [3A-Ala70Thr] mutation in PV) have been identified. Most of these compounds have a direct inhibitory effect on PI4KB activity, as well as enviroxime (designated major enviroxime-like compounds). However, one of the compounds, AN-12-H5, showed no inhibitory effect on PI4KB and was considered to belong to another group of enviroxime-like compounds (designated minor enviroxime-like compounds). In the present study, we performed a small interfering RNA (siRNA) sensitization assay targeting PI4KB-related genes and identified oxysterol-binding protein (OSBP) as a target of minor enviroxime-like compounds. Knockdown of OSBP and OSBP2 increased the anti-PV activities of AN-12-H5 and a newly identified minor enviroxime-like compound, T-00127-HEV2, and also to T-00127-HEV1 to a minor extent, in the cells. A ligand of OSBP, 25-hydroxycholesterol (25-HC), acted as a minor enviroxime-like compound. Minor enviroxime-like compounds induced relocalization of OSBP to the Golgi apparatus in cells. Treatment of the cells with major or minor enviroxime-like compounds suppressed the expression of genes (HMGCS1 and SQLE) in the SREBP/SCAP regulatory pathway and diminished endogenous phosphatidylinositol 4-phosphate (PI4P) at the Golgi apparatus. Our results suggested that minor enviroxime-like compounds are phenotypically identical to 25-HC and that major and minor enviroxime-like compounds suppress the production and/or accumulation of PI4P in PV-infected cells by targeting PI4KB and OSBP family I activities, respectively.", "author" : [ { "dropping-particle" : "", "family" : "Arita", "given" : "Minetaro", "non-dropping-particle" : "", "parse-names" : false, "suffix" : "" }, { "dropping-particle" : "", "family" : "Kojima", "given" : "Hirotatsu", "non-dropping-particle" : "", "parse-names" : false, "suffix" : "" }, { "dropping-particle" : "", "family" : "Nagano", "given" : "Tetsuo", "non-dropping-particle" : "", "parse-names" : false, "suffix" : "" }, { "dropping-particle" : "", "family" : "Okabe", "given" : "Takayoshi", "non-dropping-particle" : "", "parse-names" : false, "suffix" : "" }, { "dropping-particle" : "", "family" : "Wakita", "given" : "Takaji", "non-dropping-particle" : "", "parse-names" : false, "suffix" : "" }, { "dropping-particle" : "", "family" : "Shimizu", "given" : "Hiroyuki", "non-dropping-particle" : "", "parse-names" : false, "suffix" : "" } ], "container-title" : "Journal of virology", "id" : "ITEM-3", "issue" : "8", "issued" : { "date-parts" : [ [ "2013", "4" ] ] }, "page" : "4252-60", "title" : "Oxysterol-binding protein family I is the target of minor enviroxime-like compounds.", "type" : "article-journal", "volume" : "87" }, "uris" : [ "http://www.mendeley.com/documents/?uuid=51b7d014-654b-3ce1-9aef-7b3b657ea8af" ] } ], "mendeley" : { "formattedCitation" : "&lt;sup&gt;62\u201364&lt;/sup&gt;", "plainTextFormattedCitation" : "62\u201364", "previouslyFormattedCitation" : "&lt;sup&gt;62\u201364&lt;/sup&gt;" }, "properties" : { "noteIndex" : 0 }, "schema" : "https://github.com/citation-style-language/schema/raw/master/csl-citation.json" }</w:instrText>
      </w:r>
      <w:r w:rsidR="00C62A07" w:rsidRPr="000849BF">
        <w:fldChar w:fldCharType="separate"/>
      </w:r>
      <w:r w:rsidR="00C62A07" w:rsidRPr="000849BF">
        <w:rPr>
          <w:noProof/>
          <w:vertAlign w:val="superscript"/>
        </w:rPr>
        <w:t>62–64</w:t>
      </w:r>
      <w:r w:rsidR="00C62A07" w:rsidRPr="000849BF">
        <w:fldChar w:fldCharType="end"/>
      </w:r>
      <w:r w:rsidR="00463B60">
        <w:t xml:space="preserve"> </w:t>
      </w:r>
      <w:r w:rsidR="00CC059A">
        <w:t xml:space="preserve">To compare </w:t>
      </w:r>
      <w:r>
        <w:t xml:space="preserve">these other compounds to OSW-1, binding of the ITZ, TTP, and THEV2 to OSBP and ORP4 using the well-established 25-OHC </w:t>
      </w:r>
      <w:r w:rsidR="00CC059A">
        <w:t xml:space="preserve">competitive binding </w:t>
      </w:r>
      <w:r>
        <w:t>assay was performed.</w:t>
      </w:r>
      <w:r w:rsidR="00C62A07">
        <w:fldChar w:fldCharType="begin" w:fldLock="1"/>
      </w:r>
      <w:r w:rsidR="00C62A07">
        <w:instrText>ADDIN CSL_CITATION { "citationItems" : [ { "id" : "ITEM-1", "itemData" : { "DOI" : "10.1038/nature10280", "ISSN" : "00280836", "abstract" : "Epstein-Barr virus-induced gene 2 (EBI2, also known as GPR183) is a G-protein-coupled receptor that is required for humoral immune responses; polymorphisms in the receptor have been associated with inflammatory autoimmune diseases. The natural ligand for EBI2 has been unknown. Here we describe the identification of 7\u00ce \u00b1,25-dihydroxycholesterol (also called 7\u00ce \u00b1,25-OHC or 5-cholesten-3\u00ce 2,7\u00ce \u00b1,25-triol) as a potent and selective agonist of EBI2. Functional activation of human EBI2 by 7\u00ce \u00b1,25-OHC and closely related oxysterols was verified by monitoring second messenger readouts and saturable, high-affinity radioligand binding. Furthermore, we find that 7\u00ce \u00b1,25-OHC and closely related oxysterols act as chemoattractants for immune cells expressing EBI2 by directing cell migration in vitro and in vivo. A critical enzyme required for the generation of 7\u00ce \u00b1,25-OHC is cholesterol 25-hydroxylase (CH25H). Similar to EBI2 receptor knockout mice, mice deficient in CH25H fail to position activated B cells within the spleen to the outer follicle and mount a reduced plasma cell response after an immune challenge. This demonstrates that CH25H generates EBI2 biological activity in vivo and indicates that the EBI2-oxysterol signalling pathway has an important role in the adaptive immune response. \u00a9 2011 Macmillan Publishers Limited. All rights reserved.", "author" : [ { "dropping-particle" : "", "family" : "Hannedouche", "given" : "S\u00e9bastien", "non-dropping-particle" : "", "parse-names" : false, "suffix" : "" }, { "dropping-particle" : "", "family" : "Zhang", "given" : "Juan", "non-dropping-particle" : "", "parse-names" : false, "suffix" : "" }, { "dropping-particle" : "", "family" : "Yi", "given" : "Tangsheng", "non-dropping-particle" : "", "parse-names" : false, "suffix" : "" }, { "dropping-particle" : "", "family" : "Shen", "given" : "Weijun", "non-dropping-particle" : "", "parse-names" : false, "suffix" : "" }, { "dropping-particle" : "", "family" : "Nguyen", "given" : "Deborah", "non-dropping-particle" : "", "parse-names" : false, "suffix" : "" }, { "dropping-particle" : "", "family" : "Pereira", "given" : "Jo\u00e3o P.", "non-dropping-particle" : "", "parse-names" : false, "suffix" : "" }, { "dropping-particle" : "", "family" : "Guerini", "given" : "Danilo", "non-dropping-particle" : "", "parse-names" : false, "suffix" : "" }, { "dropping-particle" : "", "family" : "Baumgarten", "given" : "Birgit U.", "non-dropping-particle" : "", "parse-names" : false, "suffix" : "" }, { "dropping-particle" : "", "family" : "Roggo", "given" : "Silvio", "non-dropping-particle" : "", "parse-names" : false, "suffix" : "" }, { "dropping-particle" : "", "family" : "Wen", "given" : "Ben", "non-dropping-particle" : "", "parse-names" : false, "suffix" : "" }, { "dropping-particle" : "", "family" : "Knochenmuss", "given" : "Richard", "non-dropping-particle" : "", "parse-names" : false, "suffix" : "" }, { "dropping-particle" : "", "family" : "No\u00ebl", "given" : "Sophie", "non-dropping-particle" : "", "parse-names" : false, "suffix" : "" }, { "dropping-particle" : "", "family" : "Gessier", "given" : "Francois", "non-dropping-particle" : "", "parse-names" : false, "suffix" : "" }, { "dropping-particle" : "", "family" : "Kelly", "given" : "Lisa M.", "non-dropping-particle" : "", "parse-names" : false, "suffix" : "" }, { "dropping-particle" : "", "family" : "Vanek", "given" : "Mirka", "non-dropping-particle" : "", "parse-names" : false, "suffix" : "" }, { "dropping-particle" : "", "family" : "Laurent", "given" : "Stephane", "non-dropping-particle" : "", "parse-names" : false, "suffix" : "" }, { "dropping-particle" : "", "family" : "Preuss", "given" : "Inga", "non-dropping-particle" : "", "parse-names" : false, "suffix" : "" }, { "dropping-particle" : "", "family" : "Miault", "given" : "Charlotte", "non-dropping-particle" : "", "parse-names" : false, "suffix" : "" }, { "dropping-particle" : "", "family" : "Christen", "given" : "Isabelle", "non-dropping-particle" : "", "parse-names" : false, "suffix" : "" }, { "dropping-particle" : "", "family" : "Karuna", "given" : "Ratna", "non-dropping-particle" : "", "parse-names" : false, "suffix" : "" }, { "dropping-particle" : "", "family" : "Li", "given" : "Wei", "non-dropping-particle" : "", "parse-names" : false, "suffix" : "" }, { "dropping-particle" : "", "family" : "Koo", "given" : "Dong In", "non-dropping-particle" : "", "parse-names" : false, "suffix" : "" }, { "dropping-particle" : "", "family" : "Suply", "given" : "Thomas", "non-dropping-particle" : "", "parse-names" : false, "suffix" : "" }, { "dropping-particle" : "", "family" : "Schmedt", "given" : "Christian", "non-dropping-particle" : "", "parse-names" : false, "suffix" : "" }, { "dropping-particle" : "", "family" : "Peters", "given" : "Eric C.", "non-dropping-particle" : "", "parse-names" : false, "suffix" : "" }, { "dropping-particle" : "", "family" : "Falchetto", "given" : "Rocco", "non-dropping-particle" : "", "parse-names" : false, "suffix" : "" }, { "dropping-particle" : "", "family" : "Katopodis", "given" : "Andreas", "non-dropping-particle" : "", "parse-names" : false, "suffix" : "" }, { "dropping-particle" : "", "family" : "Spanka", "given" : "Carsten", "non-dropping-particle" : "", "parse-names" : false, "suffix" : "" }, { "dropping-particle" : "", "family" : "Roy", "given" : "Marie Odile", "non-dropping-particle" : "", "parse-names" : false, "suffix" : "" }, { "dropping-particle" : "", "family" : "Detheux", "given" : "Michel", "non-dropping-particle" : "", "parse-names" : false, "suffix" : "" }, { "dropping-particle" : "", "family" : "Chen", "given" : "Yu Alice", "non-dropping-particle" : "", "parse-names" : false, "suffix" : "" }, { "dropping-particle" : "", "family" : "Schultz", "given" : "Peter G.", "non-dropping-particle" : "", "parse-names" : false, "suffix" : "" }, { "dropping-particle" : "", "family" : "Cho", "given" : "Charles Y.", "non-dropping-particle" : "", "parse-names" : false, "suffix" : "" }, { "dropping-particle" : "", "family" : "Seuwen", "given" : "Klaus", "non-dropping-particle" : "", "parse-names" : false, "suffix" : "" }, { "dropping-particle" : "", "family" : "Cyster", "given" : "Jason G.", "non-dropping-particle" : "", "parse-names" : false, "suffix" : "" }, { "dropping-particle" : "", "family" : "Sailer", "given" : "Andreas W.", "non-dropping-particle" : "", "parse-names" : false, "suffix" : "" } ], "container-title" : "Nature", "id" : "ITEM-1", "issue" : "7357", "issued" : { "date-parts" : [ [ "2011", "7", "28" ] ] }, "page" : "524-527", "publisher" : "Nature Publishing Group", "title" : "Oxysterols direct immune cell migration via EBI2", "type" : "article-journal", "volume" : "475" }, "uris" : [ "http://www.mendeley.com/documents/?uuid=f129c6fd-fb09-35aa-8714-0378d197a0a2" ] }, { "id" : "ITEM-2", "itemData" : { "DOI" : "10.1038/nchembio.625", "ISBN" : "1552-4469 (Electronic)\\n1552-4450 (Linking)", "ISSN" : "1552-4450", "PMID" : "21822274", "abstract" : "Cephalostatin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(ORP4L)\u2014proteins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 C", "author" : [ { "dropping-particle" : "", "family" : "Burgett", "given" : "Anthony W G", "non-dropping-particle" : "", "parse-names" : false, "suffix" : "" }, { "dropping-particle" : "", "family" : "Poulsen", "given" : "Thomas B", "non-dropping-particle" : "", "parse-names" : false, "suffix" : "" }, { "dropping-particle" : "", "family" : "Wangkanont", "given" : "Kittikhun", "non-dropping-particle" : "", "parse-names" : false, "suffix" : "" }, { "dropping-particle" : "", "family" : "Anderson", "given" : "D Ryan", "non-dropping-particle" : "", "parse-names" : false, "suffix" : "" }, { "dropping-particle" : "", "family" : "Kikuchi", "given" : "Chikako", "non-dropping-particle" : "", "parse-names" : false, "suffix" : "" }, { "dropping-particle" : "", "family" : "Shimada", "given" : "Kousei", "non-dropping-particle" : "", "parse-names" : false, "suffix" : "" }, { "dropping-particle" : "", "family" : "Okubo", "given" : "Shuichi", "non-dropping-particle" : "", "parse-names" : false, "suffix" : "" }, { "dropping-particle" : "", "family" : "Fortner", "given" : "Kevin C", "non-dropping-particle" : "", "parse-names" : false, "suffix" : "" }, { "dropping-particle" : "", "family" : "Mimaki", "given" : "Yoshihiro", "non-dropping-particle" : "", "parse-names" : false, "suffix" : "" }, { "dropping-particle" : "", "family" : "Kuroda", "given" : "Minpei", "non-dropping-particle" : "", "parse-names" : false, "suffix" : "" }, { "dropping-particle" : "", "family" : "Murphy", "given" : "Jason P", "non-dropping-particle" : "", "parse-names" : false, "suffix" : "" }, { "dropping-particle" : "", "family" : "Schwalb", "given" : "David J", "non-dropping-particle" : "", "parse-names" : false, "suffix" : "" }, { "dropping-particle" : "", "family" : "Petrella", "given" : "Eugene C", "non-dropping-particle" : "", "parse-names" : false, "suffix" : "" }, { "dropping-particle" : "", "family" : "Cornella-Taracido", "given" : "Ivan", "non-dropping-particle" : "", "parse-names" : false, "suffix" : "" }, { "dropping-particle" : "", "family" : "Schirle", "given" : "Markus", "non-dropping-particle" : "", "parse-names" : false, "suffix" : "" }, { "dropping-particle" : "", "family" : "Tallarico", "given" : "John A", "non-dropping-particle" : "", "parse-names" : false, "suffix" : "" }, { "dropping-particle" : "", "family" : "Shair", "given" : "Matthew D", "non-dropping-particle" : "", "parse-names" : false, "suffix" : "" } ], "container-title" : "Nature Chemical Biology", "id" : "ITEM-2", "issue" : "9", "issued" : { "date-parts" : [ [ "2011" ] ] }, "page" : "639-647", "publisher" : "Nature Publishing Group", "title" : "Natural products reveal cancer cell dependence on oxysterol-binding proteins", "type" : "article-journal", "volume" : "7" }, "uris" : [ "http://www.mendeley.com/documents/?uuid=8247cefa-1387-4829-8f62-5411ff24d436" ] } ], "mendeley" : { "formattedCitation" : "&lt;sup&gt;60,106&lt;/sup&gt;", "plainTextFormattedCitation" : "60,106", "previouslyFormattedCitation" : "&lt;sup&gt;60,106&lt;/sup&gt;" }, "properties" : { "noteIndex" : 0 }, "schema" : "https://github.com/citation-style-language/schema/raw/master/csl-citation.json" }</w:instrText>
      </w:r>
      <w:r w:rsidR="00C62A07">
        <w:fldChar w:fldCharType="separate"/>
      </w:r>
      <w:r w:rsidR="00C62A07" w:rsidRPr="00C62A07">
        <w:rPr>
          <w:noProof/>
          <w:vertAlign w:val="superscript"/>
        </w:rPr>
        <w:t>60,106</w:t>
      </w:r>
      <w:r w:rsidR="00C62A07">
        <w:fldChar w:fldCharType="end"/>
      </w:r>
      <w:r w:rsidR="00CC059A">
        <w:t xml:space="preserve"> We demonstrated </w:t>
      </w:r>
      <w:r w:rsidR="00A51461">
        <w:rPr>
          <w:noProof/>
        </w:rPr>
        <w:lastRenderedPageBreak/>
        <mc:AlternateContent>
          <mc:Choice Requires="wps">
            <w:drawing>
              <wp:inline distT="0" distB="0" distL="0" distR="0" wp14:anchorId="63E62B61" wp14:editId="285D6774">
                <wp:extent cx="5377180" cy="8181340"/>
                <wp:effectExtent l="0" t="0" r="13970" b="1016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180" cy="8181340"/>
                        </a:xfrm>
                        <a:prstGeom prst="rect">
                          <a:avLst/>
                        </a:prstGeom>
                        <a:solidFill>
                          <a:srgbClr val="FFFFFF"/>
                        </a:solidFill>
                        <a:ln w="9525">
                          <a:solidFill>
                            <a:srgbClr val="000000"/>
                          </a:solidFill>
                          <a:miter lim="800000"/>
                          <a:headEnd/>
                          <a:tailEnd/>
                        </a:ln>
                      </wps:spPr>
                      <wps:txbx>
                        <w:txbxContent>
                          <w:p w14:paraId="2AFAB825" w14:textId="77777777" w:rsidR="00730B8F" w:rsidRDefault="00730B8F" w:rsidP="00996396">
                            <w:pPr>
                              <w:keepNext/>
                            </w:pPr>
                            <w:r w:rsidRPr="004948A3">
                              <w:rPr>
                                <w:noProof/>
                              </w:rPr>
                              <w:drawing>
                                <wp:inline distT="0" distB="0" distL="0" distR="0" wp14:anchorId="4961D620" wp14:editId="49605D3F">
                                  <wp:extent cx="4792955" cy="7282542"/>
                                  <wp:effectExtent l="0" t="0" r="0" b="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98092" cy="7290347"/>
                                          </a:xfrm>
                                          <a:prstGeom prst="rect">
                                            <a:avLst/>
                                          </a:prstGeom>
                                          <a:noFill/>
                                          <a:ln>
                                            <a:noFill/>
                                          </a:ln>
                                        </pic:spPr>
                                      </pic:pic>
                                    </a:graphicData>
                                  </a:graphic>
                                </wp:inline>
                              </w:drawing>
                            </w:r>
                          </w:p>
                          <w:p w14:paraId="6F7736FC" w14:textId="0EC831D8" w:rsidR="00730B8F" w:rsidRPr="00414EB4" w:rsidRDefault="00730B8F" w:rsidP="00996396">
                            <w:pPr>
                              <w:pStyle w:val="Caption"/>
                              <w:rPr>
                                <w:b w:val="0"/>
                                <w:bCs w:val="0"/>
                              </w:rPr>
                            </w:pPr>
                            <w:bookmarkStart w:id="78" w:name="_Ref38441311"/>
                            <w:bookmarkStart w:id="79" w:name="_Toc39868224"/>
                            <w:r>
                              <w:t xml:space="preserve">Figure </w:t>
                            </w:r>
                            <w:r w:rsidR="009425BE">
                              <w:fldChar w:fldCharType="begin"/>
                            </w:r>
                            <w:r w:rsidR="009425BE">
                              <w:instrText xml:space="preserve"> SEQ Figure \* ARABIC </w:instrText>
                            </w:r>
                            <w:r w:rsidR="009425BE">
                              <w:fldChar w:fldCharType="separate"/>
                            </w:r>
                            <w:r>
                              <w:rPr>
                                <w:noProof/>
                              </w:rPr>
                              <w:t>11</w:t>
                            </w:r>
                            <w:r w:rsidR="009425BE">
                              <w:rPr>
                                <w:noProof/>
                              </w:rPr>
                              <w:fldChar w:fldCharType="end"/>
                            </w:r>
                            <w:bookmarkEnd w:id="78"/>
                            <w:r>
                              <w:rPr>
                                <w:noProof/>
                              </w:rPr>
                              <w:t xml:space="preserve">: </w:t>
                            </w:r>
                            <w:r>
                              <w:rPr>
                                <w:b w:val="0"/>
                                <w:bCs w:val="0"/>
                                <w:noProof/>
                              </w:rPr>
                              <w:t>Competitive binding of OSW-1, THEV, TTP and ITZ to OSBP and ORP4 using the 25-OHC competitive binding assay. Example of results from one independent experiment shown.</w:t>
                            </w:r>
                            <w:bookmarkEnd w:id="79"/>
                            <w:r>
                              <w:rPr>
                                <w:b w:val="0"/>
                                <w:bCs w:val="0"/>
                                <w:noProof/>
                              </w:rPr>
                              <w:t xml:space="preserve"> </w:t>
                            </w:r>
                          </w:p>
                          <w:p w14:paraId="4B854FB1" w14:textId="77777777" w:rsidR="00730B8F" w:rsidRDefault="00730B8F" w:rsidP="00996396"/>
                          <w:p w14:paraId="544F13BD" w14:textId="77777777" w:rsidR="00730B8F" w:rsidRDefault="00730B8F"/>
                          <w:p w14:paraId="121FD22B" w14:textId="78B51CB6" w:rsidR="00730B8F" w:rsidRDefault="00730B8F" w:rsidP="00996396">
                            <w:pPr>
                              <w:keepNext/>
                            </w:pPr>
                            <w:r w:rsidRPr="004948A3">
                              <w:rPr>
                                <w:noProof/>
                              </w:rPr>
                              <w:drawing>
                                <wp:inline distT="0" distB="0" distL="0" distR="0" wp14:anchorId="4961D620" wp14:editId="49605D3F">
                                  <wp:extent cx="4792955" cy="7282542"/>
                                  <wp:effectExtent l="0" t="0" r="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98092" cy="7290347"/>
                                          </a:xfrm>
                                          <a:prstGeom prst="rect">
                                            <a:avLst/>
                                          </a:prstGeom>
                                          <a:noFill/>
                                          <a:ln>
                                            <a:noFill/>
                                          </a:ln>
                                        </pic:spPr>
                                      </pic:pic>
                                    </a:graphicData>
                                  </a:graphic>
                                </wp:inline>
                              </w:drawing>
                            </w:r>
                          </w:p>
                          <w:p w14:paraId="69CE6880" w14:textId="36B65D62" w:rsidR="00730B8F" w:rsidRPr="00414EB4" w:rsidRDefault="00730B8F" w:rsidP="00996396">
                            <w:pPr>
                              <w:pStyle w:val="Caption"/>
                              <w:rPr>
                                <w:b w:val="0"/>
                                <w:bCs w:val="0"/>
                              </w:rPr>
                            </w:pPr>
                            <w:bookmarkStart w:id="80" w:name="_Ref34052495"/>
                            <w:r>
                              <w:t xml:space="preserve">Figure </w:t>
                            </w:r>
                            <w:r>
                              <w:fldChar w:fldCharType="begin"/>
                            </w:r>
                            <w:r>
                              <w:instrText xml:space="preserve">  \* ARABIC </w:instrText>
                            </w:r>
                            <w:r>
                              <w:fldChar w:fldCharType="separate"/>
                            </w:r>
                            <w:r>
                              <w:rPr>
                                <w:noProof/>
                              </w:rPr>
                              <w:t>22</w:t>
                            </w:r>
                            <w:r>
                              <w:rPr>
                                <w:noProof/>
                              </w:rPr>
                              <w:fldChar w:fldCharType="end"/>
                            </w:r>
                            <w:bookmarkEnd w:id="80"/>
                            <w:r>
                              <w:rPr>
                                <w:noProof/>
                              </w:rPr>
                              <w:t xml:space="preserve">: </w:t>
                            </w:r>
                            <w:r>
                              <w:rPr>
                                <w:b w:val="0"/>
                                <w:bCs w:val="0"/>
                                <w:noProof/>
                              </w:rPr>
                              <w:t xml:space="preserve">Competitive binding of OSW-1, THEV, TTP and ITZ to OSBP and ORP4 using the 25-OHC competitive binding assay. Example of results from one independent experiment shown. </w:t>
                            </w:r>
                          </w:p>
                          <w:p w14:paraId="2E8BEF23" w14:textId="77777777" w:rsidR="00730B8F" w:rsidRDefault="00730B8F" w:rsidP="00996396"/>
                        </w:txbxContent>
                      </wps:txbx>
                      <wps:bodyPr rot="0" vert="horz" wrap="square" lIns="91440" tIns="45720" rIns="91440" bIns="45720" anchor="t" anchorCtr="0">
                        <a:noAutofit/>
                      </wps:bodyPr>
                    </wps:wsp>
                  </a:graphicData>
                </a:graphic>
              </wp:inline>
            </w:drawing>
          </mc:Choice>
          <mc:Fallback>
            <w:pict>
              <v:shape w14:anchorId="63E62B61" id="_x0000_s1036" type="#_x0000_t202" style="width:423.4pt;height:64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">
                <v:textbox>
                  <w:txbxContent>
                    <w:p w14:paraId="2AFAB825" w14:textId="77777777" w:rsidR="00730B8F" w:rsidRDefault="00730B8F" w:rsidP="00996396">
                      <w:pPr>
                        <w:keepNext/>
                      </w:pPr>
                      <w:r w:rsidRPr="004948A3">
                        <w:rPr>
                          <w:noProof/>
                        </w:rPr>
                        <w:drawing>
                          <wp:inline distT="0" distB="0" distL="0" distR="0" wp14:anchorId="4961D620" wp14:editId="49605D3F">
                            <wp:extent cx="4792955" cy="7282542"/>
                            <wp:effectExtent l="0" t="0" r="0" b="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98092" cy="7290347"/>
                                    </a:xfrm>
                                    <a:prstGeom prst="rect">
                                      <a:avLst/>
                                    </a:prstGeom>
                                    <a:noFill/>
                                    <a:ln>
                                      <a:noFill/>
                                    </a:ln>
                                  </pic:spPr>
                                </pic:pic>
                              </a:graphicData>
                            </a:graphic>
                          </wp:inline>
                        </w:drawing>
                      </w:r>
                    </w:p>
                    <w:p w14:paraId="6F7736FC" w14:textId="0EC831D8" w:rsidR="00730B8F" w:rsidRPr="00414EB4" w:rsidRDefault="00730B8F" w:rsidP="00996396">
                      <w:pPr>
                        <w:pStyle w:val="Caption"/>
                        <w:rPr>
                          <w:b w:val="0"/>
                          <w:bCs w:val="0"/>
                        </w:rPr>
                      </w:pPr>
                      <w:bookmarkStart w:id="81" w:name="_Ref38441311"/>
                      <w:bookmarkStart w:id="82" w:name="_Toc39868224"/>
                      <w:r>
                        <w:t xml:space="preserve">Figure </w:t>
                      </w:r>
                      <w:r w:rsidR="009425BE">
                        <w:fldChar w:fldCharType="begin"/>
                      </w:r>
                      <w:r w:rsidR="009425BE">
                        <w:instrText xml:space="preserve"> SEQ Figure \* ARABIC </w:instrText>
                      </w:r>
                      <w:r w:rsidR="009425BE">
                        <w:fldChar w:fldCharType="separate"/>
                      </w:r>
                      <w:r>
                        <w:rPr>
                          <w:noProof/>
                        </w:rPr>
                        <w:t>11</w:t>
                      </w:r>
                      <w:r w:rsidR="009425BE">
                        <w:rPr>
                          <w:noProof/>
                        </w:rPr>
                        <w:fldChar w:fldCharType="end"/>
                      </w:r>
                      <w:bookmarkEnd w:id="81"/>
                      <w:r>
                        <w:rPr>
                          <w:noProof/>
                        </w:rPr>
                        <w:t xml:space="preserve">: </w:t>
                      </w:r>
                      <w:r>
                        <w:rPr>
                          <w:b w:val="0"/>
                          <w:bCs w:val="0"/>
                          <w:noProof/>
                        </w:rPr>
                        <w:t>Competitive binding of OSW-1, THEV, TTP and ITZ to OSBP and ORP4 using the 25-OHC competitive binding assay. Example of results from one independent experiment shown.</w:t>
                      </w:r>
                      <w:bookmarkEnd w:id="82"/>
                      <w:r>
                        <w:rPr>
                          <w:b w:val="0"/>
                          <w:bCs w:val="0"/>
                          <w:noProof/>
                        </w:rPr>
                        <w:t xml:space="preserve"> </w:t>
                      </w:r>
                    </w:p>
                    <w:p w14:paraId="4B854FB1" w14:textId="77777777" w:rsidR="00730B8F" w:rsidRDefault="00730B8F" w:rsidP="00996396"/>
                    <w:p w14:paraId="544F13BD" w14:textId="77777777" w:rsidR="00730B8F" w:rsidRDefault="00730B8F"/>
                    <w:p w14:paraId="121FD22B" w14:textId="78B51CB6" w:rsidR="00730B8F" w:rsidRDefault="00730B8F" w:rsidP="00996396">
                      <w:pPr>
                        <w:keepNext/>
                      </w:pPr>
                      <w:r w:rsidRPr="004948A3">
                        <w:rPr>
                          <w:noProof/>
                        </w:rPr>
                        <w:drawing>
                          <wp:inline distT="0" distB="0" distL="0" distR="0" wp14:anchorId="4961D620" wp14:editId="49605D3F">
                            <wp:extent cx="4792955" cy="7282542"/>
                            <wp:effectExtent l="0" t="0" r="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98092" cy="7290347"/>
                                    </a:xfrm>
                                    <a:prstGeom prst="rect">
                                      <a:avLst/>
                                    </a:prstGeom>
                                    <a:noFill/>
                                    <a:ln>
                                      <a:noFill/>
                                    </a:ln>
                                  </pic:spPr>
                                </pic:pic>
                              </a:graphicData>
                            </a:graphic>
                          </wp:inline>
                        </w:drawing>
                      </w:r>
                    </w:p>
                    <w:p w14:paraId="69CE6880" w14:textId="36B65D62" w:rsidR="00730B8F" w:rsidRPr="00414EB4" w:rsidRDefault="00730B8F" w:rsidP="00996396">
                      <w:pPr>
                        <w:pStyle w:val="Caption"/>
                        <w:rPr>
                          <w:b w:val="0"/>
                          <w:bCs w:val="0"/>
                        </w:rPr>
                      </w:pPr>
                      <w:bookmarkStart w:id="83" w:name="_Ref34052495"/>
                      <w:r>
                        <w:t xml:space="preserve">Figure </w:t>
                      </w:r>
                      <w:r>
                        <w:fldChar w:fldCharType="begin"/>
                      </w:r>
                      <w:r>
                        <w:instrText xml:space="preserve">  \* ARABIC </w:instrText>
                      </w:r>
                      <w:r>
                        <w:fldChar w:fldCharType="separate"/>
                      </w:r>
                      <w:r>
                        <w:rPr>
                          <w:noProof/>
                        </w:rPr>
                        <w:t>22</w:t>
                      </w:r>
                      <w:r>
                        <w:rPr>
                          <w:noProof/>
                        </w:rPr>
                        <w:fldChar w:fldCharType="end"/>
                      </w:r>
                      <w:bookmarkEnd w:id="83"/>
                      <w:r>
                        <w:rPr>
                          <w:noProof/>
                        </w:rPr>
                        <w:t xml:space="preserve">: </w:t>
                      </w:r>
                      <w:r>
                        <w:rPr>
                          <w:b w:val="0"/>
                          <w:bCs w:val="0"/>
                          <w:noProof/>
                        </w:rPr>
                        <w:t xml:space="preserve">Competitive binding of OSW-1, THEV, TTP and ITZ to OSBP and ORP4 using the 25-OHC competitive binding assay. Example of results from one independent experiment shown. </w:t>
                      </w:r>
                    </w:p>
                    <w:p w14:paraId="2E8BEF23" w14:textId="77777777" w:rsidR="00730B8F" w:rsidRDefault="00730B8F" w:rsidP="00996396"/>
                  </w:txbxContent>
                </v:textbox>
                <w10:anchorlock/>
              </v:shape>
            </w:pict>
          </mc:Fallback>
        </mc:AlternateContent>
      </w:r>
      <w:r w:rsidR="00CC059A">
        <w:lastRenderedPageBreak/>
        <w:t>that the OSW-1 molecule</w:t>
      </w:r>
      <w:r w:rsidR="004834F9">
        <w:t xml:space="preserve"> and THEV2 were the only two compounds to displace 25-OHC</w:t>
      </w:r>
      <w:r w:rsidR="00894230">
        <w:t xml:space="preserve"> binding to OSBP and ORP4</w:t>
      </w:r>
      <w:r w:rsidR="004834F9">
        <w:t>; TTP and ITZ shown no competitive binding to 25-OHC</w:t>
      </w:r>
      <w:r w:rsidR="00894230">
        <w:t xml:space="preserve"> (</w:t>
      </w:r>
      <w:r w:rsidR="00894230" w:rsidRPr="000849BF">
        <w:rPr>
          <w:b/>
          <w:bCs/>
        </w:rPr>
        <w:t>Figure 11</w:t>
      </w:r>
      <w:r w:rsidR="00894230">
        <w:t>)</w:t>
      </w:r>
      <w:r w:rsidR="004834F9">
        <w:t xml:space="preserve">. </w:t>
      </w:r>
      <w:r w:rsidR="00894230">
        <w:t xml:space="preserve">The </w:t>
      </w:r>
      <w:r w:rsidR="008448CB">
        <w:t>OSW-1</w:t>
      </w:r>
      <w:r w:rsidR="00BC1993">
        <w:t xml:space="preserve"> </w:t>
      </w:r>
      <w:r w:rsidR="00894230">
        <w:t xml:space="preserve">OSBP </w:t>
      </w:r>
      <w:r w:rsidR="00BC1993">
        <w:t>K</w:t>
      </w:r>
      <w:r w:rsidR="00BC1993" w:rsidRPr="000849BF">
        <w:rPr>
          <w:vertAlign w:val="subscript"/>
        </w:rPr>
        <w:t>i</w:t>
      </w:r>
      <w:r w:rsidR="008448CB">
        <w:t xml:space="preserve"> </w:t>
      </w:r>
      <w:r w:rsidR="00BC1993">
        <w:t xml:space="preserve">= </w:t>
      </w:r>
      <w:r w:rsidR="008448CB">
        <w:t>16</w:t>
      </w:r>
      <w:r w:rsidR="00BC1993">
        <w:t xml:space="preserve"> </w:t>
      </w:r>
      <w:r w:rsidR="00BC1993">
        <w:rPr>
          <w:rFonts w:cstheme="minorHAnsi"/>
        </w:rPr>
        <w:t xml:space="preserve">± 4 </w:t>
      </w:r>
      <w:r w:rsidR="008448CB">
        <w:t>nM</w:t>
      </w:r>
      <w:r w:rsidR="00894230">
        <w:t xml:space="preserve"> and ORP4  K</w:t>
      </w:r>
      <w:r w:rsidR="00894230" w:rsidRPr="000849BF">
        <w:rPr>
          <w:vertAlign w:val="subscript"/>
        </w:rPr>
        <w:t>i</w:t>
      </w:r>
      <w:r w:rsidR="00894230">
        <w:t xml:space="preserve"> = 22 </w:t>
      </w:r>
      <w:r w:rsidR="00894230">
        <w:rPr>
          <w:rFonts w:cstheme="minorHAnsi"/>
        </w:rPr>
        <w:t xml:space="preserve">± 15 </w:t>
      </w:r>
      <w:r w:rsidR="00894230">
        <w:t xml:space="preserve">nM.  </w:t>
      </w:r>
      <w:r w:rsidR="008448CB">
        <w:t>THEV2</w:t>
      </w:r>
      <w:r w:rsidR="00BC1993">
        <w:t xml:space="preserve"> </w:t>
      </w:r>
      <w:r w:rsidR="00894230">
        <w:t xml:space="preserve">OSBP </w:t>
      </w:r>
      <w:r w:rsidR="00BC1993">
        <w:t>K</w:t>
      </w:r>
      <w:r w:rsidR="00BC1993" w:rsidRPr="000849BF">
        <w:rPr>
          <w:vertAlign w:val="subscript"/>
        </w:rPr>
        <w:t>i</w:t>
      </w:r>
      <w:r w:rsidR="008448CB">
        <w:t xml:space="preserve"> </w:t>
      </w:r>
      <w:r w:rsidR="00BC1993">
        <w:t xml:space="preserve">= 71 </w:t>
      </w:r>
      <w:r w:rsidR="00BC1993">
        <w:rPr>
          <w:rFonts w:cstheme="minorHAnsi"/>
        </w:rPr>
        <w:t xml:space="preserve">± 6 </w:t>
      </w:r>
      <w:r w:rsidR="008448CB">
        <w:t>nM</w:t>
      </w:r>
      <w:r w:rsidR="00894230">
        <w:t xml:space="preserve"> </w:t>
      </w:r>
      <w:r w:rsidR="00CC059A">
        <w:t xml:space="preserve">and ORP4 </w:t>
      </w:r>
      <w:r w:rsidR="00BC1993">
        <w:t>K</w:t>
      </w:r>
      <w:r w:rsidR="00BC1993" w:rsidRPr="000849BF">
        <w:rPr>
          <w:vertAlign w:val="subscript"/>
        </w:rPr>
        <w:t>i</w:t>
      </w:r>
      <w:r w:rsidR="00BC1993">
        <w:t xml:space="preserve"> = 98 </w:t>
      </w:r>
      <w:r w:rsidR="00BC1993">
        <w:rPr>
          <w:rFonts w:cstheme="minorHAnsi"/>
        </w:rPr>
        <w:t xml:space="preserve">± 14 </w:t>
      </w:r>
      <w:r w:rsidR="00BC1993">
        <w:t>nM</w:t>
      </w:r>
      <w:r w:rsidR="00894230">
        <w:t xml:space="preserve">. </w:t>
      </w:r>
      <w:r w:rsidR="00CC059A">
        <w:t xml:space="preserve"> </w:t>
      </w:r>
      <w:r w:rsidR="00A9305F">
        <w:t xml:space="preserve">Furthermore, OSW-1 was the only </w:t>
      </w:r>
      <w:r w:rsidR="00894230">
        <w:t xml:space="preserve">compound </w:t>
      </w:r>
      <w:r w:rsidR="00A9305F">
        <w:t>c</w:t>
      </w:r>
      <w:r w:rsidR="00894230">
        <w:t xml:space="preserve">apable of reducing OSBP levels in cells </w:t>
      </w:r>
      <w:r w:rsidR="00E23F44">
        <w:t xml:space="preserve"> (</w:t>
      </w:r>
      <w:r w:rsidR="00894230">
        <w:t>d</w:t>
      </w:r>
      <w:r w:rsidR="00E23F44">
        <w:t>ata not shown).</w:t>
      </w:r>
      <w:r w:rsidR="00C62A07">
        <w:fldChar w:fldCharType="begin" w:fldLock="1"/>
      </w:r>
      <w:r w:rsidR="00C62A07">
        <w:instrText>ADDIN CSL_CITATION { "citationItems" : [ { "id" : "ITEM-1", "itemData" : { "DOI" : "10.1016/j.antiviral.2019.104548", "ISSN" : "18729096", "abstract" : "Oxysterol-binding Protein (OSBP) is a human lipid-transport protein required for the cellular replication of many types of viruses, including several human pathogens. The structurally-diverse small molecule compounds OSW-1, itraconazole (ITZ), T-00127-HEV2 (THEV) and TTP-8307 (TTP) inhibit viral replication through interaction with the OSBP protein. The OSW-1 compound reduces intracellular OSBP, and the reduction of OSBP protein levels persists multiple days after the OSW-1-compound treatment is stopped. The OSW-1-induced reduction of OSBP levels inhibited Enterovirus replication prophylactically in cells. In this report, the OSBP-interacting compounds ITZ, THEV, and TTP are shown not to reduce OSBP levels in cells, unlike the OSW-1-compound, and the OSW-1 compound is determined to be the only compound capable of providing prophylactic antiviral activity in cells. Furthermore, OSW-1 and THEV inhibit the binding of 25-hydroxycholesterol (25-OHC) to OSBP indicating that these compounds bind at the conserved sterol ligand binding site. The ITZ and TTP compounds do not inhibit 25-hydroxycholesterol binding to OSBP, and therefore ITZ and TTP interact with OSBP through other, unidentified binding sites. Co-administration of the THEV compound partially blocks the cellular activity of OSW-1, including the reduction of cellular OSBP protein levels; co-administration of the ITZ and TTP compounds have minimal effect on OSW-1 cellular activity further supporting different modes of interaction with these compounds to OSBP. OSW-1, ITZ, THEV, and TTP treatment alter OSBP cellular localization and levels, but in four distinct ways. Co-administration of OSW-1 and ITZ induced OSBP cellular localization patterns with features similar to the effects of ITZ and OSW-1 treatment alone. Based on these results, OSBP is capable of interacting with multiple structural classes of antiviral small molecule compounds at different binding sites, and the different compounds have distinct effects on OSBP cellular activity.",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"Le-McClain", "given" : "Anh T.", "non-dropping-particle" : "", "parse-names" : false, "suffix" : "" }, { "dropping-particle" : "", "family" : "Malinky", "given" : "Cori A.", "non-dropping-particle" : "", "parse-names" : false, "suffix" : "" }, { "dropping-particle" : "", "family" : "Mettenbrink", "given" : "Evan M.", "non-dropping-particle" : "", "parse-names" : false, "suffix" : "" }, { "dropping-particle" : "", "family" : "Nu\u00f1ez", "given" : "Juan I.",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W.G.", "non-dropping-particle" : "", "parse-names" : false, "suffix" : "" } ], "container-title" : "Antiviral Research", "id" : "ITEM-1", "issued" : { "date-parts" : [ [ "2019", "10", "1" ] ] }, "publisher" : "Elsevier B.V.", "title" : "Differing activities of oxysterol-binding protein (OSBP) targeting anti-viral compounds", "type" : "article-journal", "volume" : "170" }, "uris" : [ "http://www.mendeley.com/documents/?uuid=eaf8bcf4-c68b-45ab-9314-257d6f3804cc" ] } ], "mendeley" : { "formattedCitation" : "&lt;sup&gt;45&lt;/sup&gt;", "plainTextFormattedCitation" : "45", "previouslyFormattedCitation" : "&lt;sup&gt;45&lt;/sup&gt;" }, "properties" : { "noteIndex" : 0 }, "schema" : "https://github.com/citation-style-language/schema/raw/master/csl-citation.json" }</w:instrText>
      </w:r>
      <w:r w:rsidR="00C62A07">
        <w:fldChar w:fldCharType="separate"/>
      </w:r>
      <w:r w:rsidR="00C62A07" w:rsidRPr="00C62A07">
        <w:rPr>
          <w:noProof/>
          <w:vertAlign w:val="superscript"/>
        </w:rPr>
        <w:t>45</w:t>
      </w:r>
      <w:r w:rsidR="00C62A07">
        <w:fldChar w:fldCharType="end"/>
      </w:r>
    </w:p>
    <w:p w14:paraId="401B1624" w14:textId="21303874" w:rsidR="00005FAB" w:rsidRDefault="00005FAB" w:rsidP="00A66B3A">
      <w:pPr>
        <w:ind w:firstLine="720"/>
        <w:jc w:val="both"/>
      </w:pPr>
      <w:r>
        <w:t xml:space="preserve"> THEV</w:t>
      </w:r>
      <w:r w:rsidR="00894230">
        <w:t>2</w:t>
      </w:r>
      <w:r>
        <w:t xml:space="preserve"> </w:t>
      </w:r>
      <w:r w:rsidR="00894230">
        <w:t xml:space="preserve">binds to OSBP and ORP4 with an affinity similar to OSW-1, but unlike, OSW-1, THEV2 shows no cytotoxicity at concentrations up to 10 </w:t>
      </w:r>
      <w:r w:rsidR="00894230" w:rsidRPr="000849BF">
        <w:rPr>
          <w:rFonts w:ascii="Symbol" w:hAnsi="Symbol"/>
        </w:rPr>
        <w:t></w:t>
      </w:r>
      <w:r w:rsidR="00894230">
        <w:t>M. (data not shown).</w:t>
      </w:r>
      <w:r w:rsidR="00C62A07">
        <w:fldChar w:fldCharType="begin" w:fldLock="1"/>
      </w:r>
      <w:r w:rsidR="00A145E9">
        <w:instrText>ADDIN CSL_CITATION { "citationItems" : [ { "id" : "ITEM-1", "itemData" : { "DOI" : "10.1016/j.antiviral.2019.104548", "ISSN" : "18729096", "abstract" : "Oxysterol-binding Protein (OSBP) is a human lipid-transport protein required for the cellular replication of many types of viruses, including several human pathogens. The structurally-diverse small molecule compounds OSW-1, itraconazole (ITZ), T-00127-HEV2 (THEV) and TTP-8307 (TTP) inhibit viral replication through interaction with the OSBP protein. The OSW-1 compound reduces intracellular OSBP, and the reduction of OSBP protein levels persists multiple days after the OSW-1-compound treatment is stopped. The OSW-1-induced reduction of OSBP levels inhibited Enterovirus replication prophylactically in cells. In this report, the OSBP-interacting compounds ITZ, THEV, and TTP are shown not to reduce OSBP levels in cells, unlike the OSW-1-compound, and the OSW-1 compound is determined to be the only compound capable of providing prophylactic antiviral activity in cells. Furthermore, OSW-1 and THEV inhibit the binding of 25-hydroxycholesterol (25-OHC) to OSBP indicating that these compounds bind at the conserved sterol ligand binding site. The ITZ and TTP compounds do not inhibit 25-hydroxycholesterol binding to OSBP, and therefore ITZ and TTP interact with OSBP through other, unidentified binding sites. Co-administration of the THEV compound partially blocks the cellular activity of OSW-1, including the reduction of cellular OSBP protein levels; co-administration of the ITZ and TTP compounds have minimal effect on OSW-1 cellular activity further supporting different modes of interaction with these compounds to OSBP. OSW-1, ITZ, THEV, and TTP treatment alter OSBP cellular localization and levels, but in four distinct ways. Co-administration of OSW-1 and ITZ induced OSBP cellular localization patterns with features similar to the effects of ITZ and OSW-1 treatment alone. Based on these results, OSBP is capable of interacting with multiple structural classes of antiviral small molecule compounds at different binding sites, and the different compounds have distinct effects on OSBP cellular activity.",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"Le-McClain", "given" : "Anh T.", "non-dropping-particle" : "", "parse-names" : false, "suffix" : "" }, { "dropping-particle" : "", "family" : "Malinky", "given" : "Cori A.", "non-dropping-particle" : "", "parse-names" : false, "suffix" : "" }, { "dropping-particle" : "", "family" : "Mettenbrink", "given" : "Evan M.", "non-dropping-particle" : "", "parse-names" : false, "suffix" : "" }, { "dropping-particle" : "", "family" : "Nu\u00f1ez", "given" : "Juan I.",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W.G.", "non-dropping-particle" : "", "parse-names" : false, "suffix" : "" } ], "container-title" : "Antiviral Research", "id" : "ITEM-1", "issued" : { "date-parts" : [ [ "2019", "10", "1" ] ] }, "publisher" : "Elsevier B.V.", "title" : "Differing activities of oxysterol-binding protein (OSBP) targeting anti-viral compounds", "type" : "article-journal", "volume" : "170" }, "uris" : [ "http://www.mendeley.com/documents/?uuid=eaf8bcf4-c68b-45ab-9314-257d6f3804cc" ] } ], "mendeley" : { "formattedCitation" : "&lt;sup&gt;45&lt;/sup&gt;", "plainTextFormattedCitation" : "45", "previouslyFormattedCitation" : "&lt;sup&gt;45&lt;/sup&gt;" }, "properties" : { "noteIndex" : 0 }, "schema" : "https://github.com/citation-style-language/schema/raw/master/csl-citation.json" }</w:instrText>
      </w:r>
      <w:r w:rsidR="00C62A07">
        <w:fldChar w:fldCharType="separate"/>
      </w:r>
      <w:r w:rsidR="00C62A07" w:rsidRPr="00C62A07">
        <w:rPr>
          <w:noProof/>
          <w:vertAlign w:val="superscript"/>
        </w:rPr>
        <w:t>45</w:t>
      </w:r>
      <w:r w:rsidR="00C62A07">
        <w:fldChar w:fldCharType="end"/>
      </w:r>
      <w:r w:rsidR="00894230">
        <w:t xml:space="preserve"> </w:t>
      </w:r>
      <w:r w:rsidR="00B67311">
        <w:t>C</w:t>
      </w:r>
      <w:r w:rsidR="00846E46">
        <w:t xml:space="preserve">o-incubation </w:t>
      </w:r>
      <w:r w:rsidR="00894230">
        <w:t>of 10 mM of THEV2 with OSW-1 in HEK-293 cells induces a slight, non-significant decrease in OSW-1 cyto</w:t>
      </w:r>
      <w:r w:rsidR="00373C60">
        <w:t>to</w:t>
      </w:r>
      <w:r w:rsidR="00894230">
        <w:t>xicity with OSW- (</w:t>
      </w:r>
      <w:r w:rsidR="00894230" w:rsidRPr="002A3B57">
        <w:rPr>
          <w:b/>
          <w:bCs/>
        </w:rPr>
        <w:fldChar w:fldCharType="begin"/>
      </w:r>
      <w:r w:rsidR="00894230" w:rsidRPr="000849BF">
        <w:rPr>
          <w:b/>
          <w:bCs/>
        </w:rPr>
        <w:instrText xml:space="preserve"> REF _Ref34052531 \h  \* MERGEFORMAT </w:instrText>
      </w:r>
      <w:r w:rsidR="00894230" w:rsidRPr="002A3B57">
        <w:rPr>
          <w:b/>
          <w:bCs/>
        </w:rPr>
      </w:r>
      <w:r w:rsidR="00894230" w:rsidRPr="002A3B57">
        <w:rPr>
          <w:b/>
          <w:bCs/>
        </w:rPr>
        <w:fldChar w:fldCharType="separate"/>
      </w:r>
      <w:r w:rsidR="00894230" w:rsidRPr="000849BF">
        <w:rPr>
          <w:b/>
          <w:bCs/>
        </w:rPr>
        <w:t xml:space="preserve">Figure </w:t>
      </w:r>
      <w:r w:rsidR="00894230" w:rsidRPr="000849BF">
        <w:rPr>
          <w:b/>
          <w:bCs/>
          <w:noProof/>
        </w:rPr>
        <w:t>12</w:t>
      </w:r>
      <w:r w:rsidR="00894230" w:rsidRPr="002A3B57">
        <w:rPr>
          <w:b/>
          <w:bCs/>
        </w:rPr>
        <w:fldChar w:fldCharType="end"/>
      </w:r>
      <w:r w:rsidR="00894230">
        <w:rPr>
          <w:b/>
          <w:bCs/>
        </w:rPr>
        <w:t xml:space="preserve">). </w:t>
      </w:r>
      <w:r w:rsidR="00894230">
        <w:t xml:space="preserve">Co-incubation of OSW-1 with TTP or ITZ had no effect on the OSW-1 cytotoxicity curve </w:t>
      </w:r>
      <w:r w:rsidR="00A51461">
        <w:rPr>
          <w:noProof/>
        </w:rPr>
        <mc:AlternateContent>
          <mc:Choice Requires="wps">
            <w:drawing>
              <wp:anchor distT="45720" distB="45720" distL="114300" distR="114300" simplePos="0" relativeHeight="251654144" behindDoc="0" locked="0" layoutInCell="1" allowOverlap="1" wp14:anchorId="7D5B45CC" wp14:editId="21F7EBE0">
                <wp:simplePos x="0" y="0"/>
                <wp:positionH relativeFrom="margin">
                  <wp:align>left</wp:align>
                </wp:positionH>
                <wp:positionV relativeFrom="paragraph">
                  <wp:posOffset>-33</wp:posOffset>
                </wp:positionV>
                <wp:extent cx="5507990" cy="3613785"/>
                <wp:effectExtent l="0" t="0" r="16510" b="2476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990" cy="3613785"/>
                        </a:xfrm>
                        <a:prstGeom prst="rect">
                          <a:avLst/>
                        </a:prstGeom>
                        <a:solidFill>
                          <a:srgbClr val="FFFFFF"/>
                        </a:solidFill>
                        <a:ln w="9525">
                          <a:solidFill>
                            <a:srgbClr val="000000"/>
                          </a:solidFill>
                          <a:miter lim="800000"/>
                          <a:headEnd/>
                          <a:tailEnd/>
                        </a:ln>
                      </wps:spPr>
                      <wps:txbx>
                        <w:txbxContent>
                          <w:p w14:paraId="557EE9BE" w14:textId="77777777" w:rsidR="00730B8F" w:rsidRDefault="00730B8F" w:rsidP="00CD31FF">
                            <w:pPr>
                              <w:keepNext/>
                            </w:pPr>
                            <w:r>
                              <w:object w:dxaOrig="7183" w:dyaOrig="4653" w14:anchorId="0F705EC4">
                                <v:shape id="_x0000_i1047" type="#_x0000_t75" style="width:324pt;height:212.75pt">
                                  <v:imagedata r:id="rId77" o:title=""/>
                                </v:shape>
                                <o:OLEObject Type="Embed" ProgID="Prism8.Document" ShapeID="_x0000_i1047" DrawAspect="Content" ObjectID="_1650481044" r:id="rId78"/>
                              </w:object>
                            </w:r>
                          </w:p>
                          <w:p w14:paraId="44C1AE10" w14:textId="71C4DDFB" w:rsidR="00730B8F" w:rsidRDefault="00730B8F" w:rsidP="000849BF">
                            <w:pPr>
                              <w:pStyle w:val="Caption"/>
                            </w:pPr>
                            <w:bookmarkStart w:id="84" w:name="_Toc39868225"/>
                            <w:r w:rsidRPr="000849BF">
                              <w:t xml:space="preserve">Figure </w:t>
                            </w:r>
                            <w:r w:rsidR="009425BE">
                              <w:fldChar w:fldCharType="begin"/>
                            </w:r>
                            <w:r w:rsidR="009425BE">
                              <w:instrText xml:space="preserve"> SEQ Figure \* ARABIC </w:instrText>
                            </w:r>
                            <w:r w:rsidR="009425BE">
                              <w:fldChar w:fldCharType="separate"/>
                            </w:r>
                            <w:r w:rsidRPr="000849BF">
                              <w:rPr>
                                <w:noProof/>
                              </w:rPr>
                              <w:t>12</w:t>
                            </w:r>
                            <w:r w:rsidR="009425BE">
                              <w:rPr>
                                <w:noProof/>
                              </w:rPr>
                              <w:fldChar w:fldCharType="end"/>
                            </w:r>
                            <w:r>
                              <w:rPr>
                                <w:noProof/>
                              </w:rPr>
                              <w:t xml:space="preserve">: </w:t>
                            </w:r>
                            <w:r>
                              <w:rPr>
                                <w:b w:val="0"/>
                                <w:bCs w:val="0"/>
                              </w:rPr>
                              <w:t xml:space="preserve">Growth inhibition analysis of co-administration of OSW-1 with either 10 </w:t>
                            </w:r>
                            <w:r>
                              <w:rPr>
                                <w:rFonts w:cstheme="minorHAnsi"/>
                                <w:b w:val="0"/>
                                <w:bCs w:val="0"/>
                              </w:rPr>
                              <w:t>µ</w:t>
                            </w:r>
                            <w:r>
                              <w:rPr>
                                <w:b w:val="0"/>
                                <w:bCs w:val="0"/>
                              </w:rPr>
                              <w:t>M of ITZ, TTP, or THEV2 following 48 h.</w:t>
                            </w:r>
                            <w:bookmarkEnd w:id="84"/>
                            <w:r>
                              <w:rPr>
                                <w:b w:val="0"/>
                                <w:bCs w:val="0"/>
                              </w:rPr>
                              <w:t xml:space="preserve"> </w:t>
                            </w:r>
                          </w:p>
                          <w:p w14:paraId="553F6505" w14:textId="77777777" w:rsidR="00730B8F" w:rsidRDefault="00730B8F"/>
                          <w:p w14:paraId="1A4540EF" w14:textId="7C134183" w:rsidR="00730B8F" w:rsidRDefault="00730B8F" w:rsidP="00CD31FF">
                            <w:pPr>
                              <w:keepNext/>
                            </w:pPr>
                            <w:r>
                              <w:object w:dxaOrig="7183" w:dyaOrig="4653" w14:anchorId="0F705EC4">
                                <v:shape id="_x0000_i1048" type="#_x0000_t75" style="width:324pt;height:212.75pt">
                                  <v:imagedata r:id="rId77" o:title=""/>
                                </v:shape>
                                <o:OLEObject Type="Embed" ProgID="Prism8.Document" ShapeID="_x0000_i1048" DrawAspect="Content" ObjectID="_1650481045" r:id="rId79"/>
                              </w:object>
                            </w:r>
                          </w:p>
                          <w:p w14:paraId="243866AB" w14:textId="1300A1A0" w:rsidR="00730B8F" w:rsidRDefault="00730B8F" w:rsidP="000849BF">
                            <w:pPr>
                              <w:pStyle w:val="Caption"/>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B45CC" id="_x0000_s1037" type="#_x0000_t202" style="position:absolute;left:0;text-align:left;margin-left:0;margin-top:0;width:433.7pt;height:284.55pt;z-index:251654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">
                <v:textbox>
                  <w:txbxContent>
                    <w:p w14:paraId="557EE9BE" w14:textId="77777777" w:rsidR="00730B8F" w:rsidRDefault="00730B8F" w:rsidP="00CD31FF">
                      <w:pPr>
                        <w:keepNext/>
                      </w:pPr>
                      <w:r>
                        <w:object w:dxaOrig="7183" w:dyaOrig="4653" w14:anchorId="0F705EC4">
                          <v:shape id="_x0000_i1047" type="#_x0000_t75" style="width:324pt;height:212.75pt">
                            <v:imagedata r:id="rId77" o:title=""/>
                          </v:shape>
                          <o:OLEObject Type="Embed" ProgID="Prism8.Document" ShapeID="_x0000_i1047" DrawAspect="Content" ObjectID="_1650481044" r:id="rId80"/>
                        </w:object>
                      </w:r>
                    </w:p>
                    <w:p w14:paraId="44C1AE10" w14:textId="71C4DDFB" w:rsidR="00730B8F" w:rsidRDefault="00730B8F" w:rsidP="000849BF">
                      <w:pPr>
                        <w:pStyle w:val="Caption"/>
                      </w:pPr>
                      <w:bookmarkStart w:id="85" w:name="_Toc39868225"/>
                      <w:r w:rsidRPr="000849BF">
                        <w:t xml:space="preserve">Figure </w:t>
                      </w:r>
                      <w:r w:rsidR="009425BE">
                        <w:fldChar w:fldCharType="begin"/>
                      </w:r>
                      <w:r w:rsidR="009425BE">
                        <w:instrText xml:space="preserve"> SEQ Figure \* ARABIC </w:instrText>
                      </w:r>
                      <w:r w:rsidR="009425BE">
                        <w:fldChar w:fldCharType="separate"/>
                      </w:r>
                      <w:r w:rsidRPr="000849BF">
                        <w:rPr>
                          <w:noProof/>
                        </w:rPr>
                        <w:t>12</w:t>
                      </w:r>
                      <w:r w:rsidR="009425BE">
                        <w:rPr>
                          <w:noProof/>
                        </w:rPr>
                        <w:fldChar w:fldCharType="end"/>
                      </w:r>
                      <w:r>
                        <w:rPr>
                          <w:noProof/>
                        </w:rPr>
                        <w:t xml:space="preserve">: </w:t>
                      </w:r>
                      <w:r>
                        <w:rPr>
                          <w:b w:val="0"/>
                          <w:bCs w:val="0"/>
                        </w:rPr>
                        <w:t xml:space="preserve">Growth inhibition analysis of co-administration of OSW-1 with either 10 </w:t>
                      </w:r>
                      <w:r>
                        <w:rPr>
                          <w:rFonts w:cstheme="minorHAnsi"/>
                          <w:b w:val="0"/>
                          <w:bCs w:val="0"/>
                        </w:rPr>
                        <w:t>µ</w:t>
                      </w:r>
                      <w:r>
                        <w:rPr>
                          <w:b w:val="0"/>
                          <w:bCs w:val="0"/>
                        </w:rPr>
                        <w:t>M of ITZ, TTP, or THEV2 following 48 h.</w:t>
                      </w:r>
                      <w:bookmarkEnd w:id="85"/>
                      <w:r>
                        <w:rPr>
                          <w:b w:val="0"/>
                          <w:bCs w:val="0"/>
                        </w:rPr>
                        <w:t xml:space="preserve"> </w:t>
                      </w:r>
                    </w:p>
                    <w:p w14:paraId="553F6505" w14:textId="77777777" w:rsidR="00730B8F" w:rsidRDefault="00730B8F"/>
                    <w:p w14:paraId="1A4540EF" w14:textId="7C134183" w:rsidR="00730B8F" w:rsidRDefault="00730B8F" w:rsidP="00CD31FF">
                      <w:pPr>
                        <w:keepNext/>
                      </w:pPr>
                      <w:r>
                        <w:object w:dxaOrig="7183" w:dyaOrig="4653" w14:anchorId="0F705EC4">
                          <v:shape id="_x0000_i1048" type="#_x0000_t75" style="width:324pt;height:212.75pt">
                            <v:imagedata r:id="rId77" o:title=""/>
                          </v:shape>
                          <o:OLEObject Type="Embed" ProgID="Prism8.Document" ShapeID="_x0000_i1048" DrawAspect="Content" ObjectID="_1650481045" r:id="rId81"/>
                        </w:object>
                      </w:r>
                    </w:p>
                    <w:p w14:paraId="243866AB" w14:textId="1300A1A0" w:rsidR="00730B8F" w:rsidRDefault="00730B8F" w:rsidP="000849BF">
                      <w:pPr>
                        <w:pStyle w:val="Caption"/>
                      </w:pPr>
                    </w:p>
                  </w:txbxContent>
                </v:textbox>
                <w10:wrap type="square" anchorx="margin"/>
              </v:shape>
            </w:pict>
          </mc:Fallback>
        </mc:AlternateContent>
      </w:r>
      <w:r w:rsidR="00894230">
        <w:t>(</w:t>
      </w:r>
      <w:r w:rsidR="00894230" w:rsidRPr="000849BF">
        <w:rPr>
          <w:b/>
          <w:bCs/>
        </w:rPr>
        <w:t>Figure 12</w:t>
      </w:r>
      <w:r w:rsidR="00894230">
        <w:t>). The apparent shift of the OSW-1 growth curve upon co-incubation with THEV2 supports the compound</w:t>
      </w:r>
      <w:r w:rsidR="00373C60">
        <w:t>s</w:t>
      </w:r>
      <w:r w:rsidR="00894230">
        <w:t xml:space="preserve"> bind in overlapping binding sites in OSBP and ORP4, as shown in </w:t>
      </w:r>
      <w:r w:rsidR="00894230" w:rsidRPr="000849BF">
        <w:rPr>
          <w:b/>
          <w:bCs/>
        </w:rPr>
        <w:t>Figure 11</w:t>
      </w:r>
      <w:r w:rsidR="00894230">
        <w:t xml:space="preserve">. </w:t>
      </w:r>
    </w:p>
    <w:p w14:paraId="49C304AB" w14:textId="423257B6" w:rsidR="00C62A07" w:rsidRDefault="00C62A07" w:rsidP="00A66B3A">
      <w:pPr>
        <w:ind w:firstLine="720"/>
        <w:jc w:val="both"/>
      </w:pPr>
    </w:p>
    <w:p w14:paraId="1AE1244B" w14:textId="5133CF3C" w:rsidR="00F6083E" w:rsidRDefault="00F6083E" w:rsidP="00F01888">
      <w:pPr>
        <w:pStyle w:val="Heading3"/>
      </w:pPr>
      <w:bookmarkStart w:id="86" w:name="_Toc39868159"/>
      <w:r>
        <w:t>2.</w:t>
      </w:r>
      <w:r w:rsidR="005668C1">
        <w:t>5.5</w:t>
      </w:r>
      <w:r>
        <w:t xml:space="preserve"> OSW-1 selectively </w:t>
      </w:r>
      <w:r w:rsidR="00201ABA">
        <w:t>exhibits prophylactic activity</w:t>
      </w:r>
      <w:bookmarkEnd w:id="86"/>
    </w:p>
    <w:p w14:paraId="693B86AD" w14:textId="51F27F73" w:rsidR="00A66B3A" w:rsidRDefault="00A51461" w:rsidP="00A66B3A">
      <w:pPr>
        <w:ind w:firstLine="720"/>
        <w:jc w:val="both"/>
      </w:pPr>
      <w:r>
        <w:rPr>
          <w:noProof/>
        </w:rPr>
        <mc:AlternateContent>
          <mc:Choice Requires="wps">
            <w:drawing>
              <wp:anchor distT="45720" distB="45720" distL="114300" distR="114300" simplePos="0" relativeHeight="251648000" behindDoc="0" locked="0" layoutInCell="1" allowOverlap="1" wp14:anchorId="7C5EB6BA" wp14:editId="56909C95">
                <wp:simplePos x="0" y="0"/>
                <wp:positionH relativeFrom="margin">
                  <wp:align>right</wp:align>
                </wp:positionH>
                <wp:positionV relativeFrom="paragraph">
                  <wp:posOffset>1703705</wp:posOffset>
                </wp:positionV>
                <wp:extent cx="5366385" cy="5788025"/>
                <wp:effectExtent l="0" t="0" r="24765" b="222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6385" cy="5788025"/>
                        </a:xfrm>
                        <a:prstGeom prst="rect">
                          <a:avLst/>
                        </a:prstGeom>
                        <a:solidFill>
                          <a:srgbClr val="FFFFFF"/>
                        </a:solidFill>
                        <a:ln w="9525">
                          <a:solidFill>
                            <a:srgbClr val="000000"/>
                          </a:solidFill>
                          <a:miter lim="800000"/>
                          <a:headEnd/>
                          <a:tailEnd/>
                        </a:ln>
                      </wps:spPr>
                      <wps:txbx>
                        <w:txbxContent>
                          <w:p w14:paraId="323EEA40" w14:textId="77777777" w:rsidR="00730B8F" w:rsidRDefault="00730B8F">
                            <w:pPr>
                              <w:keepNext/>
                            </w:pPr>
                            <w:r w:rsidRPr="005C378D">
                              <w:rPr>
                                <w:noProof/>
                              </w:rPr>
                              <w:drawing>
                                <wp:inline distT="0" distB="0" distL="0" distR="0" wp14:anchorId="6D6F044A" wp14:editId="6FC10D10">
                                  <wp:extent cx="5090246" cy="4568631"/>
                                  <wp:effectExtent l="0" t="0" r="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090246" cy="4568631"/>
                                          </a:xfrm>
                                          <a:prstGeom prst="rect">
                                            <a:avLst/>
                                          </a:prstGeom>
                                          <a:noFill/>
                                          <a:ln>
                                            <a:noFill/>
                                          </a:ln>
                                        </pic:spPr>
                                      </pic:pic>
                                    </a:graphicData>
                                  </a:graphic>
                                </wp:inline>
                              </w:drawing>
                            </w:r>
                          </w:p>
                          <w:p w14:paraId="2D764C35" w14:textId="5F856BC7" w:rsidR="00730B8F" w:rsidRPr="00BB2A57" w:rsidRDefault="00730B8F" w:rsidP="005C378D">
                            <w:pPr>
                              <w:pStyle w:val="Caption"/>
                              <w:rPr>
                                <w:b w:val="0"/>
                                <w:bCs w:val="0"/>
                              </w:rPr>
                            </w:pPr>
                            <w:bookmarkStart w:id="87" w:name="_Ref38441312"/>
                            <w:bookmarkStart w:id="88" w:name="_Toc39868226"/>
                            <w:r>
                              <w:t xml:space="preserve">Figure </w:t>
                            </w:r>
                            <w:r w:rsidR="009425BE">
                              <w:fldChar w:fldCharType="begin"/>
                            </w:r>
                            <w:r w:rsidR="009425BE">
                              <w:instrText xml:space="preserve"> SEQ Figure \* ARABIC </w:instrText>
                            </w:r>
                            <w:r w:rsidR="009425BE">
                              <w:fldChar w:fldCharType="separate"/>
                            </w:r>
                            <w:r>
                              <w:rPr>
                                <w:noProof/>
                              </w:rPr>
                              <w:t>13</w:t>
                            </w:r>
                            <w:r w:rsidR="009425BE">
                              <w:rPr>
                                <w:noProof/>
                              </w:rPr>
                              <w:fldChar w:fldCharType="end"/>
                            </w:r>
                            <w:bookmarkEnd w:id="87"/>
                            <w:r>
                              <w:t xml:space="preserve">: </w:t>
                            </w:r>
                            <w:r w:rsidRPr="000849BF">
                              <w:rPr>
                                <w:b w:val="0"/>
                                <w:bCs w:val="0"/>
                                <w:noProof/>
                              </w:rPr>
                              <w:t>A.</w:t>
                            </w:r>
                            <w:r>
                              <w:rPr>
                                <w:noProof/>
                              </w:rPr>
                              <w:t xml:space="preserve"> </w:t>
                            </w:r>
                            <w:r>
                              <w:rPr>
                                <w:b w:val="0"/>
                                <w:bCs w:val="0"/>
                                <w:noProof/>
                              </w:rPr>
                              <w:t xml:space="preserve">Antiviral activity of TTP (10 </w:t>
                            </w:r>
                            <w:r>
                              <w:rPr>
                                <w:rFonts w:cstheme="minorHAnsi"/>
                                <w:b w:val="0"/>
                                <w:bCs w:val="0"/>
                                <w:noProof/>
                              </w:rPr>
                              <w:t>µM)</w:t>
                            </w:r>
                            <w:r>
                              <w:rPr>
                                <w:b w:val="0"/>
                                <w:bCs w:val="0"/>
                                <w:noProof/>
                              </w:rPr>
                              <w:t xml:space="preserve">, ITZ (10 </w:t>
                            </w:r>
                            <w:r>
                              <w:rPr>
                                <w:rFonts w:cstheme="minorHAnsi"/>
                                <w:b w:val="0"/>
                                <w:bCs w:val="0"/>
                                <w:noProof/>
                              </w:rPr>
                              <w:t>µM)</w:t>
                            </w:r>
                            <w:r>
                              <w:rPr>
                                <w:b w:val="0"/>
                                <w:bCs w:val="0"/>
                                <w:noProof/>
                              </w:rPr>
                              <w:t xml:space="preserve">, THEV2 (10 </w:t>
                            </w:r>
                            <w:r>
                              <w:rPr>
                                <w:rFonts w:cstheme="minorHAnsi"/>
                                <w:b w:val="0"/>
                                <w:bCs w:val="0"/>
                                <w:noProof/>
                              </w:rPr>
                              <w:t>µM)</w:t>
                            </w:r>
                            <w:r>
                              <w:rPr>
                                <w:b w:val="0"/>
                                <w:bCs w:val="0"/>
                                <w:noProof/>
                              </w:rPr>
                              <w:t xml:space="preserve">, or OSW-1 (10 nM). Cells were inoculated with virus at an MOI of 1 and treated with compound for 10 h. B. Profilactic activity of each compound. Compounds were administered for 6 h, washed out, 24 h recovery, then infected with virus at MOI of 1 for 30 min infection with 10 h recovery. </w:t>
                            </w:r>
                            <w:r w:rsidR="003152B3">
                              <w:rPr>
                                <w:b w:val="0"/>
                                <w:bCs w:val="0"/>
                                <w:noProof/>
                              </w:rPr>
                              <w:t>Data acquired by Dr. Blewit.</w:t>
                            </w:r>
                            <w:bookmarkEnd w:id="88"/>
                            <w:r w:rsidR="003152B3">
                              <w:rPr>
                                <w:b w:val="0"/>
                                <w:bCs w:val="0"/>
                                <w:noProof/>
                              </w:rPr>
                              <w:t xml:space="preserve"> </w:t>
                            </w:r>
                          </w:p>
                          <w:p w14:paraId="2E5655DC" w14:textId="77777777" w:rsidR="00730B8F" w:rsidRDefault="00730B8F"/>
                          <w:p w14:paraId="4128B323" w14:textId="77777777" w:rsidR="00730B8F" w:rsidRDefault="00730B8F"/>
                          <w:p w14:paraId="08A699C6" w14:textId="516D13DD" w:rsidR="00730B8F" w:rsidRDefault="00730B8F" w:rsidP="005C378D">
                            <w:pPr>
                              <w:keepNext/>
                            </w:pPr>
                            <w:r w:rsidRPr="005C378D">
                              <w:rPr>
                                <w:noProof/>
                              </w:rPr>
                              <w:drawing>
                                <wp:inline distT="0" distB="0" distL="0" distR="0" wp14:anchorId="6D6F044A" wp14:editId="6FC10D10">
                                  <wp:extent cx="5090246" cy="4568631"/>
                                  <wp:effectExtent l="0" t="0" r="0"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090246" cy="4568631"/>
                                          </a:xfrm>
                                          <a:prstGeom prst="rect">
                                            <a:avLst/>
                                          </a:prstGeom>
                                          <a:noFill/>
                                          <a:ln>
                                            <a:noFill/>
                                          </a:ln>
                                        </pic:spPr>
                                      </pic:pic>
                                    </a:graphicData>
                                  </a:graphic>
                                </wp:inline>
                              </w:drawing>
                            </w:r>
                          </w:p>
                          <w:p w14:paraId="7A65EEC8" w14:textId="6D0C4B1A" w:rsidR="00730B8F" w:rsidRPr="00BB2A57" w:rsidRDefault="00730B8F" w:rsidP="005C378D">
                            <w:pPr>
                              <w:pStyle w:val="Caption"/>
                              <w:rPr>
                                <w:b w:val="0"/>
                                <w:bCs w:val="0"/>
                              </w:rPr>
                            </w:pPr>
                            <w:bookmarkStart w:id="89" w:name="_Ref33174490"/>
                            <w:r>
                              <w:t xml:space="preserve">Figure </w:t>
                            </w:r>
                            <w:r>
                              <w:fldChar w:fldCharType="begin"/>
                            </w:r>
                            <w:r>
                              <w:instrText xml:space="preserve">  \* ARABIC </w:instrText>
                            </w:r>
                            <w:r>
                              <w:fldChar w:fldCharType="separate"/>
                            </w:r>
                            <w:r>
                              <w:rPr>
                                <w:noProof/>
                              </w:rPr>
                              <w:t>15</w:t>
                            </w:r>
                            <w:r>
                              <w:rPr>
                                <w:noProof/>
                              </w:rPr>
                              <w:fldChar w:fldCharType="end"/>
                            </w:r>
                            <w:bookmarkEnd w:id="89"/>
                            <w:r>
                              <w:rPr>
                                <w:noProof/>
                              </w:rPr>
                              <w:t xml:space="preserve">: </w:t>
                            </w:r>
                            <w:r w:rsidRPr="000849BF">
                              <w:rPr>
                                <w:b w:val="0"/>
                                <w:bCs w:val="0"/>
                                <w:noProof/>
                              </w:rPr>
                              <w:t>A.</w:t>
                            </w:r>
                            <w:r>
                              <w:rPr>
                                <w:noProof/>
                              </w:rPr>
                              <w:t xml:space="preserve"> </w:t>
                            </w:r>
                            <w:r>
                              <w:rPr>
                                <w:b w:val="0"/>
                                <w:bCs w:val="0"/>
                                <w:noProof/>
                              </w:rPr>
                              <w:t xml:space="preserve">Antiviral activity of TTP (10 </w:t>
                            </w:r>
                            <w:r>
                              <w:rPr>
                                <w:rFonts w:cstheme="minorHAnsi"/>
                                <w:b w:val="0"/>
                                <w:bCs w:val="0"/>
                                <w:noProof/>
                              </w:rPr>
                              <w:t>µM)</w:t>
                            </w:r>
                            <w:r>
                              <w:rPr>
                                <w:b w:val="0"/>
                                <w:bCs w:val="0"/>
                                <w:noProof/>
                              </w:rPr>
                              <w:t xml:space="preserve">, ITZ (10 </w:t>
                            </w:r>
                            <w:r>
                              <w:rPr>
                                <w:rFonts w:cstheme="minorHAnsi"/>
                                <w:b w:val="0"/>
                                <w:bCs w:val="0"/>
                                <w:noProof/>
                              </w:rPr>
                              <w:t>µM)</w:t>
                            </w:r>
                            <w:r>
                              <w:rPr>
                                <w:b w:val="0"/>
                                <w:bCs w:val="0"/>
                                <w:noProof/>
                              </w:rPr>
                              <w:t xml:space="preserve">, THEV2 (10 </w:t>
                            </w:r>
                            <w:r>
                              <w:rPr>
                                <w:rFonts w:cstheme="minorHAnsi"/>
                                <w:b w:val="0"/>
                                <w:bCs w:val="0"/>
                                <w:noProof/>
                              </w:rPr>
                              <w:t>µM)</w:t>
                            </w:r>
                            <w:r>
                              <w:rPr>
                                <w:b w:val="0"/>
                                <w:bCs w:val="0"/>
                                <w:noProof/>
                              </w:rPr>
                              <w:t xml:space="preserve">, or OSW-1 (10 nM). Cells were inoculated with virus at an MOI of 1 and treated with compound for 10 h. B. Profilactic activity of each compound. Compounds were administered for 6 h, washed out, 24 h recovery, then infected with virus at MOI of 1 for 30 min infection with 10 h recovery. </w:t>
                            </w:r>
                          </w:p>
                          <w:p w14:paraId="3132166C" w14:textId="24952484"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EB6BA" id="_x0000_s1038" type="#_x0000_t202" style="position:absolute;left:0;text-align:left;margin-left:371.35pt;margin-top:134.15pt;width:422.55pt;height:455.75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">
                <v:textbox>
                  <w:txbxContent>
                    <w:p w14:paraId="323EEA40" w14:textId="77777777" w:rsidR="00730B8F" w:rsidRDefault="00730B8F">
                      <w:pPr>
                        <w:keepNext/>
                      </w:pPr>
                      <w:r w:rsidRPr="005C378D">
                        <w:rPr>
                          <w:noProof/>
                        </w:rPr>
                        <w:drawing>
                          <wp:inline distT="0" distB="0" distL="0" distR="0" wp14:anchorId="6D6F044A" wp14:editId="6FC10D10">
                            <wp:extent cx="5090246" cy="4568631"/>
                            <wp:effectExtent l="0" t="0" r="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090246" cy="4568631"/>
                                    </a:xfrm>
                                    <a:prstGeom prst="rect">
                                      <a:avLst/>
                                    </a:prstGeom>
                                    <a:noFill/>
                                    <a:ln>
                                      <a:noFill/>
                                    </a:ln>
                                  </pic:spPr>
                                </pic:pic>
                              </a:graphicData>
                            </a:graphic>
                          </wp:inline>
                        </w:drawing>
                      </w:r>
                    </w:p>
                    <w:p w14:paraId="2D764C35" w14:textId="5F856BC7" w:rsidR="00730B8F" w:rsidRPr="00BB2A57" w:rsidRDefault="00730B8F" w:rsidP="005C378D">
                      <w:pPr>
                        <w:pStyle w:val="Caption"/>
                        <w:rPr>
                          <w:b w:val="0"/>
                          <w:bCs w:val="0"/>
                        </w:rPr>
                      </w:pPr>
                      <w:bookmarkStart w:id="90" w:name="_Ref38441312"/>
                      <w:bookmarkStart w:id="91" w:name="_Toc39868226"/>
                      <w:r>
                        <w:t xml:space="preserve">Figure </w:t>
                      </w:r>
                      <w:r w:rsidR="009425BE">
                        <w:fldChar w:fldCharType="begin"/>
                      </w:r>
                      <w:r w:rsidR="009425BE">
                        <w:instrText xml:space="preserve"> SEQ Figure \* ARABIC </w:instrText>
                      </w:r>
                      <w:r w:rsidR="009425BE">
                        <w:fldChar w:fldCharType="separate"/>
                      </w:r>
                      <w:r>
                        <w:rPr>
                          <w:noProof/>
                        </w:rPr>
                        <w:t>13</w:t>
                      </w:r>
                      <w:r w:rsidR="009425BE">
                        <w:rPr>
                          <w:noProof/>
                        </w:rPr>
                        <w:fldChar w:fldCharType="end"/>
                      </w:r>
                      <w:bookmarkEnd w:id="90"/>
                      <w:r>
                        <w:t xml:space="preserve">: </w:t>
                      </w:r>
                      <w:r w:rsidRPr="000849BF">
                        <w:rPr>
                          <w:b w:val="0"/>
                          <w:bCs w:val="0"/>
                          <w:noProof/>
                        </w:rPr>
                        <w:t>A.</w:t>
                      </w:r>
                      <w:r>
                        <w:rPr>
                          <w:noProof/>
                        </w:rPr>
                        <w:t xml:space="preserve"> </w:t>
                      </w:r>
                      <w:r>
                        <w:rPr>
                          <w:b w:val="0"/>
                          <w:bCs w:val="0"/>
                          <w:noProof/>
                        </w:rPr>
                        <w:t xml:space="preserve">Antiviral activity of TTP (10 </w:t>
                      </w:r>
                      <w:r>
                        <w:rPr>
                          <w:rFonts w:cstheme="minorHAnsi"/>
                          <w:b w:val="0"/>
                          <w:bCs w:val="0"/>
                          <w:noProof/>
                        </w:rPr>
                        <w:t>µM)</w:t>
                      </w:r>
                      <w:r>
                        <w:rPr>
                          <w:b w:val="0"/>
                          <w:bCs w:val="0"/>
                          <w:noProof/>
                        </w:rPr>
                        <w:t xml:space="preserve">, ITZ (10 </w:t>
                      </w:r>
                      <w:r>
                        <w:rPr>
                          <w:rFonts w:cstheme="minorHAnsi"/>
                          <w:b w:val="0"/>
                          <w:bCs w:val="0"/>
                          <w:noProof/>
                        </w:rPr>
                        <w:t>µM)</w:t>
                      </w:r>
                      <w:r>
                        <w:rPr>
                          <w:b w:val="0"/>
                          <w:bCs w:val="0"/>
                          <w:noProof/>
                        </w:rPr>
                        <w:t xml:space="preserve">, THEV2 (10 </w:t>
                      </w:r>
                      <w:r>
                        <w:rPr>
                          <w:rFonts w:cstheme="minorHAnsi"/>
                          <w:b w:val="0"/>
                          <w:bCs w:val="0"/>
                          <w:noProof/>
                        </w:rPr>
                        <w:t>µM)</w:t>
                      </w:r>
                      <w:r>
                        <w:rPr>
                          <w:b w:val="0"/>
                          <w:bCs w:val="0"/>
                          <w:noProof/>
                        </w:rPr>
                        <w:t xml:space="preserve">, or OSW-1 (10 nM). Cells were inoculated with virus at an MOI of 1 and treated with compound for 10 h. B. Profilactic activity of each compound. Compounds were administered for 6 h, washed out, 24 h recovery, then infected with virus at MOI of 1 for 30 min infection with 10 h recovery. </w:t>
                      </w:r>
                      <w:r w:rsidR="003152B3">
                        <w:rPr>
                          <w:b w:val="0"/>
                          <w:bCs w:val="0"/>
                          <w:noProof/>
                        </w:rPr>
                        <w:t>Data acquired by Dr. Blewit.</w:t>
                      </w:r>
                      <w:bookmarkEnd w:id="91"/>
                      <w:r w:rsidR="003152B3">
                        <w:rPr>
                          <w:b w:val="0"/>
                          <w:bCs w:val="0"/>
                          <w:noProof/>
                        </w:rPr>
                        <w:t xml:space="preserve"> </w:t>
                      </w:r>
                    </w:p>
                    <w:p w14:paraId="2E5655DC" w14:textId="77777777" w:rsidR="00730B8F" w:rsidRDefault="00730B8F"/>
                    <w:p w14:paraId="4128B323" w14:textId="77777777" w:rsidR="00730B8F" w:rsidRDefault="00730B8F"/>
                    <w:p w14:paraId="08A699C6" w14:textId="516D13DD" w:rsidR="00730B8F" w:rsidRDefault="00730B8F" w:rsidP="005C378D">
                      <w:pPr>
                        <w:keepNext/>
                      </w:pPr>
                      <w:r w:rsidRPr="005C378D">
                        <w:rPr>
                          <w:noProof/>
                        </w:rPr>
                        <w:drawing>
                          <wp:inline distT="0" distB="0" distL="0" distR="0" wp14:anchorId="6D6F044A" wp14:editId="6FC10D10">
                            <wp:extent cx="5090246" cy="4568631"/>
                            <wp:effectExtent l="0" t="0" r="0"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090246" cy="4568631"/>
                                    </a:xfrm>
                                    <a:prstGeom prst="rect">
                                      <a:avLst/>
                                    </a:prstGeom>
                                    <a:noFill/>
                                    <a:ln>
                                      <a:noFill/>
                                    </a:ln>
                                  </pic:spPr>
                                </pic:pic>
                              </a:graphicData>
                            </a:graphic>
                          </wp:inline>
                        </w:drawing>
                      </w:r>
                    </w:p>
                    <w:p w14:paraId="7A65EEC8" w14:textId="6D0C4B1A" w:rsidR="00730B8F" w:rsidRPr="00BB2A57" w:rsidRDefault="00730B8F" w:rsidP="005C378D">
                      <w:pPr>
                        <w:pStyle w:val="Caption"/>
                        <w:rPr>
                          <w:b w:val="0"/>
                          <w:bCs w:val="0"/>
                        </w:rPr>
                      </w:pPr>
                      <w:bookmarkStart w:id="92" w:name="_Ref33174490"/>
                      <w:r>
                        <w:t xml:space="preserve">Figure </w:t>
                      </w:r>
                      <w:r>
                        <w:fldChar w:fldCharType="begin"/>
                      </w:r>
                      <w:r>
                        <w:instrText xml:space="preserve">  \* ARABIC </w:instrText>
                      </w:r>
                      <w:r>
                        <w:fldChar w:fldCharType="separate"/>
                      </w:r>
                      <w:r>
                        <w:rPr>
                          <w:noProof/>
                        </w:rPr>
                        <w:t>15</w:t>
                      </w:r>
                      <w:r>
                        <w:rPr>
                          <w:noProof/>
                        </w:rPr>
                        <w:fldChar w:fldCharType="end"/>
                      </w:r>
                      <w:bookmarkEnd w:id="92"/>
                      <w:r>
                        <w:rPr>
                          <w:noProof/>
                        </w:rPr>
                        <w:t xml:space="preserve">: </w:t>
                      </w:r>
                      <w:r w:rsidRPr="000849BF">
                        <w:rPr>
                          <w:b w:val="0"/>
                          <w:bCs w:val="0"/>
                          <w:noProof/>
                        </w:rPr>
                        <w:t>A.</w:t>
                      </w:r>
                      <w:r>
                        <w:rPr>
                          <w:noProof/>
                        </w:rPr>
                        <w:t xml:space="preserve"> </w:t>
                      </w:r>
                      <w:r>
                        <w:rPr>
                          <w:b w:val="0"/>
                          <w:bCs w:val="0"/>
                          <w:noProof/>
                        </w:rPr>
                        <w:t xml:space="preserve">Antiviral activity of TTP (10 </w:t>
                      </w:r>
                      <w:r>
                        <w:rPr>
                          <w:rFonts w:cstheme="minorHAnsi"/>
                          <w:b w:val="0"/>
                          <w:bCs w:val="0"/>
                          <w:noProof/>
                        </w:rPr>
                        <w:t>µM)</w:t>
                      </w:r>
                      <w:r>
                        <w:rPr>
                          <w:b w:val="0"/>
                          <w:bCs w:val="0"/>
                          <w:noProof/>
                        </w:rPr>
                        <w:t xml:space="preserve">, ITZ (10 </w:t>
                      </w:r>
                      <w:r>
                        <w:rPr>
                          <w:rFonts w:cstheme="minorHAnsi"/>
                          <w:b w:val="0"/>
                          <w:bCs w:val="0"/>
                          <w:noProof/>
                        </w:rPr>
                        <w:t>µM)</w:t>
                      </w:r>
                      <w:r>
                        <w:rPr>
                          <w:b w:val="0"/>
                          <w:bCs w:val="0"/>
                          <w:noProof/>
                        </w:rPr>
                        <w:t xml:space="preserve">, THEV2 (10 </w:t>
                      </w:r>
                      <w:r>
                        <w:rPr>
                          <w:rFonts w:cstheme="minorHAnsi"/>
                          <w:b w:val="0"/>
                          <w:bCs w:val="0"/>
                          <w:noProof/>
                        </w:rPr>
                        <w:t>µM)</w:t>
                      </w:r>
                      <w:r>
                        <w:rPr>
                          <w:b w:val="0"/>
                          <w:bCs w:val="0"/>
                          <w:noProof/>
                        </w:rPr>
                        <w:t xml:space="preserve">, or OSW-1 (10 nM). Cells were inoculated with virus at an MOI of 1 and treated with compound for 10 h. B. Profilactic activity of each compound. Compounds were administered for 6 h, washed out, 24 h recovery, then infected with virus at MOI of 1 for 30 min infection with 10 h recovery. </w:t>
                      </w:r>
                    </w:p>
                    <w:p w14:paraId="3132166C" w14:textId="24952484" w:rsidR="00730B8F" w:rsidRDefault="00730B8F"/>
                  </w:txbxContent>
                </v:textbox>
                <w10:wrap type="square" anchorx="margin"/>
              </v:shape>
            </w:pict>
          </mc:Fallback>
        </mc:AlternateContent>
      </w:r>
      <w:r w:rsidR="000B0F17">
        <w:t xml:space="preserve">To evaluate the </w:t>
      </w:r>
      <w:r w:rsidR="009127B0">
        <w:t xml:space="preserve">extent of antiviral </w:t>
      </w:r>
      <w:r w:rsidR="0046461F">
        <w:t xml:space="preserve">activity of the OSBP-targeting compounds, </w:t>
      </w:r>
      <w:r w:rsidR="00FD0940">
        <w:t xml:space="preserve">HeLa cells infected with </w:t>
      </w:r>
      <w:r w:rsidR="003B0345">
        <w:t xml:space="preserve">two </w:t>
      </w:r>
      <w:r w:rsidR="003B0345" w:rsidRPr="003B0345">
        <w:rPr>
          <w:i/>
          <w:iCs/>
        </w:rPr>
        <w:t>Enterovirus</w:t>
      </w:r>
      <w:r w:rsidR="003B0345">
        <w:t xml:space="preserve"> </w:t>
      </w:r>
      <w:r w:rsidR="0046461F">
        <w:t xml:space="preserve">pathogenic viruses (i.e., </w:t>
      </w:r>
      <w:r w:rsidR="001D7D5A">
        <w:t>echovirus</w:t>
      </w:r>
      <w:r w:rsidR="0046461F">
        <w:t>2</w:t>
      </w:r>
      <w:r w:rsidR="001D7D5A">
        <w:t xml:space="preserve"> and co</w:t>
      </w:r>
      <w:r w:rsidR="00177988">
        <w:t>xsackievirus</w:t>
      </w:r>
      <w:r w:rsidR="00FD0940">
        <w:t xml:space="preserve"> 9a)</w:t>
      </w:r>
      <w:r w:rsidR="00177988">
        <w:t>,</w:t>
      </w:r>
      <w:r w:rsidR="00373C60">
        <w:t xml:space="preserve"> and</w:t>
      </w:r>
      <w:r w:rsidR="00177988">
        <w:t xml:space="preserve"> </w:t>
      </w:r>
      <w:r w:rsidR="00272110">
        <w:t xml:space="preserve">were treated with each of the compounds. </w:t>
      </w:r>
      <w:r w:rsidR="00FD0940">
        <w:t xml:space="preserve">Cells were treated with 1 nM OSW-1 and 10 </w:t>
      </w:r>
      <w:r w:rsidR="00FD0940" w:rsidRPr="000849BF">
        <w:rPr>
          <w:rFonts w:ascii="Symbol" w:hAnsi="Symbol"/>
        </w:rPr>
        <w:t></w:t>
      </w:r>
      <w:r w:rsidR="00FD0940">
        <w:t xml:space="preserve">M THEV2, TTP, and ITZ. </w:t>
      </w:r>
      <w:r w:rsidR="00272110">
        <w:t xml:space="preserve">All compounds had antiviral activity, </w:t>
      </w:r>
      <w:r w:rsidR="00BF7940">
        <w:t xml:space="preserve">although OSW-1, THEV2, and </w:t>
      </w:r>
      <w:r w:rsidR="009127B0">
        <w:t xml:space="preserve">ITZ </w:t>
      </w:r>
      <w:r w:rsidR="00BF7940">
        <w:t xml:space="preserve">were all more potent at inhibiting viral </w:t>
      </w:r>
      <w:r w:rsidR="009127B0">
        <w:t>replication</w:t>
      </w:r>
      <w:r w:rsidR="00BF7940">
        <w:t xml:space="preserve"> </w:t>
      </w:r>
      <w:r w:rsidR="00BF7940">
        <w:lastRenderedPageBreak/>
        <w:t>than TTP</w:t>
      </w:r>
      <w:r w:rsidR="009127B0">
        <w:t xml:space="preserve"> in both virus models</w:t>
      </w:r>
      <w:r w:rsidR="003852F7">
        <w:t xml:space="preserve"> (</w:t>
      </w:r>
      <w:r w:rsidR="00FD0940" w:rsidRPr="000849BF">
        <w:rPr>
          <w:b/>
          <w:bCs/>
        </w:rPr>
        <w:fldChar w:fldCharType="begin"/>
      </w:r>
      <w:r w:rsidR="00FD0940" w:rsidRPr="000849BF">
        <w:rPr>
          <w:b/>
          <w:bCs/>
        </w:rPr>
        <w:instrText xml:space="preserve"> REF _Ref33174490 \h  \* MERGEFORMAT </w:instrText>
      </w:r>
      <w:r w:rsidR="00FD0940" w:rsidRPr="000849BF">
        <w:rPr>
          <w:b/>
          <w:bCs/>
        </w:rPr>
      </w:r>
      <w:r w:rsidR="00FD0940" w:rsidRPr="000849BF">
        <w:rPr>
          <w:b/>
          <w:bCs/>
        </w:rPr>
        <w:fldChar w:fldCharType="separate"/>
      </w:r>
      <w:r w:rsidR="00FD0940" w:rsidRPr="000849BF">
        <w:rPr>
          <w:b/>
          <w:bCs/>
        </w:rPr>
        <w:t xml:space="preserve">Figure </w:t>
      </w:r>
      <w:r w:rsidR="00FD0940" w:rsidRPr="000849BF">
        <w:rPr>
          <w:b/>
          <w:bCs/>
          <w:noProof/>
        </w:rPr>
        <w:t>13</w:t>
      </w:r>
      <w:r w:rsidR="00FD0940" w:rsidRPr="000849BF">
        <w:rPr>
          <w:b/>
          <w:bCs/>
        </w:rPr>
        <w:fldChar w:fldCharType="end"/>
      </w:r>
      <w:r w:rsidR="003852F7">
        <w:t>)</w:t>
      </w:r>
      <w:r w:rsidR="00BF7940">
        <w:t xml:space="preserve">. </w:t>
      </w:r>
      <w:r w:rsidR="00FA725B">
        <w:t>To evaluate the prophylactic ability of each of the compounds</w:t>
      </w:r>
      <w:r w:rsidR="003852F7">
        <w:t>, c</w:t>
      </w:r>
      <w:r w:rsidR="00FA725B">
        <w:t>ells were pretreated with each compound</w:t>
      </w:r>
      <w:r w:rsidR="00FD0940">
        <w:t xml:space="preserve"> for 6 hours. Then, the compound-containing media was removed, the cells washed three times with media, and incubated for 24 h in drug-free media. The</w:t>
      </w:r>
      <w:r w:rsidR="00344315">
        <w:t>n</w:t>
      </w:r>
      <w:r w:rsidR="00FD0940">
        <w:t xml:space="preserve">, the cells were infected with virus for 10 hours. </w:t>
      </w:r>
      <w:r w:rsidR="00344315">
        <w:t>(</w:t>
      </w:r>
      <w:r w:rsidR="00344315" w:rsidRPr="000849BF">
        <w:rPr>
          <w:b/>
          <w:bCs/>
        </w:rPr>
        <w:fldChar w:fldCharType="begin"/>
      </w:r>
      <w:r w:rsidR="00344315" w:rsidRPr="000849BF">
        <w:rPr>
          <w:b/>
          <w:bCs/>
        </w:rPr>
        <w:instrText xml:space="preserve"> REF _Ref33174490 \h  \* MERGEFORMAT </w:instrText>
      </w:r>
      <w:r w:rsidR="00344315" w:rsidRPr="000849BF">
        <w:rPr>
          <w:b/>
          <w:bCs/>
        </w:rPr>
      </w:r>
      <w:r w:rsidR="00344315" w:rsidRPr="000849BF">
        <w:rPr>
          <w:b/>
          <w:bCs/>
        </w:rPr>
        <w:fldChar w:fldCharType="separate"/>
      </w:r>
      <w:r w:rsidR="00344315" w:rsidRPr="000849BF">
        <w:rPr>
          <w:b/>
          <w:bCs/>
        </w:rPr>
        <w:t xml:space="preserve">Figure </w:t>
      </w:r>
      <w:r w:rsidR="00344315" w:rsidRPr="000849BF">
        <w:rPr>
          <w:b/>
          <w:bCs/>
          <w:noProof/>
        </w:rPr>
        <w:t>13</w:t>
      </w:r>
      <w:r w:rsidR="00344315" w:rsidRPr="000849BF">
        <w:rPr>
          <w:b/>
          <w:bCs/>
        </w:rPr>
        <w:fldChar w:fldCharType="end"/>
      </w:r>
      <w:r w:rsidR="00344315">
        <w:t xml:space="preserve">). </w:t>
      </w:r>
      <w:r>
        <w:t xml:space="preserve">Viral count was performed from the supernatant through TCID-50 titration. OSW-1 was the only compound to exhibit prophylactic activity against both of the viral models </w:t>
      </w:r>
      <w:r w:rsidRPr="00A51461">
        <w:t>(</w:t>
      </w:r>
      <w:r w:rsidRPr="000849BF">
        <w:rPr>
          <w:b/>
          <w:bCs/>
        </w:rPr>
        <w:fldChar w:fldCharType="begin"/>
      </w:r>
      <w:r w:rsidRPr="00A51461">
        <w:rPr>
          <w:b/>
          <w:bCs/>
        </w:rPr>
        <w:instrText xml:space="preserve"> REF _Ref33174490 \h </w:instrText>
      </w:r>
      <w:r w:rsidRPr="000849BF">
        <w:rPr>
          <w:b/>
          <w:bCs/>
        </w:rPr>
        <w:instrText xml:space="preserve"> \* MERGEFORMAT </w:instrText>
      </w:r>
      <w:r w:rsidRPr="000849BF">
        <w:rPr>
          <w:b/>
          <w:bCs/>
        </w:rPr>
      </w:r>
      <w:r w:rsidRPr="000849BF">
        <w:rPr>
          <w:b/>
          <w:bCs/>
        </w:rPr>
        <w:fldChar w:fldCharType="separate"/>
      </w:r>
      <w:r w:rsidRPr="000849BF">
        <w:rPr>
          <w:b/>
          <w:bCs/>
        </w:rPr>
        <w:t xml:space="preserve">Figure </w:t>
      </w:r>
      <w:r w:rsidRPr="000849BF">
        <w:rPr>
          <w:b/>
          <w:bCs/>
          <w:noProof/>
        </w:rPr>
        <w:t>13</w:t>
      </w:r>
      <w:r w:rsidRPr="000849BF">
        <w:rPr>
          <w:b/>
          <w:bCs/>
        </w:rPr>
        <w:fldChar w:fldCharType="end"/>
      </w:r>
      <w:r w:rsidRPr="00A51461">
        <w:t>)</w:t>
      </w:r>
      <w:r w:rsidRPr="000849BF">
        <w:t>.</w:t>
      </w:r>
      <w:r>
        <w:t xml:space="preserve"> </w:t>
      </w:r>
    </w:p>
    <w:p w14:paraId="5666E4F7" w14:textId="18C56689" w:rsidR="00A66B3A" w:rsidRDefault="00A66B3A" w:rsidP="00A66B3A"/>
    <w:p w14:paraId="5E217767" w14:textId="5DA27399" w:rsidR="00F221F4" w:rsidRDefault="00F221F4" w:rsidP="00A66B3A"/>
    <w:p w14:paraId="3C399EFB" w14:textId="3DDF6E24" w:rsidR="00F221F4" w:rsidRDefault="00F221F4" w:rsidP="00A66B3A"/>
    <w:p w14:paraId="2E888582" w14:textId="3502873D" w:rsidR="00F221F4" w:rsidRDefault="00F221F4" w:rsidP="00A66B3A"/>
    <w:p w14:paraId="4FF8F56B" w14:textId="1CEBE151" w:rsidR="00F221F4" w:rsidRDefault="00F221F4" w:rsidP="00A66B3A"/>
    <w:p w14:paraId="202F92EE" w14:textId="5C247845" w:rsidR="00F221F4" w:rsidRDefault="00F221F4" w:rsidP="00A66B3A"/>
    <w:p w14:paraId="7E26D7AA" w14:textId="332C847A" w:rsidR="00F221F4" w:rsidRDefault="00F221F4" w:rsidP="00A66B3A"/>
    <w:p w14:paraId="4DE30F91" w14:textId="1AD8FFF3" w:rsidR="00F221F4" w:rsidRDefault="00F221F4" w:rsidP="00A66B3A"/>
    <w:p w14:paraId="4F15C87D" w14:textId="7131E1C8" w:rsidR="00A51461" w:rsidRDefault="00A51461" w:rsidP="00A66B3A"/>
    <w:p w14:paraId="21AF999D" w14:textId="68A4DB7F" w:rsidR="00A51461" w:rsidRDefault="00A51461" w:rsidP="00A66B3A"/>
    <w:p w14:paraId="17859193" w14:textId="7A2E603B" w:rsidR="00A51461" w:rsidRDefault="00A51461" w:rsidP="00A66B3A"/>
    <w:p w14:paraId="54481650" w14:textId="77777777" w:rsidR="00A51461" w:rsidRDefault="00A51461" w:rsidP="00A66B3A"/>
    <w:p w14:paraId="46FF526F" w14:textId="77777777" w:rsidR="00A51461" w:rsidRDefault="00A51461" w:rsidP="00A66B3A"/>
    <w:p w14:paraId="30DF27A8" w14:textId="49E97A64" w:rsidR="00A66B3A" w:rsidRDefault="00A66B3A" w:rsidP="00A66B3A"/>
    <w:p w14:paraId="26C9986E" w14:textId="44354FA5" w:rsidR="00960058" w:rsidRDefault="00960058">
      <w:pPr>
        <w:pStyle w:val="Heading2"/>
        <w:jc w:val="both"/>
      </w:pPr>
      <w:bookmarkStart w:id="93" w:name="_Toc39868160"/>
      <w:r>
        <w:lastRenderedPageBreak/>
        <w:t>2.</w:t>
      </w:r>
      <w:r w:rsidR="00242945">
        <w:t>4</w:t>
      </w:r>
      <w:r>
        <w:t xml:space="preserve"> Discussion</w:t>
      </w:r>
      <w:bookmarkEnd w:id="93"/>
    </w:p>
    <w:p w14:paraId="791F8909" w14:textId="5F10394A" w:rsidR="00960058" w:rsidRDefault="00186E1C" w:rsidP="000849BF">
      <w:pPr>
        <w:ind w:firstLine="720"/>
        <w:jc w:val="both"/>
      </w:pPr>
      <w:r>
        <w:t xml:space="preserve">These results demonstrate </w:t>
      </w:r>
      <w:r w:rsidR="005748AA">
        <w:t>that a short, transient, low dose treatment of the OSW-1 compound is sufficient to induce the selective degradation</w:t>
      </w:r>
      <w:r w:rsidR="003575AC">
        <w:t xml:space="preserve"> (&gt;90%)</w:t>
      </w:r>
      <w:r w:rsidR="005748AA">
        <w:t xml:space="preserve"> and repression of the OSBP protein for multiple days</w:t>
      </w:r>
      <w:r w:rsidR="00703082">
        <w:t xml:space="preserve"> </w:t>
      </w:r>
      <w:r w:rsidR="00D52F0B">
        <w:t>after the compound treatment has stopped</w:t>
      </w:r>
      <w:r w:rsidR="00373C60">
        <w:t xml:space="preserve"> in multiple immortalized cell lines</w:t>
      </w:r>
      <w:r w:rsidR="000849BF">
        <w:t xml:space="preserve"> (</w:t>
      </w:r>
      <w:r w:rsidR="000849BF" w:rsidRPr="000849BF">
        <w:rPr>
          <w:b/>
          <w:bCs/>
        </w:rPr>
        <w:fldChar w:fldCharType="begin"/>
      </w:r>
      <w:r w:rsidR="000849BF" w:rsidRPr="000849BF">
        <w:rPr>
          <w:b/>
          <w:bCs/>
        </w:rPr>
        <w:instrText xml:space="preserve"> REF _Ref38441104 \h </w:instrText>
      </w:r>
      <w:r w:rsidR="000849BF">
        <w:rPr>
          <w:b/>
          <w:bCs/>
        </w:rPr>
        <w:instrText xml:space="preserve"> \* MERGEFORMAT </w:instrText>
      </w:r>
      <w:r w:rsidR="000849BF" w:rsidRPr="000849BF">
        <w:rPr>
          <w:b/>
          <w:bCs/>
        </w:rPr>
      </w:r>
      <w:r w:rsidR="000849BF" w:rsidRPr="000849BF">
        <w:rPr>
          <w:b/>
          <w:bCs/>
        </w:rPr>
        <w:fldChar w:fldCharType="separate"/>
      </w:r>
      <w:r w:rsidR="000849BF" w:rsidRPr="000849BF">
        <w:rPr>
          <w:b/>
          <w:bCs/>
        </w:rPr>
        <w:t xml:space="preserve">Figure </w:t>
      </w:r>
      <w:r w:rsidR="000849BF" w:rsidRPr="000849BF">
        <w:rPr>
          <w:b/>
          <w:bCs/>
          <w:noProof/>
        </w:rPr>
        <w:t>5</w:t>
      </w:r>
      <w:r w:rsidR="000849BF" w:rsidRPr="000849BF">
        <w:rPr>
          <w:b/>
          <w:bCs/>
        </w:rPr>
        <w:fldChar w:fldCharType="end"/>
      </w:r>
      <w:r w:rsidR="000849BF">
        <w:t>)</w:t>
      </w:r>
      <w:r w:rsidR="00D52F0B">
        <w:t xml:space="preserve">. </w:t>
      </w:r>
      <w:r w:rsidR="00EA0C0D">
        <w:t xml:space="preserve">The 72 hour repression of OSBP following removal of the compound demonstrates a stable biological effect transferable to multiple generations of cells. The OSW-1 induced repression of OSBP proceeds through an </w:t>
      </w:r>
      <w:r w:rsidR="00703082">
        <w:t xml:space="preserve">unidentified </w:t>
      </w:r>
      <w:r w:rsidR="00D52F0B">
        <w:t xml:space="preserve">cellular </w:t>
      </w:r>
      <w:r w:rsidR="00703082">
        <w:t xml:space="preserve">mechanism. </w:t>
      </w:r>
      <w:r w:rsidR="00EA0C0D">
        <w:t>T</w:t>
      </w:r>
      <w:r w:rsidR="00DE1573">
        <w:t xml:space="preserve">he long term repression of the </w:t>
      </w:r>
      <w:r w:rsidR="00EA0C0D">
        <w:t>OSBP</w:t>
      </w:r>
      <w:r w:rsidR="00DE1573">
        <w:t xml:space="preserve"> did not correlate to any signs of toxicity or morphological changes</w:t>
      </w:r>
      <w:r w:rsidR="00EA0C0D">
        <w:t xml:space="preserve"> in cells, which might be expected if OSBP is an essential protein </w:t>
      </w:r>
      <w:r w:rsidR="0023658B">
        <w:t xml:space="preserve">responsible for transferring lipids between </w:t>
      </w:r>
      <w:r w:rsidR="00EA0C0D">
        <w:t xml:space="preserve">organelle </w:t>
      </w:r>
      <w:r w:rsidR="0023658B">
        <w:t>membranes</w:t>
      </w:r>
      <w:r w:rsidR="000849BF">
        <w:t xml:space="preserve"> (data not shown)</w:t>
      </w:r>
      <w:r w:rsidR="0023658B">
        <w:t>.</w:t>
      </w:r>
      <w:r w:rsidR="000849BF">
        <w:fldChar w:fldCharType="begin" w:fldLock="1"/>
      </w:r>
      <w:r w:rsidR="000849BF">
        <w:instrText>ADDIN CSL_CITATION { "citationItems" : [ { "id" : "ITEM-1", "itemData" : { "DOI" : "10.1021/acschembio.8b00984", "ISSN" : "1554-8929", "abstract" : "Oxysterol-binding protein (OSBP) is a lipid transport and regulatory protein required for the replication of Enterovirus genus viruses, which includes many significant human pathogens. Short-term exposure (i.e., 1\u20136 h) to a low dose (i.e., 1 nM) of the natural product compound OSW-1 induces a reduction of cellular OSBP levels by \u223c90% in multiple different cell lines with no measurable cytotoxicity, defect in cellular proliferation, or global proteome reduction. Interestingly, the reduction of OSBP levels persists multiple days after the low-dose, transient OSW-1 compound treatment is ended and the intracellular OSW-1 compound levels drop to undetectable levels. The reduction in OSBP levels is inherited in multiple generations of cells that are propagated after the OSW-1 compound treatment is stopped. The enduring multiday, multigenerational reduction of OSBP levels triggered by the OSW-1 compound is not due to proteasome degradation of OSBP or due to a reduction in OSBP mRNA levels. OSW-1 compound treatme...",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 "given" : "Anh T.", "non-dropping-particle" : "", "parse-names" : false, "suffix" : "" }, { "dropping-particle" : "", "family" : "Kothapalli", "given" : "Naga Rama", "non-dropping-particle" : "", "parse-names" : false, "suffix" : "" }, { "dropping-particle" : "", "family" : "Nu\u00f1ez", "given" : "Juan I.", "non-dropping-particle" : "", "parse-names" : false, "suffix" : "" }, { "dropping-particle" : "", "family" : "Ma", "given" : "Hongyan", "non-dropping-particle" : "", "parse-names" : false, "suffix" : "" }, { "dropping-particle" : "", "family" : "Wu", "given" : "Si", "non-dropping-particle" : "", "parse-names" : false, "suffix" : "" }, { "dropping-particle" : "", "family" : "Standke", "given" : "Shawna J.", "non-dropping-particle" : "", "parse-names" : false, "suffix" : "" }, { "dropping-particle" : "", "family" : "Yang", "given" : "Zhibo",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 G.", "non-dropping-particle" : "", "parse-names" : false, "suffix" : "" } ], "container-title" : "ACS Chemical Biology", "id" : "ITEM-1", "issue" : "2", "issued" : { "date-parts" : [ [ "2019", "2", "15" ] ] }, "page" : "276-287", "publisher" : "American Chemical Society", "title" : "Transient Compound Treatment Induces a Multigenerational Reduction of Oxysterol-Binding Protein (OSBP) Levels and Prophylactic Antiviral Activity", "type" : "article-journal", "volume" : "14" }, "uris" : [ "http://www.mendeley.com/documents/?uuid=86761fc6-fd7d-3306-b7c0-e151b6235980" ] } ], "mendeley" : { "formattedCitation" : "&lt;sup&gt;107&lt;/sup&gt;", "plainTextFormattedCitation" : "107", "previouslyFormattedCitation" : "&lt;sup&gt;107&lt;/sup&gt;" }, "properties" : { "noteIndex" : 0 }, "schema" : "https://github.com/citation-style-language/schema/raw/master/csl-citation.json" }</w:instrText>
      </w:r>
      <w:r w:rsidR="000849BF">
        <w:fldChar w:fldCharType="separate"/>
      </w:r>
      <w:r w:rsidR="000849BF" w:rsidRPr="000849BF">
        <w:rPr>
          <w:noProof/>
          <w:vertAlign w:val="superscript"/>
        </w:rPr>
        <w:t>107</w:t>
      </w:r>
      <w:r w:rsidR="000849BF">
        <w:fldChar w:fldCharType="end"/>
      </w:r>
      <w:r w:rsidR="0023658B">
        <w:t xml:space="preserve"> </w:t>
      </w:r>
      <w:r w:rsidR="00DE1573">
        <w:t xml:space="preserve"> </w:t>
      </w:r>
      <w:r w:rsidR="00703082">
        <w:t xml:space="preserve">Although the </w:t>
      </w:r>
      <w:r w:rsidR="00EA0C0D">
        <w:t xml:space="preserve">initial </w:t>
      </w:r>
      <w:r w:rsidR="00703082">
        <w:t xml:space="preserve">degradation of the OSBP protein is coordinated through the proteasome, the multi-day </w:t>
      </w:r>
      <w:r w:rsidR="004F6EE7">
        <w:t>repression</w:t>
      </w:r>
      <w:r w:rsidR="00703082">
        <w:t xml:space="preserve"> of the protein is independent of transcription repression, proteasome activity,</w:t>
      </w:r>
      <w:r w:rsidR="00594E71">
        <w:t xml:space="preserve"> the OSW-1 compound, autophagy, or calpain activity</w:t>
      </w:r>
      <w:r w:rsidR="00EA0C0D">
        <w:t xml:space="preserve"> (</w:t>
      </w:r>
      <w:r w:rsidR="00EA0C0D" w:rsidRPr="000849BF">
        <w:rPr>
          <w:b/>
          <w:bCs/>
        </w:rPr>
        <w:t>Figure 10</w:t>
      </w:r>
      <w:r w:rsidR="00EA0C0D">
        <w:t>)</w:t>
      </w:r>
      <w:r w:rsidR="000849BF">
        <w:t>.</w:t>
      </w:r>
      <w:r w:rsidR="000849BF">
        <w:fldChar w:fldCharType="begin" w:fldLock="1"/>
      </w:r>
      <w:r w:rsidR="000849BF">
        <w:instrText>ADDIN CSL_CITATION { "citationItems" : [ { "id" : "ITEM-1", "itemData" : { "DOI" : "10.1021/acschembio.8b00984", "ISSN" : "1554-8929", "abstract" : "Oxysterol-binding protein (OSBP) is a lipid transport and regulatory protein required for the replication of Enterovirus genus viruses, which includes many significant human pathogens. Short-term exposure (i.e., 1\u20136 h) to a low dose (i.e., 1 nM) of the natural product compound OSW-1 induces a reduction of cellular OSBP levels by \u223c90% in multiple different cell lines with no measurable cytotoxicity, defect in cellular proliferation, or global proteome reduction. Interestingly, the reduction of OSBP levels persists multiple days after the low-dose, transient OSW-1 compound treatment is ended and the intracellular OSW-1 compound levels drop to undetectable levels. The reduction in OSBP levels is inherited in multiple generations of cells that are propagated after the OSW-1 compound treatment is stopped. The enduring multiday, multigenerational reduction of OSBP levels triggered by the OSW-1 compound is not due to proteasome degradation of OSBP or due to a reduction in OSBP mRNA levels. OSW-1 compound treatme...",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 "given" : "Anh T.", "non-dropping-particle" : "", "parse-names" : false, "suffix" : "" }, { "dropping-particle" : "", "family" : "Kothapalli", "given" : "Naga Rama", "non-dropping-particle" : "", "parse-names" : false, "suffix" : "" }, { "dropping-particle" : "", "family" : "Nu\u00f1ez", "given" : "Juan I.", "non-dropping-particle" : "", "parse-names" : false, "suffix" : "" }, { "dropping-particle" : "", "family" : "Ma", "given" : "Hongyan", "non-dropping-particle" : "", "parse-names" : false, "suffix" : "" }, { "dropping-particle" : "", "family" : "Wu", "given" : "Si", "non-dropping-particle" : "", "parse-names" : false, "suffix" : "" }, { "dropping-particle" : "", "family" : "Standke", "given" : "Shawna J.", "non-dropping-particle" : "", "parse-names" : false, "suffix" : "" }, { "dropping-particle" : "", "family" : "Yang", "given" : "Zhibo",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 G.", "non-dropping-particle" : "", "parse-names" : false, "suffix" : "" } ], "container-title" : "ACS Chemical Biology", "id" : "ITEM-1", "issue" : "2", "issued" : { "date-parts" : [ [ "2019", "2", "15" ] ] }, "page" : "276-287", "publisher" : "American Chemical Society", "title" : "Transient Compound Treatment Induces a Multigenerational Reduction of Oxysterol-Binding Protein (OSBP) Levels and Prophylactic Antiviral Activity", "type" : "article-journal", "volume" : "14" }, "uris" : [ "http://www.mendeley.com/documents/?uuid=86761fc6-fd7d-3306-b7c0-e151b6235980" ] } ], "mendeley" : { "formattedCitation" : "&lt;sup&gt;107&lt;/sup&gt;", "plainTextFormattedCitation" : "107", "previouslyFormattedCitation" : "&lt;sup&gt;107&lt;/sup&gt;" }, "properties" : { "noteIndex" : 0 }, "schema" : "https://github.com/citation-style-language/schema/raw/master/csl-citation.json" }</w:instrText>
      </w:r>
      <w:r w:rsidR="000849BF">
        <w:fldChar w:fldCharType="separate"/>
      </w:r>
      <w:r w:rsidR="000849BF" w:rsidRPr="000849BF">
        <w:rPr>
          <w:noProof/>
          <w:vertAlign w:val="superscript"/>
        </w:rPr>
        <w:t>107</w:t>
      </w:r>
      <w:r w:rsidR="000849BF">
        <w:fldChar w:fldCharType="end"/>
      </w:r>
      <w:r w:rsidR="00EA0C0D">
        <w:t xml:space="preserve"> </w:t>
      </w:r>
      <w:r w:rsidR="00594E71">
        <w:t xml:space="preserve"> </w:t>
      </w:r>
      <w:r w:rsidR="00A91699">
        <w:t xml:space="preserve">Furthermore, </w:t>
      </w:r>
      <w:r w:rsidR="00E61581">
        <w:t xml:space="preserve">because </w:t>
      </w:r>
      <w:r w:rsidR="009A25CD">
        <w:t xml:space="preserve">OSBP repressed cells do not exhibit any signs of cytotoxicity, </w:t>
      </w:r>
      <w:r w:rsidR="00BD395F">
        <w:t>growth arrest, o</w:t>
      </w:r>
      <w:r w:rsidR="00373C60">
        <w:t>r</w:t>
      </w:r>
      <w:r w:rsidR="00BD395F">
        <w:t xml:space="preserve"> morphology changes, </w:t>
      </w:r>
      <w:r w:rsidR="00E61581">
        <w:t xml:space="preserve">it can be concluded that </w:t>
      </w:r>
      <w:r w:rsidR="000E1DCD">
        <w:t xml:space="preserve">this repression is specific to the OSBP protein and independent of </w:t>
      </w:r>
      <w:r w:rsidR="00BD395F">
        <w:t xml:space="preserve">global protein repression. </w:t>
      </w:r>
      <w:r w:rsidR="001B0C68">
        <w:t>Furthermore</w:t>
      </w:r>
      <w:r w:rsidR="00B42FA6">
        <w:t xml:space="preserve">, </w:t>
      </w:r>
      <w:r w:rsidR="000E1DCD">
        <w:t xml:space="preserve">confirming this, </w:t>
      </w:r>
      <w:r w:rsidR="00B42FA6">
        <w:t xml:space="preserve">a </w:t>
      </w:r>
      <w:r w:rsidR="009209A8">
        <w:t>global</w:t>
      </w:r>
      <w:r w:rsidR="00B42FA6">
        <w:t xml:space="preserve"> iTRAQ proteome analysis did not detect any systematic global protein </w:t>
      </w:r>
      <w:r w:rsidR="001B0C68">
        <w:t>changes</w:t>
      </w:r>
      <w:r w:rsidR="00B42FA6">
        <w:t>.</w:t>
      </w:r>
      <w:r w:rsidR="000849BF">
        <w:fldChar w:fldCharType="begin" w:fldLock="1"/>
      </w:r>
      <w:r w:rsidR="000849BF">
        <w:instrText>ADDIN CSL_CITATION { "citationItems" : [ { "id" : "ITEM-1", "itemData" : { "DOI" : "10.1021/acschembio.8b00984", "ISSN" : "1554-8929", "abstract" : "Oxysterol-binding protein (OSBP) is a lipid transport and regulatory protein required for the replication of Enterovirus genus viruses, which includes many significant human pathogens. Short-term exposure (i.e., 1\u20136 h) to a low dose (i.e., 1 nM) of the natural product compound OSW-1 induces a reduction of cellular OSBP levels by \u223c90% in multiple different cell lines with no measurable cytotoxicity, defect in cellular proliferation, or global proteome reduction. Interestingly, the reduction of OSBP levels persists multiple days after the low-dose, transient OSW-1 compound treatment is ended and the intracellular OSW-1 compound levels drop to undetectable levels. The reduction in OSBP levels is inherited in multiple generations of cells that are propagated after the OSW-1 compound treatment is stopped. The enduring multiday, multigenerational reduction of OSBP levels triggered by the OSW-1 compound is not due to proteasome degradation of OSBP or due to a reduction in OSBP mRNA levels. OSW-1 compound treatme...",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 "given" : "Anh T.", "non-dropping-particle" : "", "parse-names" : false, "suffix" : "" }, { "dropping-particle" : "", "family" : "Kothapalli", "given" : "Naga Rama", "non-dropping-particle" : "", "parse-names" : false, "suffix" : "" }, { "dropping-particle" : "", "family" : "Nu\u00f1ez", "given" : "Juan I.", "non-dropping-particle" : "", "parse-names" : false, "suffix" : "" }, { "dropping-particle" : "", "family" : "Ma", "given" : "Hongyan", "non-dropping-particle" : "", "parse-names" : false, "suffix" : "" }, { "dropping-particle" : "", "family" : "Wu", "given" : "Si", "non-dropping-particle" : "", "parse-names" : false, "suffix" : "" }, { "dropping-particle" : "", "family" : "Standke", "given" : "Shawna J.", "non-dropping-particle" : "", "parse-names" : false, "suffix" : "" }, { "dropping-particle" : "", "family" : "Yang", "given" : "Zhibo",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 G.", "non-dropping-particle" : "", "parse-names" : false, "suffix" : "" } ], "container-title" : "ACS Chemical Biology", "id" : "ITEM-1", "issue" : "2", "issued" : { "date-parts" : [ [ "2019", "2", "15" ] ] }, "page" : "276-287", "publisher" : "American Chemical Society", "title" : "Transient Compound Treatment Induces a Multigenerational Reduction of Oxysterol-Binding Protein (OSBP) Levels and Prophylactic Antiviral Activity", "type" : "article-journal", "volume" : "14" }, "uris" : [ "http://www.mendeley.com/documents/?uuid=86761fc6-fd7d-3306-b7c0-e151b6235980" ] } ], "mendeley" : { "formattedCitation" : "&lt;sup&gt;107&lt;/sup&gt;", "plainTextFormattedCitation" : "107", "previouslyFormattedCitation" : "&lt;sup&gt;107&lt;/sup&gt;" }, "properties" : { "noteIndex" : 0 }, "schema" : "https://github.com/citation-style-language/schema/raw/master/csl-citation.json" }</w:instrText>
      </w:r>
      <w:r w:rsidR="000849BF">
        <w:fldChar w:fldCharType="separate"/>
      </w:r>
      <w:r w:rsidR="000849BF" w:rsidRPr="000849BF">
        <w:rPr>
          <w:noProof/>
          <w:vertAlign w:val="superscript"/>
        </w:rPr>
        <w:t>107</w:t>
      </w:r>
      <w:r w:rsidR="000849BF">
        <w:fldChar w:fldCharType="end"/>
      </w:r>
      <w:r w:rsidR="00B42FA6">
        <w:t xml:space="preserve"> </w:t>
      </w:r>
    </w:p>
    <w:p w14:paraId="4432B49F" w14:textId="27B95FF2" w:rsidR="000E1DCD" w:rsidRDefault="007A530C">
      <w:pPr>
        <w:jc w:val="both"/>
      </w:pPr>
      <w:r>
        <w:tab/>
        <w:t>This lon</w:t>
      </w:r>
      <w:r w:rsidR="00377D61">
        <w:t>g-</w:t>
      </w:r>
      <w:r>
        <w:t xml:space="preserve">term repression of OSBP is also specific to OSW-1 and not any other </w:t>
      </w:r>
      <w:r w:rsidR="00236623">
        <w:t xml:space="preserve">known putative </w:t>
      </w:r>
      <w:r>
        <w:t xml:space="preserve">OSBP targeting compounds, ITZ, TTP, </w:t>
      </w:r>
      <w:r w:rsidR="00955FF1">
        <w:t>o</w:t>
      </w:r>
      <w:r>
        <w:t>r THEV2</w:t>
      </w:r>
      <w:r w:rsidR="000849BF">
        <w:t xml:space="preserve"> (data not shown)</w:t>
      </w:r>
      <w:r>
        <w:t>.</w:t>
      </w:r>
      <w:r w:rsidR="000849BF">
        <w:fldChar w:fldCharType="begin" w:fldLock="1"/>
      </w:r>
      <w:r w:rsidR="000849BF">
        <w:instrText>ADDIN CSL_CITATION { "citationItems" : [ { "id" : "ITEM-1", "itemData" : { "DOI" : "10.1016/J.ANTIVIRAL.2019.104548", "ISSN" : "0166-3542", "abstract" : "Oxysterol-binding Protein (OSBP) is a human lipid-transport protein required for the cellular replication of many types of viruses, including several human pathogens. The structurally-diverse small molecule compounds OSW-1, itraconazole (ITZ), T-00127-HEV2 (THEV) and TTP-8307 (TTP) inhibit viral replication through interaction with the OSBP protein. The OSW-1 compound reduces intracellular OSBP, and the reduction of OSBP protein levels persists multiple days after the OSW-1-compound treatment is stopped. The OSW-1-induced reduction of OSBP levels inhibited Enterovirus replication prophylactically in cells. In this report, the OSBP-interacting compounds ITZ, THEV, and TTP are shown not to reduce OSBP levels in cells, unlike the OSW-1-compound, and the OSW-1 compound is the only compound capable of providing prophylactic anti-viral activity in cells. Furthermore, OSW-1 and THEV inhibit the binding of 25-hydroxycholesterol (25-OHC) to OSBP indicating that these compounds bind at the conserved ligand binding site. The ITZ and TTP compounds do not inhibit 25-hydroxycholesterol binding to OSBP, and therefore ITZ and TTP interact with OSBP through other, unidentified binding sites. Co-administration of the THEV compound partially blocks the cellular activity of OSW-1, including the reduction of cellular OSBP protein levels; Co-administration of the ITZ and TTP compounds have minimal effect on OSW-1 cellular activity further supporting different modes of interaction with these compounds to OSBP. OSW-1, ITZ, THEV, and TTP treatment alter OSBP cellular localization and levels, but in four distinct ways. Co-administration of OSW-1 and ITZ induced OSBP cellular localization patterns with features similar to ITZ and OSW-1 treatment alone. Based on these results, OSBP is capable of interacting with multiple structural classes of small molecule compounds at different binding sites, and the different compounds have distinct effects on OSBP cellular activity.",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 "given" : "Anh T.", "non-dropping-particle" : "", "parse-names" : false, "suffix" : "" }, { "dropping-particle" : "", "family" : "Malinky", "given" : "Cori A.", "non-dropping-particle" : "", "parse-names" : false, "suffix" : "" }, { "dropping-particle" : "", "family" : "Mettenbrink", "given" : "Evan M.", "non-dropping-particle" : "", "parse-names" : false, "suffix" : "" }, { "dropping-particle" : "", "family" : "Nu\u00f1ez", "given" : "Juan I.",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W.G.", "non-dropping-particle" : "", "parse-names" : false, "suffix" : "" } ], "container-title" : "Antiviral Research", "id" : "ITEM-1", "issued" : { "date-parts" : [ [ "2019", "7", "2" ] ] }, "page" : "104548", "publisher" : "Elsevier", "title" : "Differing activities of oxysterol-binding protein (OSBP) targeting anti-viral compounds", "type" : "article-journal" }, "uris" : [ "http://www.mendeley.com/documents/?uuid=a3aed990-1007-3a88-84ad-8fbd8cb0c09a" ] } ], "mendeley" : { "formattedCitation" : "&lt;sup&gt;108&lt;/sup&gt;", "plainTextFormattedCitation" : "108" }, "properties" : { "noteIndex" : 0 }, "schema" : "https://github.com/citation-style-language/schema/raw/master/csl-citation.json" }</w:instrText>
      </w:r>
      <w:r w:rsidR="000849BF">
        <w:fldChar w:fldCharType="separate"/>
      </w:r>
      <w:r w:rsidR="000849BF" w:rsidRPr="000849BF">
        <w:rPr>
          <w:noProof/>
          <w:vertAlign w:val="superscript"/>
        </w:rPr>
        <w:t>108</w:t>
      </w:r>
      <w:r w:rsidR="000849BF">
        <w:fldChar w:fldCharType="end"/>
      </w:r>
      <w:r>
        <w:t xml:space="preserve"> Although </w:t>
      </w:r>
      <w:r w:rsidR="00EA0C0D">
        <w:t>all four</w:t>
      </w:r>
      <w:r>
        <w:t xml:space="preserve"> compound</w:t>
      </w:r>
      <w:r w:rsidR="00EA0C0D">
        <w:t>s</w:t>
      </w:r>
      <w:r>
        <w:t xml:space="preserve"> exh</w:t>
      </w:r>
      <w:r w:rsidR="00511C99">
        <w:t xml:space="preserve">ibited antiviral </w:t>
      </w:r>
      <w:r w:rsidR="00955FF1">
        <w:t>activity</w:t>
      </w:r>
      <w:r w:rsidR="00EA0C0D">
        <w:t>,</w:t>
      </w:r>
      <w:r w:rsidR="00511C99">
        <w:t xml:space="preserve"> </w:t>
      </w:r>
      <w:r w:rsidR="00EA0C0D">
        <w:t xml:space="preserve">only OSW-1 and THEV-2 </w:t>
      </w:r>
      <w:r w:rsidR="00CF09B6">
        <w:t xml:space="preserve">complete for binding with </w:t>
      </w:r>
      <w:r w:rsidR="001A550A">
        <w:t>25-OHC</w:t>
      </w:r>
      <w:r w:rsidR="000849BF">
        <w:t xml:space="preserve"> (</w:t>
      </w:r>
      <w:r w:rsidR="000849BF" w:rsidRPr="000849BF">
        <w:rPr>
          <w:b/>
          <w:bCs/>
        </w:rPr>
        <w:fldChar w:fldCharType="begin"/>
      </w:r>
      <w:r w:rsidR="000849BF" w:rsidRPr="000849BF">
        <w:rPr>
          <w:b/>
          <w:bCs/>
        </w:rPr>
        <w:instrText xml:space="preserve"> REF _Ref38441311 \h </w:instrText>
      </w:r>
      <w:r w:rsidR="000849BF">
        <w:rPr>
          <w:b/>
          <w:bCs/>
        </w:rPr>
        <w:instrText xml:space="preserve"> \* MERGEFORMAT </w:instrText>
      </w:r>
      <w:r w:rsidR="000849BF" w:rsidRPr="000849BF">
        <w:rPr>
          <w:b/>
          <w:bCs/>
        </w:rPr>
      </w:r>
      <w:r w:rsidR="000849BF" w:rsidRPr="000849BF">
        <w:rPr>
          <w:b/>
          <w:bCs/>
        </w:rPr>
        <w:fldChar w:fldCharType="separate"/>
      </w:r>
      <w:r w:rsidR="000849BF" w:rsidRPr="000849BF">
        <w:rPr>
          <w:b/>
          <w:bCs/>
        </w:rPr>
        <w:t xml:space="preserve">Figure </w:t>
      </w:r>
      <w:r w:rsidR="000849BF" w:rsidRPr="000849BF">
        <w:rPr>
          <w:b/>
          <w:bCs/>
          <w:noProof/>
        </w:rPr>
        <w:t>11</w:t>
      </w:r>
      <w:r w:rsidR="000849BF" w:rsidRPr="000849BF">
        <w:rPr>
          <w:b/>
          <w:bCs/>
        </w:rPr>
        <w:fldChar w:fldCharType="end"/>
      </w:r>
      <w:r w:rsidR="000849BF" w:rsidRPr="000849BF">
        <w:rPr>
          <w:b/>
          <w:bCs/>
        </w:rPr>
        <w:t xml:space="preserve">, </w:t>
      </w:r>
      <w:r w:rsidR="000849BF" w:rsidRPr="000849BF">
        <w:rPr>
          <w:b/>
          <w:bCs/>
        </w:rPr>
        <w:fldChar w:fldCharType="begin"/>
      </w:r>
      <w:r w:rsidR="000849BF" w:rsidRPr="000849BF">
        <w:rPr>
          <w:b/>
          <w:bCs/>
        </w:rPr>
        <w:instrText xml:space="preserve"> REF _Ref38441312 \h </w:instrText>
      </w:r>
      <w:r w:rsidR="000849BF">
        <w:rPr>
          <w:b/>
          <w:bCs/>
        </w:rPr>
        <w:instrText xml:space="preserve"> \* MERGEFORMAT </w:instrText>
      </w:r>
      <w:r w:rsidR="000849BF" w:rsidRPr="000849BF">
        <w:rPr>
          <w:b/>
          <w:bCs/>
        </w:rPr>
      </w:r>
      <w:r w:rsidR="000849BF" w:rsidRPr="000849BF">
        <w:rPr>
          <w:b/>
          <w:bCs/>
        </w:rPr>
        <w:fldChar w:fldCharType="separate"/>
      </w:r>
      <w:r w:rsidR="000849BF" w:rsidRPr="000849BF">
        <w:rPr>
          <w:b/>
          <w:bCs/>
        </w:rPr>
        <w:t xml:space="preserve">Figure </w:t>
      </w:r>
      <w:r w:rsidR="000849BF" w:rsidRPr="000849BF">
        <w:rPr>
          <w:b/>
          <w:bCs/>
          <w:noProof/>
        </w:rPr>
        <w:t>13</w:t>
      </w:r>
      <w:r w:rsidR="000849BF" w:rsidRPr="000849BF">
        <w:rPr>
          <w:b/>
          <w:bCs/>
        </w:rPr>
        <w:fldChar w:fldCharType="end"/>
      </w:r>
      <w:r w:rsidR="000849BF">
        <w:t>)</w:t>
      </w:r>
      <w:r w:rsidR="00CF09B6">
        <w:t xml:space="preserve">. These results suggest </w:t>
      </w:r>
      <w:r w:rsidR="00702AED">
        <w:t xml:space="preserve">ITZ and TPP bind OSBP </w:t>
      </w:r>
      <w:r w:rsidR="00A54411">
        <w:t xml:space="preserve">in another pocket </w:t>
      </w:r>
      <w:r w:rsidR="000633A0">
        <w:t xml:space="preserve">other than </w:t>
      </w:r>
      <w:r w:rsidR="00CF09B6">
        <w:t>the oxysterol binding site</w:t>
      </w:r>
      <w:r w:rsidR="000633A0">
        <w:t xml:space="preserve">. </w:t>
      </w:r>
      <w:r w:rsidR="00702AED">
        <w:t xml:space="preserve"> </w:t>
      </w:r>
      <w:r w:rsidR="001D3D1F">
        <w:t xml:space="preserve">Furthermore, </w:t>
      </w:r>
      <w:r w:rsidR="001D3D1F">
        <w:lastRenderedPageBreak/>
        <w:t xml:space="preserve">OSW-1 was the only compound to degrade OSBP and exhibit prophylactic activity against enteroviral replication </w:t>
      </w:r>
      <w:r w:rsidR="001D3D1F" w:rsidRPr="001D3D1F">
        <w:rPr>
          <w:i/>
          <w:iCs/>
        </w:rPr>
        <w:t>in vitro</w:t>
      </w:r>
      <w:r w:rsidR="001D3D1F">
        <w:t xml:space="preserve">, most likely due to OSBP long term </w:t>
      </w:r>
      <w:r w:rsidR="00236623">
        <w:t xml:space="preserve">repression </w:t>
      </w:r>
      <w:r w:rsidR="000849BF">
        <w:t>(</w:t>
      </w:r>
      <w:r w:rsidR="000849BF" w:rsidRPr="000849BF">
        <w:rPr>
          <w:b/>
          <w:bCs/>
        </w:rPr>
        <w:fldChar w:fldCharType="begin"/>
      </w:r>
      <w:r w:rsidR="000849BF" w:rsidRPr="000849BF">
        <w:rPr>
          <w:b/>
          <w:bCs/>
        </w:rPr>
        <w:instrText xml:space="preserve"> REF _Ref38441312 \h </w:instrText>
      </w:r>
      <w:r w:rsidR="000849BF">
        <w:rPr>
          <w:b/>
          <w:bCs/>
        </w:rPr>
        <w:instrText xml:space="preserve"> \* MERGEFORMAT </w:instrText>
      </w:r>
      <w:r w:rsidR="000849BF" w:rsidRPr="000849BF">
        <w:rPr>
          <w:b/>
          <w:bCs/>
        </w:rPr>
      </w:r>
      <w:r w:rsidR="000849BF" w:rsidRPr="000849BF">
        <w:rPr>
          <w:b/>
          <w:bCs/>
        </w:rPr>
        <w:fldChar w:fldCharType="separate"/>
      </w:r>
      <w:r w:rsidR="000849BF" w:rsidRPr="000849BF">
        <w:rPr>
          <w:b/>
          <w:bCs/>
        </w:rPr>
        <w:t xml:space="preserve">Figure </w:t>
      </w:r>
      <w:r w:rsidR="000849BF" w:rsidRPr="000849BF">
        <w:rPr>
          <w:b/>
          <w:bCs/>
          <w:noProof/>
        </w:rPr>
        <w:t>13</w:t>
      </w:r>
      <w:r w:rsidR="000849BF" w:rsidRPr="000849BF">
        <w:rPr>
          <w:b/>
          <w:bCs/>
        </w:rPr>
        <w:fldChar w:fldCharType="end"/>
      </w:r>
      <w:r w:rsidR="000849BF">
        <w:t>).</w:t>
      </w:r>
    </w:p>
    <w:p w14:paraId="26841C08" w14:textId="77777777" w:rsidR="002A3B57" w:rsidRDefault="002A3B57" w:rsidP="000849BF">
      <w:pPr>
        <w:jc w:val="both"/>
      </w:pPr>
    </w:p>
    <w:p w14:paraId="5D1ADB78" w14:textId="448D6AD2" w:rsidR="00CF09B6" w:rsidRDefault="00CF09B6" w:rsidP="00CF09B6">
      <w:pPr>
        <w:pStyle w:val="Heading2"/>
        <w:jc w:val="both"/>
      </w:pPr>
      <w:bookmarkStart w:id="94" w:name="_Toc39868161"/>
      <w:r>
        <w:t>2.5 Conclusion</w:t>
      </w:r>
      <w:r w:rsidR="002A3B57">
        <w:t>s</w:t>
      </w:r>
      <w:bookmarkEnd w:id="94"/>
    </w:p>
    <w:p w14:paraId="172287C0" w14:textId="31C1AC03" w:rsidR="00B26529" w:rsidRPr="00B2555C" w:rsidRDefault="005F7386" w:rsidP="000849BF">
      <w:pPr>
        <w:jc w:val="both"/>
      </w:pPr>
      <w:r>
        <w:tab/>
      </w:r>
      <w:r w:rsidR="000849BF">
        <w:t>These results demonstrate that targeting the host protein OSBP with a low dose, transient treatment of the OSW-1 compound causes a non-toxic</w:t>
      </w:r>
      <w:r w:rsidR="00236623">
        <w:t xml:space="preserve"> </w:t>
      </w:r>
      <w:r w:rsidR="000849BF">
        <w:t>degradation</w:t>
      </w:r>
      <w:r w:rsidR="00236623">
        <w:t xml:space="preserve"> and long-term repression </w:t>
      </w:r>
      <w:r w:rsidR="000849BF">
        <w:t xml:space="preserve">of the protein, which correlates with inhibition of </w:t>
      </w:r>
      <w:r w:rsidR="000849BF" w:rsidRPr="000849BF">
        <w:rPr>
          <w:i/>
          <w:iCs/>
        </w:rPr>
        <w:t>Enterovirus</w:t>
      </w:r>
      <w:r w:rsidR="000849BF">
        <w:t xml:space="preserve"> replication. This unique, unidentified regulator mechanism of OSBP repression has obvious therapeutic effects and demands to be continually explored for designing a new class of non-toxic, OSBP degrading therapeutics. </w:t>
      </w:r>
    </w:p>
    <w:p w14:paraId="12FD0E2F" w14:textId="1095D3B9" w:rsidR="001B0C68" w:rsidRDefault="001B0C68" w:rsidP="001B0C68">
      <w:pPr>
        <w:ind w:firstLine="720"/>
      </w:pPr>
    </w:p>
    <w:p w14:paraId="7D873670" w14:textId="71C16FCF" w:rsidR="00420DFC" w:rsidRDefault="001B0C68" w:rsidP="00420DFC">
      <w:r>
        <w:tab/>
      </w:r>
    </w:p>
    <w:p w14:paraId="24EB4C0A" w14:textId="71D0EE93" w:rsidR="009209A8" w:rsidRDefault="009209A8" w:rsidP="00420DFC"/>
    <w:p w14:paraId="775D8086" w14:textId="5D12B330" w:rsidR="009209A8" w:rsidRDefault="009209A8" w:rsidP="00420DFC"/>
    <w:p w14:paraId="317110EE" w14:textId="4CD16B56" w:rsidR="009209A8" w:rsidRDefault="009209A8" w:rsidP="00420DFC"/>
    <w:p w14:paraId="190FA706" w14:textId="08406D9E" w:rsidR="009209A8" w:rsidRDefault="009209A8" w:rsidP="00420DFC"/>
    <w:p w14:paraId="2ABA02B8" w14:textId="6FD314E6" w:rsidR="009209A8" w:rsidRDefault="009209A8" w:rsidP="00420DFC"/>
    <w:p w14:paraId="0FD5B41E" w14:textId="71BD002A" w:rsidR="009209A8" w:rsidRDefault="009209A8" w:rsidP="00420DFC"/>
    <w:p w14:paraId="7ABC4F34" w14:textId="25377926" w:rsidR="002A3B57" w:rsidRDefault="002A3B57" w:rsidP="00420DFC"/>
    <w:p w14:paraId="5C2F7900" w14:textId="2441D8CE" w:rsidR="002A3B57" w:rsidRDefault="002A3B57" w:rsidP="00420DFC"/>
    <w:p w14:paraId="0D272E95" w14:textId="3332B224" w:rsidR="002A3B57" w:rsidRDefault="002A3B57" w:rsidP="00420DFC"/>
    <w:p w14:paraId="778D5220" w14:textId="263DE1C6" w:rsidR="009209A8" w:rsidRDefault="009209A8" w:rsidP="00420DFC"/>
    <w:p w14:paraId="21D08CA2" w14:textId="6DCB10B4" w:rsidR="00AC19AD" w:rsidRDefault="00AC19AD" w:rsidP="00012F48">
      <w:pPr>
        <w:pStyle w:val="Heading1"/>
      </w:pPr>
      <w:bookmarkStart w:id="95" w:name="_Toc39868162"/>
      <w:r>
        <w:lastRenderedPageBreak/>
        <w:t xml:space="preserve">Chapter 3: </w:t>
      </w:r>
      <w:r w:rsidRPr="00AC19AD">
        <w:t>OSW-1 Compound Anti-cancer Development in Ovarian Cancer Targeting ORP4L Protein</w:t>
      </w:r>
      <w:bookmarkEnd w:id="95"/>
    </w:p>
    <w:p w14:paraId="1B4141D5" w14:textId="29EF9891" w:rsidR="008A2772" w:rsidRDefault="008A2772" w:rsidP="000849BF">
      <w:pPr>
        <w:pStyle w:val="Heading2"/>
        <w:spacing w:line="240" w:lineRule="auto"/>
        <w:jc w:val="both"/>
      </w:pPr>
      <w:bookmarkStart w:id="96" w:name="_Toc39868163"/>
      <w:r>
        <w:t>Abstrac</w:t>
      </w:r>
      <w:r w:rsidR="00242945">
        <w:t>t</w:t>
      </w:r>
      <w:bookmarkEnd w:id="96"/>
    </w:p>
    <w:p w14:paraId="7166EECF" w14:textId="2C685770" w:rsidR="00A66B3A" w:rsidRDefault="00F01888" w:rsidP="000849BF">
      <w:pPr>
        <w:spacing w:line="240" w:lineRule="auto"/>
        <w:jc w:val="both"/>
        <w:rPr>
          <w:bCs/>
          <w:i/>
          <w:iCs/>
        </w:rPr>
      </w:pPr>
      <w:r w:rsidRPr="00F01888">
        <w:rPr>
          <w:bCs/>
        </w:rPr>
        <w:t xml:space="preserve">Oxysterol-binding protein (OSBP)-related protein 4 (ORP4) is a cancer-specific driver of cellular proliferation and a regulator of cellular metabolism. The natural product OSW-1 targets ORP4 and its </w:t>
      </w:r>
      <w:r w:rsidR="00EE02F3" w:rsidRPr="00F01888">
        <w:rPr>
          <w:bCs/>
        </w:rPr>
        <w:t>closely related</w:t>
      </w:r>
      <w:r w:rsidRPr="00F01888">
        <w:rPr>
          <w:bCs/>
        </w:rPr>
        <w:t xml:space="preserve"> paralog OSBP producing potent antiproliferative properties through an incompletely understood mechanism.  Although reported to have limited to no expression in normal tissue, ORP4 is putatively expressed in the majority of cancers, with specifically high expression in ovarian cancer. We demonstrate that ORP4 is strongly expressed in all ovarian cancer cell lines tested, including in three-dimensional spheroid tumor-models. The nanomolar antiproliferative activity of the OSW-1 compound was correlated to ORP4 expression levels in the different ovarian cancer cell lines, both in monolayer and in spheroid models. The correlation of ORP4 levels and OSW-1 potency suggests a precision targeting of the cancer-specific ORP4 protein. Importantly the OSW-1 compound had comparable superior cytotoxicity in the ovarian cancer three-dimensional spheroids models compared to cisplatin and paclitaxel. OSW-1 compound treatment induces the degradation of ORP4, and the cytotoxicity correlated to the amount of ORP4 degradation, further supporting the identification of ORP4 as a potential precision cancer target in ovarian cancer. Further, the absence of extracellular lipids dramatically potentiated the cytotoxic effects of OSW-1 in monolayer cells, and this increase in OSW-1 potency was rescued by addition of extracellular cholesterol. These results suggest that ORP4 is a potentially druggable precision cancer target for ovarian cancer, and that the increased potency of the OSW-1 compound in the absence of lipids presents an opportunity for the compound to possibly selectively target nutrient/lipid deprived tumors </w:t>
      </w:r>
      <w:r w:rsidRPr="00F01888">
        <w:rPr>
          <w:bCs/>
          <w:i/>
          <w:iCs/>
        </w:rPr>
        <w:t>in vivo.</w:t>
      </w:r>
    </w:p>
    <w:p w14:paraId="39EF3656" w14:textId="77777777" w:rsidR="00242945" w:rsidRPr="00F01888" w:rsidRDefault="00242945" w:rsidP="000849BF">
      <w:pPr>
        <w:spacing w:line="240" w:lineRule="auto"/>
        <w:ind w:firstLine="720"/>
        <w:jc w:val="both"/>
        <w:rPr>
          <w:bCs/>
        </w:rPr>
      </w:pPr>
    </w:p>
    <w:p w14:paraId="4C291850" w14:textId="1988AB9B" w:rsidR="00242945" w:rsidRDefault="00242945" w:rsidP="00242945">
      <w:pPr>
        <w:pStyle w:val="Heading2"/>
        <w:spacing w:line="240" w:lineRule="auto"/>
        <w:jc w:val="both"/>
      </w:pPr>
      <w:bookmarkStart w:id="97" w:name="_Toc39868164"/>
      <w:r>
        <w:t>Allocation of Contribution</w:t>
      </w:r>
      <w:bookmarkEnd w:id="97"/>
    </w:p>
    <w:p w14:paraId="078AB09A" w14:textId="6C13A19B" w:rsidR="00242945" w:rsidRDefault="00242945" w:rsidP="00242945">
      <w:pPr>
        <w:spacing w:line="240" w:lineRule="auto"/>
        <w:ind w:firstLine="720"/>
        <w:jc w:val="both"/>
      </w:pPr>
      <w:r>
        <w:t>Th</w:t>
      </w:r>
      <w:r w:rsidR="00CF09B6">
        <w:t>is chapter is from a</w:t>
      </w:r>
      <w:r>
        <w:t xml:space="preserve"> manuscript in preparation</w:t>
      </w:r>
      <w:r w:rsidR="00CF09B6">
        <w:t xml:space="preserve">. I am co-first author on the manuscript. The results presented here are a </w:t>
      </w:r>
      <w:r>
        <w:t xml:space="preserve">collaborative effort between the Burgett lab and the </w:t>
      </w:r>
      <w:r w:rsidR="00CF09B6">
        <w:t xml:space="preserve">research group of Dr. Handan </w:t>
      </w:r>
      <w:r>
        <w:t>Acar</w:t>
      </w:r>
      <w:r w:rsidR="00CF09B6">
        <w:t xml:space="preserve">, in the Department of Biomedical Engineering at </w:t>
      </w:r>
      <w:r>
        <w:t xml:space="preserve"> the University of Oklahoma. The manuscript writing was conducted by myself with assistance from Mr. Gokhan Gunay and edits from both Dr. Burget and Dr. Acar. I was responsible for all the data accumulation and figure making of  </w:t>
      </w:r>
      <w:r w:rsidRPr="00A2584C">
        <w:rPr>
          <w:b/>
          <w:bCs/>
        </w:rPr>
        <w:fldChar w:fldCharType="begin"/>
      </w:r>
      <w:r w:rsidRPr="00A2584C">
        <w:rPr>
          <w:b/>
          <w:bCs/>
        </w:rPr>
        <w:instrText xml:space="preserve"> REF _Ref37253703 \h </w:instrText>
      </w:r>
      <w:r w:rsidR="00236623">
        <w:rPr>
          <w:b/>
          <w:bCs/>
        </w:rPr>
        <w:instrText xml:space="preserve"> \* MERGEFORMAT </w:instrText>
      </w:r>
      <w:r w:rsidRPr="00A2584C">
        <w:rPr>
          <w:b/>
          <w:bCs/>
        </w:rPr>
      </w:r>
      <w:r w:rsidRPr="00A2584C">
        <w:rPr>
          <w:b/>
          <w:bCs/>
        </w:rPr>
        <w:fldChar w:fldCharType="separate"/>
      </w:r>
      <w:r w:rsidRPr="00A2584C">
        <w:rPr>
          <w:b/>
          <w:bCs/>
        </w:rPr>
        <w:t xml:space="preserve">Figure </w:t>
      </w:r>
      <w:r w:rsidRPr="00A2584C">
        <w:rPr>
          <w:b/>
          <w:bCs/>
          <w:noProof/>
        </w:rPr>
        <w:t>14</w:t>
      </w:r>
      <w:r w:rsidRPr="00A2584C">
        <w:rPr>
          <w:b/>
          <w:bCs/>
        </w:rPr>
        <w:fldChar w:fldCharType="end"/>
      </w:r>
      <w:r>
        <w:t xml:space="preserve">, </w:t>
      </w:r>
      <w:r w:rsidRPr="00A2584C">
        <w:rPr>
          <w:b/>
          <w:bCs/>
        </w:rPr>
        <w:fldChar w:fldCharType="begin"/>
      </w:r>
      <w:r w:rsidRPr="00A2584C">
        <w:rPr>
          <w:b/>
          <w:bCs/>
        </w:rPr>
        <w:instrText xml:space="preserve"> REF _Ref37253829 \h </w:instrText>
      </w:r>
      <w:r w:rsidR="00236623">
        <w:rPr>
          <w:b/>
          <w:bCs/>
        </w:rPr>
        <w:instrText xml:space="preserve"> \* MERGEFORMAT </w:instrText>
      </w:r>
      <w:r w:rsidRPr="00A2584C">
        <w:rPr>
          <w:b/>
          <w:bCs/>
        </w:rPr>
      </w:r>
      <w:r w:rsidRPr="00A2584C">
        <w:rPr>
          <w:b/>
          <w:bCs/>
        </w:rPr>
        <w:fldChar w:fldCharType="separate"/>
      </w:r>
      <w:r w:rsidRPr="00A2584C">
        <w:rPr>
          <w:b/>
          <w:bCs/>
        </w:rPr>
        <w:t xml:space="preserve">Figure </w:t>
      </w:r>
      <w:r w:rsidRPr="00A2584C">
        <w:rPr>
          <w:b/>
          <w:bCs/>
          <w:noProof/>
        </w:rPr>
        <w:t>15</w:t>
      </w:r>
      <w:r w:rsidRPr="00A2584C">
        <w:rPr>
          <w:b/>
          <w:bCs/>
        </w:rPr>
        <w:fldChar w:fldCharType="end"/>
      </w:r>
      <w:r>
        <w:t xml:space="preserve">, </w:t>
      </w:r>
      <w:r w:rsidRPr="00A2584C">
        <w:rPr>
          <w:b/>
          <w:bCs/>
        </w:rPr>
        <w:fldChar w:fldCharType="begin"/>
      </w:r>
      <w:r w:rsidRPr="00A2584C">
        <w:rPr>
          <w:b/>
          <w:bCs/>
        </w:rPr>
        <w:instrText xml:space="preserve"> REF _Ref37256720 \h </w:instrText>
      </w:r>
      <w:r w:rsidR="00236623">
        <w:rPr>
          <w:b/>
          <w:bCs/>
        </w:rPr>
        <w:instrText xml:space="preserve"> \* MERGEFORMAT </w:instrText>
      </w:r>
      <w:r w:rsidRPr="00A2584C">
        <w:rPr>
          <w:b/>
          <w:bCs/>
        </w:rPr>
      </w:r>
      <w:r w:rsidRPr="00A2584C">
        <w:rPr>
          <w:b/>
          <w:bCs/>
        </w:rPr>
        <w:fldChar w:fldCharType="separate"/>
      </w:r>
      <w:r w:rsidRPr="00A2584C">
        <w:rPr>
          <w:b/>
          <w:bCs/>
        </w:rPr>
        <w:t xml:space="preserve">Figure </w:t>
      </w:r>
      <w:r w:rsidRPr="00A2584C">
        <w:rPr>
          <w:b/>
          <w:bCs/>
          <w:noProof/>
        </w:rPr>
        <w:t>18</w:t>
      </w:r>
      <w:r w:rsidRPr="00A2584C">
        <w:rPr>
          <w:b/>
          <w:bCs/>
        </w:rPr>
        <w:fldChar w:fldCharType="end"/>
      </w:r>
      <w:r>
        <w:t xml:space="preserve">, </w:t>
      </w:r>
      <w:r w:rsidRPr="00A2584C">
        <w:rPr>
          <w:b/>
          <w:bCs/>
        </w:rPr>
        <w:fldChar w:fldCharType="begin"/>
      </w:r>
      <w:r w:rsidRPr="00A2584C">
        <w:rPr>
          <w:b/>
          <w:bCs/>
        </w:rPr>
        <w:instrText xml:space="preserve"> REF _Ref37254054 \h </w:instrText>
      </w:r>
      <w:r w:rsidR="00236623">
        <w:rPr>
          <w:b/>
          <w:bCs/>
        </w:rPr>
        <w:instrText xml:space="preserve"> \* MERGEFORMAT </w:instrText>
      </w:r>
      <w:r w:rsidRPr="00A2584C">
        <w:rPr>
          <w:b/>
          <w:bCs/>
        </w:rPr>
      </w:r>
      <w:r w:rsidRPr="00A2584C">
        <w:rPr>
          <w:b/>
          <w:bCs/>
        </w:rPr>
        <w:fldChar w:fldCharType="separate"/>
      </w:r>
      <w:r w:rsidRPr="00A2584C">
        <w:rPr>
          <w:b/>
          <w:bCs/>
        </w:rPr>
        <w:t xml:space="preserve">Figure </w:t>
      </w:r>
      <w:r w:rsidRPr="00A2584C">
        <w:rPr>
          <w:b/>
          <w:bCs/>
          <w:noProof/>
        </w:rPr>
        <w:t>19</w:t>
      </w:r>
      <w:r w:rsidRPr="00A2584C">
        <w:rPr>
          <w:b/>
          <w:bCs/>
        </w:rPr>
        <w:fldChar w:fldCharType="end"/>
      </w:r>
      <w:r>
        <w:t xml:space="preserve">, and </w:t>
      </w:r>
      <w:r w:rsidRPr="00A2584C">
        <w:rPr>
          <w:b/>
          <w:bCs/>
        </w:rPr>
        <w:fldChar w:fldCharType="begin"/>
      </w:r>
      <w:r w:rsidRPr="00A2584C">
        <w:rPr>
          <w:b/>
          <w:bCs/>
        </w:rPr>
        <w:instrText xml:space="preserve"> REF _Ref37254110 \h </w:instrText>
      </w:r>
      <w:r w:rsidR="00236623">
        <w:rPr>
          <w:b/>
          <w:bCs/>
        </w:rPr>
        <w:instrText xml:space="preserve"> \* MERGEFORMAT </w:instrText>
      </w:r>
      <w:r w:rsidRPr="00A2584C">
        <w:rPr>
          <w:b/>
          <w:bCs/>
        </w:rPr>
      </w:r>
      <w:r w:rsidRPr="00A2584C">
        <w:rPr>
          <w:b/>
          <w:bCs/>
        </w:rPr>
        <w:fldChar w:fldCharType="separate"/>
      </w:r>
      <w:r w:rsidRPr="00A2584C">
        <w:rPr>
          <w:b/>
          <w:bCs/>
        </w:rPr>
        <w:t xml:space="preserve">Figure </w:t>
      </w:r>
      <w:r w:rsidRPr="00A2584C">
        <w:rPr>
          <w:b/>
          <w:bCs/>
          <w:noProof/>
        </w:rPr>
        <w:t>20</w:t>
      </w:r>
      <w:r w:rsidRPr="00A2584C">
        <w:rPr>
          <w:b/>
          <w:bCs/>
        </w:rPr>
        <w:fldChar w:fldCharType="end"/>
      </w:r>
      <w:r>
        <w:t xml:space="preserve"> (Mr. Gokhan Gunay was responsible for producing spheroid lysate). Mr. Gokhan Gunay was responsible for the data accumulation and figure making of </w:t>
      </w:r>
      <w:r w:rsidRPr="00A2584C">
        <w:rPr>
          <w:b/>
          <w:bCs/>
        </w:rPr>
        <w:fldChar w:fldCharType="begin"/>
      </w:r>
      <w:r w:rsidRPr="00A2584C">
        <w:rPr>
          <w:b/>
          <w:bCs/>
        </w:rPr>
        <w:instrText xml:space="preserve"> REF _Ref37253911 \h </w:instrText>
      </w:r>
      <w:r w:rsidR="00236623">
        <w:rPr>
          <w:b/>
          <w:bCs/>
        </w:rPr>
        <w:instrText xml:space="preserve"> \* MERGEFORMAT </w:instrText>
      </w:r>
      <w:r w:rsidRPr="00A2584C">
        <w:rPr>
          <w:b/>
          <w:bCs/>
        </w:rPr>
      </w:r>
      <w:r w:rsidRPr="00A2584C">
        <w:rPr>
          <w:b/>
          <w:bCs/>
        </w:rPr>
        <w:fldChar w:fldCharType="separate"/>
      </w:r>
      <w:r w:rsidRPr="00A2584C">
        <w:rPr>
          <w:b/>
          <w:bCs/>
        </w:rPr>
        <w:t xml:space="preserve">Figure </w:t>
      </w:r>
      <w:r w:rsidRPr="00A2584C">
        <w:rPr>
          <w:b/>
          <w:bCs/>
          <w:noProof/>
        </w:rPr>
        <w:t>16</w:t>
      </w:r>
      <w:r w:rsidRPr="00A2584C">
        <w:rPr>
          <w:b/>
          <w:bCs/>
        </w:rPr>
        <w:fldChar w:fldCharType="end"/>
      </w:r>
      <w:r>
        <w:t xml:space="preserve"> and </w:t>
      </w:r>
      <w:r w:rsidRPr="00A2584C">
        <w:rPr>
          <w:b/>
          <w:bCs/>
        </w:rPr>
        <w:fldChar w:fldCharType="begin"/>
      </w:r>
      <w:r w:rsidRPr="00A2584C">
        <w:rPr>
          <w:b/>
          <w:bCs/>
        </w:rPr>
        <w:instrText xml:space="preserve"> REF _Ref37253983 \h </w:instrText>
      </w:r>
      <w:r w:rsidR="00236623">
        <w:rPr>
          <w:b/>
          <w:bCs/>
        </w:rPr>
        <w:instrText xml:space="preserve"> \* MERGEFORMAT </w:instrText>
      </w:r>
      <w:r w:rsidRPr="00A2584C">
        <w:rPr>
          <w:b/>
          <w:bCs/>
        </w:rPr>
      </w:r>
      <w:r w:rsidRPr="00A2584C">
        <w:rPr>
          <w:b/>
          <w:bCs/>
        </w:rPr>
        <w:fldChar w:fldCharType="separate"/>
      </w:r>
      <w:r w:rsidRPr="00A2584C">
        <w:rPr>
          <w:b/>
          <w:bCs/>
        </w:rPr>
        <w:t xml:space="preserve">Figure </w:t>
      </w:r>
      <w:r w:rsidRPr="00A2584C">
        <w:rPr>
          <w:b/>
          <w:bCs/>
          <w:noProof/>
        </w:rPr>
        <w:t>17</w:t>
      </w:r>
      <w:r w:rsidRPr="00A2584C">
        <w:rPr>
          <w:b/>
          <w:bCs/>
        </w:rPr>
        <w:fldChar w:fldCharType="end"/>
      </w:r>
      <w:r>
        <w:t xml:space="preserve">. Support from both Mr. Matthew Finneran and Isha Jhingan were also provided throughout the project. </w:t>
      </w:r>
    </w:p>
    <w:p w14:paraId="5AC674E8" w14:textId="77777777" w:rsidR="00242945" w:rsidRDefault="00242945" w:rsidP="000849BF">
      <w:pPr>
        <w:spacing w:line="240" w:lineRule="auto"/>
        <w:ind w:firstLine="720"/>
        <w:jc w:val="both"/>
      </w:pPr>
    </w:p>
    <w:p w14:paraId="73179C95" w14:textId="000244F0" w:rsidR="00180205" w:rsidRDefault="00180205" w:rsidP="004C1F2D">
      <w:pPr>
        <w:pStyle w:val="Heading2"/>
        <w:jc w:val="both"/>
      </w:pPr>
      <w:bookmarkStart w:id="98" w:name="_Toc39868165"/>
      <w:r>
        <w:lastRenderedPageBreak/>
        <w:t>3.</w:t>
      </w:r>
      <w:r w:rsidR="00242945">
        <w:t xml:space="preserve">1 </w:t>
      </w:r>
      <w:r>
        <w:t>Introduction</w:t>
      </w:r>
      <w:bookmarkEnd w:id="98"/>
    </w:p>
    <w:p w14:paraId="2A0D1208" w14:textId="420517A3" w:rsidR="009F36E9" w:rsidRDefault="009F36E9" w:rsidP="009F36E9">
      <w:pPr>
        <w:pStyle w:val="Heading3"/>
      </w:pPr>
      <w:bookmarkStart w:id="99" w:name="_Toc39868166"/>
      <w:r>
        <w:t>3.</w:t>
      </w:r>
      <w:r w:rsidR="00242945">
        <w:t>1</w:t>
      </w:r>
      <w:r>
        <w:t>.1 Ovarian Cancer Background</w:t>
      </w:r>
      <w:bookmarkEnd w:id="99"/>
    </w:p>
    <w:p w14:paraId="0E761085" w14:textId="04DDDBF5" w:rsidR="00857842" w:rsidRDefault="00857842" w:rsidP="00A66B3A">
      <w:pPr>
        <w:ind w:firstLine="720"/>
        <w:jc w:val="both"/>
        <w:rPr>
          <w:rFonts w:cs="Arial"/>
        </w:rPr>
      </w:pPr>
      <w:r w:rsidRPr="00857842">
        <w:rPr>
          <w:rFonts w:cs="Arial"/>
        </w:rPr>
        <w:t>Ovarian cancer is the deadliest gynecological malignancy, with a 50% five-year survival rate causing over 14,000 deaths per year in the United States.</w:t>
      </w:r>
      <w:r w:rsidRPr="00857842">
        <w:rPr>
          <w:rFonts w:cs="Arial"/>
        </w:rPr>
        <w:fldChar w:fldCharType="begin" w:fldLock="1"/>
      </w:r>
      <w:r w:rsidR="000849BF">
        <w:rPr>
          <w:rFonts w:cs="Arial"/>
        </w:rPr>
        <w:instrText>ADDIN CSL_CITATION { "citationItems" : [ { "id" : "ITEM-1", "itemData" : { "DOI" : "10.3322/caac.21456", "ISSN" : "1542-4863", "abstract" : "In 2018, there will be approximately 22,240 new cases of ovarian cancer diagnosed and 14,070 ovarian cancer deaths in the United States. Herein, the Amer-ican Cancer Society provides an overview of ovarian cancer occurrence based on incidence data from nationwide population-based cancer registries and mortality data from the National Center for Health Statistics. The status of early detection strategies is also reviewed. In the United States, the overall ovarian cancer incidence rate declined from 1985 (16.6 per 100,000) to 2014 (11.8 per 100,000) by 29% and the mortality rate declined between 1976 (10.0 per 100,000) and 2015 (6.7 per 100,000) by 33%. Ovarian cancer encompasses a heterogenous group of malignan-cies that vary in etiology, molecular biology, and numerous other characteristics. Ninety percent of ovarian cancers are epithelial, the most common being serous car-cinoma, for which incidence is highest in non-Hispanic whites (NHWs) (5.2 per 100,000) and lowest in non-Hispanic blacks (NHBs) and Asians/Pacific Islanders (APIs) (3.4 per 100,000). Notably, however, APIs have the highest incidence of endo-metrioid and clear cell carcinomas, which occur at younger ages and help explain comparable epithelial cancer incidence for APIs and NHWs younger than 55 years. Most serous carcinomas are diagnosed at stage III (51%) or IV (29%), for which the 5-year cause-specific survival for patients diagnosed during 2007 through 2013 was 42% and 26%, respectively. For all stages of epithelial cancer combined, 5-year survival is highest in APIs (57%) and lowest in NHBs (35%), who have the lowest survival for almost every stage of diagnosis across cancer subtypes. Moreover, survival has plateaued in NHBs for decades despite increasing in NHWs, from 40% for cases diagnosed during 1992 through 1994 to 47% during 2007 through 2013. Progress in reducing ovarian cancer incidence and mortality can be accelerated by reducing racial disparities and furthering knowledge of etiology and tumorigenesis to facilitate strategies for prevention and early detection.", "author" : [ { "dropping-particle" : "", "family" : "Torre", "given" : "Lindsey A.", "non-dropping-particle" : "", "parse-names" : false, "suffix" : "" }, { "dropping-particle" : "", "family" : "Trabert", "given" : "Britton", "non-dropping-particle" : "", "parse-names" : false, "suffix" : "" }, { "dropping-particle" : "", "family" : "DeSantis", "given" : "Carol E.", "non-dropping-particle" : "", "parse-names" : false, "suffix" : "" }, { "dropping-particle" : "", "family" : "Miller", "given" : "Kimberly D.", "non-dropping-particle" : "", "parse-names" : false, "suffix" : "" }, { "dropping-particle" : "", "family" : "Samimi", "given" : "Goli", "non-dropping-particle" : "", "parse-names" : false, "suffix" : "" }, { "dropping-particle" : "", "family" : "Runowicz", "given" : "Carolyn D.", "non-dropping-particle" : "", "parse-names" : false, "suffix" : "" }, { "dropping-particle" : "", "family" : "Gaudet", "given" : "Mia M.", "non-dropping-particle" : "", "parse-names" : false, "suffix" : "" }, { "dropping-particle" : "", "family" : "Jemal", "given" : "Ahmedin", "non-dropping-particle" : "", "parse-names" : false, "suffix" : "" }, { "dropping-particle" : "", "family" : "Siegel", "given" : "Rebecca L.", "non-dropping-particle" : "", "parse-names" : false, "suffix" : "" } ], "container-title" : "CA: A Cancer Journal for Clinicians", "id" : "ITEM-1", "issue" : "4", "issued" : { "date-parts" : [ [ "2018", "7", "1" ] ] }, "page" : "284-296", "publisher" : "American Cancer Society", "title" : "Ovarian cancer statistics, 2018", "type" : "article-journal", "volume" : "68" }, "uris" : [ "http://www.mendeley.com/documents/?uuid=18e6adc2-fbc0-3b80-ace3-c326f429b149" ] } ], "mendeley" : { "formattedCitation" : "&lt;sup&gt;109&lt;/sup&gt;", "plainTextFormattedCitation" : "109", "previouslyFormattedCitation" : "&lt;sup&gt;108&lt;/sup&gt;"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109</w:t>
      </w:r>
      <w:r w:rsidRPr="00857842">
        <w:rPr>
          <w:rFonts w:cs="Arial"/>
        </w:rPr>
        <w:fldChar w:fldCharType="end"/>
      </w:r>
      <w:r w:rsidRPr="00857842">
        <w:rPr>
          <w:rFonts w:cs="Arial"/>
        </w:rPr>
        <w:t xml:space="preserve"> The high morbidity and mortality of ovarian cancer is due to diagnosis commonly occurring after the metastatic spread of the cancer (Stage III or IV), at which point the treatment options are often limited and inefficient.</w:t>
      </w:r>
      <w:r w:rsidRPr="00857842">
        <w:rPr>
          <w:rFonts w:cs="Arial"/>
        </w:rPr>
        <w:fldChar w:fldCharType="begin" w:fldLock="1"/>
      </w:r>
      <w:r w:rsidR="000849BF">
        <w:rPr>
          <w:rFonts w:cs="Arial"/>
        </w:rPr>
        <w:instrText>ADDIN CSL_CITATION { "citationItems" : [ { "id" : "ITEM-1", "itemData" : { "author" : [ { "dropping-particle" : "", "family" : "Howlader", "given" : "N", "non-dropping-particle" : "", "parse-names" : false, "suffix" : "" }, { "dropping-particle" : "", "family" : "Noone", "given" : "A", "non-dropping-particle" : "", "parse-names" : false, "suffix" : "" }, { "dropping-particle" : "", "family" : "Krapcho", "given" : "M", "non-dropping-particle" : "", "parse-names" : false, "suffix" : "" }, { "dropping-particle" : "", "family" : "Noone", "given" : "AM", "non-dropping-particle" : "", "parse-names" : false, "suffix" : "" }, { "dropping-particle" : "", "family" : "Neyman", "given" : "N", "non-dropping-particle" : "", "parse-names" : false, "suffix" : "" }, { "dropping-particle" : "", "family" : "Aminou", "given" : "R", "non-dropping-particle" : "", "parse-names" : false, "suffix" : "" }, { "dropping-particle" : "", "family" : "Altekruse", "given" : "SF", "non-dropping-particle" : "", "parse-names" : false, "suffix" : "" }, { "dropping-particle" : "", "family" : "Kosary", "given" : "CL", "non-dropping-particle" : "", "parse-names" : false, "suffix" : "" }, { "dropping-particle" : "", "family" : "Altekruse", "given" : "S.F.", "non-dropping-particle" : "", "parse-names" : false, "suffix" : "" }, { "dropping-particle" : "", "family" : "Kosary", "given" : "C.L.", "non-dropping-particle" : "", "parse-names" : false, "suffix" : "" }, { "dropping-particle" : "", "family" : "Ruhl", "given" : "J.", "non-dropping-particle" : "", "parse-names" : false, "suffix" : "" }, { "dropping-particle" : "", "family" : "Tatalovich", "given" : "Z.", "non-dropping-particle" : "", "parse-names" : false, "suffix" : "" }, { "dropping-particle" : "", "family" : "Cho", "given" : "H", "non-dropping-particle" : "", "parse-names" : false, "suffix" : "" }, { "dropping-particle" : "", "family" : "Afifi", "given" : "A.M.", "non-dropping-particle" : "", "parse-names" : false, "suffix" : "" }, { "dropping-particle" : "", "family" : "Garshell", "given" : "J", "non-dropping-particle" : "", "parse-names" : false, "suffix" : "" }, { "dropping-particle" : "", "family" : "Yu", "given" : "M.", "non-dropping-particle" : "", "parse-names" : false, "suffix" : "" } ], "id" : "ITEM-1", "issued" : { "date-parts" : [ [ "2012", "1", "1" ] ] }, "title" : "SEER Cancer Statistics Review, 1975\u20132009 (Vintage 2009 Populations)", "type" : "article" }, "uris" : [ "http://www.mendeley.com/documents/?uuid=7171c3c1-7f46-3c73-9e63-1370674de466" ] } ], "mendeley" : { "formattedCitation" : "&lt;sup&gt;110&lt;/sup&gt;", "plainTextFormattedCitation" : "110", "previouslyFormattedCitation" : "&lt;sup&gt;109&lt;/sup&gt;"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110</w:t>
      </w:r>
      <w:r w:rsidRPr="00857842">
        <w:rPr>
          <w:rFonts w:cs="Arial"/>
        </w:rPr>
        <w:fldChar w:fldCharType="end"/>
      </w:r>
      <w:r w:rsidRPr="00857842">
        <w:rPr>
          <w:rFonts w:cs="Arial"/>
        </w:rPr>
        <w:t xml:space="preserve"> The major type of epithelial ovarian cancer (EOC) is high-grade serous carcinoma (HGSC).</w:t>
      </w:r>
      <w:r w:rsidRPr="00857842">
        <w:rPr>
          <w:rFonts w:cs="Arial"/>
        </w:rPr>
        <w:fldChar w:fldCharType="begin" w:fldLock="1"/>
      </w:r>
      <w:r w:rsidR="000849BF">
        <w:rPr>
          <w:rFonts w:cs="Arial"/>
        </w:rPr>
        <w:instrText>ADDIN CSL_CITATION { "citationItems" : [ { "id" : "ITEM-1", "itemData" : { "DOI" : "10.2353/ajpath.2010.100105", "ISSN" : "15252191", "abstract" : "The biology of ovarian carcinoma differs from that of hematogenously metastasizing tumors because ovarian cancer cells primarily disseminate within the peritoneal cavity and are only superficially invasive. However, since the rapidly proliferating tumors compress visceral organs and are only temporarily chemosensitive, ovarian carcinoma is a deadly disease, with a cure rate of only 30%. There are a number of genetic and epigenetic changes that lead to ovarian carcinoma cell transformation. Ovarian carcinoma could originate from any of three potential sites: the surfaces of the ovary, the fallopian tube, or the mesothelium-lined peritoneal cavity. Ovarian cacinoma tumorigenesis then either progresses along a stepwise mutation process from a slow growing borderline tumor to a well-differentiated carcinoma (type I) or involves a genetically unstable high-grade serous carcinoma that metastasizes rapidly (type II). During initial tumorigenesis, ovarian carcinoma cells undergo an epithelial-to- mesenchymal transition, which involves a change in cadherin and integrin expression and upregulation of proteolytic pathways. Carried by the peritoneal fluid, cancer cell spheroids overcome anoikis and attach preferentially on the abdominal peritoneum or omentum, where the cancer cells revert to their epithelial phenotype. The initial steps of metastasis are regulated by a controlled interaction of adhesion receptors and proteases, and late metastasis is characterized by the oncogene-driven fast growth of tumor nodules on mesothelium covered surfaces, causing ascites, bowel obstruction, and tumor cachexia. Copyright \u00a9 American Society for Investigative Pathology.", "author" : [ { "dropping-particle" : "", "family" : "Lengyel", "given" : "Ernst", "non-dropping-particle" : "", "parse-names" : false, "suffix" : "" } ], "container-title" : "American Journal of Pathology", "id" : "ITEM-1", "issue" : "3", "issued" : { "date-parts" : [ [ "2010", "9", "1" ] ] }, "page" : "1053-1064", "publisher" : "Elsevier Inc.", "title" : "Ovarian cancer development and metastasis", "type" : "article", "volume" : "177" }, "uris" : [ "http://www.mendeley.com/documents/?uuid=323b2d13-5216-34ea-a480-9eba25a94eda" ] } ], "mendeley" : { "formattedCitation" : "&lt;sup&gt;111&lt;/sup&gt;", "plainTextFormattedCitation" : "111", "previouslyFormattedCitation" : "&lt;sup&gt;110&lt;/sup&gt;"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111</w:t>
      </w:r>
      <w:r w:rsidRPr="00857842">
        <w:rPr>
          <w:rFonts w:cs="Arial"/>
        </w:rPr>
        <w:fldChar w:fldCharType="end"/>
      </w:r>
      <w:r w:rsidRPr="00857842">
        <w:rPr>
          <w:rFonts w:cs="Arial"/>
        </w:rPr>
        <w:t xml:space="preserve"> Standard of care treatment of metastatic HGSC is a combination chemotherapy of a platinum-based drug (e.g., cisplatin or carboplatin) and an anti-mitotic agent (e.g., paclitaxel).</w:t>
      </w:r>
      <w:r w:rsidRPr="00857842">
        <w:rPr>
          <w:rFonts w:cs="Arial"/>
        </w:rPr>
        <w:fldChar w:fldCharType="begin" w:fldLock="1"/>
      </w:r>
      <w:r w:rsidR="000849BF">
        <w:rPr>
          <w:rFonts w:cs="Arial"/>
        </w:rPr>
        <w:instrText>ADDIN CSL_CITATION { "citationItems" : [ { "id" : "ITEM-1", "itemData" : { "DOI" : "10.1056/NEJMoa052985", "ISSN" : "0028-4793", "abstract" : "BACKGROUND: Standard chemotherapy for newly diagnosed ovarian cancer is a platinum-taxane combination. The Gynecologic Oncology Group conducted a randomized, phase 3 trial that compared intravenous paclitaxel plus cisplatin with intravenous paclitaxel plus intraperitoneal cisplatin and paclitaxel in patients with stage III ovarian cancer. METHODS: We randomly assigned patients with stage III ovarian carcinoma or primary peritoneal carcinoma with no residual mass greater than 1.0 cm to receive 135 mg of intravenous paclitaxel per square meter of body-surface area over a 24-hour period followed by either 75 mg of intravenous cisplatin per square meter on day 2 (intravenous-therapy group) or 100 mg of intraperitoneal cisplatin per square meter on day 2 and 60 mg of intraperitoneal paclitaxel per square meter on day 8 (intraperitoneal- therapy group). Treatment was given every three weeks for six cycles. Quality of life was assessed. RESULTS: Of 429 patients who underwent randomization, 415 were eligible. Grade 3 and 4 pain, fatigue, and hematologic, gastrointestinal, metabolic, and neurologic toxic effects were more common in the intraperitoneal-therapy group than in the intravenous-therapy group (P \u2264 0.001). Only 42 percent of the patients in the intraperitoneal-therapy group completed six cycles of the assigned therapy, but the median duration of progression-free survival in the intravenous-therapy and intraperitoneal-therapy groups was 18.3 and 23.8 months, respectively (P = 0.05 by the log-rank test). The median duration of overall survival in the intravenous-therapy and intraperitoneal-therapy groups was 49.7 and 65.6 months, respectively (P = 0.03 by the log-rank test). Quality of life was significantly worse in the intraperitoneal-therapy group before cycle 4 and three to six weeks after treatment but not one year after treatment. CONCLUSIONS: As compared with intravenous paclitaxel plus cisplatin, intravenous paclitaxel plus intraperitoneal cisplatin and paclitaxel improves survival in patients with optimally debulked stage III ovarian cancer. Copyright \u00a9 2006 Massachusetts Medical Society.", "author" : [ { "dropping-particle" : "", "family" : "Armstrong", "given" : "Deborah K.", "non-dropping-particle" : "", "parse-names" : false, "suffix" : "" }, { "dropping-particle" : "", "family" : "Bundy", "given" : "Brian", "non-dropping-particle" : "", "parse-names" : false, "suffix" : "" }, { "dropping-particle" : "", "family" : "Wenzel", "given" : "Lari", "non-dropping-particle" : "", "parse-names" : false, "suffix" : "" }, { "dropping-particle" : "", "family" : "Huang", "given" : "Helen Q.", "non-dropping-particle" : "", "parse-names" : false, "suffix" : "" }, { "dropping-particle" : "", "family" : "Baergen", "given" : "Rebecca", "non-dropping-particle" : "", "parse-names" : false, "suffix" : "" }, { "dropping-particle" : "", "family" : "Lele", "given" : "Shashikant", "non-dropping-particle" : "", "parse-names" : false, "suffix" : "" }, { "dropping-particle" : "", "family" : "Copeland", "given" : "Larry J.", "non-dropping-particle" : "", "parse-names" : false, "suffix" : "" }, { "dropping-particle" : "", "family" : "Walker", "given" : "Joan L.", "non-dropping-particle" : "", "parse-names" : false, "suffix" : "" }, { "dropping-particle" : "", "family" : "Burger", "given" : "Robert A.", "non-dropping-particle" : "", "parse-names" : false, "suffix" : "" } ], "container-title" : "New England Journal of Medicine", "id" : "ITEM-1", "issue" : "1", "issued" : { "date-parts" : [ [ "2006", "1", "5" ] ] }, "page" : "34-43", "publisher" : "Massachusetts Medical Society", "title" : "Intraperitoneal Cisplatin and Paclitaxel in Ovarian Cancer", "type" : "article-journal", "volume" : "354" }, "uris" : [ "http://www.mendeley.com/documents/?uuid=ed430f4a-97e9-31b5-9017-cbfba3e1a18d" ] } ], "mendeley" : { "formattedCitation" : "&lt;sup&gt;112&lt;/sup&gt;", "plainTextFormattedCitation" : "112", "previouslyFormattedCitation" : "&lt;sup&gt;111&lt;/sup&gt;"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112</w:t>
      </w:r>
      <w:r w:rsidRPr="00857842">
        <w:rPr>
          <w:rFonts w:cs="Arial"/>
        </w:rPr>
        <w:fldChar w:fldCharType="end"/>
      </w:r>
      <w:r w:rsidRPr="00857842">
        <w:rPr>
          <w:rFonts w:cs="Arial"/>
        </w:rPr>
        <w:t xml:space="preserve"> HGSC malignancies are complicated due to an atypical route of metastasis. Unlike most epithelial cancers, HGSC disseminates through a transcoelomic route rather than a hematogenous or lymphatic route.</w:t>
      </w:r>
      <w:r w:rsidRPr="00857842">
        <w:rPr>
          <w:rFonts w:cs="Arial"/>
        </w:rPr>
        <w:fldChar w:fldCharType="begin" w:fldLock="1"/>
      </w:r>
      <w:r w:rsidR="000849BF">
        <w:rPr>
          <w:rFonts w:cs="Arial"/>
        </w:rPr>
        <w:instrText>ADDIN CSL_CITATION { "citationItems" : [ { "id" : "ITEM-1", "itemData" : { "DOI" : "10.2353/ajpath.2010.100105", "ISSN" : "15252191", "abstract" : "The biology of ovarian carcinoma differs from that of hematogenously metastasizing tumors because ovarian cancer cells primarily disseminate within the peritoneal cavity and are only superficially invasive. However, since the rapidly proliferating tumors compress visceral organs and are only temporarily chemosensitive, ovarian carcinoma is a deadly disease, with a cure rate of only 30%. There are a number of genetic and epigenetic changes that lead to ovarian carcinoma cell transformation. Ovarian carcinoma could originate from any of three potential sites: the surfaces of the ovary, the fallopian tube, or the mesothelium-lined peritoneal cavity. Ovarian cacinoma tumorigenesis then either progresses along a stepwise mutation process from a slow growing borderline tumor to a well-differentiated carcinoma (type I) or involves a genetically unstable high-grade serous carcinoma that metastasizes rapidly (type II). During initial tumorigenesis, ovarian carcinoma cells undergo an epithelial-to- mesenchymal transition, which involves a change in cadherin and integrin expression and upregulation of proteolytic pathways. Carried by the peritoneal fluid, cancer cell spheroids overcome anoikis and attach preferentially on the abdominal peritoneum or omentum, where the cancer cells revert to their epithelial phenotype. The initial steps of metastasis are regulated by a controlled interaction of adhesion receptors and proteases, and late metastasis is characterized by the oncogene-driven fast growth of tumor nodules on mesothelium covered surfaces, causing ascites, bowel obstruction, and tumor cachexia. Copyright \u00a9 American Society for Investigative Pathology.", "author" : [ { "dropping-particle" : "", "family" : "Lengyel", "given" : "Ernst", "non-dropping-particle" : "", "parse-names" : false, "suffix" : "" } ], "container-title" : "American Journal of Pathology", "id" : "ITEM-1", "issue" : "3", "issued" : { "date-parts" : [ [ "2010", "9", "1" ] ] }, "page" : "1053-1064", "publisher" : "Elsevier Inc.", "title" : "Ovarian cancer development and metastasis", "type" : "article", "volume" : "177" }, "uris" : [ "http://www.mendeley.com/documents/?uuid=323b2d13-5216-34ea-a480-9eba25a94eda" ] } ], "mendeley" : { "formattedCitation" : "&lt;sup&gt;111&lt;/sup&gt;", "plainTextFormattedCitation" : "111", "previouslyFormattedCitation" : "&lt;sup&gt;110&lt;/sup&gt;"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111</w:t>
      </w:r>
      <w:r w:rsidRPr="00857842">
        <w:rPr>
          <w:rFonts w:cs="Arial"/>
        </w:rPr>
        <w:fldChar w:fldCharType="end"/>
      </w:r>
      <w:r w:rsidRPr="00857842">
        <w:rPr>
          <w:rFonts w:cs="Arial"/>
        </w:rPr>
        <w:t xml:space="preserve"> The transcoelomic HGSC metastasis results in the dissemination of the cancer cells to vital organs throughout the abdomen cavity, which affects the gastrointestinal and genitourinary systems. This cancer pathophysiology also leads to ascites formation, increasing patient morbidity rates.</w:t>
      </w:r>
      <w:r w:rsidRPr="00857842">
        <w:rPr>
          <w:rFonts w:cs="Arial"/>
        </w:rPr>
        <w:fldChar w:fldCharType="begin" w:fldLock="1"/>
      </w:r>
      <w:r w:rsidR="000849BF">
        <w:rPr>
          <w:rFonts w:cs="Arial"/>
        </w:rPr>
        <w:instrText>ADDIN CSL_CITATION { "citationItems" : [ { "id" : "ITEM-1", "itemData" : { "DOI" : "10.2353/ajpath.2010.100105", "ISSN" : "15252191", "abstract" : "The biology of ovarian carcinoma differs from that of hematogenously metastasizing tumors because ovarian cancer cells primarily disseminate within the peritoneal cavity and are only superficially invasive. However, since the rapidly proliferating tumors compress visceral organs and are only temporarily chemosensitive, ovarian carcinoma is a deadly disease, with a cure rate of only 30%. There are a number of genetic and epigenetic changes that lead to ovarian carcinoma cell transformation. Ovarian carcinoma could originate from any of three potential sites: the surfaces of the ovary, the fallopian tube, or the mesothelium-lined peritoneal cavity. Ovarian cacinoma tumorigenesis then either progresses along a stepwise mutation process from a slow growing borderline tumor to a well-differentiated carcinoma (type I) or involves a genetically unstable high-grade serous carcinoma that metastasizes rapidly (type II). During initial tumorigenesis, ovarian carcinoma cells undergo an epithelial-to- mesenchymal transition, which involves a change in cadherin and integrin expression and upregulation of proteolytic pathways. Carried by the peritoneal fluid, cancer cell spheroids overcome anoikis and attach preferentially on the abdominal peritoneum or omentum, where the cancer cells revert to their epithelial phenotype. The initial steps of metastasis are regulated by a controlled interaction of adhesion receptors and proteases, and late metastasis is characterized by the oncogene-driven fast growth of tumor nodules on mesothelium covered surfaces, causing ascites, bowel obstruction, and tumor cachexia. Copyright \u00a9 American Society for Investigative Pathology.", "author" : [ { "dropping-particle" : "", "family" : "Lengyel", "given" : "Ernst", "non-dropping-particle" : "", "parse-names" : false, "suffix" : "" } ], "container-title" : "American Journal of Pathology", "id" : "ITEM-1", "issue" : "3", "issued" : { "date-parts" : [ [ "2010", "9", "1" ] ] }, "page" : "1053-1064", "publisher" : "Elsevier Inc.", "title" : "Ovarian cancer development and metastasis", "type" : "article", "volume" : "177" }, "uris" : [ "http://www.mendeley.com/documents/?uuid=323b2d13-5216-34ea-a480-9eba25a94eda" ] }, { "id" : "ITEM-2", "itemData" : { "DOI" : "10.3389/fonc.2013.00256", "ISSN" : "2234943X", "abstract" : "More than one third of ovarian cancer patients present with ascites at diagnosis, and almost all have ascites at recurrence. The presence of ascites correlates with the peritoneal spread of ovarian cancer and is associated with poor disease prognosis. Malignant ascites acts as a reservoir of a complex mixture of soluble factors and cellular components which provide a pro-inflammatory and tumor-promoting microenvironment for the tumor cells. Subpopulations of these tumor cells exhibit cancer stem-like phenotypes, possess enhanced resistance to therapies and the capacity for distal metastatic spread and recurrent disease. Thus, ascites-derived malignant cells and the ascites microenvironment represent a major source of morbidity and mortality for ovarian cancer patients. This review focuses on recent advances in our understanding of the molecular, cellular, and functional characteristics of the cellular populations within ascites and discusses their contributions to ovarian cancer metastasis, chemoresistance, and recurrence. We highlight in particular recent translational findings which have used primary ascites-derived tumor cells as a tool to understand the pathogenesis of the disease, yielding new insights and targets for therapeutic manipulation. \u00a9 2013 Ahmed and Stenvers.", "author" : [ { "dropping-particle" : "", "family" : "Ahmed", "given" : "Nuzhat", "non-dropping-particle" : "", "parse-names" : false, "suffix" : "" }, { "dropping-particle" : "", "family" : "Stenvers", "given" : "Kaye L.", "non-dropping-particle" : "", "parse-names" : false, "suffix" : "" } ], "container-title" : "Frontiers in Oncology", "id" : "ITEM-2", "issued" : { "date-parts" : [ [ "2013", "9", "25" ] ] }, "page" : "256", "publisher" : "Frontiers", "title" : "Getting to know ovarian cancer ascites: Opportunities for targeted therapy-based translational research", "type" : "article-journal", "volume" : "3 SEP" }, "uris" : [ "http://www.mendeley.com/documents/?uuid=32428991-98d9-331a-b78b-bc1e723fbb48" ] } ], "mendeley" : { "formattedCitation" : "&lt;sup&gt;111,113&lt;/sup&gt;", "plainTextFormattedCitation" : "111,113", "previouslyFormattedCitation" : "&lt;sup&gt;110,112&lt;/sup&gt;"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111,113</w:t>
      </w:r>
      <w:r w:rsidRPr="00857842">
        <w:rPr>
          <w:rFonts w:cs="Arial"/>
        </w:rPr>
        <w:fldChar w:fldCharType="end"/>
      </w:r>
      <w:r w:rsidRPr="00857842">
        <w:rPr>
          <w:rFonts w:cs="Arial"/>
        </w:rPr>
        <w:t xml:space="preserve"> Transcoelomic metastasis requires the HGSC cells to avoid anoiks (i.e., cell detachment programmed cell death) through formation of tumor spheroids, which provides the required cell-to-cell adhesion for the cancer cells.</w:t>
      </w:r>
      <w:r w:rsidRPr="00857842">
        <w:rPr>
          <w:rFonts w:cs="Arial"/>
        </w:rPr>
        <w:fldChar w:fldCharType="begin" w:fldLock="1"/>
      </w:r>
      <w:r w:rsidR="000849BF">
        <w:rPr>
          <w:rFonts w:cs="Arial"/>
        </w:rPr>
        <w:instrText>ADDIN CSL_CITATION { "citationItems" : [ { "id" : "ITEM-1", "itemData" : { "DOI" : "10.3389/fonc.2013.00256", "ISSN" : "2234943X", "abstract" : "More than one third of ovarian cancer patients present with ascites at diagnosis, and almost all have ascites at recurrence. The presence of ascites correlates with the peritoneal spread of ovarian cancer and is associated with poor disease prognosis. Malignant ascites acts as a reservoir of a complex mixture of soluble factors and cellular components which provide a pro-inflammatory and tumor-promoting microenvironment for the tumor cells. Subpopulations of these tumor cells exhibit cancer stem-like phenotypes, possess enhanced resistance to therapies and the capacity for distal metastatic spread and recurrent disease. Thus, ascites-derived malignant cells and the ascites microenvironment represent a major source of morbidity and mortality for ovarian cancer patients. This review focuses on recent advances in our understanding of the molecular, cellular, and functional characteristics of the cellular populations within ascites and discusses their contributions to ovarian cancer metastasis, chemoresistance, and recurrence. We highlight in particular recent translational findings which have used primary ascites-derived tumor cells as a tool to understand the pathogenesis of the disease, yielding new insights and targets for therapeutic manipulation. \u00a9 2013 Ahmed and Stenvers.", "author" : [ { "dropping-particle" : "", "family" : "Ahmed", "given" : "Nuzhat", "non-dropping-particle" : "", "parse-names" : false, "suffix" : "" }, { "dropping-particle" : "", "family" : "Stenvers", "given" : "Kaye L.", "non-dropping-particle" : "", "parse-names" : false, "suffix" : "" } ], "container-title" : "Frontiers in Oncology", "id" : "ITEM-1", "issued" : { "date-parts" : [ [ "2013", "9", "25" ] ] }, "page" : "256", "publisher" : "Frontiers", "title" : "Getting to know ovarian cancer ascites: Opportunities for targeted therapy-based translational research", "type" : "article-journal", "volume" : "3 SEP" }, "uris" : [ "http://www.mendeley.com/documents/?uuid=32428991-98d9-331a-b78b-bc1e723fbb48" ] }, { "id" : "ITEM-2", "itemData" : { "DOI" : "10.1186/1477-3163-6-11", "ISSN" : "14773163", "abstract" : "Background: Ovarian cancer is characterized by a wide-spread intra-abdominal metastases which represents a major clinical hurdle in the prognosis and management of the disease. A significant proportion of ovarian cancer cells in peritoneal ascites exist as multicellular aggregates or spheroids. We hypothesize that these cellular aggregates or spheroids are invasive with the capacity to survive and implant on the peritoneal surface. This study was designed to elucidate early inherent mechanism(s) of spheroid survival, growth and disaggregation required for peritoneal metastases. Methods: In this study, we determined the growth pattern and adhesive capacity of ovarian cancer cell lines (HEY and OVHS1) grown as spheroids, using the well established liquid overlay technique, and compared them to a normal ovarian cell line (IOSE29) and cancer cells grown as a monolayer. The proteolytic capacity of these spheroids was compared with cells grown as a monolayer using a gelatin zymography assay to analyze secreted MMP-2/9 in conditioned serum-free medium. The disaggregation of cancer cell line spheroids was determined on extracellular matrices (ECM) such as laminin (LM), fibronectin (FN) and collagen (CI) and the expression of \u03b12, \u03b13, \u03b1v, \u03b16 and \u03b21 interin was determined by flow cytometric analysis. Neutralizing antibodies against \u03b12, \u03b21 subunits and \u03b12\u03b21 integrin was used to inhibit disaggregation as well as activation of MMPs in spheroids. Results: We demonstrate that ovarian cancer cell lines grown as spheroids can sustain growth for 10 days while the normal ovarian cell line failed to grow beyond 2 days. Compared to cells grown as a monolayer, cancer cells grown as spheroids demonstrated no change in adhesion for up to 4 days, while IOSE29 cells had a 2-4-fold loss of adhesion within 2 days. Cancer cell spheroids disaggregated on extracellular matrices (ECM) and demonstrated enhanced expression of secreted pro-MMP2 as well as activated MMP2/MMP9 with no such activation of MMP's observed in monolayer cells. Flow cytometric analysis demonstrated enhanced expression of \u03b12 and diminution of \u03b16 integrin subunits in spheroids versus monolayer cells. No change in the expression of \u03b13, \u03b1v and \u03b21 subunits was evident. Conversely, except for \u03b1v integrin, a 1.5-7.5-fold decrease in \u03b12, \u03b13, \u03b16 and \u03b21 integrin subunit expression was observed in IOSE29 cells within 2 days. Neutralizing antibodies against \u03b12, \u03b21 subunits and \u03b12\u03b21 integrin inhibited disaggregation as well as\u2026", "author" : [ { "dropping-particle" : "", "family" : "Shield", "given" : "Kristy", "non-dropping-particle" : "", "parse-names" : false, "suffix" : "" }, { "dropping-particle" : "", "family" : "Riley", "given" : "Clyde", "non-dropping-particle" : "", "parse-names" : false, "suffix" : "" }, { "dropping-particle" : "", "family" : "Quinn", "given" : "Michael A", "non-dropping-particle" : "", "parse-names" : false, "suffix" : "" }, { "dropping-particle" : "", "family" : "Rice", "given" : "Gregory E", "non-dropping-particle" : "", "parse-names" : false, "suffix" : "" }, { "dropping-particle" : "", "family" : "Ackland", "given" : "Margaret L", "non-dropping-particle" : "", "parse-names" : false, "suffix" : "" }, { "dropping-particle" : "", "family" : "Ahmed", "given" : "Nuzhat", "non-dropping-particle" : "", "parse-names" : false, "suffix" : "" } ], "container-title" : "Journal of Carcinogenesis", "id" : "ITEM-2", "issue" : "1", "issued" : { "date-parts" : [ [ "2007", "6", "14" ] ] }, "page" : "11", "publisher" : "Medknow Publications and Media Pvt. Ltd.", "title" : "\u03b12\u03b21 integrin affects metastatic potential of ovarian carcinoma spheroids by supporting disaggregation and proteolysis", "type" : "article-journal", "volume" : "6" }, "uris" : [ "http://www.mendeley.com/documents/?uuid=3c982e2f-9a13-37e0-b249-223983c01792" ] } ], "mendeley" : { "formattedCitation" : "&lt;sup&gt;113,114&lt;/sup&gt;", "plainTextFormattedCitation" : "113,114", "previouslyFormattedCitation" : "&lt;sup&gt;112,113&lt;/sup&gt;"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113,114</w:t>
      </w:r>
      <w:r w:rsidRPr="00857842">
        <w:rPr>
          <w:rFonts w:cs="Arial"/>
        </w:rPr>
        <w:fldChar w:fldCharType="end"/>
      </w:r>
      <w:r w:rsidRPr="00857842">
        <w:rPr>
          <w:rFonts w:cs="Arial"/>
        </w:rPr>
        <w:t xml:space="preserve"> HGSC spheroid formation depresses the efficacy of the standard of care chemotherapy and promotes drug HGSC resistance.</w:t>
      </w:r>
      <w:r w:rsidRPr="00857842">
        <w:rPr>
          <w:rFonts w:cs="Arial"/>
        </w:rPr>
        <w:fldChar w:fldCharType="begin" w:fldLock="1"/>
      </w:r>
      <w:r w:rsidR="000849BF">
        <w:rPr>
          <w:rFonts w:cs="Arial"/>
        </w:rPr>
        <w:instrText>ADDIN CSL_CITATION { "citationItems" : [ { "id" : "ITEM-1", "itemData" : { "DOI" : "10.3389/fonc.2013.00256", "ISSN" : "2234943X", "abstract" : "More than one third of ovarian cancer patients present with ascites at diagnosis, and almost all have ascites at recurrence. The presence of ascites correlates with the peritoneal spread of ovarian cancer and is associated with poor disease prognosis. Malignant ascites acts as a reservoir of a complex mixture of soluble factors and cellular components which provide a pro-inflammatory and tumor-promoting microenvironment for the tumor cells. Subpopulations of these tumor cells exhibit cancer stem-like phenotypes, possess enhanced resistance to therapies and the capacity for distal metastatic spread and recurrent disease. Thus, ascites-derived malignant cells and the ascites microenvironment represent a major source of morbidity and mortality for ovarian cancer patients. This review focuses on recent advances in our understanding of the molecular, cellular, and functional characteristics of the cellular populations within ascites and discusses their contributions to ovarian cancer metastasis, chemoresistance, and recurrence. We highlight in particular recent translational findings which have used primary ascites-derived tumor cells as a tool to understand the pathogenesis of the disease, yielding new insights and targets for therapeutic manipulation. \u00a9 2013 Ahmed and Stenvers.", "author" : [ { "dropping-particle" : "", "family" : "Ahmed", "given" : "Nuzhat", "non-dropping-particle" : "", "parse-names" : false, "suffix" : "" }, { "dropping-particle" : "", "family" : "Stenvers", "given" : "Kaye L.", "non-dropping-particle" : "", "parse-names" : false, "suffix" : "" } ], "container-title" : "Frontiers in Oncology", "id" : "ITEM-1", "issued" : { "date-parts" : [ [ "2013", "9", "25" ] ] }, "page" : "256", "publisher" : "Frontiers", "title" : "Getting to know ovarian cancer ascites: Opportunities for targeted therapy-based translational research", "type" : "article-journal", "volume" : "3 SEP" }, "uris" : [ "http://www.mendeley.com/documents/?uuid=32428991-98d9-331a-b78b-bc1e723fbb48" ] } ], "mendeley" : { "formattedCitation" : "&lt;sup&gt;113&lt;/sup&gt;", "plainTextFormattedCitation" : "113", "previouslyFormattedCitation" : "&lt;sup&gt;112&lt;/sup&gt;"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113</w:t>
      </w:r>
      <w:r w:rsidRPr="00857842">
        <w:rPr>
          <w:rFonts w:cs="Arial"/>
        </w:rPr>
        <w:fldChar w:fldCharType="end"/>
      </w:r>
      <w:r w:rsidRPr="00857842">
        <w:rPr>
          <w:rFonts w:cs="Arial"/>
        </w:rPr>
        <w:t xml:space="preserve"> Also, the three dimensional HGSC spheroid structure is deficient in nutrient distribution, producing concentric gradients, resulting in an inner necrotic core surrounded by a layer of viable quiescent cells with an outer proliferating layer of cells.</w:t>
      </w:r>
      <w:r w:rsidRPr="00857842">
        <w:rPr>
          <w:rFonts w:cs="Arial"/>
        </w:rPr>
        <w:fldChar w:fldCharType="begin" w:fldLock="1"/>
      </w:r>
      <w:r w:rsidR="000849BF">
        <w:rPr>
          <w:rFonts w:cs="Arial"/>
        </w:rPr>
        <w:instrText>ADDIN CSL_CITATION { "citationItems" : [ { "id" : "ITEM-1", "itemData" : { "DOI" : "10.4252/wjsc.v11.i12.1065", "ISSN" : "19480210", "abstract" : "Three-dimensional (3D) culture systems are becoming increasingly popular due to their ability to mimic tissue-like structures more effectively than the monolayer cultures. In cancer and stem cell research, the natural cell characteristics and architectures are closely mimicked by the 3D cell models. Thus, the 3D cell cultures are promising and suitable systems for various proposes, ranging from disease modeling to drug target identification as well as potential therapeutic substances that may transform our lives. This review provides a comprehensive compendium of recent advancements in culturing cells, in particular cancer and stem cells, using 3D culture techniques. The major approaches highlighted here include cell spheroids, hydrogel embedding, bioreactors, scaffolds, and bioprinting. In addition, the progress of employing 3D cell culture systems as a platform for cancer and stem cell research was addressed, and the prominent studies of 3D cell culture systems were discussed.", "author" : [ { "dropping-particle" : "", "family" : "Chaicharoenaudomrung", "given" : "Nipha", "non-dropping-particle" : "", "parse-names" : false, "suffix" : "" }, { "dropping-particle" : "", "family" : "Kunhorm", "given" : "Phongsakorn", "non-dropping-particle" : "", "parse-names" : false, "suffix" : "" }, { "dropping-particle" : "", "family" : "Noisa", "given" : "Parinya", "non-dropping-particle" : "", "parse-names" : false, "suffix" : "" } ], "container-title" : "World Journal of Stem Cells", "id" : "ITEM-1", "issue" : "12", "issued" : { "date-parts" : [ [ "2019", "12", "1" ] ] }, "page" : "1065-1083", "publisher" : "Baishideng Publishing Group Co", "title" : "Three-dimensional cell culture systems as an in vitro platform for cancer and stem cell modeling", "type" : "article", "volume" : "11" }, "uris" : [ "http://www.mendeley.com/documents/?uuid=059089ce-0b3a-3884-9c68-66db67249f2e" ] }, { "id" : "ITEM-2", "itemData" : { "DOI" : "10.1016/j.jconrel.2012.04.045", "ISSN" : "01683659", "abstract" : "Multicellular spheroids are three dimensional in vitro microscale tissue analogs. The current article examines the suitability of spheroids as an in vitro platform for testing drug delivery systems. Spheroids model critical physiologic parameters present in vivo, including complex multicellular architecture, barriers to mass transport, and extracellular matrix deposition. Relative to two-dimensional cultures, spheroids also provide better target cells for drug testing and are appropriate in vitro models for studies of drug penetration. Key challenges associated with creation of uniformly sized spheroids, spheroids with small number of cells and co-culture spheroids are emphasized in the article. Moreover, the assay techniques required for the characterization of drug delivery and efficacy in spheroids and the challenges associated with such studies are discussed. Examples for the use of spheroids in drug delivery and testing are also emphasized. By addressing these challenges with possible solutions, multicellular spheroids are becoming an increasingly useful in vitro tool for drug screening and delivery to pathological tissues and organs. \u00a9 2012 Elsevier B.V. All rights reserved.", "author" : [ { "dropping-particle" : "", "family" : "Mehta", "given" : "Geeta", "non-dropping-particle" : "", "parse-names" : false, "suffix" : "" }, { "dropping-particle" : "", "family" : "Hsiao", "given" : "Amy Y.", "non-dropping-particle" : "", "parse-names" : false, "suffix" : "" }, { "dropping-particle" : "", "family" : "Ingram", "given" : "Marylou", "non-dropping-particle" : "", "parse-names" : false, "suffix" : "" }, { "dropping-particle" : "", "family" : "Luker", "given" : "Gary D.", "non-dropping-particle" : "", "parse-names" : false, "suffix" : "" }, { "dropping-particle" : "", "family" : "Takayama", "given" : "Shuichi", "non-dropping-particle" : "", "parse-names" : false, "suffix" : "" } ], "container-title" : "Journal of Controlled Release", "id" : "ITEM-2", "issue" : "2", "issued" : { "date-parts" : [ [ "2012", "12", "10" ] ] }, "page" : "192-204", "publisher" : "NIH Public Access", "title" : "Opportunities and challenges for use of tumor spheroids as models to test drug delivery and efficacy", "type" : "article-journal", "volume" : "164" }, "uris" : [ "http://www.mendeley.com/documents/?uuid=6d5241fd-0cce-37ea-b55a-dcf409a827b4" ] } ], "mendeley" : { "formattedCitation" : "&lt;sup&gt;115,116&lt;/sup&gt;", "plainTextFormattedCitation" : "115,116", "previouslyFormattedCitation" : "&lt;sup&gt;114,115&lt;/sup&gt;"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115,116</w:t>
      </w:r>
      <w:r w:rsidRPr="00857842">
        <w:rPr>
          <w:rFonts w:cs="Arial"/>
        </w:rPr>
        <w:fldChar w:fldCharType="end"/>
      </w:r>
      <w:r w:rsidRPr="00857842">
        <w:rPr>
          <w:rFonts w:cs="Arial"/>
        </w:rPr>
        <w:t xml:space="preserve"> The clinical relevance of HGSC spheroids, </w:t>
      </w:r>
      <w:r w:rsidRPr="00857842">
        <w:rPr>
          <w:rFonts w:cs="Arial"/>
        </w:rPr>
        <w:lastRenderedPageBreak/>
        <w:t xml:space="preserve">especially in the therapeutic treatment, has led to the development of three-dimensional (3D) cell culturing methods in the study of ovarian cancer. Ovarian cancer cell lines 3D spheroids models created in the research labs mimic the </w:t>
      </w:r>
      <w:r w:rsidRPr="00857842">
        <w:rPr>
          <w:rFonts w:cs="Arial"/>
          <w:i/>
          <w:iCs/>
        </w:rPr>
        <w:t>in vivo</w:t>
      </w:r>
      <w:r w:rsidRPr="00857842">
        <w:rPr>
          <w:rFonts w:cs="Arial"/>
        </w:rPr>
        <w:t xml:space="preserve"> HGSC spheroid, including the cell-extracellular matrix (ECM) composition, requirement for cell-cell interactions, and transcriptome alteration, all of which cannot be achieved by traditional 2D culture</w:t>
      </w:r>
      <w:r w:rsidRPr="00857842">
        <w:rPr>
          <w:rFonts w:cs="Arial"/>
        </w:rPr>
        <w:fldChar w:fldCharType="begin" w:fldLock="1"/>
      </w:r>
      <w:r w:rsidR="000849BF">
        <w:rPr>
          <w:rFonts w:cs="Arial"/>
        </w:rPr>
        <w:instrText>ADDIN CSL_CITATION { "citationItems" : [ { "id" : "ITEM-1", "itemData" : { "DOI" : "10.1038/nrm2236", "ISSN" : "14710072", "abstract" : "Moving from cell monolayers to three-dimensional (3D) cultures is motivated by the need to work with cellular models that mimic the functions of living tissues. Essential cellular functions that are present in tissues are missed by 'petri dish'-based cell cultures. This limits their potential to predict the cellular responses of real organisms. However, establishing 3D cultures as a mainstream approach requires the development of standard protocols, new cell lines and quantitative analysis methods, which include well-suited three-dimensional imaging techniques. We believe that 3D cultures will have a strong impact on drug screening and will also decrease the use of laboratory animals, for example, in the context of toxicity assays. \u00a9 2007 Nature Publishing Group.", "author" : [ { "dropping-particle" : "", "family" : "Pampaloni", "given" : "Francesco", "non-dropping-particle" : "", "parse-names" : false, "suffix" : "" }, { "dropping-particle" : "", "family" : "Reynaud", "given" : "Emmanuel G.", "non-dropping-particle" : "", "parse-names" : false, "suffix" : "" }, { "dropping-particle" : "", "family" : "Stelzer", "given" : "Ernst H.K.", "non-dropping-particle" : "", "parse-names" : false, "suffix" : "" } ], "container-title" : "Nature Reviews Molecular Cell Biology", "id" : "ITEM-1", "issue" : "10", "issued" : { "date-parts" : [ [ "2007", "10" ] ] }, "page" : "839-845", "title" : "The third dimension bridges the gap between cell culture and live tissue", "type" : "article", "volume" : "8" }, "uris" : [ "http://www.mendeley.com/documents/?uuid=2a9af237-33a2-3669-9a9c-eee5e5afa8fc" ] }, { "id" : "ITEM-2", "itemData" : { "DOI" : "10.1038/s41568-018-0104-6", "ISSN" : "1474-175X", "abstract" : "One of the problems that has slowed the development and approval of new anticancer therapies is the lack of preclinical models that can be used to identify key molecular, cellular and biophysical features of human cancer progression. This is because most in vitro cancer models fail to faithfully recapitulate the local tissue and organ microenvironment in which tumours form, which substantially contributes to the complex pathophysiology of the disease. More complex in vitro cancer models have been developed, including transwell cell cultures, spheroids and organoids grown within flexible extracellular matrix gels, which better mimic normal and cancerous tissue development than cells maintained on conventional 2D substrates. But these models still lack the tissue\u2013tissue interfaces, organ-level structures, fluid flows and mechanical cues that cells experience within living organs, and furthermore, it is difficult to collect samples from the different tissue microcompartments. In this Review, we outline how recent developments in microfluidic cell culture technology have led to the generation of human organs-on-chips (also known as organ chips) that are now being used to model cancer cell behaviour within human-relevant tissue and organ microenvironments in vitro. Organ chips enable experimentalists to vary local cellular, molecular, chemical and biophysical parameters in a controlled manner, both individually and in precise combinations, while analysing how they contribute to human cancer formation and progression and responses to therapy. We also discuss the challenges that must be overcome to ensure that organ chip models meet the needs of cancer researchers, drug developers and clinicians interested in personalized medicine.", "author" : [ { "dropping-particle" : "", "family" : "Sontheimer-Phelps", "given" : "Alexandra", "non-dropping-particle" : "", "parse-names" : false, "suffix" : "" }, { "dropping-particle" : "", "family" : "Hassell", "given" : "Bryan A.", "non-dropping-particle" : "", "parse-names" : false, "suffix" : "" }, { "dropping-particle" : "", "family" : "Ingber", "given" : "Donald E.", "non-dropping-particle" : "", "parse-names" : false, "suffix" : "" } ], "container-title" : "Nature Reviews Cancer", "id" : "ITEM-2", "issue" : "2", "issued" : { "date-parts" : [ [ "2019", "2", "15" ] ] }, "page" : "65-81", "publisher" : "Nature Publishing Group", "title" : "Modelling cancer in microfluidic human organs-on-chips", "type" : "article-journal", "volume" : "19" }, "uris" : [ "http://www.mendeley.com/documents/?uuid=4f88ffe2-4d35-3e24-b643-a4f816f1fce9" ] }, { "id" : "ITEM-3", "itemData" : { "DOI" : "10.1371/journal.pone.0182930", "ISSN" : "1932-6203", "abstract" : "Ovarian cancer is the most lethal gynecological cancer, with over 200,000 women diagnosed each year and over half of those cases leading to death. These poor statistics are related to a lack of early symptoms and inadequate screening techniques. This results in the cancer going undetected until later stages when the tumor has metastasized through a process that requires the epithelial to mesenchymal transition (EMT). In lieu of traditional monolayer cell culture, EMT and cancer progression in general is best characterized through the use of 3D spheroid models. In this study, we examine gene expression changes through microarray analysis in spheroid versus monolayer ovarian cancer cells treated with TGF\u03b2 to induce EMT. Transcripts that included Coiled-Coil Domain Containing 80 (CCDC80), Solute Carrier Family 6 (Neutral Amino Acid Transporter), Member 15 (SLC6A15), Semaphorin 3E (SEMA3E) and PIF1 5'-To- 3' DNA Helicase (PIF1) were downregulated more than 10-fold in the 3D cells while Inhibitor Of DNA Binding 2, HLH Protein (ID2), Regulator Of Cell Cycle (RGCC), Protease, Serine 35 (PRSS35), and Aldo-Keto Reductase Family 1, Member C1 (AKR1C1) were increased more than 50-fold. Interestingly, EMT factors, stress responses and epigenetic processes were significantly affected by 3D growth. The heat shock response and the oxidative stress response were also identified as transcriptome responses that showed significant changes upon 3D growth. Subnetwork enrichment analysis revealed that DNA integrity (e.g. DNA damage, genetic instability, nucleotide excision repair, and the DNA damage checkpoint pathway) were altered in the 3D spheroid model. In addition, two epigenetic processes, DNA methylation and histone acetylation, were increased with 3D growth. These findings support the hypothesis that three dimensional ovarian cell culturing is physiologically different from its monolayer counterpart.", "author" : [ { "dropping-particle" : "", "family" : "Paullin", "given" : "Trillitye", "non-dropping-particle" : "", "parse-names" : false, "suffix" : "" }, { "dropping-particle" : "", "family" : "Powell", "given" : "Chase", "non-dropping-particle" : "", "parse-names" : false, "suffix" : "" }, { "dropping-particle" : "", "family" : "Menzie", "given" : "Christopher", "non-dropping-particle" : "", "parse-names" : false, "suffix" : "" }, { "dropping-particle" : "", "family" : "Hill", "given" : "Robert", "non-dropping-particle" : "", "parse-names" : false, "suffix" : "" }, { "dropping-particle" : "", "family" : "Cheng", "given" : "Feng", "non-dropping-particle" : "", "parse-names" : false, "suffix" : "" }, { "dropping-particle" : "", "family" : "Martyniuk", "given" : "Christopher J.", "non-dropping-particle" : "", "parse-names" : false, "suffix" : "" }, { "dropping-particle" : "", "family" : "Westerheide", "given" : "Sandy D.", "non-dropping-particle" : "", "parse-names" : false, "suffix" : "" } ], "container-title" : "PLOS ONE", "editor" : [ { "dropping-particle" : "", "family" : "Batra", "given" : "Surinder K.", "non-dropping-particle" : "", "parse-names" : false, "suffix" : "" } ], "id" : "ITEM-3", "issue" : "8", "issued" : { "date-parts" : [ [ "2017", "8", "9" ] ] }, "page" : "e0182930", "publisher" : "Public Library of Science", "title" : "Spheroid growth in ovarian cancer alters transcriptome responses for stress pathways and epigenetic responses", "type" : "article-journal", "volume" : "12" }, "uris" : [ "http://www.mendeley.com/documents/?uuid=a34fbc4c-638f-3fd5-938f-28f32a4a2f64" ] }, { "id" : "ITEM-4", "itemData" : { "DOI" : "10.2174/1381612824666180404152304", "ISSN" : "13816128", "abstract" : "\u00a9 2018 Bentham Science Publishers. Background: In vitro tests allow establishing experimental variables. However, in vitro results cannot be extrapolated to in vivo tests. Considering that three-dimensional (3D) culture has been one of the best ways to portray the in vivo system of most cell types, it is possible to carry out assays with a great clinical relevance for the analysis of the screening, action and resistance of antitumor drugs. Objective: Thus, the objective of the present study was to compare between 2D and 3D cell culture forms to conclude which is the most suitable model for preclinical in vitro drug testing. Method: We evaluated the proliferation, genetic expression and chemoresistance of prostate tumor cell lines, PC3, LNCaP and DU145. Prostate tumor cell lines PC-3, LNCaP and DU145 were treated with the antineoplastic drugs paclitaxel and docetaxel and evaluated with cytotoxicity, cell proliferation and gene expression assays in 2D and magnetic 3D bioprinting cultures. Results: Lower cell proliferation rate, more resistance to paclitaxel and docetaxel and altered gene expression profile was shown in 3D cell culture comparing with its 2D counterpart. Conclusion: 3D cell culture exhibited a more similar behavior to in vivo systems, being a promising and more reliable tool for the development of new drugs.", "author" : [ { "dropping-particle" : "", "family" : "Souza", "given" : "Aline G.", "non-dropping-particle" : "", "parse-names" : false, "suffix" : "" }, { "dropping-particle" : "", "family" : "Silva", "given" : "Isaura Beatriz. B.", "non-dropping-particle" : "", "parse-names" : false, "suffix" : "" }, { "dropping-particle" : "", "family" : "Campos-Fernandez", "given" : "Esther", "non-dropping-particle" : "", "parse-names" : false, "suffix" : "" }, { "dropping-particle" : "", "family" : "Barcelos", "given" : "Leticia S.", "non-dropping-particle" : "", "parse-names" : false, "suffix" : "" }, { "dropping-particle" : "", "family" : "Souza", "given" : "Jessica Brito", "non-dropping-particle" : "", "parse-names" : false, "suffix" : "" }, { "dropping-particle" : "", "family" : "Marangoni", "given" : "Karina", "non-dropping-particle" : "", "parse-names" : false, "suffix" : "" }, { "dropping-particle" : "", "family" : "Goulart", "given" : "Luiz R.", "non-dropping-particle" : "", "parse-names" : false, "suffix" : "" }, { "dropping-particle" : "", "family" : "Alonso-Goulart", "given" : "Vivian", "non-dropping-particle" : "", "parse-names" : false, "suffix" : "" } ], "container-title" : "Current Pharmaceutical Design", "id" : "ITEM-4", "issue" : "15", "issued" : { "date-parts" : [ [ "2018", "5", "17" ] ] }, "page" : "1689-1694", "publisher" : "Bentham Science Publishers Ltd.", "title" : "Comparative Assay of 2D and 3D Cell Culture Models: Proliferation, Gene Expression and Anticancer Drug Response", "type" : "article-journal", "volume" : "24" }, "uris" : [ "http://www.mendeley.com/documents/?uuid=92a72006-9a4a-380d-b95c-342d8239e529" ] }, { "id" : "ITEM-5", "itemData" : { "DOI" : "10.1002/jcp.20320", "ISSN" : "00219541", "abstract" : "Growth in three-dimensional (3D) architectures has been suggested to play an important role in tumor expansion and in the resistance of cancers to treatment with drugs or cytokines or irradiation. To obtain an insight into underlying molecular mechanisms, we addressed gene expression profiles of NA8 melanoma cells cultured in bidimensional monolayers (2D) or in 3D multicellular tumor spheroids (MCTS). MCTS containing 10-30,000 cells were generated upon overnight culture in poly-Hydroxyethylmethacrylate (polyHEMA) coated plates. Kinetics of cell proliferation in MCTS was significantly slower than in monolayer cultures. Following long-term culture (&gt;10 days), however, MCTS showed highly compact and organised cell growth in outer layers, with necrotic cores. Oligonucleotide microarray analysis of the expression of over 20,000 genes was performed on cells cultured in standard 2D, in the presence of collagen as model of extracellular matrix (ECM), or in MCTS. Gene expression profiles of cells cultured in 2D in the presence or absence of ECM were highly similar, with &gt;threefold differences limited to five genes. In contrast, culture in MCTS resulted in the significant, &gt;threefold, upregulation of the expression of &gt;100 transcripts while 73 were &gt;threefold downregulated. In particular, genes encoding CXCL1, 2, and 3 (GRO-\u03b1, -\u03b2, and \u03b3), IL-8, CCL20 (MIP-3\u03b1), and Angiopoietin-like 4 were significantly upregulated, whereas basic FGF and CD49d encoding genes were significantly downregulated. Oligonucleotide chip data were validated at the gene and protein level by quantitative real-time PCR, ELISA, and cell surface stain ing assays. Taken together, our data indicate that structural modifications of the architecture of tumor cell cultures result in a significant upregulation of the expression of a number of genes previously shown to play a role in melanoma progression and metastatic process. \u00a9 2005 Wiley-Liss, Inc.", "author" : [ { "dropping-particle" : "", "family" : "Ghosh", "given" : "Sourabh", "non-dropping-particle" : "", "parse-names" : false, "suffix" : "" }, { "dropping-particle" : "", "family" : "Spagnoli", "given" : "Giulio C.", "non-dropping-particle" : "", "parse-names" : false, "suffix" : "" }, { "dropping-particle" : "", "family" : "Martin", "given" : "Ivan", "non-dropping-particle" : "", "parse-names" : false, "suffix" : "" }, { "dropping-particle" : "", "family" : "Ploegert", "given" : "Sabine", "non-dropping-particle" : "", "parse-names" : false, "suffix" : "" }, { "dropping-particle" : "", "family" : "Demougin", "given" : "Philippe", "non-dropping-particle" : "", "parse-names" : false, "suffix" : "" }, { "dropping-particle" : "", "family" : "Heberer", "given" : "Michael", "non-dropping-particle" : "", "parse-names" : false, "suffix" : "" }, { "dropping-particle" : "", "family" : "Reschner", "given" : "Anca", "non-dropping-particle" : "", "parse-names" : false, "suffix" : "" } ], "container-title" : "Journal of Cellular Physiology", "id" : "ITEM-5", "issue" : "2", "issued" : { "date-parts" : [ [ "2005", "8" ] ] }, "page" : "522-531", "title" : "Three-dimensional culture of melanoma cells profoundly affects gene expression profile: A high density oligonucleotide array study", "type" : "article-journal", "volume" : "204" }, "uris" : [ "http://www.mendeley.com/documents/?uuid=9cd18f4c-500c-389c-935f-31d47fb85cf9" ] } ], "mendeley" : { "formattedCitation" : "&lt;sup&gt;117\u2013121&lt;/sup&gt;", "plainTextFormattedCitation" : "117\u2013121", "previouslyFormattedCitation" : "&lt;sup&gt;116\u2013120&lt;/sup&gt;"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117–121</w:t>
      </w:r>
      <w:r w:rsidRPr="00857842">
        <w:rPr>
          <w:rFonts w:cs="Arial"/>
        </w:rPr>
        <w:fldChar w:fldCharType="end"/>
      </w:r>
      <w:r w:rsidRPr="00857842">
        <w:rPr>
          <w:rFonts w:cs="Arial"/>
        </w:rPr>
        <w:t>. As a useful proxy of the clinical HGSC, 3D spheroid cell culture models, including ovarian cancer, has been used to test and identify new anticancer agents.</w:t>
      </w:r>
      <w:r w:rsidRPr="00857842">
        <w:rPr>
          <w:rFonts w:cs="Arial"/>
        </w:rPr>
        <w:fldChar w:fldCharType="begin" w:fldLock="1"/>
      </w:r>
      <w:r w:rsidR="000849BF">
        <w:rPr>
          <w:rFonts w:cs="Arial"/>
        </w:rPr>
        <w:instrText>ADDIN CSL_CITATION { "citationItems" : [ { "id" : "ITEM-1", "itemData" : { "DOI" : "10.1007/s00432-005-0677-9", "ISSN" : "01715216", "abstract" : "Purpose: A low proliferating fraction in solid tumors limits the effectiveness of cell-cycle-dependent chemotherapeutic agents. To understand the molecular basis of such resistance, we examined the expression of the cyclin-dependent kinases inhibitor p27, and relationship with drug resistance and P-gp expression in ovarian cancer multicellular spheroids. Methods: We cultured ovarian cancer cells (A2780 and CAOV3) as multicellular spheroids and examined the expression of p27 and P-glycoprotein (P-gp) by western blot, flow cytometry and confocal. We also analyzed the cell-cycle distribution by flow cytometry. In addition, trypan blue exclusion testing and cell apoptosis analysis were used to detect the sensitivity to Taxol. Results: When transferred from monolayer to three-dimensional culture, a consistent upregulation of p27 protein and P-gp protein was observed in ovarian cancer cell lines. Compared with monolayer cells, there was a significant increase of G0-G1 phase cells and decrease of S and G2-M phase cells in spheroid cells. Aggregates of cells showed higher cell viability than monolayer cells. Antisense oligodeoxynucleotide (ASON) -mediated downregulation of p27 reduced intercellular adhesion, increased cell proliferation, downregulated P-gp expression and sensitized cells to Taxol. Conclusions: Our results implicate that p27 serves as a regulator of drug resistance in ovarian tumors. ASON-mediated alteration of p27 reverses resistance of ovarian cancer to anticancer agents that are associated with increased sensitivity of ovarian cancer cells to chemotherapeutic agents. \u00a9 Springer-Verlag 2005.", "author" : [ { "dropping-particle" : "", "family" : "Xing", "given" : "Hui", "non-dropping-particle" : "", "parse-names" : false, "suffix" : "" }, { "dropping-particle" : "", "family" : "Wang", "given" : "Shixuan", "non-dropping-particle" : "", "parse-names" : false, "suffix" : "" }, { "dropping-particle" : "", "family" : "Hu", "given" : "Keqin", "non-dropping-particle" : "", "parse-names" : false, "suffix" : "" }, { "dropping-particle" : "", "family" : "Tao", "given" : "Wenming", "non-dropping-particle" : "", "parse-names" : false, "suffix" : "" }, { "dropping-particle" : "", "family" : "Li", "given" : "Jing", "non-dropping-particle" : "", "parse-names" : false, "suffix" : "" }, { "dropping-particle" : "", "family" : "Gao", "given" : "Qinglai", "non-dropping-particle" : "", "parse-names" : false, "suffix" : "" }, { "dropping-particle" : "", "family" : "Yang", "given" : "Xiaokui", "non-dropping-particle" : "", "parse-names" : false, "suffix" : "" }, { "dropping-particle" : "", "family" : "Weng", "given" : "Danhui", "non-dropping-particle" : "", "parse-names" : false, "suffix" : "" }, { "dropping-particle" : "", "family" : "Lu", "given" : "Yunpin", "non-dropping-particle" : "", "parse-names" : false, "suffix" : "" }, { "dropping-particle" : "", "family" : "Ma", "given" : "Ding", "non-dropping-particle" : "", "parse-names" : false, "suffix" : "" } ], "container-title" : "Journal of Cancer Research and Clinical Oncology", "id" : "ITEM-1", "issue" : "8", "issued" : { "date-parts" : [ [ "2005", "8", "28" ] ] }, "page" : "511-519", "publisher" : "Springer", "title" : "Effect of the cyclin-dependent kinases inhibitor p27 on resistance of ovarian cancer multicellular spheroids to anticancer chemotherapy", "type" : "article-journal", "volume" : "131" }, "uris" : [ "http://www.mendeley.com/documents/?uuid=1a2f5c77-cd9a-331d-8a12-16c24363ad00" ] }, { "id" : "ITEM-2", "itemData" : { "DOI" : "10.2147/OTT.S187015", "ISSN" : "11786930", "abstract" : "Purpose: Peritoneal metastasis is the most common pathway for the spread of ovarian cancer. Ovarian cancer cells in ascites prefer to aggregate into the more chemoresistant multicellular spheroids (MCSs), leading to treatment failure and disease recurrence. We previously established a suspension MCS model of ovarian cancer cells in vitro and found that the MCS cells acquired drug resistance to cisplatin. In the present study, we aimed to uncover the underlying mechanism of the platinum resistance of MCS and the potential targets to reverse the drug resistance. Materials and methods: MCS models were established for the phenotypic studies, including proliferation, invasion, migration, drug resistance, apoptosis assays, and signaling pathway analysis. The key molecule, Bcl-2, was screened by profile analysis and validated by Western blotting. siRNA was used to verify the anti-cisplatin-induced apoptosis effect of Bcl-2. The Bcl-2 inhibitor, ABT-737, was used for improving the sensitivity of MCS to cisplatin. The 50% inhibitory concentrations (IC50) were measured by viability assays treated with different concentrations of cisplatin. Flow cytometry and Western blotting were used for quantification of drug-induced apoptosis. Results: The ovarian cancer MCS showed a proliferation-stagnant but invasive phenotype when resuspended. When treated with cisplatin, MCS cells showed much higher viability, with significantly fewer apoptotic cells than the adherent cells. Levels of Bcl-2 were upregulated in ovarian cancer ascitic cells and MCS cells. Bcl-2 knockdown by siRNA or blockage by ABT-737 enhanced the cisplatin-induced apoptosis and reduced the 50% inhibitory concentrations of cisplatin for MCS by 58.5% and 88.2%, respectively. Conclusion: The upregulated Bcl-2 contributes to cisplatin resistance in our MCS model and targeting it sensitizes the MCS to cisplatin treatment. This provides us a preliminary treatment method for ovarian cancer peritoneal metastasis.", "author" : [ { "dropping-particle" : "", "family" : "Yang", "given" : "Ya\u2019Nan", "non-dropping-particle" : "", "parse-names" : false, "suffix" : "" }, { "dropping-particle" : "", "family" : "Li", "given" : "Song", "non-dropping-particle" : "", "parse-names" : false, "suffix" : "" }, { "dropping-particle" : "", "family" : "Sun", "given" : "Yiting", "non-dropping-particle" : "", "parse-names" : false, "suffix" : "" }, { "dropping-particle" : "", "family" : "Zhang", "given" : "Di", "non-dropping-particle" : "", "parse-names" : false, "suffix" : "" }, { "dropping-particle" : "", "family" : "Zhao", "given" : "Zeyi", "non-dropping-particle" : "", "parse-names" : false, "suffix" : "" }, { "dropping-particle" : "", "family" : "Liu", "given" : "Lian", "non-dropping-particle" : "", "parse-names" : false, "suffix" : "" } ], "container-title" : "OncoTargets and Therapy", "id" : "ITEM-2", "issued" : { "date-parts" : [ [ "2019" ] ] }, "page" : "897-906", "publisher" : "Dove Medical Press Ltd.", "title" : "Reversing platinum resistance in ovarian cancer multicellular spheroids by targeting Bcl-2", "type" : "article-journal", "volume" : "12" }, "uris" : [ "http://www.mendeley.com/documents/?uuid=23377648-d29e-3aa7-875d-a6cad68b0c7a" ] }, { "id" : "ITEM-3", "itemData" : { "DOI" : "10.1002/bit.26845", "ISSN" : "10970290", "abstract" : "Three-dimensional cell culture models, such as spheroids, can be used in the process of the development of new anticancer agents because they are able to closely mimic the main features of human solid tumors, namely their structural organization, cellular layered assembling, hypoxia, and nutrient gradients. These properties imprint to the spheroids an anticancer therapeutics resistance profile, which is similar to that displayed by human solid tumors. In this review, an overview of the drug resistance mechanisms observed in 3D tumor spheroids is provided. Furthermore, comparisons between the therapeutics resistance profile exhibited by spheroids, and 2D cell cultures are presented. Finally, examples of the therapeutic approaches that have been developed to surpass the drug resistance mechanisms exhibited by spheroids are described.", "author" : [ { "dropping-particle" : "", "family" : "Nunes", "given" : "Ana S.", "non-dropping-particle" : "", "parse-names" : false, "suffix" : "" }, { "dropping-particle" : "", "family" : "Barros", "given" : "Andreia S.", "non-dropping-particle" : "", "parse-names" : false, "suffix" : "" }, { "dropping-particle" : "", "family" : "Costa", "given" : "Elisabete C.", "non-dropping-particle" : "", "parse-names" : false, "suffix" : "" }, { "dropping-particle" : "", "family" : "Moreira", "given" : "Andr\u00e9 F.", "non-dropping-particle" : "", "parse-names" : false, "suffix" : "" }, { "dropping-particle" : "", "family" : "Correia", "given" : "Il\u00eddio J.", "non-dropping-particle" : "", "parse-names" : false, "suffix" : "" } ], "container-title" : "Biotechnology and Bioengineering", "id" : "ITEM-3", "issue" : "1", "issued" : { "date-parts" : [ [ "2019", "1", "1" ] ] }, "page" : "206-226", "publisher" : "John Wiley and Sons Inc.", "title" : "3D tumor spheroids as in vitro models to mimic in vivo human solid tumors resistance to therapeutic drugs", "type" : "article", "volume" : "116" }, "uris" : [ "http://www.mendeley.com/documents/?uuid=76258e7b-9ca0-3ecc-bbf9-f5be7c98e372" ] } ], "mendeley" : { "formattedCitation" : "&lt;sup&gt;122\u2013124&lt;/sup&gt;", "plainTextFormattedCitation" : "122\u2013124", "previouslyFormattedCitation" : "&lt;sup&gt;121\u2013123&lt;/sup&gt;"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122–124</w:t>
      </w:r>
      <w:r w:rsidRPr="00857842">
        <w:rPr>
          <w:rFonts w:cs="Arial"/>
        </w:rPr>
        <w:fldChar w:fldCharType="end"/>
      </w:r>
      <w:r w:rsidRPr="00857842">
        <w:rPr>
          <w:rFonts w:cs="Arial"/>
        </w:rPr>
        <w:t xml:space="preserve"> </w:t>
      </w:r>
    </w:p>
    <w:p w14:paraId="541AB107" w14:textId="171C7D9C" w:rsidR="009F36E9" w:rsidRDefault="009F36E9" w:rsidP="00A66B3A">
      <w:pPr>
        <w:ind w:firstLine="720"/>
        <w:jc w:val="both"/>
        <w:rPr>
          <w:rFonts w:cs="Arial"/>
        </w:rPr>
      </w:pPr>
    </w:p>
    <w:p w14:paraId="3B0B93DA" w14:textId="151EC33E" w:rsidR="009F36E9" w:rsidRPr="009F36E9" w:rsidRDefault="009F36E9" w:rsidP="009F36E9">
      <w:pPr>
        <w:pStyle w:val="Heading3"/>
      </w:pPr>
      <w:bookmarkStart w:id="100" w:name="_Toc39868167"/>
      <w:r>
        <w:t>3.</w:t>
      </w:r>
      <w:r w:rsidR="00242945">
        <w:t>1</w:t>
      </w:r>
      <w:r>
        <w:t>.2 ORP4 Biology</w:t>
      </w:r>
      <w:bookmarkEnd w:id="100"/>
    </w:p>
    <w:p w14:paraId="6264790F" w14:textId="7CC70B58" w:rsidR="00857842" w:rsidRPr="00857842" w:rsidRDefault="00857842" w:rsidP="00857842">
      <w:pPr>
        <w:ind w:firstLine="720"/>
        <w:jc w:val="both"/>
        <w:rPr>
          <w:rFonts w:cs="Arial"/>
        </w:rPr>
      </w:pPr>
      <w:r w:rsidRPr="00857842">
        <w:rPr>
          <w:rFonts w:cs="Arial"/>
        </w:rPr>
        <w:t>The natural product compound OSW-1 (</w:t>
      </w:r>
      <w:r w:rsidRPr="00857842">
        <w:rPr>
          <w:rFonts w:cs="Arial"/>
          <w:b/>
        </w:rPr>
        <w:t>Fig</w:t>
      </w:r>
      <w:r w:rsidR="00B83810">
        <w:rPr>
          <w:rFonts w:cs="Arial"/>
          <w:b/>
        </w:rPr>
        <w:t>ure</w:t>
      </w:r>
      <w:r w:rsidRPr="00857842">
        <w:rPr>
          <w:rFonts w:cs="Arial"/>
          <w:b/>
        </w:rPr>
        <w:t xml:space="preserve"> 1</w:t>
      </w:r>
      <w:r w:rsidRPr="00857842">
        <w:rPr>
          <w:rFonts w:cs="Arial"/>
        </w:rPr>
        <w:t xml:space="preserve">) is an exceptionally potent cytotoxic agent against a wide range of </w:t>
      </w:r>
      <w:r w:rsidRPr="00857842">
        <w:rPr>
          <w:rFonts w:cs="Arial"/>
          <w:i/>
        </w:rPr>
        <w:t xml:space="preserve">in vitro </w:t>
      </w:r>
      <w:r w:rsidRPr="00857842">
        <w:rPr>
          <w:rFonts w:cs="Arial"/>
        </w:rPr>
        <w:t>cancer cell lines</w:t>
      </w:r>
      <w:r w:rsidRPr="00857842">
        <w:rPr>
          <w:rFonts w:cs="Arial"/>
          <w:i/>
        </w:rPr>
        <w:t xml:space="preserve"> </w:t>
      </w:r>
      <w:r w:rsidRPr="00857842">
        <w:rPr>
          <w:rFonts w:cs="Arial"/>
        </w:rPr>
        <w:t>(NCI 60 Avg. GI</w:t>
      </w:r>
      <w:r w:rsidRPr="00857842">
        <w:rPr>
          <w:rFonts w:cs="Arial"/>
          <w:vertAlign w:val="subscript"/>
        </w:rPr>
        <w:t>50</w:t>
      </w:r>
      <w:r w:rsidRPr="00857842">
        <w:rPr>
          <w:rFonts w:cs="Arial"/>
        </w:rPr>
        <w:t xml:space="preserve"> = 0.78 nM).</w:t>
      </w:r>
      <w:r w:rsidRPr="00857842">
        <w:rPr>
          <w:rFonts w:cs="Arial"/>
        </w:rPr>
        <w:fldChar w:fldCharType="begin" w:fldLock="1"/>
      </w:r>
      <w:r w:rsidR="006B01D5">
        <w:rPr>
          <w:rFonts w:cs="Arial"/>
        </w:rPr>
        <w:instrText>ADDIN CSL_CITATION { "citationItems" : [ { "id" : "ITEM-1", "itemData" : { "DOI" : "10.1016/S0960-894X(97)00071-1", "ISSN" : "0960894X", "abstract" : "Five cholestane glycosides (1-5) including three new ones (3-5) with potent cytostatic activity on leukemia HL-60 cells were isolated from Ornithogalum saundersiae bulbs. Compound 1, a main constituent in the bulbs, was revealed to be exceptionally cytostatic against various malignant tumor cells and effective to mouse P388 leukemia in in vivo evaluation.", "author" : [ { "dropping-particle" : "", "family" : "Mimaki", "given" : "Yoshihiro", "non-dropping-particle" : "", "parse-names" : false, "suffix" : "" }, { "dropping-particle" : "", "family" : "Kuroda", "given" : "Minpei", "non-dropping-particle" : "", "parse-names" : false, "suffix" : "" }, { "dropping-particle" : "", "family" : "Kameyama", "given" : "Aiko", "non-dropping-particle" : "", "parse-names" : false, "suffix" : "" }, { "dropping-particle" : "", "family" : "Sashida", "given" : "Yutaka", "non-dropping-particle" : "", "parse-names" : false, "suffix" : "" }, { "dropping-particle" : "", "family" : "Hirano", "given" : "Toshiliko", "non-dropping-particle" : "", "parse-names" : false, "suffix" : "" }, { "dropping-particle" : "", "family" : "Oka", "given" : "Kitaro", "non-dropping-particle" : "", "parse-names" : false, "suffix" : "" }, { "dropping-particle" : "", "family" : "Maekawa", "given" : "Rhuji", "non-dropping-particle" : "", "parse-names" : false, "suffix" : "" }, { "dropping-particle" : "", "family" : "Wada", "given" : "Toru", "non-dropping-particle" : "", "parse-names" : false, "suffix" : "" }, { "dropping-particle" : "", "family" : "Sugita", "given" : "Kenji", "non-dropping-particle" : "", "parse-names" : false, "suffix" : "" }, { "dropping-particle" : "", "family" : "Beutler", "given" : "John A.", "non-dropping-particle" : "", "parse-names" : false, "suffix" : "" } ], "container-title" : "Bioorganic and Medicinal Chemistry Letters", "id" : "ITEM-1", "issue" : "5", "issued" : { "date-parts" : [ [ "1997", "3", "4" ] ] }, "page" : "633-636", "publisher" : "Pergamon", "title" : "Cholestane glycosides with potent cytostatic activities on various tumor cells from Ornithogalum saundersiae bulbs", "type" : "article-journal", "volume" : "7" }, "uris" : [ "http://www.mendeley.com/documents/?uuid=3f3f77a7-c915-320e-ae80-212b617c5ba6" ] } ], "mendeley" : { "formattedCitation" : "&lt;sup&gt;59&lt;/sup&gt;", "plainTextFormattedCitation" : "59", "previouslyFormattedCitation" : "&lt;sup&gt;59&lt;/sup&gt;" }, "properties" : { "noteIndex" : 0 }, "schema" : "https://github.com/citation-style-language/schema/raw/master/csl-citation.json" }</w:instrText>
      </w:r>
      <w:r w:rsidRPr="00857842">
        <w:rPr>
          <w:rFonts w:cs="Arial"/>
        </w:rPr>
        <w:fldChar w:fldCharType="separate"/>
      </w:r>
      <w:r w:rsidR="006B01D5" w:rsidRPr="006B01D5">
        <w:rPr>
          <w:rFonts w:cs="Arial"/>
          <w:noProof/>
          <w:vertAlign w:val="superscript"/>
        </w:rPr>
        <w:t>59</w:t>
      </w:r>
      <w:r w:rsidRPr="00857842">
        <w:rPr>
          <w:rFonts w:cs="Arial"/>
        </w:rPr>
        <w:fldChar w:fldCharType="end"/>
      </w:r>
      <w:r w:rsidRPr="00857842">
        <w:rPr>
          <w:rFonts w:cs="Arial"/>
        </w:rPr>
        <w:t xml:space="preserve"> OSW-1 induces its cellular effects through binding to oxysterol-binding protein (OSBP) and OSBP-Related Protein 4 (ORP4)</w:t>
      </w:r>
      <w:r w:rsidRPr="00857842">
        <w:rPr>
          <w:rFonts w:cs="Arial"/>
        </w:rPr>
        <w:fldChar w:fldCharType="begin" w:fldLock="1"/>
      </w:r>
      <w:r w:rsidR="000849BF">
        <w:rPr>
          <w:rFonts w:cs="Arial"/>
        </w:rPr>
        <w:instrText>ADDIN CSL_CITATION { "citationItems" : [ { "id" : "ITEM-1", "itemData" : { "DOI" : "10.1093/jnci/dji404", "ISSN" : "1460-2105 (Electronic)", "PMID" : "16333034", "abstract" : "The naturally occurring compound 3beta,16beta,17alpha-trihydroxycholest-5-en-22-one 16-O-(2-O-4-methoxybenzoyl-beta-D-xylopyranosyl)-(1--&gt;3)-(2-O-acetyl-alpha-L-arab inopyranoside) (OSW-1) is found in the bulbs of Ornithogalum saudersiae and is highly cytotoxic against tumor cell lines. Using various human cancer and nonmalignant cell lines, we investigated the anticancer activity and selectivity of OSW-1 and its underlying mechanisms of action. OSW-1 exhibited extremely potent cytotoxic activity against cancer cells in vitro. Nonmalignant cells were statistically significantly less sensitive to OSW-1 than cancer cells, with concentrations that cause a 50% loss of cell viability 40-150-fold greater than those observed in malignant cells. Electron microscopy and biochemical analyses revealed that OSW-1 damaged the mitochondrial membrane and cristae in both human leukemia and pancreatic cancer cells, leading to the loss of transmembrane potential, increase of cytosolic calcium, and activation of calcium-dependent apoptosis. Clones of leukemia cells with mitochondrial DNA defects and respiration deficiency that had adapted the ability to survive in culture without mitochondrial respiration also were resistant to OSW-1. In vitro analysis revealed that OSW-1 effectively killed primary leukemia cells from chronic lymphocytic leukemia patients with disease refractory to fludarabine. The promising anticancer activity of OSW-1 and its unique mechanism of action make this compound worthy of further investigation for its potential to overcome drug resistance.", "author" : [ { "dropping-particle" : "", "family" : "Zhou", "given" : "Yan", "non-dropping-particle" : "", "parse-names" : false, "suffix" : "" }, { "dropping-particle" : "", "family" : "Garcia-Prieto", "given" : "Celia", "non-dropping-particle" : "", "parse-names" : false, "suffix" : "" }, { "dropping-particle" : "", "family" : "Carney", "given" : "Dennis A", "non-dropping-particle" : "", "parse-names" : false, "suffix" : "" }, { "dropping-particle" : "", "family" : "Xu", "given" : "Rui-hua", "non-dropping-particle" : "", "parse-names" : false, "suffix" : "" }, { "dropping-particle" : "", "family" : "Pelicano", "given" : "Helene", "non-dropping-particle" : "", "parse-names" : false, "suffix" : "" }, { "dropping-particle" : "", "family" : "Kang", "given" : "Ying", "non-dropping-particle" : "", "parse-names" : false, "suffix" : "" }, { "dropping-particle" : "", "family" : "Yu", "given" : "Wensheng", "non-dropping-particle" : "", "parse-names" : false, "suffix" : "" }, { "dropping-particle" : "", "family" : "Lou", "given" : "Changgang", "non-dropping-particle" : "", "parse-names" : false, "suffix" : "" }, { "dropping-particle" : "", "family" : "Kondo", "given" : "Seiji", "non-dropping-particle" : "", "parse-names" : false, "suffix" : "" }, { "dropping-particle" : "", "family" : "Liu", "given" : "Jinsong", "non-dropping-particle" : "", "parse-names" : false, "suffix" : "" }, { "dropping-particle" : "", "family" : "Harris", "given" : "David M", "non-dropping-particle" : "", "parse-names" : false, "suffix" : "" }, { "dropping-particle" : "", "family" : "Estrov", "given" : "Zeev", "non-dropping-particle" : "", "parse-names" : false, "suffix" : "" }, { "dropping-particle" : "", "family" : "Keating", "given" : "Michael J", "non-dropping-particle" : "", "parse-names" : false, "suffix" : "" }, { "dropping-particle" : "", "family" : "Jin", "given" : "Zhendong", "non-dropping-particle" : "", "parse-names" : false, "suffix" : "" }, { "dropping-particle" : "", "family" : "Huang", "given" : "Peng", "non-dropping-particle" : "", "parse-names" : false, "suffix" : "" } ], "container-title" : "Journal of the National Cancer Institute", "id" : "ITEM-1", "issue" : "23", "issued" : { "date-parts" : [ [ "2005", "12" ] ] }, "language" : "eng", "page" : "1781-1785", "publisher-place" : "United States", "title" : "OSW-1: a natural compound with potent anticancer activity and a novel mechanism of action.", "type" : "article-journal", "volume" : "97" }, "uris" : [ "http://www.mendeley.com/documents/?uuid=012b8285-af57-4293-a5f0-43a805f92369" ] }, { "id" : "ITEM-2", "itemData" : { "DOI" : "10.1038/nchembio.625", "ISBN" : "1552-4469 (Electronic)\\n1552-4450 (Linking)", "ISSN" : "1552-4450", "PMID" : "21822274", "abstract" : "Cephalostatin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(ORP4L)\u2014proteins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 C", "author" : [ { "dropping-particle" : "", "family" : "Burgett", "given" : "Anthony W G", "non-dropping-particle" : "", "parse-names" : false, "suffix" : "" }, { "dropping-particle" : "", "family" : "Poulsen", "given" : "Thomas B", "non-dropping-particle" : "", "parse-names" : false, "suffix" : "" }, { "dropping-particle" : "", "family" : "Wangkanont", "given" : "Kittikhun", "non-dropping-particle" : "", "parse-names" : false, "suffix" : "" }, { "dropping-particle" : "", "family" : "Anderson", "given" : "D Ryan", "non-dropping-particle" : "", "parse-names" : false, "suffix" : "" }, { "dropping-particle" : "", "family" : "Kikuchi", "given" : "Chikako", "non-dropping-particle" : "", "parse-names" : false, "suffix" : "" }, { "dropping-particle" : "", "family" : "Shimada", "given" : "Kousei", "non-dropping-particle" : "", "parse-names" : false, "suffix" : "" }, { "dropping-particle" : "", "family" : "Okubo", "given" : "Shuichi", "non-dropping-particle" : "", "parse-names" : false, "suffix" : "" }, { "dropping-particle" : "", "family" : "Fortner", "given" : "Kevin C", "non-dropping-particle" : "", "parse-names" : false, "suffix" : "" }, { "dropping-particle" : "", "family" : "Mimaki", "given" : "Yoshihiro", "non-dropping-particle" : "", "parse-names" : false, "suffix" : "" }, { "dropping-particle" : "", "family" : "Kuroda", "given" : "Minpei", "non-dropping-particle" : "", "parse-names" : false, "suffix" : "" }, { "dropping-particle" : "", "family" : "Murphy", "given" : "Jason P", "non-dropping-particle" : "", "parse-names" : false, "suffix" : "" }, { "dropping-particle" : "", "family" : "Schwalb", "given" : "David J", "non-dropping-particle" : "", "parse-names" : false, "suffix" : "" }, { "dropping-particle" : "", "family" : "Petrella", "given" : "Eugene C", "non-dropping-particle" : "", "parse-names" : false, "suffix" : "" }, { "dropping-particle" : "", "family" : "Cornella-Taracido", "given" : "Ivan", "non-dropping-particle" : "", "parse-names" : false, "suffix" : "" }, { "dropping-particle" : "", "family" : "Schirle", "given" : "Markus", "non-dropping-particle" : "", "parse-names" : false, "suffix" : "" }, { "dropping-particle" : "", "family" : "Tallarico", "given" : "John A", "non-dropping-particle" : "", "parse-names" : false, "suffix" : "" }, { "dropping-particle" : "", "family" : "Shair", "given" : "Matthew D", "non-dropping-particle" : "", "parse-names" : false, "suffix" : "" } ], "container-title" : "Nature Chemical Biology", "id" : "ITEM-2", "issue" : "9", "issued" : { "date-parts" : [ [ "2011" ] ] }, "page" : "639-647", "publisher" : "Nature Publishing Group", "title" : "Natural products reveal cancer cell dependence on oxysterol-binding proteins", "type" : "article-journal", "volume" : "7" }, "uris" : [ "http://www.mendeley.com/documents/?uuid=cf003f05-7000-400e-b1f6-206ce7e228b3" ] } ], "mendeley" : { "formattedCitation" : "&lt;sup&gt;60,125&lt;/sup&gt;", "plainTextFormattedCitation" : "60,125", "previouslyFormattedCitation" : "&lt;sup&gt;60,124&lt;/sup&gt;"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60,125</w:t>
      </w:r>
      <w:r w:rsidRPr="00857842">
        <w:rPr>
          <w:rFonts w:cs="Arial"/>
        </w:rPr>
        <w:fldChar w:fldCharType="end"/>
      </w:r>
      <w:r w:rsidRPr="00857842">
        <w:rPr>
          <w:rFonts w:cs="Arial"/>
        </w:rPr>
        <w:t>. OSBP and ORP4 are cytoplasmic, non-enzymatic proteins belonging to a 12-member family of lipid transport and lipid regulatory proteins.</w:t>
      </w:r>
      <w:r w:rsidRPr="00857842">
        <w:rPr>
          <w:rFonts w:cs="Arial"/>
        </w:rPr>
        <w:fldChar w:fldCharType="begin" w:fldLock="1"/>
      </w:r>
      <w:r w:rsidR="000849BF">
        <w:rPr>
          <w:rFonts w:cs="Arial"/>
        </w:rPr>
        <w:instrText>ADDIN CSL_CITATION { "citationItems" : [ { "id" : "ITEM-1", "itemData" : { "DOI" : "10.1016/j.devcel.2017.12.026", "ISSN" : "18781551", "abstract" : "Kes1/Osh4 is a member of the conserved, but functionally enigmatic, oxysterol binding protein-related protein (ORP) superfamily that inhibits phosphatidylinositol transfer protein (Sec14)-dependent membrane trafficking through the trans-Golgi (TGN)/endosomal network. We now report that Kes1, and select other ORPs, execute cell-cycle control activities as functionally non-redundant inhibitors of the G1/S transition when cells confront nutrient-poor environments and promote replicative aging. Kes1-dependent cell-cycle regulation requires the Greatwall/MASTL kinase ortholog Rim15, and is opposed by Sec14 activity in a mechanism independent of Kes1/Sec14 bulk membrane-trafficking functions. Moreover, the data identify Kes1 as a non-histone target for NuA4 through which this lysine acetyltransferase co-modulates membrane-trafficking and cell-cycle activities. We propose the Sec14/Kes1 lipid-exchange protein pair constitutes part of the mechanism for integrating TGN/endosomal lipid signaling with cell-cycle progression and hypothesize that ORPs define a family of stage-specific cell-cycle control factors that execute tumor-suppressor-like functions. Huang et al. demonstrate the yeast oxysterol-binding protein (ORP) homolog Kes1, and other ORPs, are inhibitors of the G1/S transition. They show that Kes1 is a non-histone target for the NuA4 lysine acetyltransferase and participates in a phosphatidylinositol-4-phopshate-dependent mechanism for integrating TGN/endosomal lipid signaling with cell-cycle progression.", "author" : [ { "dropping-particle" : "", "family" : "Huang", "given" : "Jin", "non-dropping-particle" : "", "parse-names" : false, "suffix" : "" }, { "dropping-particle" : "", "family" : "Mousley", "given" : "Carl J.", "non-dropping-particle" : "", "parse-names" : false, "suffix" : "" }, { "dropping-particle" : "", "family" : "Dacquay", "given" : "Louis", "non-dropping-particle" : "", "parse-names" : false, "suffix" : "" }, { "dropping-particle" : "", "family" : "Maitra", "given" : "Nairita", "non-dropping-particle" : "", "parse-names" : false, "suffix" : "" }, { "dropping-particle" : "", "family" : "Drin", "given" : "Guillaume", "non-dropping-particle" : "", "parse-names" : false, "suffix" : "" }, { "dropping-particle" : "", "family" : "He", "given" : "Chong", "non-dropping-particle" : "", "parse-names" : false, "suffix" : "" }, { "dropping-particle" : "", "family" : "Ridgway", "given" : "Neale D.", "non-dropping-particle" : "", "parse-names" : false, "suffix" : "" }, { "dropping-particle" : "", "family" : "Tripathi", "given" : "Ashutosh", "non-dropping-particle" : "", "parse-names" : false, "suffix" : "" }, { "dropping-particle" : "", "family" : "Kennedy", "given" : "Michael", "non-dropping-particle" : "", "parse-names" : false, "suffix" : "" }, { "dropping-particle" : "", "family" : "Kennedy", "given" : "Brian K.", "non-dropping-particle" : "", "parse-names" : false, "suffix" : "" }, { "dropping-particle" : "", "family" : "Liu", "given" : "Wenshe", "non-dropping-particle" : "", "parse-names" : false, "suffix" : "" }, { "dropping-particle" : "", "family" : "Baetz", "given" : "Kristin", "non-dropping-particle" : "", "parse-names" : false, "suffix" : "" }, { "dropping-particle" : "", "family" : "Polymenis", "given" : "Michael", "non-dropping-particle" : "", "parse-names" : false, "suffix" : "" }, { "dropping-particle" : "", "family" : "Bankaitis", "given" : "Vytas A.", "non-dropping-particle" : "", "parse-names" : false, "suffix" : "" } ], "container-title" : "Developmental Cell", "id" : "ITEM-1", "issue" : "3", "issued" : { "date-parts" : [ [ "2018", "2", "5" ] ] }, "page" : "378-391.e5", "publisher" : "Cell Press", "title" : "A Lipid Transfer Protein Signaling Axis Exerts Dual Control of Cell-Cycle and Membrane Trafficking Systems", "type" : "article-journal", "volume" : "44" }, "uris" : [ "http://www.mendeley.com/documents/?uuid=e66486cb-d592-37c3-8e25-05714ace2244" ] }, { "id" : "ITEM-2", "itemData" : { "DOI" : "10.1091/mbc.E10-05-0424", "ISSN" : "10591524", "abstract" : "Cholesterol and sphingomyelin (SM) associate in raft domains and are metabolically coregulated. One aspect of coordinate regulation occurs in the Golgi apparatus where oxysterol binding protein (OSBP) mediates sterol-dependent activation of ceramide transport protein (CERT) activity and SM synthesis. Because CERT transfer activity is dependent on its phosphatidylinositol 4 phosphate [PtdIns(4)P]-specific pleckstrin homology domain, we investigated whether OSBP activation of CERT involved a Golgi-associated PtdIns 4-kinase (PI4K). Cell fractionation experiments revealed that Golgi/endosome-enriched membranes from 25-hydroxycholesterol-treated Chinese hamster ovary cells had increased activity of a sterol-sensitive PI4K that was blocked by small interfering RNA silencing of OSBP. Consistent with this sterol-requirement, OSBP silencing also reduced the cholesterol content of endosome/trans-Golgi network (TGN) fractions containing PI4KII\u03b1. PI4KII\u03b1, but not PI4KIII\u03b2, was required for oxysterol-activation of SM synthesis and recruitment of CERT to the Golgi apparatus. However, neither PI4KII\u03b1 nor PI4KIII\u03b2 expression was required for 25-hydroxycholesterol-dependent translocation of OSBP to the Golgi apparatus. The presence of OSBP, CERT, and PI4KII\u03b1 in the TGN of oxysterol-stimulated cells suggests that OSBP couples sterol binding or transfer activity with regulation of PI4KII\u03b1 activity, leading to CERT recruitment to the TGN and increased SM synthesis. \u00a9 2010 S. Banerji et al.", "author" : [ { "dropping-particle" : "", "family" : "Banerji", "given" : "Sangeeta", "non-dropping-particle" : "", "parse-names" : false, "suffix" : "" }, { "dropping-particle" : "", "family" : "Ngo", "given" : "Mike", "non-dropping-particle" : "", "parse-names" : false, "suffix" : "" }, { "dropping-particle" : "", "family" : "Lane", "given" : "Ciaran F.", "non-dropping-particle" : "", "parse-names" : false, "suffix" : "" }, { "dropping-particle" : "", "family" : "Robinson", "given" : "Carolyn Ann", "non-dropping-particle" : "", "parse-names" : false, "suffix" : "" }, { "dropping-particle" : "", "family" : "Minogue", "given" : "Shane", "non-dropping-particle" : "", "parse-names" : false, "suffix" : "" }, { "dropping-particle" : "", "family" : "Ridgway", "given" : "Neale D.", "non-dropping-particle" : "", "parse-names" : false, "suffix" : "" } ], "container-title" : "Molecular Biology of the Cell", "id" : "ITEM-2", "issue" : "23", "issued" : { "date-parts" : [ [ "2010", "12", "1" ] ] }, "page" : "4141-4150", "title" : "Oxysterol binding protein-dependent activation of sphingomyelin synthesis in the golgi apparatus requires phosphatidylinositol 4-kinase II\u03b1", "type" : "article-journal", "volume" : "21" }, "uris" : [ "http://www.mendeley.com/documents/?uuid=06c26e02-32d2-3cd2-a191-ef136bbc660f" ] }, { "id" : "ITEM-3", "itemData" : { "DOI" : "10.1091/mbc.E06-01-0060", "ISSN" : "10591524", "abstract" : "Sphingomyelin (SM) and cholesterol are coregulated metabolically and associate physically in membrane microdomains involved in cargo sorting and signaling. One mechanism for regulation of this metabolic interface involves oxysterol binding protein (OSBP) via high-affinity binding to oxysterol regulators of cholesterol homeostasis and activation of SM synthesis at the Golgi apparatus. Here, we show that OSBP regulation of SM synthesis involves the endoplasmic reticulum (ER)-to-Golgi ceramide transport protein (CERT). RNA interference (RNAi) experiments in Chinese hamster ovary (CHO)-K1 cells revealed that OSBP and vesicle-associated membrane protein-associated protein (VAP) were required for stimulation of CERT-dependent ceramide transport and SM synthesis by 25-hydroxycholesterol and cholesterol depletion in response to cyclodextrin. Additional RNAi experiments in human embryonic kidney 293 cells supported OSBP involvement in oxysterol-activated SM synthesis and also revealed a role for OSBP in basal SM synthesis. Activation of ER-to-Golgi ceramide transport in CHO-K1 cells required interaction of OSBP with the ER and Golgi apparatus, OSBP-dependent Golgi translocation of CERT, and enhanced CERT-VAP interaction. Regulation of CERT by OSBP, sterols, and VAP reveals a novel mechanism for integrating sterol regulatory signals with ceramide transport and SM synthesis in the Golgi apparatus. \u00a9 2006 by The American Society for Cell Biology.", "author" : [ { "dropping-particle" : "", "family" : "Perry", "given" : "Ryan J.", "non-dropping-particle" : "", "parse-names" : false, "suffix" : "" }, { "dropping-particle" : "", "family" : "Ridgway", "given" : "Neale D.", "non-dropping-particle" : "", "parse-names" : false, "suffix" : "" } ], "container-title" : "Molecular Biology of the Cell", "id" : "ITEM-3", "issue" : "6", "issued" : { "date-parts" : [ [ "2006", "6" ] ] }, "page" : "2604-2616", "title" : "Oxysterol-binding protein and vesicle-associated membrane protein-associated protein are required for sterol-dependent activation of the ceramide transport protein", "type" : "article-journal", "volume" : "17" }, "uris" : [ "http://www.mendeley.com/documents/?uuid=7bae0c14-52b1-3247-ad50-a59b468d0ad9" ] }, { "id" : "ITEM-4", "itemData" : { "DOI" : "10.1074/jbc.M115.682997", "ISSN" : "1083351X", "abstract" : "Oxysterol-binding protein (OSBP) exchanges cholesterol and phosphatidylinositol 4-phosphate (PI-4P) at contact sites between the endoplasmic reticulum (ER) and the trans-Golgi/trans-Golgi network. 25-Hydroxycholesterol (25OH) competitively inhibits this exchange reaction in vitro and causes the constitutive localization of OSBP at the ER/Golgi interface and PI-4P-dependent recruitment of ceramide transfer protein (CERT) for sphingomyelin synthesis. We used PI-4P probes and mass analysis to determine how OSBP controls the availability of PI-4P for this metabolic pathway. Treatment of fibroblasts or Chinese hamster ovary (CHO) cells with 25OH caused a 50-70% reduction in Golgi-associated immunoreactive PI-4P that correlated with Golgi localization of OSBP. In contrast, 25OH caused an OSBP-dependent enrichment in Golgi PI-4P that was detected with a pleckstrin homology domain probe. The cellular mass of phosphatidylinositol monophosphates and Golgi PI-4P measured with an unbiased PI-4P probe (P4M) was unaffected by 25OH and OSBP silencing, indicating that OSBP shifts the distribution of PI-4P upon localization to ER-Golgi contact sites. The PI-4P and sterol binding activities of OSBP were both required for 25OH activation of sphingomyelin synthesis, suggesting that 25OH must be exchanged for PI-4P to be concentrated at contact sites. We propose a model wherein 25OH activation of OSBP promotes the binding and retention of PI-4P at ER-Golgi contact sites. This pool of PI-4P specifically recruits pleckstrin homology domain-containing proteins involved in lipid transfer and metabolism, such as CERT.", "author" : [ { "dropping-particle" : "", "family" : "Goto", "given" : "Asako", "non-dropping-particle" : "", "parse-names" : false, "suffix" : "" }, { "dropping-particle" : "", "family" : "Charman", "given" : "Mark", "non-dropping-particle" : "", "parse-names" : false, "suffix" : "" }, { "dropping-particle" : "", "family" : "Ridgway", "given" : "Neale D.", "non-dropping-particle" : "", "parse-names" : false, "suffix" : "" } ], "container-title" : "Journal of Biological Chemistry", "id" : "ITEM-4", "issue" : "3", "issued" : { "date-parts" : [ [ "2016", "1", "15" ] ] }, "page" : "1336-1347", "publisher" : "American Society for Biochemistry and Molecular Biology Inc.", "title" : "Oxysterol-binding protein activation at endoplasmic reticulum-golgi contact sites reorganizes phosphatidylinositol 4-phosphate pools", "type" : "article-journal", "volume" : "291" }, "uris" : [ "http://www.mendeley.com/documents/?uuid=f10a841c-0b56-3bbc-a966-56681d516421" ] } ], "mendeley" : { "formattedCitation" : "&lt;sup&gt;126\u2013129&lt;/sup&gt;", "plainTextFormattedCitation" : "126\u2013129", "previouslyFormattedCitation" : "&lt;sup&gt;125\u2013128&lt;/sup&gt;"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126–129</w:t>
      </w:r>
      <w:r w:rsidRPr="00857842">
        <w:rPr>
          <w:rFonts w:cs="Arial"/>
        </w:rPr>
        <w:fldChar w:fldCharType="end"/>
      </w:r>
      <w:r w:rsidRPr="00857842">
        <w:rPr>
          <w:rFonts w:cs="Arial"/>
        </w:rPr>
        <w:t xml:space="preserve"> OSBP is reported to be required for ER-Golgi lipid transport and for the replication of several classe</w:t>
      </w:r>
      <w:r w:rsidR="00236623">
        <w:rPr>
          <w:rFonts w:cs="Arial"/>
        </w:rPr>
        <w:t>s</w:t>
      </w:r>
      <w:r w:rsidRPr="00857842">
        <w:rPr>
          <w:rFonts w:cs="Arial"/>
        </w:rPr>
        <w:t xml:space="preserve"> of RNA pathogenic viruses.</w:t>
      </w:r>
      <w:r w:rsidRPr="00857842">
        <w:rPr>
          <w:rFonts w:cs="Arial"/>
        </w:rPr>
        <w:fldChar w:fldCharType="begin" w:fldLock="1"/>
      </w:r>
      <w:r w:rsidR="006B01D5">
        <w:rPr>
          <w:rFonts w:cs="Arial"/>
        </w:rPr>
        <w:instrText>ADDIN CSL_CITATION { "citationItems" : [ { "id" : "ITEM-1", "itemData" : { "DOI" : "10.1016/j.antiviral.2017.01.008", "ISSN" : "18729096", "abstract" : "The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PI4KIII\u03b2-PI4P-OSBP pathway to direct cholesterol to replication organelles. Here, we uncover that TTP-8307, a known enterovirus replication inhibitor, acts through the PI4KIII\u03b2-PI4P-OSBP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 "author" : [ { "dropping-particle" : "", "family" : "Albulescu", "given" : "Lucian", "non-dropping-particle" : "", "parse-names" : false, "suffix" : "" }, { "dropping-particle" : "", "family" : "Bigay", "given" : "Jo\u00eblle", "non-dropping-particle" : "", "parse-names" : false, "suffix" : "" }, { "dropping-particle" : "", "family" : "Biswas", "given" : "Bishyajit", "non-dropping-particle" : "", "parse-names" : false, "suffix" : "" }, { "dropping-particle" : "", "family" : "Weber-Boyvat", "given" : "Marion", "non-dropping-particle" : "", "parse-names" : false, "suffix" : "" }, { "dropping-particle" : "", "family" : "Dorobantu", "given" : "Cristina M.", "non-dropping-particle" : "", "parse-names" : false, "suffix" : "" }, { "dropping-particle" : "", "family" : "Delang", "given" : "Leen", "non-dropping-particle" : "", "parse-names" : false, "suffix" : "" }, { "dropping-particle" : "", "family" : "Schaar", "given" : "Hilde M.", "non-dropping-particle" : "van der", "parse-names" : false, "suffix" : "" }, { "dropping-particle" : "", "family" : "Jung", "given" : "Young Sik", "non-dropping-particle" : "", "parse-names" : false, "suffix" : "" }, { "dropping-particle" : "", "family" : "Neyts", "given" : "Johan", "non-dropping-particle" : "", "parse-names" : false, "suffix" : "" }, { "dropping-particle" : "", "family" : "Olkkonen", "given" : "Vesa M.", "non-dropping-particle" : "", "parse-names" : false, "suffix" : "" }, { "dropping-particle" : "", "family" : "Kuppeveld", "given" : "Frank J.M.", "non-dropping-particle" : "van", "parse-names" : false, "suffix" : "" }, { "dropping-particle" : "", "family" : "Strating", "given" : "Jeroen R.P.M.", "non-dropping-particle" : "", "parse-names" : false, "suffix" : "" } ], "container-title" : "Antiviral Research", "id" : "ITEM-1", "issued" : { "date-parts" : [ [ "2017", "4", "1" ] ] }, "page" : "37-44", "publisher" : "Elsevier B.V.", "title" : "Uncovering oxysterol-binding protein (OSBP) as a target of the anti-enteroviral compound TTP-8307", "type" : "article-journal", "volume" : "140" }, "uris" : [ "http://www.mendeley.com/documents/?uuid=f33d173e-f457-362a-98c6-a5f7d86993ca" ] }, { "id" : "ITEM-2", "itemData" : { "DOI" : "10.1016/j.celrep.2014.12.054", "ISSN" : "22111247", "abstract" : "Itraconazole (ITZ) is a well-known antifungal agent that also has anticancer activity. In this study, weidentify ITZ as a broad-spectrum inhibitor of enteroviruses (e.g., poliovirus, coxsackievirus, enterovirus-71, rhinovirus). We demonstrate that ITZ inhibits viral RNA replication by targeting oxysterol-binding protein (OSBP) and OSBP-related protein 4 (ORP4). Consistently, OSW-1, a specific OSBP/ORP4 antagonist, also inhibits enterovirus replication. Knockdown of OSBP inhibits virus replication, whereas overexpression of OSBP or ORP4 counteracts the antiviral effects of ITZ and OSW-1. ITZ binds OSBP and inhibits its function, i.e., shuttling of cholesterol and phosphatidylinositol-4-phosphate between membranes, thereby likely perturbing the virus-induced membrane alterations essential for viral replication organelle formation. ITZ also inhibits hepatitis C virus replication, which also relies on OSBP. Together, these data implicate OSBP/ORP4 as molecular targets of ITZ and point to an essential role of OSBP/ORP4-mediated lipid exchange in virus replication that can be targeted by antiviral drugs.", "author" : [ { "dropping-particle" : "", "family" : "Strating", "given" : "Jeroen R.P.M.", "non-dropping-particle" : "", "parse-names" : false, "suffix" : "" }, { "dropping-particle" : "", "family" : "Linden", "given" : "Lonneke", "non-dropping-particle" : "van der", "parse-names" : false, "suffix" : "" }, { "dropping-particle" : "", "family" : "Albulescu", "given" : "Lucian", "non-dropping-particle" : "", "parse-names" : false, "suffix" : "" }, { "dropping-particle" : "", "family" : "Bigay", "given" : "Jo\u00eblle", "non-dropping-particle" : "", "parse-names" : false, "suffix" : "" }, { "dropping-particle" : "", "family" : "Arita", "given" : "Minetaro", "non-dropping-particle" : "", "parse-names" : false, "suffix" : "" }, { "dropping-particle" : "", "family" : "Delang", "given" : "Leen", "non-dropping-particle" : "", "parse-names" : false, "suffix" : "" }, { "dropping-particle" : "", "family" : "Leyssen", "given" : "Pieter", "non-dropping-particle" : "", "parse-names" : false, "suffix" : "" }, { "dropping-particle" : "", "family" : "Schaar", "given" : "Hilde M.", "non-dropping-particle" : "van der", "parse-names" : false, "suffix" : "" }, { "dropping-particle" : "", "family" : "Lanke", "given" : "Kjerstin H.W.", "non-dropping-particle" : "", "parse-names" : false, "suffix" : "" }, { "dropping-particle" : "", "family" : "Thibaut", "given" : "Hendrik Jan", "non-dropping-particle" : "", "parse-names" : false, "suffix" : "" }, { "dropping-particle" : "", "family" : "Ulferts", "given" : "Rachel", "non-dropping-particle" : "", "parse-names" : false, "suffix" : "" }, { "dropping-particle" : "", "family" : "Drin", "given" : "Guillaume", "non-dropping-particle" : "", "parse-names" : false, "suffix" : "" }, { "dropping-particle" : "", "family" : "Schlinck", "given" : "Nina", "non-dropping-particle" : "", "parse-names" : false, "suffix" : "" }, { "dropping-particle" : "", "family" : "Wubbolts", "given" : "Richard W.", "non-dropping-particle" : "", "parse-names" : false, "suffix" : "" }, { "dropping-particle" : "", "family" : "Sever", "given" : "Navdar", "non-dropping-particle" : "", "parse-names" : false, "suffix" : "" }, { "dropping-particle" : "", "family" : "Head", "given" : "Sarah A.", "non-dropping-particle" : "", "parse-names" : false, "suffix" : "" }, { "dropping-particle" : "", "family" : "Liu", "given" : "Jun O.", "non-dropping-particle" : "", "parse-names" : false, "suffix" : "" }, { "dropping-particle" : "", "family" : "Beachy", "given" : "Philip A.", "non-dropping-particle" : "", "parse-names" : false, "suffix" : "" }, { "dropping-particle" : "", "family" : "DeMatteis", "given" : "Maria A.", "non-dropping-particle" : "", "parse-names" : false, "suffix" : "" }, { "dropping-particle" : "", "family" : "Shair", "given" : "Matthew D.", "non-dropping-particle" : "", "parse-names" : false, "suffix" : "" }, { "dropping-particle" : "", "family" : "Olkkonen", "given" : "Vesa M.", "non-dropping-particle" : "", "parse-names" : false, "suffix" : "" }, { "dropping-particle" : "", "family" : "Neyts", "given" : "Johan", "non-dropping-particle" : "", "parse-names" : false, "suffix" : "" }, { "dropping-particle" : "", "family" : "Kuppeveld", "given" : "Frank J.M.", "non-dropping-particle" : "van", "parse-names" : false, "suffix" : "" } ], "container-title" : "Cell Reports", "id" : "ITEM-2", "issue" : "4", "issued" : { "date-parts" : [ [ "2015", "2", "3" ] ] }, "page" : "600-615", "publisher" : "Elsevier", "title" : "Itraconazole inhibits enterovirus replication by targeting the oxysterol-binding protein", "type" : "article-journal", "volume" : "10" }, "uris" : [ "http://www.mendeley.com/documents/?uuid=1b3541dc-5df6-309e-a551-43f1889ea4ee" ] } ], "mendeley" : { "formattedCitation" : "&lt;sup&gt;48,64&lt;/sup&gt;", "plainTextFormattedCitation" : "48,64", "previouslyFormattedCitation" : "&lt;sup&gt;48,64&lt;/sup&gt;" }, "properties" : { "noteIndex" : 0 }, "schema" : "https://github.com/citation-style-language/schema/raw/master/csl-citation.json" }</w:instrText>
      </w:r>
      <w:r w:rsidRPr="00857842">
        <w:rPr>
          <w:rFonts w:cs="Arial"/>
        </w:rPr>
        <w:fldChar w:fldCharType="separate"/>
      </w:r>
      <w:r w:rsidR="006B01D5" w:rsidRPr="006B01D5">
        <w:rPr>
          <w:rFonts w:cs="Arial"/>
          <w:noProof/>
          <w:vertAlign w:val="superscript"/>
        </w:rPr>
        <w:t>48,64</w:t>
      </w:r>
      <w:r w:rsidRPr="00857842">
        <w:rPr>
          <w:rFonts w:cs="Arial"/>
        </w:rPr>
        <w:fldChar w:fldCharType="end"/>
      </w:r>
      <w:r w:rsidRPr="00857842">
        <w:rPr>
          <w:rFonts w:cs="Arial"/>
        </w:rPr>
        <w:t xml:space="preserve"> OSBP has no known role in cellular viability, cellular proliferation, or cancer biology.</w:t>
      </w:r>
      <w:r w:rsidRPr="00857842">
        <w:rPr>
          <w:rFonts w:cs="Arial"/>
        </w:rPr>
        <w:fldChar w:fldCharType="begin" w:fldLock="1"/>
      </w:r>
      <w:r w:rsidR="006B01D5">
        <w:rPr>
          <w:rFonts w:cs="Arial"/>
        </w:rPr>
        <w:instrText>ADDIN CSL_CITATION { "citationItems" : [ { "id" : "ITEM-1", "itemData" : { "DOI" : "10.1016/j.antiviral.2018.05.010", "ISSN" : "18729096", "abstract" : "Itraconazole (ITZ) is a well-known, FDA-approved antifungal drug that is also in clinical trials for its anticancer activity. ITZ exerts its anticancer activity through several disparate targets and pathways. ITZ inhibits angiogenesis by hampering the functioning of the vascular endothelial growth receptor 2 (VEGFR2) and by indirectly inhibiting mTOR signaling. Furthermore, ITZ directly inhibits the growth of several types of tumor cells by antagonizing Hedgehog signaling. Recently, we reported that ITZ also has broad-spectrum antiviral activity against enteroviruses, cardioviruses and hepatitis C virus, independent of established ITZ-activities but instead via a novel target, oxysterol-binding protein (OSBP), a cellular lipid shuttling protein. In this study, we analyzed which structural features of ITZ are important for the OSBP-mediated antiviral activity. The backbone structure, consisting of five rings, and the sec-butyl chain are important for antiviral activity, whereas the triazole moiety, which is critical for antifungal activity, is not. The features required for OSBP-mediated antiviral activity of ITZ overlap mostly with published features required for inhibition of VEGFR2 trafficking, but not Hh signaling. Furthermore, we use in silico studies to explore how ITZ could bind to OSBP. Our data show that several pharmacological activities of ITZ can be uncoupled, which is a critical step in the development of ITZ-based antiviral compounds with greater specificity and reduced off-target effects.", "author" : [ { "dropping-particle" : "", "family" : "Bauer", "given" : "Lisa", "non-dropping-particle" : "", "parse-names" : false, "suffix" : "" }, { "dropping-particle" : "", "family" : "Ferla", "given" : "Salvatore", "non-dropping-particle" : "", "parse-names" : false, "suffix" : "" }, { "dropping-particle" : "", "family" : "Head", "given" : "Sarah A.", "non-dropping-particle" : "", "parse-names" : false, "suffix" : "" }, { "dropping-particle" : "", "family" : "Bhat", "given" : "Shridhar", "non-dropping-particle" : "", "parse-names" : false, "suffix" : "" }, { "dropping-particle" : "", "family" : "Pasunooti", "given" : "Kalyan K.", "non-dropping-particle" : "", "parse-names" : false, "suffix" : "" }, { "dropping-particle" : "", "family" : "Shi", "given" : "Wei Q.", "non-dropping-particle" : "", "parse-names" : false, "suffix" : "" }, { "dropping-particle" : "", "family" : "Albulescu", "given" : "Lucian", "non-dropping-particle" : "", "parse-names" : false, "suffix" : "" }, { "dropping-particle" : "", "family" : "Liu", "given" : "Jun O.", "non-dropping-particle" : "", "parse-names" : false, "suffix" : "" }, { "dropping-particle" : "", "family" : "Brancale", "given" : "Andrea", "non-dropping-particle" : "", "parse-names" : false, "suffix" : "" }, { "dropping-particle" : "", "family" : "Kuppeveld", "given" : "Frank J.M.", "non-dropping-particle" : "van", "parse-names" : false, "suffix" : "" }, { "dropping-particle" : "", "family" : "Strating", "given" : "Jeroen R.P.M.", "non-dropping-particle" : "", "parse-names" : false, "suffix" : "" } ], "container-title" : "Antiviral Research", "id" : "ITEM-1", "issued" : { "date-parts" : [ [ "2018", "8", "1" ] ] }, "page" : "55-63", "publisher" : "Elsevier B.V.", "title" : "Structure-activity relationship study of itraconazole, a broad-range inhibitor of picornavirus replication that targets oxysterol-binding protein (OSBP)", "type" : "article-journal", "volume" : "156" }, "uris" : [ "http://www.mendeley.com/documents/?uuid=ac5bfa53-b96e-3688-967f-25149dd3d575" ] }, { "id" : "ITEM-2", "itemData" : { "DOI" : "10.1016/j.antiviral.2015.02.013", "ISSN" : "18729096", "abstract" : "Enteroviruses, e.g., polio-, coxsackie- and rhinoviruses, constitute a large genus within the Picornaviridae family of positive-strand RNA viruses and include many important pathogens linked to a variety of acute and chronic diseases. Despite their huge medical and economic impact, no approved antiviral therapy is yet available. Recently, the oxysterol-binding protein (OSBP) was implicated as a host factor for enterovirus replication. Here, we investigated the antiviral activity of the natural compound OSW-1, a ligand of OSBP that is under investigation as an anti-cancer drug. OSW-1 potently inhibited the replication of all enteroviruses tested, with IC50 values in the low nanomolar range, acted at the genome replication stage and was effective in all tested cell types of three different species. Importantly, OSBP overexpression rescued viral replication, demonstrating that the antiviral effect of OSW-1 is due to targeting OSBP. Together, we here report the anti-enterovirus activity of the natural anti-cancer compound OSW-1.", "author" : [ { "dropping-particle" : "", "family" : "Albulescu", "given" : "Lucian", "non-dropping-particle" : "", "parse-names" : false, "suffix" : "" }, { "dropping-particle" : "", "family" : "Strating", "given" : "Jeroen R.P.M.", "non-dropping-particle" : "", "parse-names" : false, "suffix" : "" }, { "dropping-particle" : "", "family" : "Thibaut", "given" : "Hendrik Jan", "non-dropping-particle" : "", "parse-names" : false, "suffix" : "" }, { "dropping-particle" : "", "family" : "Linden", "given" : "Lonneke", "non-dropping-particle" : "Van Der", "parse-names" : false, "suffix" : "" }, { "dropping-particle" : "", "family" : "Shair", "given" : "Matthew D.", "non-dropping-particle" : "", "parse-names" : false, "suffix" : "" }, { "dropping-particle" : "", "family" : "Neyts", "given" : "Johan", "non-dropping-particle" : "", "parse-names" : false, "suffix" : "" }, { "dropping-particle" : "", "family" : "Kuppeveld", "given" : "Frank J.M.", "non-dropping-particle" : "Van", "parse-names" : false, "suffix" : "" } ], "container-title" : "Antiviral Research", "id" : "ITEM-2", "issued" : { "date-parts" : [ [ "2015" ] ] }, "page" : "110-114", "publisher" : "Elsevier", "title" : "Broad-range inhibition of enterovirus replication by OSW-1, a natural compound targeting OSBP", "type" : "article-journal", "volume" : "117" }, "uris" : [ "http://www.mendeley.com/documents/?uuid=165d4282-d22d-3752-9845-1a61099eea17" ] }, { "id" : "ITEM-3", "itemData" : { "DOI" : "10.1021/acschembio.8b00984", "ISSN" : "1554-8929",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 "given" : "Anh T.", "non-dropping-particle" : "", "parse-names" : false, "suffix" : "" }, { "dropping-particle" : "", "family" : "Kothapalli", "given" : "Naga Rama", "non-dropping-particle" : "", "parse-names" : false, "suffix" : "" }, { "dropping-particle" : "", "family" : "Nu\u00f1ez", "given" : "Juan I.", "non-dropping-particle" : "", "parse-names" : false, "suffix" : "" }, { "dropping-particle" : "", "family" : "Ma", "given" : "Hongyan", "non-dropping-particle" : "", "parse-names" : false, "suffix" : "" }, { "dropping-particle" : "", "family" : "Wu", "given" : "Si", "non-dropping-particle" : "", "parse-names" : false, "suffix" : "" }, { "dropping-particle" : "", "family" : "Standke", "given" : "Shawna J.", "non-dropping-particle" : "", "parse-names" : false, "suffix" : "" }, { "dropping-particle" : "", "family" : "Yang", "given" : "Zhibo",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 G.", "non-dropping-particle" : "", "parse-names" : false, "suffix" : "" } ], "container-title" : "ACS Chemical Biology", "id" : "ITEM-3", "issue" : "2", "issued" : { "date-parts" : [ [ "2019", "2", "15" ] ] }, "page" : "276-287", "title" : "Transient Compound Treatment Induces a Multigenerational Reduction of Oxysterol-Binding Protein (OSBP) Levels and Prophylactic Antiviral Activity", "type" : "article-journal", "volume" : "14" }, "uris" : [ "http://www.mendeley.com/documents/?uuid=79790f4e-ff37-3681-b884-2fd618f8f424" ] }, { "id" : "ITEM-4", "itemData" : { "DOI" : "10.1016/j.antiviral.2017.01.008", "ISSN" : "18729096", "abstract" : "The genus Enterovirus (e.g. poliovirus, coxsackievirus, rhinovirus) of the Picornaviridae family of positive-strand RNA viruses includes many important pathogens linked to a range of acute and chronic diseases for which no approved antiviral therapy is available. Targeting a step in the life cycle that is highly conserved provides an attractive strategy for developing broad-range inhibitors of enterovirus infection. A step that is currently explored as a target for the development of antivirals is the formation of replication organelles, which support replication of the viral genome. To build replication organelles, enteroviruses rewire cellular machinery and hijack lipid homeostasis pathways. For example, enteroviruses exploit the PI4KIII\u03b2-PI4P-OSBP pathway to direct cholesterol to replication organelles. Here, we uncover that TTP-8307, a known enterovirus replication inhibitor, acts through the PI4KIII\u03b2-PI4P-OSBP pathway by directly inhibiting OSBP activity. However, despite a shared mechanism of TTP-8307 with established OSBP inhibitors (itraconazole and OSW-1), we identify a number of notable differences between these compounds. The antiviral activity of TTP-8307 extends to other viruses that require OSBP, namely the picornavirus encephalomyocarditis virus and the flavivirus hepatitis C virus.", "author" : [ { "dropping-particle" : "", "family" : "Albulescu", "given" : "Lucian", "non-dropping-particle" : "", "parse-names" : false, "suffix" : "" }, { "dropping-particle" : "", "family" : "Bigay", "given" : "Jo\u00eblle", "non-dropping-particle" : "", "parse-names" : false, "suffix" : "" }, { "dropping-particle" : "", "family" : "Biswas", "given" : "Bishyajit", "non-dropping-particle" : "", "parse-names" : false, "suffix" : "" }, { "dropping-particle" : "", "family" : "Weber-Boyvat", "given" : "Marion", "non-dropping-particle" : "", "parse-names" : false, "suffix" : "" }, { "dropping-particle" : "", "family" : "Dorobantu", "given" : "Cristina M.", "non-dropping-particle" : "", "parse-names" : false, "suffix" : "" }, { "dropping-particle" : "", "family" : "Delang", "given" : "Leen", "non-dropping-particle" : "", "parse-names" : false, "suffix" : "" }, { "dropping-particle" : "", "family" : "Schaar", "given" : "Hilde M.", "non-dropping-particle" : "van der", "parse-names" : false, "suffix" : "" }, { "dropping-particle" : "", "family" : "Jung", "given" : "Young Sik", "non-dropping-particle" : "", "parse-names" : false, "suffix" : "" }, { "dropping-particle" : "", "family" : "Neyts", "given" : "Johan", "non-dropping-particle" : "", "parse-names" : false, "suffix" : "" }, { "dropping-particle" : "", "family" : "Olkkonen", "given" : "Vesa M.", "non-dropping-particle" : "", "parse-names" : false, "suffix" : "" }, { "dropping-particle" : "", "family" : "Kuppeveld", "given" : "Frank J.M.", "non-dropping-particle" : "van", "parse-names" : false, "suffix" : "" }, { "dropping-particle" : "", "family" : "Strating", "given" : "Jeroen R.P.M.", "non-dropping-particle" : "", "parse-names" : false, "suffix" : "" } ], "container-title" : "Antiviral Research", "id" : "ITEM-4", "issued" : { "date-parts" : [ [ "2017", "4", "1" ] ] }, "page" : "37-44", "publisher" : "Elsevier B.V.", "title" : "Uncovering oxysterol-binding protein (OSBP) as a target of the anti-enteroviral compound TTP-8307", "type" : "article-journal", "volume" : "140" }, "uris" : [ "http://www.mendeley.com/documents/?uuid=f33d173e-f457-362a-98c6-a5f7d86993ca" ] } ], "mendeley" : { "formattedCitation" : "&lt;sup&gt;46\u201348,90&lt;/sup&gt;", "plainTextFormattedCitation" : "46\u201348,90", "previouslyFormattedCitation" : "&lt;sup&gt;46\u201348,90&lt;/sup&gt;" }, "properties" : { "noteIndex" : 0 }, "schema" : "https://github.com/citation-style-language/schema/raw/master/csl-citation.json" }</w:instrText>
      </w:r>
      <w:r w:rsidRPr="00857842">
        <w:rPr>
          <w:rFonts w:cs="Arial"/>
        </w:rPr>
        <w:fldChar w:fldCharType="separate"/>
      </w:r>
      <w:r w:rsidR="006B01D5" w:rsidRPr="006B01D5">
        <w:rPr>
          <w:rFonts w:cs="Arial"/>
          <w:noProof/>
          <w:vertAlign w:val="superscript"/>
        </w:rPr>
        <w:t>46–48,90</w:t>
      </w:r>
      <w:r w:rsidRPr="00857842">
        <w:rPr>
          <w:rFonts w:cs="Arial"/>
        </w:rPr>
        <w:fldChar w:fldCharType="end"/>
      </w:r>
      <w:r w:rsidRPr="00857842">
        <w:rPr>
          <w:rFonts w:cs="Arial"/>
        </w:rPr>
        <w:t xml:space="preserve"> In contrast, ORP4 is an identified precision cancer target and driver of cancer cell proliferation. ORP4L is selectively expressed in patient-isolated T-cell acute lymphoblastic leukemia (T-ALL) cells and drives the leukemia proliferation, including in leukemia stem cells.</w:t>
      </w:r>
      <w:r w:rsidRPr="00857842">
        <w:rPr>
          <w:rFonts w:cs="Arial"/>
        </w:rPr>
        <w:fldChar w:fldCharType="begin" w:fldLock="1"/>
      </w:r>
      <w:r w:rsidR="006B01D5">
        <w:rPr>
          <w:rFonts w:cs="Arial"/>
        </w:rPr>
        <w:instrText>ADDIN CSL_CITATION { "citationItems" : [ { "id" : "ITEM-1", "itemData" : { "DOI" : "10.1038/ncomms12702", "ISSN" : "20411723", "abstract" : "Metabolic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CD3\u03f5, G\u03b1 q/11 and PLC\u03b23 into a complex that activates PLC\u03b23. PLC\u03b23 catalyzes IP 3 production in T-ALL as opposed to PLC\u03b31 in normal T-cells. Up-regulation of ORP4L thus results in a switch in the enzyme responsible for IP 3 -induced endoplasmic reticulum Ca 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PLC\u03b23 activation, resulting in an increase of mitochondrial respiration for cell survival. Targeting ORP4L might represent a promising approach for T-ALL treatment.", "author" : [ { "dropping-particle" : "", "family" : "Zhong", "given" : "Wenbin", "non-dropping-particle" : "", "parse-names" : false, "suffix" : "" }, { "dropping-particle" : "", "family" : "Yi", "given" : "Qing", "non-dropping-particle" : "", "parse-names" : false, "suffix" : "" }, { "dropping-particle" : "", "family" : "Xu", "given" : "Bing", "non-dropping-particle" : "", "parse-names" : false, "suffix" : "" }, { "dropping-particle" : "", "family" : "Li", "given" : "Shiqian", "non-dropping-particle" : "", "parse-names" : false, "suffix" : "" }, { "dropping-particle" : "", "family" : "Wang", "given" : "Tong", "non-dropping-particle" : "", "parse-names" : false, "suffix" : "" }, { "dropping-particle" : "", "family" : "Liu", "given" : "Fupei", "non-dropping-particle" : "", "parse-names" : false, "suffix" : "" }, { "dropping-particle" : "", "family" : "Zhu", "given" : "Biying", "non-dropping-particle" : "", "parse-names" : false, "suffix" : "" }, { "dropping-particle" : "", "family" : "Hoffmann", "given" : "Peter R.", "non-dropping-particle" : "", "parse-names" : false, "suffix" : "" }, { "dropping-particle" : "", "family" : "Ji", "given" : "Guangju", "non-dropping-particle" : "", "parse-names" : false, "suffix" : "" }, { "dropping-particle" : "", "family" : "Lei", "given" : "Pingsheng", "non-dropping-particle" : "", "parse-names" : false, "suffix" : "" }, { "dropping-particle" : "", "family" : "Li", "given" : "Guoping", "non-dropping-particle" : "", "parse-names" : false, "suffix" : "" }, { "dropping-particle" : "", "family" : "Li", "given" : "Jiwei", "non-dropping-particle" : "", "parse-names" : false, "suffix" : "" }, { "dropping-particle" : "", "family" : "Li", "given" : "Jian", "non-dropping-particle" : "", "parse-names" : false, "suffix" : "" }, { "dropping-particle" : "", "family" : "Olkkonen", "given" : "Vesa M.", "non-dropping-particle" : "", "parse-names" : false, "suffix" : "" }, { "dropping-particle" : "", "family" : "Yan", "given" : "Daoguang", "non-dropping-particle" : "", "parse-names" : false, "suffix" : "" } ], "container-title" : "Nature Communications", "id" : "ITEM-1", "issued" : { "date-parts" : [ [ "2016", "9", "1" ] ] }, "publisher" : "Nature Publishing Group", "title" : "ORP4L is essential for T-cell acute lymphoblastic leukemia cell survival", "type" : "article-journal", "volume" : "7" }, "uris" : [ "http://www.mendeley.com/documents/?uuid=21b8166d-3042-347d-b36d-cfdd67d168f7" ] }, { "id" : "ITEM-2", "itemData" : { "DOI" : "10.1016/j.celrep.2019.01.082", "ISSN" : "22111247", "abstract" : "Leukemia stem cells (LSCs) are a rare subpopulation of abnormal hematopoietic stem cells (HSCs) that propagates leukemia and are responsible for the high frequency of relapse in therapies. Detailed insights into LSCs\u2019 survival will facilitate the identification of targets for therapeutic approaches. Here, we develop an inhibitor, LYZ-81, which targets ORP4L with high affinity and specificity and selectively eradicates LCSs in vitro and in vivo. ORP4L is expressed in LSCs but not in normal HSCs and is essential for LSC bioenergetics and survival. It extracts PIP 2 from the plasma membrane and presents it to PLC\u03b23, enabling IP 3 generation and subsequent Ca 2+ -dependent bioenergetics. LYZ-81 binds ORP4L competitively with PIP 2 and blocks PIP 2 hydrolysis, resulting in defective Ca 2+ signaling. The results provide evidence that LSCs can be eradicated through the inhibition of ORP4L by LYZ-81, which may serve as a starting point of drug development for the elimination of LSCs to eventually cure leukemia. Zhong et al. report that abnormal expression of ORP4L is essential for leukemia stem cell survival; it enables IP 3 generation by extracting and presenting PIP 2 from the plasma membrane to PLC\u03b23 for hydrolysis. The compound LYZ-81, which blocks this process via targeting ORP4L, selectively eradicates leukemia stem cells.", "author" : [ { "dropping-particle" : "", "family" : "Zhong", "given" : "Wenbin", "non-dropping-particle" : "", "parse-names" : false, "suffix" : "" }, { "dropping-particle" : "", "family" : "Xu", "given" : "Mengyang", "non-dropping-particle" : "", "parse-names" : false, "suffix" : "" }, { "dropping-particle" : "", "family" : "Li", "given" : "Chanjuan", "non-dropping-particle" : "", "parse-names" : false, "suffix" : "" }, { "dropping-particle" : "", "family" : "Zhu", "given" : "Biying", "non-dropping-particle" : "", "parse-names" : false, "suffix" : "" }, { "dropping-particle" : "", "family" : "Cao", "given" : "Xiuye", "non-dropping-particle" : "", "parse-names" : false, "suffix" : "" }, { "dropping-particle" : "", "family" : "Li", "given" : "Dan", "non-dropping-particle" : "", "parse-names" : false, "suffix" : "" }, { "dropping-particle" : "", "family" : "Chen", "given" : "Huanzhao", "non-dropping-particle" : "", "parse-names" : false, "suffix" : "" }, { "dropping-particle" : "", "family" : "Hu", "given" : "Chunxiu", "non-dropping-particle" : "", "parse-names" : false, "suffix" : "" }, { "dropping-particle" : "", "family" : "Li", "given" : "Rong", "non-dropping-particle" : "", "parse-names" : false, "suffix" : "" }, { "dropping-particle" : "", "family" : "Luo", "given" : "Chengwei", "non-dropping-particle" : "", "parse-names" : false, "suffix" : "" }, { "dropping-particle" : "", "family" : "Pan", "given" : "Guoping", "non-dropping-particle" : "", "parse-names" : false, "suffix" : "" }, { "dropping-particle" : "", "family" : "Zhang", "given" : "Wenqiang", "non-dropping-particle" : "", "parse-names" : false, "suffix" : "" }, { "dropping-particle" : "", "family" : "Lai", "given" : "Chaofeng", "non-dropping-particle" : "", "parse-names" : false, "suffix" : "" }, { "dropping-particle" : "", "family" : "Wang", "given" : "Tong", "non-dropping-particle" : "", "parse-names" : false, "suffix" : "" }, { "dropping-particle" : "", "family" : "Du", "given" : "Xin", "non-dropping-particle" : "", "parse-names" : false, "suffix" : "" }, { "dropping-particle" : "", "family" : "Chen", "given" : "Hong", "non-dropping-particle" : "", "parse-names" : false, "suffix" : "" }, { "dropping-particle" : "", "family" : "Xu", "given" : "Guowang", "non-dropping-particle" : "", "parse-names" : false, "suffix" : "" }, { "dropping-particle" : "", "family" : "Olkkonen", "given" : "Vesa M.", "non-dropping-particle" : "", "parse-names" : false, "suffix" : "" }, { "dropping-particle" : "", "family" : "Lei", "given" : "Pingsheng", "non-dropping-particle" : "", "parse-names" : false, "suffix" : "" }, { "dropping-particle" : "", "family" : "Xu", "given" : "Jun", "non-dropping-particle" : "", "parse-names" : false, "suffix" : "" }, { "dropping-particle" : "", "family" : "Yan", "given" : "Daoguang", "non-dropping-particle" : "", "parse-names" : false, "suffix" : "" } ], "container-title" : "Cell Reports", "id" : "ITEM-2", "issue" : "8", "issued" : { "date-parts" : [ [ "2019", "2", "19" ] ] }, "page" : "2166-2177.e9", "publisher" : "Elsevier B.V.", "title" : "ORP4L Extracts and Presents PIP 2 from Plasma Membrane for PLC\u03b23 Catalysis: Targeting It Eradicates Leukemia Stem Cells", "type" : "article-journal", "volume" : "26" }, "uris" : [ "http://www.mendeley.com/documents/?uuid=4fa2f1b8-5d88-33a7-8474-4bdfffd094b4" ] } ], "mendeley" : { "formattedCitation" : "&lt;sup&gt;51,53&lt;/sup&gt;", "plainTextFormattedCitation" : "51,53", "previouslyFormattedCitation" : "&lt;sup&gt;51,53&lt;/sup&gt;" }, "properties" : { "noteIndex" : 0 }, "schema" : "https://github.com/citation-style-language/schema/raw/master/csl-citation.json" }</w:instrText>
      </w:r>
      <w:r w:rsidRPr="00857842">
        <w:rPr>
          <w:rFonts w:cs="Arial"/>
        </w:rPr>
        <w:fldChar w:fldCharType="separate"/>
      </w:r>
      <w:r w:rsidR="006B01D5" w:rsidRPr="006B01D5">
        <w:rPr>
          <w:rFonts w:cs="Arial"/>
          <w:noProof/>
          <w:vertAlign w:val="superscript"/>
        </w:rPr>
        <w:t>51,53</w:t>
      </w:r>
      <w:r w:rsidRPr="00857842">
        <w:rPr>
          <w:rFonts w:cs="Arial"/>
        </w:rPr>
        <w:fldChar w:fldCharType="end"/>
      </w:r>
      <w:r w:rsidRPr="00857842">
        <w:rPr>
          <w:rFonts w:cs="Arial"/>
          <w:i/>
        </w:rPr>
        <w:t xml:space="preserve"> </w:t>
      </w:r>
      <w:r w:rsidRPr="00857842">
        <w:rPr>
          <w:rFonts w:cs="Arial"/>
          <w:iCs/>
        </w:rPr>
        <w:t xml:space="preserve">ORP4 is reported to promote mitochondrial respiration in </w:t>
      </w:r>
      <w:r w:rsidRPr="00857842">
        <w:rPr>
          <w:rFonts w:cs="Arial"/>
        </w:rPr>
        <w:t xml:space="preserve"> immortalized immune cells by regulating calcium release from the endoplasmic reticulum through mediating a G-protein activation of PLC3β.</w:t>
      </w:r>
      <w:r w:rsidRPr="00857842">
        <w:rPr>
          <w:rFonts w:cs="Arial"/>
        </w:rPr>
        <w:fldChar w:fldCharType="begin" w:fldLock="1"/>
      </w:r>
      <w:r w:rsidR="006B01D5">
        <w:rPr>
          <w:rFonts w:cs="Arial"/>
        </w:rPr>
        <w:instrText>ADDIN CSL_CITATION { "citationItems" : [ { "id" : "ITEM-1", "itemData" : { "DOI" : "10.1038/ncomms12702", "ISSN" : "20411723", "abstract" : "Metabolic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CD3\u03f5, G\u03b1 q/11 and PLC\u03b23 into a complex that activates PLC\u03b23. PLC\u03b23 catalyzes IP 3 production in T-ALL as opposed to PLC\u03b31 in normal T-cells. Up-regulation of ORP4L thus results in a switch in the enzyme responsible for IP 3 -induced endoplasmic reticulum Ca 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PLC\u03b23 activation, resulting in an increase of mitochondrial respiration for cell survival. Targeting ORP4L might represent a promising approach for T-ALL treatment.", "author" : [ { "dropping-particle" : "", "family" : "Zhong", "given" : "Wenbin", "non-dropping-particle" : "", "parse-names" : false, "suffix" : "" }, { "dropping-particle" : "", "family" : "Yi", "given" : "Qing", "non-dropping-particle" : "", "parse-names" : false, "suffix" : "" }, { "dropping-particle" : "", "family" : "Xu", "given" : "Bing", "non-dropping-particle" : "", "parse-names" : false, "suffix" : "" }, { "dropping-particle" : "", "family" : "Li", "given" : "Shiqian", "non-dropping-particle" : "", "parse-names" : false, "suffix" : "" }, { "dropping-particle" : "", "family" : "Wang", "given" : "Tong", "non-dropping-particle" : "", "parse-names" : false, "suffix" : "" }, { "dropping-particle" : "", "family" : "Liu", "given" : "Fupei", "non-dropping-particle" : "", "parse-names" : false, "suffix" : "" }, { "dropping-particle" : "", "family" : "Zhu", "given" : "Biying", "non-dropping-particle" : "", "parse-names" : false, "suffix" : "" }, { "dropping-particle" : "", "family" : "Hoffmann", "given" : "Peter R.", "non-dropping-particle" : "", "parse-names" : false, "suffix" : "" }, { "dropping-particle" : "", "family" : "Ji", "given" : "Guangju", "non-dropping-particle" : "", "parse-names" : false, "suffix" : "" }, { "dropping-particle" : "", "family" : "Lei", "given" : "Pingsheng", "non-dropping-particle" : "", "parse-names" : false, "suffix" : "" }, { "dropping-particle" : "", "family" : "Li", "given" : "Guoping", "non-dropping-particle" : "", "parse-names" : false, "suffix" : "" }, { "dropping-particle" : "", "family" : "Li", "given" : "Jiwei", "non-dropping-particle" : "", "parse-names" : false, "suffix" : "" }, { "dropping-particle" : "", "family" : "Li", "given" : "Jian", "non-dropping-particle" : "", "parse-names" : false, "suffix" : "" }, { "dropping-particle" : "", "family" : "Olkkonen", "given" : "Vesa M.", "non-dropping-particle" : "", "parse-names" : false, "suffix" : "" }, { "dropping-particle" : "", "family" : "Yan", "given" : "Daoguang", "non-dropping-particle" : "", "parse-names" : false, "suffix" : "" } ], "container-title" : "Nature Communications", "id" : "ITEM-1", "issued" : { "date-parts" : [ [ "2016", "9", "1" ] ] }, "publisher" : "Nature Publishing Group", "title" : "ORP4L is essential for T-cell acute lymphoblastic leukemia cell survival", "type" : "article-journal", "volume" : "7" }, "uris" : [ "http://www.mendeley.com/documents/?uuid=21b8166d-3042-347d-b36d-cfdd67d168f7" ] } ], "mendeley" : { "formattedCitation" : "&lt;sup&gt;51&lt;/sup&gt;", "plainTextFormattedCitation" : "51", "previouslyFormattedCitation" : "&lt;sup&gt;51&lt;/sup&gt;" }, "properties" : { "noteIndex" : 0 }, "schema" : "https://github.com/citation-style-language/schema/raw/master/csl-citation.json" }</w:instrText>
      </w:r>
      <w:r w:rsidRPr="00857842">
        <w:rPr>
          <w:rFonts w:cs="Arial"/>
        </w:rPr>
        <w:fldChar w:fldCharType="separate"/>
      </w:r>
      <w:r w:rsidR="006B01D5" w:rsidRPr="006B01D5">
        <w:rPr>
          <w:rFonts w:cs="Arial"/>
          <w:noProof/>
          <w:vertAlign w:val="superscript"/>
        </w:rPr>
        <w:t>51</w:t>
      </w:r>
      <w:r w:rsidRPr="00857842">
        <w:rPr>
          <w:rFonts w:cs="Arial"/>
        </w:rPr>
        <w:fldChar w:fldCharType="end"/>
      </w:r>
      <w:r w:rsidRPr="00857842">
        <w:rPr>
          <w:rFonts w:cs="Arial"/>
        </w:rPr>
        <w:t xml:space="preserve"> Knockdown of ORP4 in cancer cell </w:t>
      </w:r>
      <w:r w:rsidRPr="00857842">
        <w:rPr>
          <w:rFonts w:cs="Arial"/>
        </w:rPr>
        <w:lastRenderedPageBreak/>
        <w:t>lines results in increased apoptosis, autophagy, and mitochondrial dysfunction, which phenocopies OSW-1 treatment.</w:t>
      </w:r>
      <w:r w:rsidRPr="00857842">
        <w:rPr>
          <w:rFonts w:cs="Arial"/>
        </w:rPr>
        <w:fldChar w:fldCharType="begin" w:fldLock="1"/>
      </w:r>
      <w:r w:rsidR="006B01D5">
        <w:rPr>
          <w:rFonts w:cs="Arial"/>
        </w:rPr>
        <w:instrText>ADDIN CSL_CITATION { "citationItems" : [ { "id" : "ITEM-1", "itemData" : { "DOI" : "10.1038/ncomms12702", "ISSN" : "20411723", "abstract" : "Metabolic pathways are reprogrammed in cancer to support cell survival. Here, we report that T-cell acute lymphoblastic leukemia (T-ALL) cells are characterized by increased oxidative phosphorylation and robust ATP production. We demonstrate that ORP4L is expressed in T-ALL but not normal T-cells and its abundance is proportional to cellular ATP. ORP4L acts as an adaptor/scaffold assembling CD3\u03f5, G\u03b1 q/11 and PLC\u03b23 into a complex that activates PLC\u03b23. PLC\u03b23 catalyzes IP 3 production in T-ALL as opposed to PLC\u03b31 in normal T-cells. Up-regulation of ORP4L thus results in a switch in the enzyme responsible for IP 3 -induced endoplasmic reticulum Ca 2+ release and oxidative phosphorylation. ORP4L knockdown results in suboptimal bioenergetics, cell death and abrogation of T-ALL engraftment in vivo. In summary, we uncovered a signalling pathway operating specifically in T-ALL cells in which ORP4L mediates G protein-coupled ligand-induced PLC\u03b23 activation, resulting in an increase of mitochondrial respiration for cell survival. Targeting ORP4L might represent a promising approach for T-ALL treatment.", "author" : [ { "dropping-particle" : "", "family" : "Zhong", "given" : "Wenbin", "non-dropping-particle" : "", "parse-names" : false, "suffix" : "" }, { "dropping-particle" : "", "family" : "Yi", "given" : "Qing", "non-dropping-particle" : "", "parse-names" : false, "suffix" : "" }, { "dropping-particle" : "", "family" : "Xu", "given" : "Bing", "non-dropping-particle" : "", "parse-names" : false, "suffix" : "" }, { "dropping-particle" : "", "family" : "Li", "given" : "Shiqian", "non-dropping-particle" : "", "parse-names" : false, "suffix" : "" }, { "dropping-particle" : "", "family" : "Wang", "given" : "Tong", "non-dropping-particle" : "", "parse-names" : false, "suffix" : "" }, { "dropping-particle" : "", "family" : "Liu", "given" : "Fupei", "non-dropping-particle" : "", "parse-names" : false, "suffix" : "" }, { "dropping-particle" : "", "family" : "Zhu", "given" : "Biying", "non-dropping-particle" : "", "parse-names" : false, "suffix" : "" }, { "dropping-particle" : "", "family" : "Hoffmann", "given" : "Peter R.", "non-dropping-particle" : "", "parse-names" : false, "suffix" : "" }, { "dropping-particle" : "", "family" : "Ji", "given" : "Guangju", "non-dropping-particle" : "", "parse-names" : false, "suffix" : "" }, { "dropping-particle" : "", "family" : "Lei", "given" : "Pingsheng", "non-dropping-particle" : "", "parse-names" : false, "suffix" : "" }, { "dropping-particle" : "", "family" : "Li", "given" : "Guoping", "non-dropping-particle" : "", "parse-names" : false, "suffix" : "" }, { "dropping-particle" : "", "family" : "Li", "given" : "Jiwei", "non-dropping-particle" : "", "parse-names" : false, "suffix" : "" }, { "dropping-particle" : "", "family" : "Li", "given" : "Jian", "non-dropping-particle" : "", "parse-names" : false, "suffix" : "" }, { "dropping-particle" : "", "family" : "Olkkonen", "given" : "Vesa M.", "non-dropping-particle" : "", "parse-names" : false, "suffix" : "" }, { "dropping-particle" : "", "family" : "Yan", "given" : "Daoguang", "non-dropping-particle" : "", "parse-names" : false, "suffix" : "" } ], "container-title" : "Nature Communications", "id" : "ITEM-1", "issued" : { "date-parts" : [ [ "2016", "9", "1" ] ] }, "publisher" : "Nature Publishing Group", "title" : "ORP4L is essential for T-cell acute lymphoblastic leukemia cell survival", "type" : "article-journal", "volume" : "7" }, "uris" : [ "http://www.mendeley.com/documents/?uuid=21b8166d-3042-347d-b36d-cfdd67d168f7" ] }, { "id" : "ITEM-2", "itemData" : { "DOI" : "10.1016/j.celrep.2019.01.082", "ISSN" : "22111247", "abstract" : "Leukemia stem cells (LSCs) are a rare subpopulation of abnormal hematopoietic stem cells (HSCs) that propagates leukemia and are responsible for the high frequency of relapse in therapies. Detailed insights into LSCs\u2019 survival will facilitate the identification of targets for therapeutic approaches. Here, we develop an inhibitor, LYZ-81, which targets ORP4L with high affinity and specificity and selectively eradicates LCSs in vitro and in vivo. ORP4L is expressed in LSCs but not in normal HSCs and is essential for LSC bioenergetics and survival. It extracts PIP 2 from the plasma membrane and presents it to PLC\u03b23, enabling IP 3 generation and subsequent Ca 2+ -dependent bioenergetics. LYZ-81 binds ORP4L competitively with PIP 2 and blocks PIP 2 hydrolysis, resulting in defective Ca 2+ signaling. The results provide evidence that LSCs can be eradicated through the inhibition of ORP4L by LYZ-81, which may serve as a starting point of drug development for the elimination of LSCs to eventually cure leukemia. Zhong et al. report that abnormal expression of ORP4L is essential for leukemia stem cell survival; it enables IP 3 generation by extracting and presenting PIP 2 from the plasma membrane to PLC\u03b23 for hydrolysis. The compound LYZ-81, which blocks this process via targeting ORP4L, selectively eradicates leukemia stem cells.", "author" : [ { "dropping-particle" : "", "family" : "Zhong", "given" : "Wenbin", "non-dropping-particle" : "", "parse-names" : false, "suffix" : "" }, { "dropping-particle" : "", "family" : "Xu", "given" : "Mengyang", "non-dropping-particle" : "", "parse-names" : false, "suffix" : "" }, { "dropping-particle" : "", "family" : "Li", "given" : "Chanjuan", "non-dropping-particle" : "", "parse-names" : false, "suffix" : "" }, { "dropping-particle" : "", "family" : "Zhu", "given" : "Biying", "non-dropping-particle" : "", "parse-names" : false, "suffix" : "" }, { "dropping-particle" : "", "family" : "Cao", "given" : "Xiuye", "non-dropping-particle" : "", "parse-names" : false, "suffix" : "" }, { "dropping-particle" : "", "family" : "Li", "given" : "Dan", "non-dropping-particle" : "", "parse-names" : false, "suffix" : "" }, { "dropping-particle" : "", "family" : "Chen", "given" : "Huanzhao", "non-dropping-particle" : "", "parse-names" : false, "suffix" : "" }, { "dropping-particle" : "", "family" : "Hu", "given" : "Chunxiu", "non-dropping-particle" : "", "parse-names" : false, "suffix" : "" }, { "dropping-particle" : "", "family" : "Li", "given" : "Rong", "non-dropping-particle" : "", "parse-names" : false, "suffix" : "" }, { "dropping-particle" : "", "family" : "Luo", "given" : "Chengwei", "non-dropping-particle" : "", "parse-names" : false, "suffix" : "" }, { "dropping-particle" : "", "family" : "Pan", "given" : "Guoping", "non-dropping-particle" : "", "parse-names" : false, "suffix" : "" }, { "dropping-particle" : "", "family" : "Zhang", "given" : "Wenqiang", "non-dropping-particle" : "", "parse-names" : false, "suffix" : "" }, { "dropping-particle" : "", "family" : "Lai", "given" : "Chaofeng", "non-dropping-particle" : "", "parse-names" : false, "suffix" : "" }, { "dropping-particle" : "", "family" : "Wang", "given" : "Tong", "non-dropping-particle" : "", "parse-names" : false, "suffix" : "" }, { "dropping-particle" : "", "family" : "Du", "given" : "Xin", "non-dropping-particle" : "", "parse-names" : false, "suffix" : "" }, { "dropping-particle" : "", "family" : "Chen", "given" : "Hong", "non-dropping-particle" : "", "parse-names" : false, "suffix" : "" }, { "dropping-particle" : "", "family" : "Xu", "given" : "Guowang", "non-dropping-particle" : "", "parse-names" : false, "suffix" : "" }, { "dropping-particle" : "", "family" : "Olkkonen", "given" : "Vesa M.", "non-dropping-particle" : "", "parse-names" : false, "suffix" : "" }, { "dropping-particle" : "", "family" : "Lei", "given" : "Pingsheng", "non-dropping-particle" : "", "parse-names" : false, "suffix" : "" }, { "dropping-particle" : "", "family" : "Xu", "given" : "Jun", "non-dropping-particle" : "", "parse-names" : false, "suffix" : "" }, { "dropping-particle" : "", "family" : "Yan", "given" : "Daoguang", "non-dropping-particle" : "", "parse-names" : false, "suffix" : "" } ], "container-title" : "Cell Reports", "id" : "ITEM-2", "issue" : "8", "issued" : { "date-parts" : [ [ "2019", "2", "19" ] ] }, "page" : "2166-2177.e9", "publisher" : "Elsevier B.V.", "title" : "ORP4L Extracts and Presents PIP 2 from Plasma Membrane for PLC\u03b23 Catalysis: Targeting It Eradicates Leukemia Stem Cells", "type" : "article-journal", "volume" : "26" }, "uris" : [ "http://www.mendeley.com/documents/?uuid=4fa2f1b8-5d88-33a7-8474-4bdfffd094b4" ] }, { "id" : "ITEM-3", "itemData" : { "DOI" : "10.1074/jbc.M114.571216", "ISSN" : "1083351X", "abstract" : "Background: The function of oxysterol-binding protein-related protein (ORP4) is unknown. Results: Silencing ORP4L or all ORP4 isoforms triggers growth arrest and apoptosis, which is suppressed by H-Ras and involves the C-terminal lipid binding domain. Conclusion: ORP4 is a sterol and PI-4P-binding protein required for survival and proliferation of immortalized and transformed cells. Significance: This is the first study to identify a mammalian ORP with growth regulatory activity. \u00a9 2014 by The American Society for Biochemistry and Molecular Biology, Inc. Published in the U.S.A.", "author" : [ { "dropping-particle" : "", "family" : "Charman", "given" : "Mark", "non-dropping-particle" : "", "parse-names" : false, "suffix" : "" }, { "dropping-particle" : "", "family" : "Colbourne", "given" : "Terry R.", "non-dropping-particle" : "", "parse-names" : false, "suffix" : "" }, { "dropping-particle" : "", "family" : "Pietrangelo", "given" : "Antonietta", "non-dropping-particle" : "", "parse-names" : false, "suffix" : "" }, { "dropping-particle" : "", "family" : "Kreplak", "given" : "Laurent", "non-dropping-particle" : "", "parse-names" : false, "suffix" : "" }, { "dropping-particle" : "", "family" : "Ridgway", "given" : "Neale D.", "non-dropping-particle" : "", "parse-names" : false, "suffix" : "" } ], "container-title" : "Journal of Biological Chemistry", "id" : "ITEM-3", "issue" : "22", "issued" : { "date-parts" : [ [ "2014", "5", "30" ] ] }, "page" : "15705-15717", "publisher" : "American Society for Biochemistry and Molecular Biology Inc.", "title" : "Oxysterol-binding protein (OSBP)-related protein 4 (ORP4) is essential for cell proliferation and survival", "type" : "article-journal", "volume" : "289" }, "uris" : [ "http://www.mendeley.com/documents/?uuid=761c5e8e-fc8d-38e2-acf7-9099942839b7" ] }, { "id" : "ITEM-4", "itemData" : { "DOI" : "10.18632/oncotarget.11671", "ISSN" : "19492553", "abstract" : "Oxsterol binding protein-related protein 4 (ORP4) is essential for cell proliferation, but the underlying mechanism is unclear. ORP4 is expressed as three variants, ORP4L, ORP4M and ORP4S. Here, we reported that silencing of ORP4L with specific small interfering RNA (siRNA) inhibited the proliferation of human cervical cancer cell lines C33A, HeLa and CaSki, the reverse effect being observed in ORP4L overexpressing cells. For molecular insight, we found that ORP4L maintained intracellular Ca 2+ homeostasis. Through this mechanism, ORP4L activated nuclear factor of activated T cells (NFAT) activity and thus promoted expression of a gene cluster which supported cell proliferation. Of note, ORP4L sustained inositol- 1,4,5-trisphosphate receptor 1 (IP 3 R1) expression at both mRNA and protein levels via Ca 2+ -dependent NFAT3 activation, which offered a mechanic explanation for the role of ORP4L intracellular Ca 2+ homeostasis. Furthermore, ORP4L knockdown markedly inhibited tumor growth in a C33A cell xenograft mouse model. To conclude, our results reveal that ORP4L promotes cell proliferation through maintaining intracellular Ca 2+ homeostasis.", "author" : [ { "dropping-particle" : "", "family" : "Li", "given" : "Ji Wei", "non-dropping-particle" : "", "parse-names" : false, "suffix" : "" }, { "dropping-particle" : "", "family" : "Xiao", "given" : "Yan Lin", "non-dropping-particle" : "", "parse-names" : false, "suffix" : "" }, { "dropping-particle" : "", "family" : "Lai", "given" : "Chao Feng", "non-dropping-particle" : "", "parse-names" : false, "suffix" : "" }, { "dropping-particle" : "", "family" : "Lou", "given" : "Ning", "non-dropping-particle" : "", "parse-names" : false, "suffix" : "" }, { "dropping-particle" : "", "family" : "Ma", "given" : "Hong Ling", "non-dropping-particle" : "", "parse-names" : false, "suffix" : "" }, { "dropping-particle" : "", "family" : "Zhu", "given" : "Bi Ying", "non-dropping-particle" : "", "parse-names" : false, "suffix" : "" }, { "dropping-particle" : "Bin", "family" : "Zhong", "given" : "Wen", "non-dropping-particle" : "", "parse-names" : false, "suffix" : "" }, { "dropping-particle" : "", "family" : "Yan", "given" : "Dao Guang", "non-dropping-particle" : "", "parse-names" : false, "suffix" : "" } ], "container-title" : "Oncotarget", "id" : "ITEM-4", "issue" : "40", "issued" : { "date-parts" : [ [ "2016" ] ] }, "page" : "65849-65861", "publisher" : "Impact Journals LLC", "title" : "Oxysterol-binding protein-related protein 4L promotes cell proliferation by sustaining intracellular Ca 2+ homeostasis in cervical carcinoma cell lines", "type" : "article-journal", "volume" : "7" }, "uris" : [ "http://www.mendeley.com/documents/?uuid=fe8409a8-ef3b-3e8b-9032-54997ddd35d6" ] }, { "id" : "ITEM-5", "itemData" : { "DOI" : "10.1096/fj.201900933RR", "ISSN" : "1530-6860", "abstract" : "Oxysterol-binding protein-related protein (ORP) 4L acts as a scaffold protein assembling CD3-\u03b5, G-\u03b1q/11, and PLC-\u03b23 into a complex at the plasma membrane that mediates inositol (1,4,5)-trisphosphate (IP3)-induced endoplasmic reticulum (ER) Ca2+ release and oxidative phosphorylation in T-cell acute lymphoblastic leukemia cells. Here, we offer new evidence that ORP4L interacts with the carboxyl terminus of the IP3 receptor type 1 (ITPR1) in Jurkat T cells. ORP4L enables IP3 binding to ITPR1; a truncated construct that lacks the ITPR1-binding region retains the ability to increase IP3 production but fails to mediate IP3 and ITPR1 binding. In association with this ability of ORP4L, it enhances Ca2+ release from the ER and subsequent cytosolic and mitochondrial parallel Ca2+ spike oscillations that stimulate mitochondrial energetics and thus maintains cell survival. These data support a novel model in which ORP4L is a cofactor of ITPR1, which increases ITPR1 sensitivity to IP3 and enables ER Ca2+ release.-Cao, X., Chen, J., Li, D., Xie, P., Xu, M., Lin, W., Li, S., Pan, G., Tang, Y., Xu, J., Olkkonen, V. M., Yan, D., Zhong, W. ORP4L couples IP3 to ITPR1 in control of endoplasmic reticulum calcium release.", "author" : [ { "dropping-particle" : "", "family" : "Cao", "given" : "Xiuye", "non-dropping-particle" : "", "parse-names" : false, "suffix" : "" }, { "dropping-particle" : "", "family" : "Chen", "given" : "Jianuo", "non-dropping-particle" : "", "parse-names" : false, "suffix" : "" }, { "dropping-particle" : "", "family" : "Li", "given" : "Dan", "non-dropping-particle" : "", "parse-names" : false, "suffix" : "" }, { "dropping-particle" : "", "family" : "Xie", "given" : "Peipei", "non-dropping-particle" : "", "parse-names" : false, "suffix" : "" }, { "dropping-particle" : "", "family" : "Xu", "given" : "Mengyang", "non-dropping-particle" : "", "parse-names" : false, "suffix" : "" }, { "dropping-particle" : "", "family" : "Lin", "given" : "Weize", "non-dropping-particle" : "", "parse-names" : false, "suffix" : "" }, { "dropping-particle" : "", "family" : "Li", "given" : "Shiqian", "non-dropping-particle" : "", "parse-names" : false, "suffix" : "" }, { "dropping-particle" : "", "family" : "Pan", "given" : "Guoping", "non-dropping-particle" : "", "parse-names" : false, "suffix" : "" }, { "dropping-particle" : "", "family" : "Tang", "given" : "Yong", "non-dropping-particle" : "", "parse-names" : false, "suffix" : "" }, { "dropping-particle" : "", "family" : "Xu", "given" : "Jun", "non-dropping-particle" : "", "parse-names" : false, "suffix" : "" }, { "dropping-particle" : "", "family" : "Olkkonen", "given" : "Vesa M", "non-dropping-particle" : "", "parse-names" : false, "suffix" : "" }, { "dropping-particle" : "", "family" : "Yan", "given" : "Daoguang", "non-dropping-particle" : "", "parse-names" : false, "suffix" : "" }, { "dropping-particle" : "", "family" : "Zhong", "given" : "Wenbin", "non-dropping-particle" : "", "parse-names" : false, "suffix" : "" } ], "container-title" : "FASEB journal : official publication of the Federation of American Societies for Experimental Biology", "id" : "ITEM-5", "issued" : { "date-parts" : [ [ "2019" ] ] }, "page" : "fj201900933RR", "title" : "ORP4L couples IP3 to ITPR1 in control of endoplasmic reticulum calcium release.", "type" : "article-journal" }, "uris" : [ "http://www.mendeley.com/documents/?uuid=500c6c93-c627-3877-9d36-9b248fd330a0" ] }, { "id" : "ITEM-6", "itemData" : { "DOI" : "10.1074/jbc.M112.384776", "ISSN" : "00219258", "abstract" : "3\u03b2,16\u03b2,17\u03b1-Trihydroxycholest-5-en-22-one 16-O-(2-O-4-methoxybenzoyl-\u03b2-D-xylopyranosyl)-(1\u21923) -2-O-acetyl-\u03b1-L-arabinopyranoside (OSW-1) is a natural product with potent antitumor activity against various types of cancer cells, but the exact mechanisms of action remain to be defined. In this study, we showed that OSW-1 effectively killed leukemia cells at subnanomolar concentrations through a unique mechanism by causing a time-dependent elevation of cytosolic Ca 2+ prior to induction of apoptosis. A mechanistic study revealed that this compound inhibited the sodium-calcium exchanger 1 on the plasma membrane, leading to an increase in cytosolic Ca2+ and a decrease in cytosolic Na+. The elevated cytosolic Ca2+ caused mitochondrial calcium overload and resulted in a loss of mitochondrial membrane potential, release of cytochrome c, and activation of caspase-3. Furthermore, OSW-1 also caused a Ca2+-dependent cleavage of the survival factor GRP78. Inhibition of Ca2+ entry into the mitochondria by the uniporter inhibitor RU360 or by cyclosporin A significantly prevented the OSW-1-induced cell death, indicating the important role of mitochondria in mediating the cytotoxic activity. The extremely potent activity of OSW-1 against leukemia cells and its unique mechanism of action suggest that this compound may be potentially useful in the treatment of leukemia. \u00a9 2013 by The American Society for Biochemistry and Molecular Biology, Inc.", "author" : [ { "dropping-particle" : "", "family" : "Garcia-Prieto", "given" : "Celia", "non-dropping-particle" : "", "parse-names" : false, "suffix" : "" }, { "dropping-particle" : "", "family" : "Ahmed", "given" : "Kausar Begam Riaz", "non-dropping-particle" : "", "parse-names" : false, "suffix" : "" }, { "dropping-particle" : "", "family" : "Chen", "given" : "Zhao", "non-dropping-particle" : "", "parse-names" : false, "suffix" : "" }, { "dropping-particle" : "", "family" : "Zhou", "given" : "Yan", "non-dropping-particle" : "", "parse-names" : false, "suffix" : "" }, { "dropping-particle" : "", "family" : "Hammoudi", "given" : "Naima", "non-dropping-particle" : "", "parse-names" : false, "suffix" : "" }, { "dropping-particle" : "", "family" : "Kang", "given" : "Ying", "non-dropping-particle" : "", "parse-names" : false, "suffix" : "" }, { "dropping-particle" : "", "family" : "Lou", "given" : "Changgang", "non-dropping-particle" : "", "parse-names" : false, "suffix" : "" }, { "dropping-particle" : "", "family" : "Mei", "given" : "Yan", "non-dropping-particle" : "", "parse-names" : false, "suffix" : "" }, { "dropping-particle" : "", "family" : "Jin", "given" : "Zhendong", "non-dropping-particle" : "", "parse-names" : false, "suffix" : "" }, { "dropping-particle" : "", "family" : "Huang", "given" : "Peng", "non-dropping-particle" : "", "parse-names" : false, "suffix" : "" } ], "container-title" : "Journal of Biological Chemistry", "id" : "ITEM-6", "issue" : "5", "issued" : { "date-parts" : [ [ "2013", "2", "1" ] ] }, "page" : "3240-3250", "title" : "Effective killing of leukemia cells by the natural product OSW-1 through disruption of cellular calcium homeostasis", "type" : "article-journal", "volume" : "288" }, "uris" : [ "http://www.mendeley.com/documents/?uuid=b8506d1a-b276-3784-a880-bc26662190a2" ] } ], "mendeley" : { "formattedCitation" : "&lt;sup&gt;51,53\u201357&lt;/sup&gt;", "plainTextFormattedCitation" : "51,53\u201357", "previouslyFormattedCitation" : "&lt;sup&gt;51,53\u201357&lt;/sup&gt;" }, "properties" : { "noteIndex" : 0 }, "schema" : "https://github.com/citation-style-language/schema/raw/master/csl-citation.json" }</w:instrText>
      </w:r>
      <w:r w:rsidRPr="00857842">
        <w:rPr>
          <w:rFonts w:cs="Arial"/>
        </w:rPr>
        <w:fldChar w:fldCharType="separate"/>
      </w:r>
      <w:r w:rsidR="006B01D5" w:rsidRPr="006B01D5">
        <w:rPr>
          <w:rFonts w:cs="Arial"/>
          <w:noProof/>
          <w:vertAlign w:val="superscript"/>
        </w:rPr>
        <w:t>51,53–57</w:t>
      </w:r>
      <w:r w:rsidRPr="00857842">
        <w:rPr>
          <w:rFonts w:cs="Arial"/>
        </w:rPr>
        <w:fldChar w:fldCharType="end"/>
      </w:r>
      <w:r w:rsidRPr="00857842">
        <w:rPr>
          <w:rFonts w:cs="Arial"/>
        </w:rPr>
        <w:t xml:space="preserve"> Unlike the ubiquitous expression of OSBP, ORP4 is reported to have limited selective expression in only parts of the brain, retina, and testes (</w:t>
      </w:r>
      <w:r w:rsidR="00660CE8">
        <w:rPr>
          <w:rFonts w:cs="Arial"/>
          <w:b/>
        </w:rPr>
        <w:fldChar w:fldCharType="begin"/>
      </w:r>
      <w:r w:rsidR="00660CE8">
        <w:rPr>
          <w:rFonts w:cs="Arial"/>
        </w:rPr>
        <w:instrText xml:space="preserve"> REF _Ref37253703 \h </w:instrText>
      </w:r>
      <w:r w:rsidR="00660CE8">
        <w:rPr>
          <w:rFonts w:cs="Arial"/>
          <w:b/>
        </w:rPr>
      </w:r>
      <w:r w:rsidR="00660CE8">
        <w:rPr>
          <w:rFonts w:cs="Arial"/>
          <w:b/>
        </w:rPr>
        <w:fldChar w:fldCharType="separate"/>
      </w:r>
      <w:r w:rsidR="00660CE8">
        <w:t xml:space="preserve">Figure </w:t>
      </w:r>
      <w:r w:rsidR="00660CE8">
        <w:rPr>
          <w:noProof/>
        </w:rPr>
        <w:t>14</w:t>
      </w:r>
      <w:r w:rsidR="00660CE8">
        <w:rPr>
          <w:rFonts w:cs="Arial"/>
          <w:b/>
        </w:rPr>
        <w:fldChar w:fldCharType="end"/>
      </w:r>
      <w:r w:rsidRPr="00857842">
        <w:rPr>
          <w:rFonts w:cs="Arial"/>
        </w:rPr>
        <w:t>).</w:t>
      </w:r>
      <w:r w:rsidRPr="00857842">
        <w:rPr>
          <w:rFonts w:cs="Arial"/>
        </w:rPr>
        <w:fldChar w:fldCharType="begin" w:fldLock="1"/>
      </w:r>
      <w:r w:rsidR="006B01D5">
        <w:rPr>
          <w:rFonts w:cs="Arial"/>
        </w:rPr>
        <w:instrText>ADDIN CSL_CITATION { "citationItems" : [ { "id" : "ITEM-1", "itemData" : { "DOI" : "10.1042/bj3610461", "ISSN" : "0264-6021", "author" : [ { "dropping-particle" : "", "family" : "WANG", "given" : "Cheng", "non-dropping-particle" : "", "parse-names" : false, "suffix" : "" }, { "dropping-particle" : "", "family" : "JeBAILEY", "given" : "Lellean", "non-dropping-particle" : "", "parse-names" : false, "suffix" : "" }, { "dropping-particle" : "", "family" : "RIDGWAY", "given" : "Neale D.", "non-dropping-particle" : "", "parse-names" : false, "suffix" : "" } ], "container-title" : "Biochemical Journal", "id" : "ITEM-1", "issue" : "3", "issued" : { "date-parts" : [ [ "2002", "2", "1" ] ] }, "page" : "461-472", "publisher" : "Portland Press Ltd.", "title" : "Oxysterol-binding-protein (OSBP)-related protein 4 binds25-hydroxycholesterol and interacts with vimentin intermediate filaments", "type" : "article-journal", "volume" : "361" }, "uris" : [ "http://www.mendeley.com/documents/?uuid=f1868491-c322-3391-b2dd-d67a2ec887bb" ] } ], "mendeley" : { "formattedCitation" : "&lt;sup&gt;49&lt;/sup&gt;", "plainTextFormattedCitation" : "49", "previouslyFormattedCitation" : "&lt;sup&gt;49&lt;/sup&gt;" }, "properties" : { "noteIndex" : 0 }, "schema" : "https://github.com/citation-style-language/schema/raw/master/csl-citation.json" }</w:instrText>
      </w:r>
      <w:r w:rsidRPr="00857842">
        <w:rPr>
          <w:rFonts w:cs="Arial"/>
        </w:rPr>
        <w:fldChar w:fldCharType="separate"/>
      </w:r>
      <w:r w:rsidR="006B01D5" w:rsidRPr="006B01D5">
        <w:rPr>
          <w:rFonts w:cs="Arial"/>
          <w:noProof/>
          <w:vertAlign w:val="superscript"/>
        </w:rPr>
        <w:t>49</w:t>
      </w:r>
      <w:r w:rsidRPr="00857842">
        <w:rPr>
          <w:rFonts w:cs="Arial"/>
        </w:rPr>
        <w:fldChar w:fldCharType="end"/>
      </w:r>
      <w:r w:rsidRPr="00857842">
        <w:rPr>
          <w:rFonts w:cs="Arial"/>
        </w:rPr>
        <w:t xml:space="preserve"> ORP4</w:t>
      </w:r>
      <w:r w:rsidRPr="00857842">
        <w:rPr>
          <w:rFonts w:cs="Arial"/>
          <w:vertAlign w:val="superscript"/>
        </w:rPr>
        <w:t xml:space="preserve">-/- </w:t>
      </w:r>
      <w:r w:rsidRPr="00857842">
        <w:rPr>
          <w:rFonts w:cs="Arial"/>
        </w:rPr>
        <w:t>mice develop normally, aside from male sterility, signifying the limited role of ORP4 in non-transformed tissue.</w:t>
      </w:r>
      <w:r w:rsidRPr="00857842">
        <w:rPr>
          <w:rFonts w:cs="Arial"/>
        </w:rPr>
        <w:fldChar w:fldCharType="begin" w:fldLock="1"/>
      </w:r>
      <w:r w:rsidR="000849BF">
        <w:rPr>
          <w:rFonts w:cs="Arial"/>
        </w:rPr>
        <w:instrText>ADDIN CSL_CITATION { "citationItems" : [ { "id" : "ITEM-1", "itemData" : { "DOI" : "10.1111/gtc.12105", "ISSN" : "13569597", "author" : [ { "dropping-particle" : "", "family" : "Udagawa", "given" : "Osamu", "non-dropping-particle" : "", "parse-names" : false, "suffix" : "" }, { "dropping-particle" : "", "family" : "Ito", "given" : "Chizuru", "non-dropping-particle" : "", "parse-names" : false, "suffix" : "" }, { "dropping-particle" : "", "family" : "Ogonuki", "given" : "Narumi", "non-dropping-particle" : "", "parse-names" : false, "suffix" : "" }, { "dropping-particle" : "", "family" : "Sato", "given" : "Hiroyasu", "non-dropping-particle" : "", "parse-names" : false, "suffix" : "" }, { "dropping-particle" : "", "family" : "Lee", "given" : "Shoken", "non-dropping-particle" : "", "parse-names" : false, "suffix" : "" }, { "dropping-particle" : "", "family" : "Tripvanuntakul", "given" : "Pearlta", "non-dropping-particle" : "", "parse-names" : false, "suffix" : "" }, { "dropping-particle" : "", "family" : "Ichi", "given" : "Ikuyo", "non-dropping-particle" : "", "parse-names" : false, "suffix" : "" }, { "dropping-particle" : "", "family" : "Uchida", "given" : "Yasunori", "non-dropping-particle" : "", "parse-names" : false, "suffix" : "" }, { "dropping-particle" : "", "family" : "Nishimura", "given" : "Taki", "non-dropping-particle" : "", "parse-names" : false, "suffix" : "" }, { "dropping-particle" : "", "family" : "Murakami", "given" : "Makoto", "non-dropping-particle" : "", "parse-names" : false, "suffix" : "" }, { "dropping-particle" : "", "family" : "Ogura", "given" : "Atsuo", "non-dropping-particle" : "", "parse-names" : false, "suffix" : "" }, { "dropping-particle" : "", "family" : "Inoue", "given" : "Takao", "non-dropping-particle" : "", "parse-names" : false, "suffix" : "" }, { "dropping-particle" : "", "family" : "Toshimori", "given" : "Kiyotaka", "non-dropping-particle" : "", "parse-names" : false, "suffix" : "" }, { "dropping-particle" : "", "family" : "Arai", "given" : "Hiroyuki", "non-dropping-particle" : "", "parse-names" : false, "suffix" : "" } ], "container-title" : "Genes to Cells", "id" : "ITEM-1", "issue" : "1", "issued" : { "date-parts" : [ [ "2014", "1" ] ] }, "page" : "13-27", "title" : "Oligo-astheno-teratozoospermia in mice lacking ORP4, a sterol-binding protein in the OSBP-related protein family", "type" : "article-journal", "volume" : "19" }, "uris" : [ "http://www.mendeley.com/documents/?uuid=6086f95c-ffb5-3ba4-af10-2dbc37e97a56" ] } ], "mendeley" : { "formattedCitation" : "&lt;sup&gt;130&lt;/sup&gt;", "plainTextFormattedCitation" : "130", "previouslyFormattedCitation" : "&lt;sup&gt;129&lt;/sup&gt;"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130</w:t>
      </w:r>
      <w:r w:rsidRPr="00857842">
        <w:rPr>
          <w:rFonts w:cs="Arial"/>
        </w:rPr>
        <w:fldChar w:fldCharType="end"/>
      </w:r>
      <w:r w:rsidRPr="00857842">
        <w:rPr>
          <w:rFonts w:cs="Arial"/>
        </w:rPr>
        <w:t xml:space="preserve"> </w:t>
      </w:r>
    </w:p>
    <w:p w14:paraId="43851DE0" w14:textId="2CEA76A1" w:rsidR="00857842" w:rsidRPr="00857842" w:rsidRDefault="00857842" w:rsidP="00857842">
      <w:pPr>
        <w:ind w:firstLine="720"/>
        <w:jc w:val="both"/>
        <w:rPr>
          <w:rFonts w:cs="Arial"/>
        </w:rPr>
      </w:pPr>
      <w:r w:rsidRPr="00857842">
        <w:rPr>
          <w:rFonts w:cs="Arial"/>
          <w:iCs/>
        </w:rPr>
        <w:t>Her</w:t>
      </w:r>
      <w:r w:rsidRPr="00857842">
        <w:rPr>
          <w:rFonts w:cs="Arial"/>
        </w:rPr>
        <w:t xml:space="preserve">ein, we describe the ORP4 expression in a series of ovarian cancer cell lines, including ovarian cancer cells cultured as three-dimensional spheroids. We demonstrate that the ORP4-targeting compound OSW-1 shows potent cytotoxicity relative to SOC chemotherapy agents cisplatin and paclitaxel in both monolayer (2D) and spheroid (3D) ovarian cell line models. To produce these results, we provide extensive characterization of spheroid development in multiple ovarian cancer cell lines, producing an ideal </w:t>
      </w:r>
      <w:r w:rsidRPr="00857842">
        <w:rPr>
          <w:rFonts w:cs="Arial"/>
          <w:i/>
        </w:rPr>
        <w:t xml:space="preserve">in vitro </w:t>
      </w:r>
      <w:r w:rsidRPr="00857842">
        <w:rPr>
          <w:rFonts w:cs="Arial"/>
        </w:rPr>
        <w:t xml:space="preserve">model for investigating small-molecule pharmacology on </w:t>
      </w:r>
      <w:r w:rsidRPr="00857842">
        <w:rPr>
          <w:rFonts w:cs="Arial"/>
          <w:i/>
        </w:rPr>
        <w:t xml:space="preserve">in vivo </w:t>
      </w:r>
      <w:r w:rsidRPr="00857842">
        <w:rPr>
          <w:rFonts w:cs="Arial"/>
        </w:rPr>
        <w:t xml:space="preserve">tumors and circulating spheroids. The toxicity of the OSW-1 compound is suggested to have a unique biological mechanism of ORP4L protein degradation due to OSW-1 compound binding resulting in cell death independent of OSBP protein degradation. Lastly, the absence of extracellular lipids, modeling a nutrient deprived tumor, significantly potentiated the cells specific to the OSW-1compound with the addition of extracellular cholesterol attenuating this effect, suggesting the applicability of OSW-1 as a tumor-specific-targeting small molecule.  </w:t>
      </w:r>
    </w:p>
    <w:p w14:paraId="0313AFDE" w14:textId="1B186233" w:rsidR="004C1F2D" w:rsidRDefault="004C1F2D" w:rsidP="004C1F2D">
      <w:pPr>
        <w:ind w:firstLine="720"/>
        <w:jc w:val="both"/>
        <w:rPr>
          <w:rFonts w:cs="Arial"/>
        </w:rPr>
      </w:pPr>
    </w:p>
    <w:p w14:paraId="117C0E41" w14:textId="5F3B9147" w:rsidR="00A66B3A" w:rsidRDefault="00A66B3A" w:rsidP="004C1F2D">
      <w:pPr>
        <w:ind w:firstLine="720"/>
        <w:jc w:val="both"/>
        <w:rPr>
          <w:rFonts w:cs="Arial"/>
        </w:rPr>
      </w:pPr>
    </w:p>
    <w:p w14:paraId="0B413D71" w14:textId="6F1A43A8" w:rsidR="00A66B3A" w:rsidRDefault="00A66B3A" w:rsidP="004C1F2D">
      <w:pPr>
        <w:ind w:firstLine="720"/>
        <w:jc w:val="both"/>
        <w:rPr>
          <w:rFonts w:cs="Arial"/>
        </w:rPr>
      </w:pPr>
    </w:p>
    <w:p w14:paraId="5DA27492" w14:textId="1A5C0A2E" w:rsidR="00A66B3A" w:rsidRDefault="00A66B3A" w:rsidP="004C1F2D">
      <w:pPr>
        <w:ind w:firstLine="720"/>
        <w:jc w:val="both"/>
        <w:rPr>
          <w:rFonts w:cs="Arial"/>
        </w:rPr>
      </w:pPr>
    </w:p>
    <w:p w14:paraId="57FF33F7" w14:textId="77777777" w:rsidR="00A66B3A" w:rsidRDefault="00A66B3A" w:rsidP="004C1F2D">
      <w:pPr>
        <w:ind w:firstLine="720"/>
        <w:jc w:val="both"/>
        <w:rPr>
          <w:rFonts w:cs="Arial"/>
        </w:rPr>
      </w:pPr>
    </w:p>
    <w:p w14:paraId="30B1A31D" w14:textId="3DF3C211" w:rsidR="00180205" w:rsidRDefault="00180205" w:rsidP="00E14F5C">
      <w:pPr>
        <w:pStyle w:val="Heading2"/>
        <w:jc w:val="both"/>
      </w:pPr>
      <w:bookmarkStart w:id="101" w:name="_Toc39868168"/>
      <w:r>
        <w:lastRenderedPageBreak/>
        <w:t>3.</w:t>
      </w:r>
      <w:r w:rsidR="00242945">
        <w:t>2</w:t>
      </w:r>
      <w:r>
        <w:t xml:space="preserve"> </w:t>
      </w:r>
      <w:r w:rsidR="00645375">
        <w:t>Methods</w:t>
      </w:r>
      <w:bookmarkEnd w:id="101"/>
    </w:p>
    <w:p w14:paraId="3A239DC3" w14:textId="27072F78" w:rsidR="0086443F" w:rsidRDefault="0086443F" w:rsidP="00F01888">
      <w:pPr>
        <w:pStyle w:val="Heading3"/>
      </w:pPr>
      <w:bookmarkStart w:id="102" w:name="_Toc39868169"/>
      <w:r>
        <w:t>3.</w:t>
      </w:r>
      <w:r w:rsidR="00242945">
        <w:t>2</w:t>
      </w:r>
      <w:r w:rsidR="009F36E9">
        <w:t>.</w:t>
      </w:r>
      <w:r>
        <w:t>1 Cell Culture</w:t>
      </w:r>
      <w:bookmarkEnd w:id="102"/>
    </w:p>
    <w:p w14:paraId="2E92F6CA" w14:textId="77777777" w:rsidR="009209A8" w:rsidRPr="009209A8" w:rsidRDefault="009209A8" w:rsidP="00E14F5C">
      <w:pPr>
        <w:ind w:firstLine="720"/>
        <w:jc w:val="both"/>
      </w:pPr>
      <w:r w:rsidRPr="009209A8">
        <w:t>OVCAR-3 (ATTC # HTB-161), OVCAR-8 (NCI-Vial Designation 0507715), and OVSAHO (JCRB-1046) were cultured in RPMI Medium (Thermo 22400105) with the addition of 10% Hyclone (Fisher Sci SH3006603) and 1% penicillin-streptomycin (Thermo 15140122). SKOV-3 (HTB-77) were cultured in McCoy 5A media (Thermo 16600108) supplemented with 10% Hyclone and 1% penicillin-streptomycin. All mammalian cell lines were cultured at 37 °C in 5% CO</w:t>
      </w:r>
      <w:r w:rsidRPr="009209A8">
        <w:rPr>
          <w:vertAlign w:val="subscript"/>
        </w:rPr>
        <w:t>2</w:t>
      </w:r>
      <w:r w:rsidRPr="009209A8">
        <w:t xml:space="preserve"> in either Nunclon Delta 10 cm</w:t>
      </w:r>
      <w:r w:rsidRPr="009209A8">
        <w:rPr>
          <w:vertAlign w:val="superscript"/>
        </w:rPr>
        <w:t>2</w:t>
      </w:r>
      <w:r w:rsidRPr="009209A8">
        <w:t xml:space="preserve"> dishes (VWR 10171744), T25 flask (CellStar 690160) or T75 flask (TPP 90076).</w:t>
      </w:r>
    </w:p>
    <w:p w14:paraId="1F5A1C66" w14:textId="77777777" w:rsidR="0086443F" w:rsidRDefault="0086443F" w:rsidP="00F01888">
      <w:pPr>
        <w:pStyle w:val="Heading3"/>
      </w:pPr>
    </w:p>
    <w:p w14:paraId="5712774D" w14:textId="07BFBAA2" w:rsidR="009209A8" w:rsidRPr="009209A8" w:rsidRDefault="0086443F" w:rsidP="00F01888">
      <w:pPr>
        <w:pStyle w:val="Heading3"/>
      </w:pPr>
      <w:bookmarkStart w:id="103" w:name="_Toc39868170"/>
      <w:r>
        <w:t>3.</w:t>
      </w:r>
      <w:r w:rsidR="00242945">
        <w:t>2</w:t>
      </w:r>
      <w:r w:rsidR="009F36E9">
        <w:t>.</w:t>
      </w:r>
      <w:r>
        <w:t>2 2D Viability Assay</w:t>
      </w:r>
      <w:bookmarkEnd w:id="103"/>
    </w:p>
    <w:p w14:paraId="4D806B66" w14:textId="193EBA7A" w:rsidR="0086443F" w:rsidRDefault="009209A8" w:rsidP="00E14F5C">
      <w:pPr>
        <w:ind w:firstLine="720"/>
        <w:jc w:val="both"/>
      </w:pPr>
      <w:r w:rsidRPr="009209A8">
        <w:t>Cells were seeded out in a 96-well plate in 75 µl of media at a cell number of 5.0e</w:t>
      </w:r>
      <w:r w:rsidRPr="009209A8">
        <w:rPr>
          <w:vertAlign w:val="superscript"/>
        </w:rPr>
        <w:t>3</w:t>
      </w:r>
      <w:r w:rsidRPr="009209A8">
        <w:t xml:space="preserve"> per well. Compounds were serial diluted at 4X concentration in medium. 25 µl of compound containing media was added to 75 µl of cells, resulting in a 1X dilution of drug. Following a 72 h incubation, CellTiter-Blue was added for 20 h, and fluorescence was measured (544nm excitation; 590nm emission) using a plate reader. Growth relative to untreated cells were calculated expressed as IC50 values on Graphpad Prism software utilizing the four-parameter-dose-response curve. </w:t>
      </w:r>
    </w:p>
    <w:p w14:paraId="1684A58D" w14:textId="77777777" w:rsidR="00B22B35" w:rsidRDefault="00B22B35" w:rsidP="00E14F5C">
      <w:pPr>
        <w:jc w:val="both"/>
      </w:pPr>
    </w:p>
    <w:p w14:paraId="36D1C2D3" w14:textId="59FB1D86" w:rsidR="009209A8" w:rsidRPr="009209A8" w:rsidRDefault="0086443F" w:rsidP="00F01888">
      <w:pPr>
        <w:pStyle w:val="Heading3"/>
      </w:pPr>
      <w:bookmarkStart w:id="104" w:name="_Toc39868171"/>
      <w:r>
        <w:t>3.</w:t>
      </w:r>
      <w:r w:rsidR="00242945">
        <w:t>2</w:t>
      </w:r>
      <w:r w:rsidR="009F36E9">
        <w:t>.</w:t>
      </w:r>
      <w:r w:rsidR="00B22B35">
        <w:t>3</w:t>
      </w:r>
      <w:r>
        <w:t xml:space="preserve"> Spheroid Devel</w:t>
      </w:r>
      <w:r w:rsidR="00B22B35">
        <w:t>opment</w:t>
      </w:r>
      <w:bookmarkEnd w:id="104"/>
    </w:p>
    <w:p w14:paraId="282BECF3" w14:textId="4F2C19EC" w:rsidR="009209A8" w:rsidRPr="009209A8" w:rsidRDefault="009209A8" w:rsidP="00E14F5C">
      <w:pPr>
        <w:ind w:firstLine="720"/>
        <w:jc w:val="both"/>
      </w:pPr>
      <w:r w:rsidRPr="009209A8">
        <w:t xml:space="preserve">Spheroid formation was induced by the ultra-low attachment technique. Briefly, round bottom 96-well plates (CELLTREAT 229590) were treated with anti-adherence rinsing solution (STEMCELL 07010) by centrifuging the plates at 1300 g for 5 min. The </w:t>
      </w:r>
      <w:r w:rsidRPr="009209A8">
        <w:lastRenderedPageBreak/>
        <w:t>solution was aspirated, and wells were washed with basal medium. OVCAR-8 or SKOV-3 cells were seeded in 200 µl of media at the desired cell number and plates were centrifuged at 100 g for 3 min. For OVCAR-8 spheroids 100 µl of medium is removed and 100 µ</w:t>
      </w:r>
      <w:r w:rsidR="00236623">
        <w:t>l</w:t>
      </w:r>
      <w:r w:rsidRPr="009209A8">
        <w:t xml:space="preserve"> of fresh medium was added every 24 h. For SKOV-3 spheroids, 100 µl of medium was removed on day 4 and 100 ul of fresh medium was added until day 7. Spheroid formation was observed for 7 days by monitoring the formation every 24 h with bright field imaging. Spheroids were characterized for their surface area, circularity, and solidity by using ImageJ. </w:t>
      </w:r>
    </w:p>
    <w:p w14:paraId="177B915D" w14:textId="77777777" w:rsidR="00B22B35" w:rsidRDefault="00B22B35" w:rsidP="00F01888">
      <w:pPr>
        <w:pStyle w:val="Heading3"/>
      </w:pPr>
    </w:p>
    <w:p w14:paraId="5D3B7301" w14:textId="47B1F4D5" w:rsidR="00B22B35" w:rsidRPr="009209A8" w:rsidRDefault="00B22B35" w:rsidP="00F01888">
      <w:pPr>
        <w:pStyle w:val="Heading3"/>
      </w:pPr>
      <w:bookmarkStart w:id="105" w:name="_Toc39868172"/>
      <w:r>
        <w:t>3.</w:t>
      </w:r>
      <w:r w:rsidR="00242945">
        <w:t>2</w:t>
      </w:r>
      <w:r w:rsidR="009F36E9">
        <w:t>.</w:t>
      </w:r>
      <w:r>
        <w:t>4 3D Viability Assay</w:t>
      </w:r>
      <w:bookmarkEnd w:id="105"/>
    </w:p>
    <w:p w14:paraId="4646390E" w14:textId="77777777" w:rsidR="009209A8" w:rsidRPr="009209A8" w:rsidRDefault="009209A8" w:rsidP="00E14F5C">
      <w:pPr>
        <w:ind w:firstLine="720"/>
        <w:jc w:val="both"/>
      </w:pPr>
      <w:r w:rsidRPr="009209A8">
        <w:t xml:space="preserve">Spheroid viability was measured by using CellTiter-Glo3D. The solution was thawed overnight prior to experiments. 96-well plates and CellTiter-Glo3D solution were equilibrated to room temperature prior to use. Briefly, 100 </w:t>
      </w:r>
      <w:r w:rsidRPr="009209A8">
        <w:t xml:space="preserve">l of CellTiter-Glo3D solution was added on top of 100 </w:t>
      </w:r>
      <w:r w:rsidRPr="009209A8">
        <w:t xml:space="preserve">l spheroid solution. Contents were vigorously mixed to induce lysis of the spheroid and efficient extraction of ATP. Plates were incubated at room temperature for 25 minutes for stabilization of luminescent signal. After the incubation period luminescence was recorded by using an integration time of 1 second per well, accordingly with the manufacturer’s instructions. Toxicity was calculated relative to an untreated control group. No spheroids were formed on the outside wells of the 96 well plate to avoid edge effect. </w:t>
      </w:r>
    </w:p>
    <w:p w14:paraId="0F07B843" w14:textId="77777777" w:rsidR="009209A8" w:rsidRPr="009209A8" w:rsidRDefault="009209A8" w:rsidP="00E14F5C">
      <w:pPr>
        <w:jc w:val="both"/>
      </w:pPr>
      <w:r w:rsidRPr="009209A8">
        <w:rPr>
          <w:b/>
          <w:i/>
        </w:rPr>
        <w:t xml:space="preserve"> </w:t>
      </w:r>
    </w:p>
    <w:p w14:paraId="3BD3741B" w14:textId="4B634EC9" w:rsidR="00B22B35" w:rsidRPr="009209A8" w:rsidRDefault="00B22B35" w:rsidP="00F01888">
      <w:pPr>
        <w:pStyle w:val="Heading3"/>
      </w:pPr>
      <w:bookmarkStart w:id="106" w:name="_Toc39868173"/>
      <w:r>
        <w:lastRenderedPageBreak/>
        <w:t>3.</w:t>
      </w:r>
      <w:r w:rsidR="00242945">
        <w:t>2</w:t>
      </w:r>
      <w:r w:rsidR="009F36E9">
        <w:t>.</w:t>
      </w:r>
      <w:r>
        <w:t>5 Cell Lysis</w:t>
      </w:r>
      <w:bookmarkEnd w:id="106"/>
    </w:p>
    <w:p w14:paraId="1C9A8B1F" w14:textId="69EB4933" w:rsidR="009209A8" w:rsidRDefault="009209A8" w:rsidP="00E14F5C">
      <w:pPr>
        <w:ind w:firstLine="720"/>
        <w:jc w:val="both"/>
      </w:pPr>
      <w:r w:rsidRPr="009209A8">
        <w:t>Adherent cells were lysed by aspiration of media, wash with 1X PBS, addition of TrypLE</w:t>
      </w:r>
      <w:r w:rsidRPr="009209A8">
        <w:rPr>
          <w:vertAlign w:val="superscript"/>
        </w:rPr>
        <w:t>TM</w:t>
      </w:r>
      <w:r w:rsidRPr="009209A8">
        <w:t xml:space="preserve"> Express (Gibco 12605- 010), and neutralized through the addition of media. Cells were spun at at 14,000 RCF for 0.45 min at 4</w:t>
      </w:r>
      <w:r w:rsidR="00236623">
        <w:rPr>
          <w:rFonts w:cstheme="minorHAnsi"/>
        </w:rPr>
        <w:t>°</w:t>
      </w:r>
      <w:r w:rsidRPr="009209A8">
        <w:t>C. Supernatant was aspirated, cell pellet washed with 1X PBS, and resuspended in 50 µL of AC lysis buffer (150 mM NaCl, 1.5 mM MgCl2, 5% glycerol, 0.8% NP40, 1mM DTT, 50 mM HEPES, 25 mM NaF, 1 mM Na3PO4) with 3X HALT/EDTA protease inhibitor (Thermo 78438) and 0.2 mM phenylmethanesulfonylfluoride (Goldbio). Cells were freeze/ thawed (X3) with LN</w:t>
      </w:r>
      <w:r w:rsidRPr="009209A8">
        <w:rPr>
          <w:vertAlign w:val="subscript"/>
        </w:rPr>
        <w:t xml:space="preserve">2 </w:t>
      </w:r>
      <w:r w:rsidRPr="009209A8">
        <w:t xml:space="preserve">and centrifuged for 15 min at 14,000 RCF at 4C. Resulting cell lysate was Bradford for protein concentration. </w:t>
      </w:r>
    </w:p>
    <w:p w14:paraId="46B0A71C" w14:textId="77777777" w:rsidR="00B22B35" w:rsidRPr="009209A8" w:rsidRDefault="00B22B35" w:rsidP="00E14F5C">
      <w:pPr>
        <w:jc w:val="both"/>
      </w:pPr>
    </w:p>
    <w:p w14:paraId="59C5EF27" w14:textId="6D4D6BFE" w:rsidR="00B22B35" w:rsidRPr="009209A8" w:rsidRDefault="00B22B35" w:rsidP="00F01888">
      <w:pPr>
        <w:pStyle w:val="Heading3"/>
      </w:pPr>
      <w:bookmarkStart w:id="107" w:name="_Toc39868174"/>
      <w:r>
        <w:t>3.</w:t>
      </w:r>
      <w:r w:rsidR="00242945">
        <w:t>2</w:t>
      </w:r>
      <w:r w:rsidR="009F36E9">
        <w:t>.</w:t>
      </w:r>
      <w:r>
        <w:t>6 Immunoblotting</w:t>
      </w:r>
      <w:bookmarkEnd w:id="107"/>
    </w:p>
    <w:p w14:paraId="5DEF7118" w14:textId="77777777" w:rsidR="009209A8" w:rsidRPr="009209A8" w:rsidRDefault="009209A8" w:rsidP="00E14F5C">
      <w:pPr>
        <w:ind w:firstLine="720"/>
        <w:jc w:val="both"/>
      </w:pPr>
      <w:r w:rsidRPr="009209A8">
        <w:t xml:space="preserve">SDS-PAGE gels (8.5%) were loaded with 25 µg of protein, transferred to nitrocellulose membrane ((Bio-Rad 1620115) with a constant voltage of 100V for 1 h at 4C. The membrane was blocked in 5% milk for 0.5 h. Following washing with TBST (X3), the membrane was incubated with 1:500 ORP4 antibody (Santa Cruz sc-365922) or 1:1000 OSBP antibody (Santa Cruz sc-365771) overnight at 4C. Following washing, the membrane was incubated with 1:3000 Secondary antibody (Santa Cruz sc-2060) for 1 h at RT. Following washing, the membrane was developed with ClarityTM Western ECL substrate (Bio-Rad 1705061) and imaged on the Bio-Rad ChemiDocTM Touch Imaging System. The membrane was incubated with 1:1000 β-actin HRP (Santa Cruz sc-47778 HRP) after washing and developed as previously described. </w:t>
      </w:r>
    </w:p>
    <w:p w14:paraId="45D27FEF" w14:textId="77777777" w:rsidR="009209A8" w:rsidRPr="009209A8" w:rsidRDefault="009209A8" w:rsidP="00E14F5C">
      <w:pPr>
        <w:jc w:val="both"/>
        <w:rPr>
          <w:b/>
          <w:i/>
        </w:rPr>
      </w:pPr>
    </w:p>
    <w:p w14:paraId="293D710D" w14:textId="35DF8068" w:rsidR="00445196" w:rsidRPr="009209A8" w:rsidRDefault="00445196" w:rsidP="00F01888">
      <w:pPr>
        <w:pStyle w:val="Heading3"/>
      </w:pPr>
      <w:bookmarkStart w:id="108" w:name="_Toc39868175"/>
      <w:r>
        <w:lastRenderedPageBreak/>
        <w:t>3.</w:t>
      </w:r>
      <w:r w:rsidR="00242945">
        <w:t>2</w:t>
      </w:r>
      <w:r w:rsidR="009F36E9">
        <w:t>.</w:t>
      </w:r>
      <w:r>
        <w:t>7 Trypan Blue Viability</w:t>
      </w:r>
      <w:bookmarkEnd w:id="108"/>
    </w:p>
    <w:p w14:paraId="2E58589B" w14:textId="77777777" w:rsidR="009209A8" w:rsidRPr="009209A8" w:rsidRDefault="009209A8" w:rsidP="00E14F5C">
      <w:pPr>
        <w:ind w:firstLine="720"/>
        <w:jc w:val="both"/>
      </w:pPr>
      <w:r w:rsidRPr="009209A8">
        <w:t>Following compound treatment, media was transferred to a new 15 mL falcon tube. Adherent cells were washed with 1X PBS, addition of 2.5 mL TrypLE</w:t>
      </w:r>
      <w:r w:rsidRPr="009209A8">
        <w:rPr>
          <w:vertAlign w:val="superscript"/>
        </w:rPr>
        <w:t>TM</w:t>
      </w:r>
      <w:r w:rsidRPr="009209A8">
        <w:t xml:space="preserve"> Express, and neutralized by addition of used media. Cell count and viability was performed using Trypan Blue (Thermo 15250061) with a TC20™ automated cell counter (BioRad). </w:t>
      </w:r>
    </w:p>
    <w:p w14:paraId="0E4C0269" w14:textId="77777777" w:rsidR="009209A8" w:rsidRPr="009209A8" w:rsidRDefault="009209A8" w:rsidP="00E14F5C">
      <w:pPr>
        <w:jc w:val="both"/>
        <w:rPr>
          <w:b/>
          <w:i/>
        </w:rPr>
      </w:pPr>
    </w:p>
    <w:p w14:paraId="1505304B" w14:textId="7DEE5356" w:rsidR="009209A8" w:rsidRPr="009209A8" w:rsidRDefault="00445196" w:rsidP="00F01888">
      <w:pPr>
        <w:pStyle w:val="Heading3"/>
      </w:pPr>
      <w:bookmarkStart w:id="109" w:name="_Toc39868176"/>
      <w:r>
        <w:t>3.</w:t>
      </w:r>
      <w:r w:rsidR="00242945">
        <w:t>2</w:t>
      </w:r>
      <w:r w:rsidR="009F36E9">
        <w:t>.</w:t>
      </w:r>
      <w:r>
        <w:t>8 Delipidated FBS Media</w:t>
      </w:r>
      <w:bookmarkEnd w:id="109"/>
    </w:p>
    <w:p w14:paraId="25B86DFC" w14:textId="7E69905C" w:rsidR="009209A8" w:rsidRDefault="009209A8" w:rsidP="00E14F5C">
      <w:pPr>
        <w:ind w:firstLine="720"/>
        <w:jc w:val="both"/>
        <w:rPr>
          <w:bCs/>
          <w:iCs/>
        </w:rPr>
      </w:pPr>
      <w:r w:rsidRPr="009209A8">
        <w:rPr>
          <w:bCs/>
          <w:iCs/>
        </w:rPr>
        <w:t xml:space="preserve">FBS was delipidated through a Brown and Goldstein modification of the method developed by Cham and Knowles. Briefly, 50 mL of FBS was added to a mixture of n-butanol and di-isopropyl ether in a 40:60 (v:v) ratio. The solution was incubated for 20 min at RT followed by a 20 min incubation on ice. The solution was centrifuged at 2000 rpm for 2 min. The lower aqueous fraction was isolated and re-extracted with 50 mL of di-isopropyl ether followed by centrifugation. The resulting aqueous phase was evaporated to 20 mL under Nitrogen gas and dialyzed to PBS O/N and filter sterilized. The 20 mL of delipidated FBS was added to 500 mL of media supplemented with </w:t>
      </w:r>
      <w:r w:rsidRPr="009209A8">
        <w:t>1% penicillin-streptomycin.</w:t>
      </w:r>
    </w:p>
    <w:p w14:paraId="16887E81" w14:textId="77777777" w:rsidR="00445196" w:rsidRPr="009209A8" w:rsidRDefault="00445196" w:rsidP="00E14F5C">
      <w:pPr>
        <w:ind w:firstLine="720"/>
        <w:jc w:val="both"/>
        <w:rPr>
          <w:bCs/>
          <w:iCs/>
        </w:rPr>
      </w:pPr>
    </w:p>
    <w:p w14:paraId="2F6025C1" w14:textId="526D93FC" w:rsidR="009209A8" w:rsidRPr="009209A8" w:rsidRDefault="00445196" w:rsidP="00F01888">
      <w:pPr>
        <w:pStyle w:val="Heading3"/>
      </w:pPr>
      <w:bookmarkStart w:id="110" w:name="_Toc39868177"/>
      <w:r>
        <w:t>3.</w:t>
      </w:r>
      <w:r w:rsidR="00242945">
        <w:t>2</w:t>
      </w:r>
      <w:r w:rsidR="009F36E9">
        <w:t>.</w:t>
      </w:r>
      <w:r>
        <w:t>9 Statistical Analysis</w:t>
      </w:r>
      <w:bookmarkEnd w:id="110"/>
    </w:p>
    <w:p w14:paraId="60F5C6B3" w14:textId="506E9217" w:rsidR="009209A8" w:rsidRPr="00E14F5C" w:rsidRDefault="009209A8" w:rsidP="00E14F5C">
      <w:pPr>
        <w:ind w:firstLine="720"/>
        <w:jc w:val="both"/>
        <w:rPr>
          <w:bCs/>
          <w:iCs/>
        </w:rPr>
      </w:pPr>
      <w:r w:rsidRPr="009209A8">
        <w:rPr>
          <w:bCs/>
          <w:iCs/>
        </w:rPr>
        <w:t xml:space="preserve">All results are displayed as mean ± SD. A minimum of n = 3 was performed for each experiment. Statistical analysis was performed in GraphPad Prism 8.3.) using 2-way ANOVA with a follow up Dunnett’s test, p value ≤ 0.05. </w:t>
      </w:r>
    </w:p>
    <w:p w14:paraId="75BE7AF9" w14:textId="77777777" w:rsidR="001C5EC9" w:rsidRPr="001C5EC9" w:rsidRDefault="001C5EC9" w:rsidP="00E14F5C">
      <w:pPr>
        <w:jc w:val="both"/>
      </w:pPr>
    </w:p>
    <w:p w14:paraId="26F629AF" w14:textId="6DE92353" w:rsidR="00F01888" w:rsidRDefault="00645375" w:rsidP="00F01888">
      <w:pPr>
        <w:pStyle w:val="Heading2"/>
        <w:jc w:val="both"/>
      </w:pPr>
      <w:bookmarkStart w:id="111" w:name="_Toc39868178"/>
      <w:r>
        <w:lastRenderedPageBreak/>
        <w:t>3.</w:t>
      </w:r>
      <w:r w:rsidR="00242945">
        <w:t>3</w:t>
      </w:r>
      <w:r>
        <w:t xml:space="preserve"> Results</w:t>
      </w:r>
      <w:bookmarkEnd w:id="111"/>
    </w:p>
    <w:p w14:paraId="07E0D407" w14:textId="2EE38A6E" w:rsidR="00F01888" w:rsidRPr="00F01888" w:rsidRDefault="00F01888" w:rsidP="00F01888">
      <w:pPr>
        <w:pStyle w:val="Heading3"/>
      </w:pPr>
      <w:bookmarkStart w:id="112" w:name="_Toc39868179"/>
      <w:r w:rsidRPr="00F01888">
        <w:t>3.</w:t>
      </w:r>
      <w:r w:rsidR="00242945">
        <w:t>3</w:t>
      </w:r>
      <w:r w:rsidR="009F36E9">
        <w:t>.1</w:t>
      </w:r>
      <w:r w:rsidRPr="00F01888">
        <w:t xml:space="preserve"> ORP4 is ubiquitously expressed in ovarian cancerous cells in vitro</w:t>
      </w:r>
      <w:r>
        <w:t>.</w:t>
      </w:r>
      <w:bookmarkEnd w:id="112"/>
    </w:p>
    <w:p w14:paraId="1E2D2A6F" w14:textId="2E6AB1B7" w:rsidR="00857842" w:rsidRDefault="00857842" w:rsidP="00F01888">
      <w:pPr>
        <w:ind w:firstLine="720"/>
        <w:jc w:val="both"/>
        <w:rPr>
          <w:rFonts w:cs="Arial"/>
          <w:bCs/>
        </w:rPr>
      </w:pPr>
      <w:r w:rsidRPr="00857842">
        <w:rPr>
          <w:rFonts w:cs="Arial"/>
        </w:rPr>
        <w:t>Analysis of the publicly available human RNA expression datasets shows that ORP4 has minimal expression in normal ovarian tissue but is highly expressed in ovarian cancers (</w:t>
      </w:r>
      <w:r w:rsidR="00660CE8" w:rsidRPr="000849BF">
        <w:rPr>
          <w:rFonts w:cs="Arial"/>
        </w:rPr>
        <w:fldChar w:fldCharType="begin"/>
      </w:r>
      <w:r w:rsidR="00660CE8" w:rsidRPr="00242945">
        <w:rPr>
          <w:rFonts w:cs="Arial"/>
        </w:rPr>
        <w:instrText xml:space="preserve"> REF _Ref37253703 \h </w:instrText>
      </w:r>
      <w:r w:rsidR="00242945">
        <w:rPr>
          <w:rFonts w:cs="Arial"/>
        </w:rPr>
        <w:instrText xml:space="preserve"> \* MERGEFORMAT </w:instrText>
      </w:r>
      <w:r w:rsidR="00660CE8" w:rsidRPr="000849BF">
        <w:rPr>
          <w:rFonts w:cs="Arial"/>
        </w:rPr>
      </w:r>
      <w:r w:rsidR="00660CE8" w:rsidRPr="000849BF">
        <w:rPr>
          <w:rFonts w:cs="Arial"/>
        </w:rPr>
        <w:fldChar w:fldCharType="separate"/>
      </w:r>
      <w:r w:rsidR="00660CE8" w:rsidRPr="00242945">
        <w:t xml:space="preserve">Figure </w:t>
      </w:r>
      <w:r w:rsidR="00660CE8" w:rsidRPr="00242945">
        <w:rPr>
          <w:noProof/>
        </w:rPr>
        <w:t>14</w:t>
      </w:r>
      <w:r w:rsidR="00660CE8" w:rsidRPr="000849BF">
        <w:rPr>
          <w:rFonts w:cs="Arial"/>
        </w:rPr>
        <w:fldChar w:fldCharType="end"/>
      </w:r>
      <w:r w:rsidRPr="00857842">
        <w:rPr>
          <w:rFonts w:cs="Arial"/>
        </w:rPr>
        <w:t>). We evaluated the expression of ORP4 relative to OSBP</w:t>
      </w:r>
      <w:r>
        <w:rPr>
          <w:rFonts w:cs="Arial"/>
        </w:rPr>
        <w:t xml:space="preserve"> in</w:t>
      </w:r>
      <w:r w:rsidRPr="00857842">
        <w:rPr>
          <w:rFonts w:cs="Arial"/>
        </w:rPr>
        <w:t xml:space="preserve"> four HGSC immortalized cell lines: SKOV-3, OVCAR-8, OVCAR-3 and OVSAHO. SKOV-3, OVCAR-3, and to a lesser extent, OVCAR-8, are extensively used ovarian cell line model systems reported to be genetically dissimilar to patient derived ovarian cancer samples. </w:t>
      </w:r>
      <w:r w:rsidRPr="00857842">
        <w:rPr>
          <w:rFonts w:cs="Arial"/>
        </w:rPr>
        <w:fldChar w:fldCharType="begin" w:fldLock="1"/>
      </w:r>
      <w:r w:rsidR="000849BF">
        <w:rPr>
          <w:rFonts w:cs="Arial"/>
        </w:rPr>
        <w:instrText>ADDIN CSL_CITATION { "citationItems" : [ { "id" : "ITEM-1", "itemData" : { "DOI" : "10.1016/j.ygyno.2015.08.017", "ISSN" : "10956859", "abstract" : "Objective Comparisons of The Cancer Genome Atlas (TCGA) with high grade serous ovarian cancer (HGSOC) cell lines used in research reveal that many common experimental models lack defining genomic characteristics seen in patient tumors. As cell lines exist with higher genomic fidelity to TCGA, this study aimed to evaluate the utility of these cell lines as tools for preclinical investigation. Methods We compared two HGSOC cell lines with supposed high genomic fidelity to TCGA, KURAMOCHI and OVSAHO, with the most commonly cited ovarian cancer cell line, SKOV3, which has poor genomic fidelity to TCGA. The lines were analyzed for genomic alterations, in vitro performance, and growth in murine xenografts. Results Using targeted next generation sequencing analyses, we determined that each line had a distinct mutation profile, including alterations in TP53, and copy number variation of specific genes. KURAMOCHI and OVSAHO better recapitulated serous carcinoma morphology than SKOV3. All lines expressed PAX8 and stathmin, but KURAMOCHI and OVSAHO did not express CK7. KURAMOCHI was significantly more platinum sensitive than OVSAHO and SKOV3. Unlike SKOV3, KURAMOCHI and OVSAHO engrafted poorly in subcutaneous xenografts. KURAMOCHI and OVSAHO grew best after intraperitoneal injection in SCID mice and recapitulated miliary disease while SKOV3 grew in all murine systems and formed oligometastatic disease. Conclusions The research utility of HGSOC cell line models requires a comprehensive assessment of genomic as well as in vitro and in vivo properties. Cell lines with closer genomic fidelity to human tumors may have limitations in performance for preclinical investigation.", "author" : [ { "dropping-particle" : "", "family" : "Elias", "given" : "Kevin M.", "non-dropping-particle" : "", "parse-names" : false, "suffix" : "" }, { "dropping-particle" : "", "family" : "Emori", "given" : "Megan M.", "non-dropping-particle" : "", "parse-names" : false, "suffix" : "" }, { "dropping-particle" : "", "family" : "Papp", "given" : "Eniko", "non-dropping-particle" : "", "parse-names" : false, "suffix" : "" }, { "dropping-particle" : "", "family" : "Macduffie", "given" : "Emily", "non-dropping-particle" : "", "parse-names" : false, "suffix" : "" }, { "dropping-particle" : "", "family" : "Konecny", "given" : "Gottfried E.", "non-dropping-particle" : "", "parse-names" : false, "suffix" : "" }, { "dropping-particle" : "", "family" : "Velculescu", "given" : "Victor E.", "non-dropping-particle" : "", "parse-names" : false, "suffix" : "" }, { "dropping-particle" : "", "family" : "Drapkin", "given" : "Ronny", "non-dropping-particle" : "", "parse-names" : false, "suffix" : "" } ], "container-title" : "Gynecologic Oncology", "id" : "ITEM-1", "issue" : "1", "issued" : { "date-parts" : [ [ "2015", "10", "1" ] ] }, "page" : "97-103", "publisher" : "Academic Press Inc.", "title" : "Beyond genomics: Critical evaluation of cell line utility for ovarian cancer research", "type" : "article-journal", "volume" : "139" }, "uris" : [ "http://www.mendeley.com/documents/?uuid=c8c7e7c0-3a1e-30b5-9ee1-0ff5bf82a58b" ] } ], "mendeley" : { "formattedCitation" : "&lt;sup&gt;131&lt;/sup&gt;", "plainTextFormattedCitation" : "131", "previouslyFormattedCitation" : "&lt;sup&gt;130&lt;/sup&gt;"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131</w:t>
      </w:r>
      <w:r w:rsidRPr="00857842">
        <w:rPr>
          <w:rFonts w:cs="Arial"/>
        </w:rPr>
        <w:fldChar w:fldCharType="end"/>
      </w:r>
      <w:r w:rsidRPr="00857842">
        <w:rPr>
          <w:rFonts w:cs="Arial"/>
        </w:rPr>
        <w:t xml:space="preserve"> Conversely, OVSAHO is reported to more closely recapitulate ovarian cancer patient samples, and therefore OVSAHO would be a  more informative pre-clinical model system for studying ovarian cancer than the other established cell lines. </w:t>
      </w:r>
      <w:r w:rsidRPr="00857842">
        <w:rPr>
          <w:rFonts w:cs="Arial"/>
        </w:rPr>
        <w:fldChar w:fldCharType="begin" w:fldLock="1"/>
      </w:r>
      <w:r w:rsidR="000849BF">
        <w:rPr>
          <w:rFonts w:cs="Arial"/>
        </w:rPr>
        <w:instrText>ADDIN CSL_CITATION { "citationItems" : [ { "id" : "ITEM-1", "itemData" : { "DOI" : "10.1016/j.ygyno.2015.08.017", "ISSN" : "10956859", "abstract" : "Objective Comparisons of The Cancer Genome Atlas (TCGA) with high grade serous ovarian cancer (HGSOC) cell lines used in research reveal that many common experimental models lack defining genomic characteristics seen in patient tumors. As cell lines exist with higher genomic fidelity to TCGA, this study aimed to evaluate the utility of these cell lines as tools for preclinical investigation. Methods We compared two HGSOC cell lines with supposed high genomic fidelity to TCGA, KURAMOCHI and OVSAHO, with the most commonly cited ovarian cancer cell line, SKOV3, which has poor genomic fidelity to TCGA. The lines were analyzed for genomic alterations, in vitro performance, and growth in murine xenografts. Results Using targeted next generation sequencing analyses, we determined that each line had a distinct mutation profile, including alterations in TP53, and copy number variation of specific genes. KURAMOCHI and OVSAHO better recapitulated serous carcinoma morphology than SKOV3. All lines expressed PAX8 and stathmin, but KURAMOCHI and OVSAHO did not express CK7. KURAMOCHI was significantly more platinum sensitive than OVSAHO and SKOV3. Unlike SKOV3, KURAMOCHI and OVSAHO engrafted poorly in subcutaneous xenografts. KURAMOCHI and OVSAHO grew best after intraperitoneal injection in SCID mice and recapitulated miliary disease while SKOV3 grew in all murine systems and formed oligometastatic disease. Conclusions The research utility of HGSOC cell line models requires a comprehensive assessment of genomic as well as in vitro and in vivo properties. Cell lines with closer genomic fidelity to human tumors may have limitations in performance for preclinical investigation.", "author" : [ { "dropping-particle" : "", "family" : "Elias", "given" : "Kevin M.", "non-dropping-particle" : "", "parse-names" : false, "suffix" : "" }, { "dropping-particle" : "", "family" : "Emori", "given" : "Megan M.", "non-dropping-particle" : "", "parse-names" : false, "suffix" : "" }, { "dropping-particle" : "", "family" : "Papp", "given" : "Eniko", "non-dropping-particle" : "", "parse-names" : false, "suffix" : "" }, { "dropping-particle" : "", "family" : "Macduffie", "given" : "Emily", "non-dropping-particle" : "", "parse-names" : false, "suffix" : "" }, { "dropping-particle" : "", "family" : "Konecny", "given" : "Gottfried E.", "non-dropping-particle" : "", "parse-names" : false, "suffix" : "" }, { "dropping-particle" : "", "family" : "Velculescu", "given" : "Victor E.", "non-dropping-particle" : "", "parse-names" : false, "suffix" : "" }, { "dropping-particle" : "", "family" : "Drapkin", "given" : "Ronny", "non-dropping-particle" : "", "parse-names" : false, "suffix" : "" } ], "container-title" : "Gynecologic Oncology", "id" : "ITEM-1", "issue" : "1", "issued" : { "date-parts" : [ [ "2015", "10", "1" ] ] }, "page" : "97-103", "publisher" : "Academic Press Inc.", "title" : "Beyond genomics: Critical evaluation of cell line utility for ovarian cancer research", "type" : "article-journal", "volume" : "139" }, "uris" : [ "http://www.mendeley.com/documents/?uuid=c8c7e7c0-3a1e-30b5-9ee1-0ff5bf82a58b" ] } ], "mendeley" : { "formattedCitation" : "&lt;sup&gt;131&lt;/sup&gt;", "plainTextFormattedCitation" : "131", "previouslyFormattedCitation" : "&lt;sup&gt;130&lt;/sup&gt;"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131</w:t>
      </w:r>
      <w:r w:rsidRPr="00857842">
        <w:rPr>
          <w:rFonts w:cs="Arial"/>
        </w:rPr>
        <w:fldChar w:fldCharType="end"/>
      </w:r>
      <w:r w:rsidRPr="00857842">
        <w:rPr>
          <w:rFonts w:cs="Arial"/>
        </w:rPr>
        <w:t xml:space="preserve"> Although all four ovarian cancer cell lines expressed ORP4, there were significant relative differences in expression of ORP4 in the individual cell lines. The OVCAR-8 and OVSAHO cell lines showed approximately two-fold more ORP4 expression than SKOV-3 and OVCAR-3 </w:t>
      </w:r>
      <w:r w:rsidR="00242945">
        <w:rPr>
          <w:rFonts w:cs="Arial"/>
        </w:rPr>
        <w:t>(</w:t>
      </w:r>
      <w:r w:rsidR="00660CE8" w:rsidRPr="000849BF">
        <w:rPr>
          <w:rFonts w:cs="Arial"/>
          <w:b/>
          <w:bCs/>
        </w:rPr>
        <w:fldChar w:fldCharType="begin"/>
      </w:r>
      <w:r w:rsidR="00660CE8" w:rsidRPr="000849BF">
        <w:rPr>
          <w:rFonts w:cs="Arial"/>
          <w:b/>
          <w:bCs/>
        </w:rPr>
        <w:instrText xml:space="preserve"> REF _Ref37253703 \h </w:instrText>
      </w:r>
      <w:r w:rsidR="00242945">
        <w:rPr>
          <w:rFonts w:cs="Arial"/>
          <w:b/>
          <w:bCs/>
        </w:rPr>
        <w:instrText xml:space="preserve"> \* MERGEFORMAT </w:instrText>
      </w:r>
      <w:r w:rsidR="00660CE8" w:rsidRPr="000849BF">
        <w:rPr>
          <w:rFonts w:cs="Arial"/>
          <w:b/>
          <w:bCs/>
        </w:rPr>
      </w:r>
      <w:r w:rsidR="00660CE8" w:rsidRPr="000849BF">
        <w:rPr>
          <w:rFonts w:cs="Arial"/>
          <w:b/>
          <w:bCs/>
        </w:rPr>
        <w:fldChar w:fldCharType="separate"/>
      </w:r>
      <w:r w:rsidR="00660CE8" w:rsidRPr="000849BF">
        <w:rPr>
          <w:b/>
          <w:bCs/>
        </w:rPr>
        <w:t xml:space="preserve">Figure </w:t>
      </w:r>
      <w:r w:rsidR="00660CE8" w:rsidRPr="000849BF">
        <w:rPr>
          <w:b/>
          <w:bCs/>
          <w:noProof/>
        </w:rPr>
        <w:t>14</w:t>
      </w:r>
      <w:r w:rsidR="00660CE8" w:rsidRPr="000849BF">
        <w:rPr>
          <w:rFonts w:cs="Arial"/>
          <w:b/>
          <w:bCs/>
        </w:rPr>
        <w:fldChar w:fldCharType="end"/>
      </w:r>
      <w:r w:rsidRPr="00857842">
        <w:rPr>
          <w:rFonts w:cs="Arial"/>
          <w:bCs/>
        </w:rPr>
        <w:t>).</w:t>
      </w:r>
      <w:r w:rsidRPr="00857842">
        <w:rPr>
          <w:rFonts w:cs="Arial"/>
          <w:b/>
        </w:rPr>
        <w:t xml:space="preserve"> </w:t>
      </w:r>
      <w:r w:rsidRPr="00857842">
        <w:rPr>
          <w:rFonts w:cs="Arial"/>
          <w:bCs/>
        </w:rPr>
        <w:t>In contrast, the level of relative OSBP expression did not vary between the four cell lines (</w:t>
      </w:r>
      <w:r w:rsidR="00660CE8" w:rsidRPr="000849BF">
        <w:rPr>
          <w:rFonts w:cs="Arial"/>
          <w:b/>
        </w:rPr>
        <w:fldChar w:fldCharType="begin"/>
      </w:r>
      <w:r w:rsidR="00660CE8" w:rsidRPr="000849BF">
        <w:rPr>
          <w:rFonts w:cs="Arial"/>
          <w:b/>
        </w:rPr>
        <w:instrText xml:space="preserve"> REF _Ref37253703 \h </w:instrText>
      </w:r>
      <w:r w:rsidR="00242945" w:rsidRPr="000849BF">
        <w:rPr>
          <w:rFonts w:cs="Arial"/>
          <w:b/>
        </w:rPr>
        <w:instrText xml:space="preserve"> \* MERGEFORMAT </w:instrText>
      </w:r>
      <w:r w:rsidR="00660CE8" w:rsidRPr="000849BF">
        <w:rPr>
          <w:rFonts w:cs="Arial"/>
          <w:b/>
        </w:rPr>
      </w:r>
      <w:r w:rsidR="00660CE8" w:rsidRPr="000849BF">
        <w:rPr>
          <w:rFonts w:cs="Arial"/>
          <w:b/>
        </w:rPr>
        <w:fldChar w:fldCharType="separate"/>
      </w:r>
      <w:r w:rsidR="00660CE8" w:rsidRPr="000849BF">
        <w:rPr>
          <w:b/>
        </w:rPr>
        <w:t xml:space="preserve">Figure </w:t>
      </w:r>
      <w:r w:rsidR="00660CE8" w:rsidRPr="000849BF">
        <w:rPr>
          <w:b/>
          <w:noProof/>
        </w:rPr>
        <w:t>14</w:t>
      </w:r>
      <w:r w:rsidR="00660CE8" w:rsidRPr="000849BF">
        <w:rPr>
          <w:rFonts w:cs="Arial"/>
          <w:b/>
        </w:rPr>
        <w:fldChar w:fldCharType="end"/>
      </w:r>
      <w:r w:rsidRPr="00857842">
        <w:rPr>
          <w:rFonts w:cs="Arial"/>
          <w:bCs/>
        </w:rPr>
        <w:t>).</w:t>
      </w:r>
    </w:p>
    <w:p w14:paraId="5EB0092C" w14:textId="24ACCF43" w:rsidR="00F01888" w:rsidRDefault="00F01888" w:rsidP="00857842">
      <w:pPr>
        <w:ind w:firstLine="720"/>
        <w:jc w:val="both"/>
        <w:rPr>
          <w:rFonts w:cs="Arial"/>
          <w:bCs/>
        </w:rPr>
      </w:pPr>
    </w:p>
    <w:p w14:paraId="2249CD9A" w14:textId="36BCE17F" w:rsidR="00F01888" w:rsidRPr="00F01888" w:rsidRDefault="00F01888" w:rsidP="00F01888">
      <w:pPr>
        <w:pStyle w:val="Heading3"/>
      </w:pPr>
      <w:bookmarkStart w:id="113" w:name="_Toc39868180"/>
      <w:r w:rsidRPr="00F01888">
        <w:t>3.</w:t>
      </w:r>
      <w:r w:rsidR="00242945">
        <w:t>3</w:t>
      </w:r>
      <w:r w:rsidR="009F36E9">
        <w:t>.2</w:t>
      </w:r>
      <w:r w:rsidRPr="00F01888">
        <w:t xml:space="preserve"> OSW-1 is a potent inhibitor of cancer cell proliferation.</w:t>
      </w:r>
      <w:bookmarkEnd w:id="113"/>
    </w:p>
    <w:p w14:paraId="76A9A9DC" w14:textId="0AE5CEFD" w:rsidR="00A85D33" w:rsidRDefault="00857842" w:rsidP="00F01888">
      <w:pPr>
        <w:ind w:firstLine="720"/>
        <w:jc w:val="both"/>
        <w:rPr>
          <w:rFonts w:cs="Arial"/>
          <w:bCs/>
          <w:iCs/>
        </w:rPr>
      </w:pPr>
      <w:r w:rsidRPr="00857842">
        <w:rPr>
          <w:rFonts w:cs="Arial"/>
          <w:bCs/>
          <w:iCs/>
        </w:rPr>
        <w:t xml:space="preserve">To assess the efficacy of the OSW-1 compound </w:t>
      </w:r>
      <w:r w:rsidRPr="00242945">
        <w:rPr>
          <w:rFonts w:cs="Arial"/>
          <w:b/>
          <w:bCs/>
          <w:iCs/>
        </w:rPr>
        <w:t>(</w:t>
      </w:r>
      <w:r w:rsidR="00660CE8" w:rsidRPr="000849BF">
        <w:rPr>
          <w:rFonts w:cs="Arial"/>
          <w:b/>
          <w:bCs/>
          <w:iCs/>
        </w:rPr>
        <w:fldChar w:fldCharType="begin"/>
      </w:r>
      <w:r w:rsidR="00660CE8" w:rsidRPr="00242945">
        <w:rPr>
          <w:rFonts w:cs="Arial"/>
          <w:b/>
          <w:bCs/>
          <w:iCs/>
        </w:rPr>
        <w:instrText xml:space="preserve"> REF _Ref37253703 \h </w:instrText>
      </w:r>
      <w:r w:rsidR="00242945" w:rsidRPr="000849BF">
        <w:rPr>
          <w:rFonts w:cs="Arial"/>
          <w:b/>
          <w:bCs/>
          <w:iCs/>
        </w:rPr>
        <w:instrText xml:space="preserve"> \* MERGEFORMAT </w:instrText>
      </w:r>
      <w:r w:rsidR="00660CE8" w:rsidRPr="000849BF">
        <w:rPr>
          <w:rFonts w:cs="Arial"/>
          <w:b/>
          <w:bCs/>
          <w:iCs/>
        </w:rPr>
      </w:r>
      <w:r w:rsidR="00660CE8" w:rsidRPr="000849BF">
        <w:rPr>
          <w:rFonts w:cs="Arial"/>
          <w:b/>
          <w:bCs/>
          <w:iCs/>
        </w:rPr>
        <w:fldChar w:fldCharType="separate"/>
      </w:r>
      <w:r w:rsidR="00660CE8" w:rsidRPr="000849BF">
        <w:rPr>
          <w:b/>
          <w:bCs/>
        </w:rPr>
        <w:t xml:space="preserve">Figure </w:t>
      </w:r>
      <w:r w:rsidR="00660CE8" w:rsidRPr="000849BF">
        <w:rPr>
          <w:b/>
          <w:bCs/>
          <w:noProof/>
        </w:rPr>
        <w:t>14</w:t>
      </w:r>
      <w:r w:rsidR="00660CE8" w:rsidRPr="000849BF">
        <w:rPr>
          <w:rFonts w:cs="Arial"/>
          <w:b/>
          <w:bCs/>
          <w:iCs/>
        </w:rPr>
        <w:fldChar w:fldCharType="end"/>
      </w:r>
      <w:r w:rsidRPr="00857842">
        <w:rPr>
          <w:rFonts w:cs="Arial"/>
          <w:b/>
          <w:bCs/>
          <w:iCs/>
        </w:rPr>
        <w:t xml:space="preserve">), </w:t>
      </w:r>
      <w:r w:rsidRPr="00857842">
        <w:rPr>
          <w:rFonts w:cs="Arial"/>
          <w:bCs/>
          <w:iCs/>
        </w:rPr>
        <w:t xml:space="preserve">it was compared to the clinically used ovarian anti-cancer compounds, paclitaxel and cisplatin, against our ovarian cancer cell line panel in a monolayer (2D) viability assay </w:t>
      </w:r>
      <w:r w:rsidRPr="00857842">
        <w:rPr>
          <w:rFonts w:cs="Arial"/>
          <w:b/>
          <w:bCs/>
          <w:iCs/>
        </w:rPr>
        <w:t>(</w:t>
      </w:r>
      <w:r w:rsidR="00660CE8" w:rsidRPr="000849BF">
        <w:rPr>
          <w:rFonts w:cs="Arial"/>
          <w:b/>
          <w:bCs/>
          <w:iCs/>
        </w:rPr>
        <w:fldChar w:fldCharType="begin"/>
      </w:r>
      <w:r w:rsidR="00660CE8" w:rsidRPr="00242945">
        <w:rPr>
          <w:rFonts w:cs="Arial"/>
          <w:b/>
          <w:bCs/>
          <w:iCs/>
        </w:rPr>
        <w:instrText xml:space="preserve"> REF _Ref37253829 \h </w:instrText>
      </w:r>
      <w:r w:rsidR="00242945" w:rsidRPr="000849BF">
        <w:rPr>
          <w:rFonts w:cs="Arial"/>
          <w:b/>
          <w:bCs/>
          <w:iCs/>
        </w:rPr>
        <w:instrText xml:space="preserve"> \* MERGEFORMAT </w:instrText>
      </w:r>
      <w:r w:rsidR="00660CE8" w:rsidRPr="000849BF">
        <w:rPr>
          <w:rFonts w:cs="Arial"/>
          <w:b/>
          <w:bCs/>
          <w:iCs/>
        </w:rPr>
      </w:r>
      <w:r w:rsidR="00660CE8" w:rsidRPr="000849BF">
        <w:rPr>
          <w:rFonts w:cs="Arial"/>
          <w:b/>
          <w:bCs/>
          <w:iCs/>
        </w:rPr>
        <w:fldChar w:fldCharType="separate"/>
      </w:r>
      <w:r w:rsidR="00660CE8" w:rsidRPr="000849BF">
        <w:rPr>
          <w:b/>
          <w:bCs/>
        </w:rPr>
        <w:t xml:space="preserve">Figure </w:t>
      </w:r>
      <w:r w:rsidR="00660CE8" w:rsidRPr="000849BF">
        <w:rPr>
          <w:b/>
          <w:bCs/>
          <w:noProof/>
        </w:rPr>
        <w:t>15</w:t>
      </w:r>
      <w:r w:rsidR="00660CE8" w:rsidRPr="000849BF">
        <w:rPr>
          <w:rFonts w:cs="Arial"/>
          <w:b/>
          <w:bCs/>
          <w:iCs/>
        </w:rPr>
        <w:fldChar w:fldCharType="end"/>
      </w:r>
      <w:r w:rsidRPr="00857842">
        <w:rPr>
          <w:rFonts w:cs="Arial"/>
          <w:b/>
          <w:bCs/>
          <w:iCs/>
        </w:rPr>
        <w:t xml:space="preserve">). </w:t>
      </w:r>
      <w:r w:rsidRPr="00857842">
        <w:rPr>
          <w:rFonts w:cs="Arial"/>
          <w:bCs/>
          <w:iCs/>
        </w:rPr>
        <w:t xml:space="preserve">Compounds were administered for 72 h at the provided concentrations and toxicity was quantified relative to vehicle control using cell titer blue. The OSW-1 compound </w:t>
      </w:r>
      <w:r w:rsidR="006619F9" w:rsidRPr="00293F3C">
        <w:rPr>
          <w:rFonts w:cs="Arial"/>
          <w:noProof/>
        </w:rPr>
        <w:lastRenderedPageBreak/>
        <mc:AlternateContent>
          <mc:Choice Requires="wps">
            <w:drawing>
              <wp:anchor distT="45720" distB="45720" distL="114300" distR="114300" simplePos="0" relativeHeight="251659264" behindDoc="0" locked="0" layoutInCell="1" allowOverlap="1" wp14:anchorId="0E0EC5FD" wp14:editId="76AB6E3C">
                <wp:simplePos x="0" y="0"/>
                <wp:positionH relativeFrom="margin">
                  <wp:align>left</wp:align>
                </wp:positionH>
                <wp:positionV relativeFrom="paragraph">
                  <wp:posOffset>343</wp:posOffset>
                </wp:positionV>
                <wp:extent cx="5352415" cy="7038975"/>
                <wp:effectExtent l="0" t="0" r="1968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2415" cy="7038975"/>
                        </a:xfrm>
                        <a:prstGeom prst="rect">
                          <a:avLst/>
                        </a:prstGeom>
                        <a:solidFill>
                          <a:srgbClr val="FFFFFF"/>
                        </a:solidFill>
                        <a:ln w="9525">
                          <a:solidFill>
                            <a:srgbClr val="000000"/>
                          </a:solidFill>
                          <a:miter lim="800000"/>
                          <a:headEnd/>
                          <a:tailEnd/>
                        </a:ln>
                      </wps:spPr>
                      <wps:txbx>
                        <w:txbxContent>
                          <w:p w14:paraId="56D51A7D" w14:textId="77777777" w:rsidR="00730B8F" w:rsidRDefault="00730B8F">
                            <w:pPr>
                              <w:keepNext/>
                            </w:pPr>
                            <w:r w:rsidRPr="00293F3C">
                              <w:rPr>
                                <w:noProof/>
                              </w:rPr>
                              <w:drawing>
                                <wp:inline distT="0" distB="0" distL="0" distR="0" wp14:anchorId="7D872134" wp14:editId="55772694">
                                  <wp:extent cx="5182870" cy="5470525"/>
                                  <wp:effectExtent l="0" t="0" r="0"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82870" cy="5470525"/>
                                          </a:xfrm>
                                          <a:prstGeom prst="rect">
                                            <a:avLst/>
                                          </a:prstGeom>
                                          <a:noFill/>
                                          <a:ln>
                                            <a:noFill/>
                                          </a:ln>
                                        </pic:spPr>
                                      </pic:pic>
                                    </a:graphicData>
                                  </a:graphic>
                                </wp:inline>
                              </w:drawing>
                            </w:r>
                          </w:p>
                          <w:p w14:paraId="7F4CC0AD" w14:textId="71859EC2" w:rsidR="00730B8F" w:rsidRDefault="00730B8F" w:rsidP="00A66B3A">
                            <w:pPr>
                              <w:pStyle w:val="Caption"/>
                            </w:pPr>
                            <w:bookmarkStart w:id="114" w:name="_Ref38440219"/>
                            <w:bookmarkStart w:id="115" w:name="_Toc39868227"/>
                            <w:r>
                              <w:t xml:space="preserve">Figure </w:t>
                            </w:r>
                            <w:r w:rsidR="009425BE">
                              <w:fldChar w:fldCharType="begin"/>
                            </w:r>
                            <w:r w:rsidR="009425BE">
                              <w:instrText xml:space="preserve"> SEQ Figure \* ARABIC </w:instrText>
                            </w:r>
                            <w:r w:rsidR="009425BE">
                              <w:fldChar w:fldCharType="separate"/>
                            </w:r>
                            <w:r>
                              <w:rPr>
                                <w:noProof/>
                              </w:rPr>
                              <w:t>14</w:t>
                            </w:r>
                            <w:r w:rsidR="009425BE">
                              <w:rPr>
                                <w:noProof/>
                              </w:rPr>
                              <w:fldChar w:fldCharType="end"/>
                            </w:r>
                            <w:bookmarkEnd w:id="114"/>
                            <w:r>
                              <w:t xml:space="preserve">: </w:t>
                            </w:r>
                            <w:r w:rsidRPr="00A66B3A">
                              <w:rPr>
                                <w:b w:val="0"/>
                                <w:bCs w:val="0"/>
                              </w:rPr>
                              <w:t>The antineoplastic compound, OSW-1, protein binding partner, ORP4, is a selectively expressed cancer protein. A.) The OSW-1 compound. B.) RNA expression in human tissues from the FANTOM5 dataset. C.) Patient percentage that have at least medium expression of ORP4 in cancer tissue. Data collected from the Human Protein Atlas. Patient samples ≥ 9. D.) Western blot of OSBP and ORP4 in all four ovarian cell lines. E.) Quantification of OSBP and ORP4 in ovarian cancer cell lines relative to SKOV-3.</w:t>
                            </w:r>
                            <w:bookmarkEnd w:id="115"/>
                          </w:p>
                          <w:p w14:paraId="3E88B0DF" w14:textId="77777777" w:rsidR="00730B8F" w:rsidRDefault="00730B8F"/>
                          <w:p w14:paraId="1CF636F4" w14:textId="77777777" w:rsidR="00730B8F" w:rsidRDefault="00730B8F"/>
                          <w:p w14:paraId="0142EC15" w14:textId="2CA6DD3F" w:rsidR="00730B8F" w:rsidRDefault="00730B8F" w:rsidP="00A66B3A">
                            <w:pPr>
                              <w:keepNext/>
                            </w:pPr>
                            <w:r w:rsidRPr="00293F3C">
                              <w:rPr>
                                <w:noProof/>
                              </w:rPr>
                              <w:drawing>
                                <wp:inline distT="0" distB="0" distL="0" distR="0" wp14:anchorId="7D872134" wp14:editId="55772694">
                                  <wp:extent cx="5182870" cy="5470525"/>
                                  <wp:effectExtent l="0" t="0" r="0"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82870" cy="5470525"/>
                                          </a:xfrm>
                                          <a:prstGeom prst="rect">
                                            <a:avLst/>
                                          </a:prstGeom>
                                          <a:noFill/>
                                          <a:ln>
                                            <a:noFill/>
                                          </a:ln>
                                        </pic:spPr>
                                      </pic:pic>
                                    </a:graphicData>
                                  </a:graphic>
                                </wp:inline>
                              </w:drawing>
                            </w:r>
                          </w:p>
                          <w:p w14:paraId="7F679134" w14:textId="5F0F9AF6" w:rsidR="00730B8F" w:rsidRDefault="00730B8F" w:rsidP="00A66B3A">
                            <w:pPr>
                              <w:pStyle w:val="Caption"/>
                            </w:pPr>
                            <w:bookmarkStart w:id="116" w:name="_Ref37253703"/>
                            <w:r>
                              <w:t xml:space="preserve">Figure </w:t>
                            </w:r>
                            <w:r>
                              <w:fldChar w:fldCharType="begin"/>
                            </w:r>
                            <w:r>
                              <w:instrText xml:space="preserve">  \* ARABIC </w:instrText>
                            </w:r>
                            <w:r>
                              <w:fldChar w:fldCharType="separate"/>
                            </w:r>
                            <w:r>
                              <w:rPr>
                                <w:noProof/>
                              </w:rPr>
                              <w:t>16</w:t>
                            </w:r>
                            <w:r>
                              <w:rPr>
                                <w:noProof/>
                              </w:rPr>
                              <w:fldChar w:fldCharType="end"/>
                            </w:r>
                            <w:bookmarkEnd w:id="116"/>
                            <w:r>
                              <w:t xml:space="preserve">: </w:t>
                            </w:r>
                            <w:r w:rsidRPr="00A66B3A">
                              <w:rPr>
                                <w:b w:val="0"/>
                                <w:bCs w:val="0"/>
                              </w:rPr>
                              <w:t>The antineoplastic compound, OSW-1, protein binding partner, ORP4, is a selectively expressed cancer protein. A.) The OSW-1 compound. B.) RNA expression in human tissues from the FANTOM5 dataset. C.) Patient percentage that have at least medium expression of ORP4 in cancer tissue. Data collected from the Human Protein Atlas. Patient samples ≥ 9. D.) Western blot of OSBP and ORP4 in all four ovarian cell lines. E.) Quantification of OSBP and ORP4 in ovarian cancer cell lines relative to SKOV-3.</w:t>
                            </w:r>
                          </w:p>
                          <w:p w14:paraId="7345F399" w14:textId="7F47D1A7"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EC5FD" id="_x0000_s1039" type="#_x0000_t202" style="position:absolute;left:0;text-align:left;margin-left:0;margin-top:.05pt;width:421.45pt;height:554.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">
                <v:textbox>
                  <w:txbxContent>
                    <w:p w14:paraId="56D51A7D" w14:textId="77777777" w:rsidR="00730B8F" w:rsidRDefault="00730B8F">
                      <w:pPr>
                        <w:keepNext/>
                      </w:pPr>
                      <w:r w:rsidRPr="00293F3C">
                        <w:rPr>
                          <w:noProof/>
                        </w:rPr>
                        <w:drawing>
                          <wp:inline distT="0" distB="0" distL="0" distR="0" wp14:anchorId="7D872134" wp14:editId="55772694">
                            <wp:extent cx="5182870" cy="5470525"/>
                            <wp:effectExtent l="0" t="0" r="0"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82870" cy="5470525"/>
                                    </a:xfrm>
                                    <a:prstGeom prst="rect">
                                      <a:avLst/>
                                    </a:prstGeom>
                                    <a:noFill/>
                                    <a:ln>
                                      <a:noFill/>
                                    </a:ln>
                                  </pic:spPr>
                                </pic:pic>
                              </a:graphicData>
                            </a:graphic>
                          </wp:inline>
                        </w:drawing>
                      </w:r>
                    </w:p>
                    <w:p w14:paraId="7F4CC0AD" w14:textId="71859EC2" w:rsidR="00730B8F" w:rsidRDefault="00730B8F" w:rsidP="00A66B3A">
                      <w:pPr>
                        <w:pStyle w:val="Caption"/>
                      </w:pPr>
                      <w:bookmarkStart w:id="117" w:name="_Ref38440219"/>
                      <w:bookmarkStart w:id="118" w:name="_Toc39868227"/>
                      <w:r>
                        <w:t xml:space="preserve">Figure </w:t>
                      </w:r>
                      <w:r w:rsidR="009425BE">
                        <w:fldChar w:fldCharType="begin"/>
                      </w:r>
                      <w:r w:rsidR="009425BE">
                        <w:instrText xml:space="preserve"> SEQ Figure \* ARABIC </w:instrText>
                      </w:r>
                      <w:r w:rsidR="009425BE">
                        <w:fldChar w:fldCharType="separate"/>
                      </w:r>
                      <w:r>
                        <w:rPr>
                          <w:noProof/>
                        </w:rPr>
                        <w:t>14</w:t>
                      </w:r>
                      <w:r w:rsidR="009425BE">
                        <w:rPr>
                          <w:noProof/>
                        </w:rPr>
                        <w:fldChar w:fldCharType="end"/>
                      </w:r>
                      <w:bookmarkEnd w:id="117"/>
                      <w:r>
                        <w:t xml:space="preserve">: </w:t>
                      </w:r>
                      <w:r w:rsidRPr="00A66B3A">
                        <w:rPr>
                          <w:b w:val="0"/>
                          <w:bCs w:val="0"/>
                        </w:rPr>
                        <w:t>The antineoplastic compound, OSW-1, protein binding partner, ORP4, is a selectively expressed cancer protein. A.) The OSW-1 compound. B.) RNA expression in human tissues from the FANTOM5 dataset. C.) Patient percentage that have at least medium expression of ORP4 in cancer tissue. Data collected from the Human Protein Atlas. Patient samples ≥ 9. D.) Western blot of OSBP and ORP4 in all four ovarian cell lines. E.) Quantification of OSBP and ORP4 in ovarian cancer cell lines relative to SKOV-3.</w:t>
                      </w:r>
                      <w:bookmarkEnd w:id="118"/>
                    </w:p>
                    <w:p w14:paraId="3E88B0DF" w14:textId="77777777" w:rsidR="00730B8F" w:rsidRDefault="00730B8F"/>
                    <w:p w14:paraId="1CF636F4" w14:textId="77777777" w:rsidR="00730B8F" w:rsidRDefault="00730B8F"/>
                    <w:p w14:paraId="0142EC15" w14:textId="2CA6DD3F" w:rsidR="00730B8F" w:rsidRDefault="00730B8F" w:rsidP="00A66B3A">
                      <w:pPr>
                        <w:keepNext/>
                      </w:pPr>
                      <w:r w:rsidRPr="00293F3C">
                        <w:rPr>
                          <w:noProof/>
                        </w:rPr>
                        <w:drawing>
                          <wp:inline distT="0" distB="0" distL="0" distR="0" wp14:anchorId="7D872134" wp14:editId="55772694">
                            <wp:extent cx="5182870" cy="5470525"/>
                            <wp:effectExtent l="0" t="0" r="0"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82870" cy="5470525"/>
                                    </a:xfrm>
                                    <a:prstGeom prst="rect">
                                      <a:avLst/>
                                    </a:prstGeom>
                                    <a:noFill/>
                                    <a:ln>
                                      <a:noFill/>
                                    </a:ln>
                                  </pic:spPr>
                                </pic:pic>
                              </a:graphicData>
                            </a:graphic>
                          </wp:inline>
                        </w:drawing>
                      </w:r>
                    </w:p>
                    <w:p w14:paraId="7F679134" w14:textId="5F0F9AF6" w:rsidR="00730B8F" w:rsidRDefault="00730B8F" w:rsidP="00A66B3A">
                      <w:pPr>
                        <w:pStyle w:val="Caption"/>
                      </w:pPr>
                      <w:bookmarkStart w:id="119" w:name="_Ref37253703"/>
                      <w:r>
                        <w:t xml:space="preserve">Figure </w:t>
                      </w:r>
                      <w:r>
                        <w:fldChar w:fldCharType="begin"/>
                      </w:r>
                      <w:r>
                        <w:instrText xml:space="preserve">  \* ARABIC </w:instrText>
                      </w:r>
                      <w:r>
                        <w:fldChar w:fldCharType="separate"/>
                      </w:r>
                      <w:r>
                        <w:rPr>
                          <w:noProof/>
                        </w:rPr>
                        <w:t>16</w:t>
                      </w:r>
                      <w:r>
                        <w:rPr>
                          <w:noProof/>
                        </w:rPr>
                        <w:fldChar w:fldCharType="end"/>
                      </w:r>
                      <w:bookmarkEnd w:id="119"/>
                      <w:r>
                        <w:t xml:space="preserve">: </w:t>
                      </w:r>
                      <w:r w:rsidRPr="00A66B3A">
                        <w:rPr>
                          <w:b w:val="0"/>
                          <w:bCs w:val="0"/>
                        </w:rPr>
                        <w:t>The antineoplastic compound, OSW-1, protein binding partner, ORP4, is a selectively expressed cancer protein. A.) The OSW-1 compound. B.) RNA expression in human tissues from the FANTOM5 dataset. C.) Patient percentage that have at least medium expression of ORP4 in cancer tissue. Data collected from the Human Protein Atlas. Patient samples ≥ 9. D.) Western blot of OSBP and ORP4 in all four ovarian cell lines. E.) Quantification of OSBP and ORP4 in ovarian cancer cell lines relative to SKOV-3.</w:t>
                      </w:r>
                    </w:p>
                    <w:p w14:paraId="7345F399" w14:textId="7F47D1A7" w:rsidR="00730B8F" w:rsidRDefault="00730B8F"/>
                  </w:txbxContent>
                </v:textbox>
                <w10:wrap type="square" anchorx="margin"/>
              </v:shape>
            </w:pict>
          </mc:Fallback>
        </mc:AlternateContent>
      </w:r>
      <w:r w:rsidRPr="00857842">
        <w:rPr>
          <w:rFonts w:cs="Arial"/>
          <w:bCs/>
          <w:iCs/>
        </w:rPr>
        <w:t xml:space="preserve">exhibited potent, low nanomolar toxicity against three of the four ovarian cancer cell lines (SKOV-3, OVCAR-3, and OVSAHO), showing a higher potency than both clinical drugs, paclitaxel and cisplatin </w:t>
      </w:r>
      <w:r w:rsidR="00475DAB">
        <w:rPr>
          <w:rFonts w:cs="Arial"/>
          <w:bCs/>
          <w:iCs/>
        </w:rPr>
        <w:t>(</w:t>
      </w:r>
      <w:r w:rsidR="00660CE8" w:rsidRPr="000849BF">
        <w:rPr>
          <w:rFonts w:cs="Arial"/>
          <w:b/>
          <w:bCs/>
          <w:iCs/>
        </w:rPr>
        <w:fldChar w:fldCharType="begin"/>
      </w:r>
      <w:r w:rsidR="00660CE8" w:rsidRPr="000849BF">
        <w:rPr>
          <w:rFonts w:cs="Arial"/>
          <w:b/>
          <w:bCs/>
          <w:iCs/>
        </w:rPr>
        <w:instrText xml:space="preserve"> REF _Ref37253829 \h </w:instrText>
      </w:r>
      <w:r w:rsidR="00242945" w:rsidRPr="000849BF">
        <w:rPr>
          <w:rFonts w:cs="Arial"/>
          <w:b/>
          <w:bCs/>
          <w:iCs/>
        </w:rPr>
        <w:instrText xml:space="preserve"> \* MERGEFORMAT </w:instrText>
      </w:r>
      <w:r w:rsidR="00660CE8" w:rsidRPr="000849BF">
        <w:rPr>
          <w:rFonts w:cs="Arial"/>
          <w:b/>
          <w:bCs/>
          <w:iCs/>
        </w:rPr>
      </w:r>
      <w:r w:rsidR="00660CE8" w:rsidRPr="000849BF">
        <w:rPr>
          <w:rFonts w:cs="Arial"/>
          <w:b/>
          <w:bCs/>
          <w:iCs/>
        </w:rPr>
        <w:fldChar w:fldCharType="separate"/>
      </w:r>
      <w:r w:rsidR="00660CE8" w:rsidRPr="000849BF">
        <w:rPr>
          <w:b/>
          <w:bCs/>
        </w:rPr>
        <w:t xml:space="preserve">Figure </w:t>
      </w:r>
      <w:r w:rsidR="00660CE8" w:rsidRPr="000849BF">
        <w:rPr>
          <w:b/>
          <w:bCs/>
          <w:noProof/>
        </w:rPr>
        <w:t>15</w:t>
      </w:r>
      <w:r w:rsidR="00660CE8" w:rsidRPr="000849BF">
        <w:rPr>
          <w:rFonts w:cs="Arial"/>
          <w:b/>
          <w:bCs/>
          <w:iCs/>
        </w:rPr>
        <w:fldChar w:fldCharType="end"/>
      </w:r>
      <w:r w:rsidRPr="00857842">
        <w:rPr>
          <w:rFonts w:cs="Arial"/>
          <w:b/>
          <w:bCs/>
          <w:iCs/>
        </w:rPr>
        <w:t>)</w:t>
      </w:r>
      <w:r w:rsidRPr="00857842">
        <w:rPr>
          <w:rFonts w:cs="Arial"/>
          <w:bCs/>
          <w:iCs/>
        </w:rPr>
        <w:t xml:space="preserve">. Unexpectedly, the OSW-1 compound was </w:t>
      </w:r>
      <w:r w:rsidRPr="00857842">
        <w:rPr>
          <w:rFonts w:cs="Arial"/>
          <w:bCs/>
          <w:iCs/>
        </w:rPr>
        <w:lastRenderedPageBreak/>
        <w:t xml:space="preserve">ineffective at producing toxicity in OVCAR-8 cells up to 1 µM yet remained sensitive to paclitaxel and cisplatin treatment </w:t>
      </w:r>
      <w:r w:rsidRPr="00242945">
        <w:rPr>
          <w:rFonts w:cs="Arial"/>
          <w:b/>
          <w:bCs/>
          <w:iCs/>
        </w:rPr>
        <w:t>(</w:t>
      </w:r>
      <w:r w:rsidR="00660CE8" w:rsidRPr="000849BF">
        <w:rPr>
          <w:rFonts w:cs="Arial"/>
          <w:b/>
          <w:bCs/>
          <w:iCs/>
        </w:rPr>
        <w:fldChar w:fldCharType="begin"/>
      </w:r>
      <w:r w:rsidR="00660CE8" w:rsidRPr="00242945">
        <w:rPr>
          <w:rFonts w:cs="Arial"/>
          <w:b/>
          <w:bCs/>
          <w:iCs/>
        </w:rPr>
        <w:instrText xml:space="preserve"> REF _Ref37253703 \h </w:instrText>
      </w:r>
      <w:r w:rsidR="00242945" w:rsidRPr="000849BF">
        <w:rPr>
          <w:rFonts w:cs="Arial"/>
          <w:b/>
          <w:bCs/>
          <w:iCs/>
        </w:rPr>
        <w:instrText xml:space="preserve"> \* MERGEFORMAT </w:instrText>
      </w:r>
      <w:r w:rsidR="00660CE8" w:rsidRPr="000849BF">
        <w:rPr>
          <w:rFonts w:cs="Arial"/>
          <w:b/>
          <w:bCs/>
          <w:iCs/>
        </w:rPr>
      </w:r>
      <w:r w:rsidR="00660CE8" w:rsidRPr="000849BF">
        <w:rPr>
          <w:rFonts w:cs="Arial"/>
          <w:b/>
          <w:bCs/>
          <w:iCs/>
        </w:rPr>
        <w:fldChar w:fldCharType="separate"/>
      </w:r>
      <w:r w:rsidR="00660CE8" w:rsidRPr="000849BF">
        <w:rPr>
          <w:b/>
          <w:bCs/>
        </w:rPr>
        <w:t xml:space="preserve">Figure </w:t>
      </w:r>
      <w:r w:rsidR="00660CE8" w:rsidRPr="000849BF">
        <w:rPr>
          <w:b/>
          <w:bCs/>
          <w:noProof/>
        </w:rPr>
        <w:t>14</w:t>
      </w:r>
      <w:r w:rsidR="00660CE8" w:rsidRPr="000849BF">
        <w:rPr>
          <w:rFonts w:cs="Arial"/>
          <w:b/>
          <w:bCs/>
          <w:iCs/>
        </w:rPr>
        <w:fldChar w:fldCharType="end"/>
      </w:r>
      <w:r w:rsidR="00BE5409" w:rsidRPr="00BE5409">
        <w:rPr>
          <w:rFonts w:cs="Arial"/>
          <w:b/>
          <w:bCs/>
          <w:iCs/>
        </w:rPr>
        <w:t>)</w:t>
      </w:r>
      <w:r w:rsidR="00BE5409">
        <w:rPr>
          <w:rFonts w:cs="Arial"/>
          <w:b/>
          <w:bCs/>
          <w:iCs/>
        </w:rPr>
        <w:t xml:space="preserve">. </w:t>
      </w:r>
      <w:r w:rsidRPr="00857842">
        <w:rPr>
          <w:rFonts w:cs="Arial"/>
          <w:bCs/>
          <w:iCs/>
        </w:rPr>
        <w:t>It should be noted that the OSW-1 compound did induce morphological changes, exhibiting less cell-cell interactions, to the OVCAR-</w:t>
      </w:r>
      <w:r w:rsidR="006619F9" w:rsidRPr="006619F9">
        <w:rPr>
          <w:rFonts w:cs="Arial"/>
          <w:noProof/>
        </w:rPr>
        <mc:AlternateContent>
          <mc:Choice Requires="wps">
            <w:drawing>
              <wp:anchor distT="45720" distB="45720" distL="114300" distR="114300" simplePos="0" relativeHeight="251676672" behindDoc="0" locked="0" layoutInCell="1" allowOverlap="1" wp14:anchorId="048FB5A1" wp14:editId="188DD473">
                <wp:simplePos x="0" y="0"/>
                <wp:positionH relativeFrom="margin">
                  <wp:align>right</wp:align>
                </wp:positionH>
                <wp:positionV relativeFrom="paragraph">
                  <wp:posOffset>1277277</wp:posOffset>
                </wp:positionV>
                <wp:extent cx="5387340" cy="5906135"/>
                <wp:effectExtent l="0" t="0" r="22860" b="18415"/>
                <wp:wrapSquare wrapText="bothSides"/>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7340" cy="5906530"/>
                        </a:xfrm>
                        <a:prstGeom prst="rect">
                          <a:avLst/>
                        </a:prstGeom>
                        <a:solidFill>
                          <a:srgbClr val="FFFFFF"/>
                        </a:solidFill>
                        <a:ln w="9525">
                          <a:solidFill>
                            <a:srgbClr val="000000"/>
                          </a:solidFill>
                          <a:miter lim="800000"/>
                          <a:headEnd/>
                          <a:tailEnd/>
                        </a:ln>
                      </wps:spPr>
                      <wps:txbx>
                        <w:txbxContent>
                          <w:p w14:paraId="64B3B77C" w14:textId="77777777" w:rsidR="00730B8F" w:rsidRDefault="00730B8F" w:rsidP="00CE3EFD">
                            <w:pPr>
                              <w:keepNext/>
                            </w:pPr>
                            <w:r w:rsidRPr="006619F9">
                              <w:rPr>
                                <w:noProof/>
                              </w:rPr>
                              <w:drawing>
                                <wp:inline distT="0" distB="0" distL="0" distR="0" wp14:anchorId="348D450B" wp14:editId="290CD767">
                                  <wp:extent cx="5195570" cy="4990465"/>
                                  <wp:effectExtent l="0" t="0" r="0"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95570" cy="4990465"/>
                                          </a:xfrm>
                                          <a:prstGeom prst="rect">
                                            <a:avLst/>
                                          </a:prstGeom>
                                          <a:noFill/>
                                          <a:ln>
                                            <a:noFill/>
                                          </a:ln>
                                        </pic:spPr>
                                      </pic:pic>
                                    </a:graphicData>
                                  </a:graphic>
                                </wp:inline>
                              </w:drawing>
                            </w:r>
                          </w:p>
                          <w:p w14:paraId="5D930EE6" w14:textId="74B8ACBA" w:rsidR="00730B8F" w:rsidRPr="00A85D33" w:rsidRDefault="00730B8F" w:rsidP="00A85D33">
                            <w:pPr>
                              <w:pStyle w:val="Caption"/>
                            </w:pPr>
                            <w:bookmarkStart w:id="120" w:name="_Ref38440024"/>
                            <w:bookmarkStart w:id="121" w:name="_Toc39868228"/>
                            <w:r>
                              <w:t xml:space="preserve">Figure </w:t>
                            </w:r>
                            <w:r w:rsidR="009425BE">
                              <w:fldChar w:fldCharType="begin"/>
                            </w:r>
                            <w:r w:rsidR="009425BE">
                              <w:instrText xml:space="preserve"> SEQ Figure \* ARABIC </w:instrText>
                            </w:r>
                            <w:r w:rsidR="009425BE">
                              <w:fldChar w:fldCharType="separate"/>
                            </w:r>
                            <w:r>
                              <w:rPr>
                                <w:noProof/>
                              </w:rPr>
                              <w:t>15</w:t>
                            </w:r>
                            <w:r w:rsidR="009425BE">
                              <w:rPr>
                                <w:noProof/>
                              </w:rPr>
                              <w:fldChar w:fldCharType="end"/>
                            </w:r>
                            <w:bookmarkEnd w:id="120"/>
                            <w:r>
                              <w:t xml:space="preserve">: </w:t>
                            </w:r>
                            <w:r w:rsidRPr="00A85D33">
                              <w:rPr>
                                <w:b w:val="0"/>
                                <w:bCs w:val="0"/>
                              </w:rPr>
                              <w:t>OSW-1 is a cytotoxic agent to monolayer ovarian cancer cells. A-D) Growth inhibition curves of Paclitaxel, OSW-1, and Cisplatin in four ovarian cell lines. E) Table of GI</w:t>
                            </w:r>
                            <w:r w:rsidRPr="00A85D33">
                              <w:rPr>
                                <w:b w:val="0"/>
                                <w:bCs w:val="0"/>
                                <w:vertAlign w:val="subscript"/>
                              </w:rPr>
                              <w:t>50</w:t>
                            </w:r>
                            <w:r w:rsidRPr="00A85D33">
                              <w:rPr>
                                <w:b w:val="0"/>
                                <w:bCs w:val="0"/>
                              </w:rPr>
                              <w:t xml:space="preserve"> values. Error shown as SD (n = 3).</w:t>
                            </w:r>
                            <w:bookmarkEnd w:id="121"/>
                            <w:r w:rsidRPr="00A85D33">
                              <w:t xml:space="preserve"> </w:t>
                            </w:r>
                          </w:p>
                          <w:p w14:paraId="6DAF7B3F" w14:textId="77777777" w:rsidR="00730B8F" w:rsidRPr="00A85D33" w:rsidRDefault="00730B8F" w:rsidP="00A85D33">
                            <w:pPr>
                              <w:pStyle w:val="Caption"/>
                            </w:pPr>
                          </w:p>
                          <w:p w14:paraId="00181D19" w14:textId="77777777" w:rsidR="00730B8F" w:rsidRDefault="00730B8F" w:rsidP="00CE3EFD">
                            <w:pPr>
                              <w:pStyle w:val="Caption"/>
                            </w:pPr>
                          </w:p>
                          <w:p w14:paraId="3820E947" w14:textId="77777777" w:rsidR="00730B8F" w:rsidRDefault="00730B8F"/>
                          <w:p w14:paraId="61A20E2D" w14:textId="77777777" w:rsidR="00730B8F" w:rsidRDefault="00730B8F"/>
                          <w:p w14:paraId="22A268E7" w14:textId="2106C378" w:rsidR="00730B8F" w:rsidRDefault="00730B8F" w:rsidP="00CE3EFD">
                            <w:pPr>
                              <w:keepNext/>
                            </w:pPr>
                            <w:r w:rsidRPr="006619F9">
                              <w:rPr>
                                <w:noProof/>
                              </w:rPr>
                              <w:drawing>
                                <wp:inline distT="0" distB="0" distL="0" distR="0" wp14:anchorId="348D450B" wp14:editId="290CD767">
                                  <wp:extent cx="5195570" cy="4990465"/>
                                  <wp:effectExtent l="0" t="0" r="0"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95570" cy="4990465"/>
                                          </a:xfrm>
                                          <a:prstGeom prst="rect">
                                            <a:avLst/>
                                          </a:prstGeom>
                                          <a:noFill/>
                                          <a:ln>
                                            <a:noFill/>
                                          </a:ln>
                                        </pic:spPr>
                                      </pic:pic>
                                    </a:graphicData>
                                  </a:graphic>
                                </wp:inline>
                              </w:drawing>
                            </w:r>
                          </w:p>
                          <w:p w14:paraId="449590F8" w14:textId="629C0D40" w:rsidR="00730B8F" w:rsidRPr="00A85D33" w:rsidRDefault="00730B8F" w:rsidP="00A85D33">
                            <w:pPr>
                              <w:pStyle w:val="Caption"/>
                            </w:pPr>
                            <w:bookmarkStart w:id="122" w:name="_Ref37253829"/>
                            <w:r>
                              <w:t xml:space="preserve">Figure </w:t>
                            </w:r>
                            <w:r>
                              <w:fldChar w:fldCharType="begin"/>
                            </w:r>
                            <w:r>
                              <w:instrText xml:space="preserve">  \* ARABIC </w:instrText>
                            </w:r>
                            <w:r>
                              <w:fldChar w:fldCharType="separate"/>
                            </w:r>
                            <w:r>
                              <w:rPr>
                                <w:noProof/>
                              </w:rPr>
                              <w:t>18</w:t>
                            </w:r>
                            <w:r>
                              <w:rPr>
                                <w:noProof/>
                              </w:rPr>
                              <w:fldChar w:fldCharType="end"/>
                            </w:r>
                            <w:bookmarkEnd w:id="122"/>
                            <w:r>
                              <w:t xml:space="preserve">: </w:t>
                            </w:r>
                            <w:r w:rsidRPr="00A85D33">
                              <w:rPr>
                                <w:b w:val="0"/>
                                <w:bCs w:val="0"/>
                              </w:rPr>
                              <w:t>OSW-1 is a cytotoxic agent to monolayer ovarian cancer cells. A-D) Growth inhibition curves of Paclitaxel, OSW-1, and Cisplatin in four ovarian cell lines. E) Table of GI</w:t>
                            </w:r>
                            <w:r w:rsidRPr="00A85D33">
                              <w:rPr>
                                <w:b w:val="0"/>
                                <w:bCs w:val="0"/>
                                <w:vertAlign w:val="subscript"/>
                              </w:rPr>
                              <w:t>50</w:t>
                            </w:r>
                            <w:r w:rsidRPr="00A85D33">
                              <w:rPr>
                                <w:b w:val="0"/>
                                <w:bCs w:val="0"/>
                              </w:rPr>
                              <w:t xml:space="preserve"> values. Error shown as SD (n = 3).</w:t>
                            </w:r>
                            <w:r w:rsidRPr="00A85D33">
                              <w:t xml:space="preserve"> </w:t>
                            </w:r>
                          </w:p>
                          <w:p w14:paraId="38E75F19" w14:textId="77777777" w:rsidR="00730B8F" w:rsidRPr="00A85D33" w:rsidRDefault="00730B8F" w:rsidP="00A85D33">
                            <w:pPr>
                              <w:pStyle w:val="Caption"/>
                            </w:pPr>
                          </w:p>
                          <w:p w14:paraId="4B9F284E" w14:textId="1F38163B" w:rsidR="00730B8F" w:rsidRDefault="00730B8F" w:rsidP="00CE3EFD">
                            <w:pPr>
                              <w:pStyle w:val="Caption"/>
                            </w:pPr>
                          </w:p>
                          <w:p w14:paraId="72B2A296" w14:textId="4646BBE0"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FB5A1" id="_x0000_s1040" type="#_x0000_t202" style="position:absolute;left:0;text-align:left;margin-left:373pt;margin-top:100.55pt;width:424.2pt;height:465.0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">
                <v:textbox>
                  <w:txbxContent>
                    <w:p w14:paraId="64B3B77C" w14:textId="77777777" w:rsidR="00730B8F" w:rsidRDefault="00730B8F" w:rsidP="00CE3EFD">
                      <w:pPr>
                        <w:keepNext/>
                      </w:pPr>
                      <w:r w:rsidRPr="006619F9">
                        <w:rPr>
                          <w:noProof/>
                        </w:rPr>
                        <w:drawing>
                          <wp:inline distT="0" distB="0" distL="0" distR="0" wp14:anchorId="348D450B" wp14:editId="290CD767">
                            <wp:extent cx="5195570" cy="4990465"/>
                            <wp:effectExtent l="0" t="0" r="0"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95570" cy="4990465"/>
                                    </a:xfrm>
                                    <a:prstGeom prst="rect">
                                      <a:avLst/>
                                    </a:prstGeom>
                                    <a:noFill/>
                                    <a:ln>
                                      <a:noFill/>
                                    </a:ln>
                                  </pic:spPr>
                                </pic:pic>
                              </a:graphicData>
                            </a:graphic>
                          </wp:inline>
                        </w:drawing>
                      </w:r>
                    </w:p>
                    <w:p w14:paraId="5D930EE6" w14:textId="74B8ACBA" w:rsidR="00730B8F" w:rsidRPr="00A85D33" w:rsidRDefault="00730B8F" w:rsidP="00A85D33">
                      <w:pPr>
                        <w:pStyle w:val="Caption"/>
                      </w:pPr>
                      <w:bookmarkStart w:id="123" w:name="_Ref38440024"/>
                      <w:bookmarkStart w:id="124" w:name="_Toc39868228"/>
                      <w:r>
                        <w:t xml:space="preserve">Figure </w:t>
                      </w:r>
                      <w:r w:rsidR="009425BE">
                        <w:fldChar w:fldCharType="begin"/>
                      </w:r>
                      <w:r w:rsidR="009425BE">
                        <w:instrText xml:space="preserve"> SEQ Figure \* ARABIC </w:instrText>
                      </w:r>
                      <w:r w:rsidR="009425BE">
                        <w:fldChar w:fldCharType="separate"/>
                      </w:r>
                      <w:r>
                        <w:rPr>
                          <w:noProof/>
                        </w:rPr>
                        <w:t>15</w:t>
                      </w:r>
                      <w:r w:rsidR="009425BE">
                        <w:rPr>
                          <w:noProof/>
                        </w:rPr>
                        <w:fldChar w:fldCharType="end"/>
                      </w:r>
                      <w:bookmarkEnd w:id="123"/>
                      <w:r>
                        <w:t xml:space="preserve">: </w:t>
                      </w:r>
                      <w:r w:rsidRPr="00A85D33">
                        <w:rPr>
                          <w:b w:val="0"/>
                          <w:bCs w:val="0"/>
                        </w:rPr>
                        <w:t>OSW-1 is a cytotoxic agent to monolayer ovarian cancer cells. A-D) Growth inhibition curves of Paclitaxel, OSW-1, and Cisplatin in four ovarian cell lines. E) Table of GI</w:t>
                      </w:r>
                      <w:r w:rsidRPr="00A85D33">
                        <w:rPr>
                          <w:b w:val="0"/>
                          <w:bCs w:val="0"/>
                          <w:vertAlign w:val="subscript"/>
                        </w:rPr>
                        <w:t>50</w:t>
                      </w:r>
                      <w:r w:rsidRPr="00A85D33">
                        <w:rPr>
                          <w:b w:val="0"/>
                          <w:bCs w:val="0"/>
                        </w:rPr>
                        <w:t xml:space="preserve"> values. Error shown as SD (n = 3).</w:t>
                      </w:r>
                      <w:bookmarkEnd w:id="124"/>
                      <w:r w:rsidRPr="00A85D33">
                        <w:t xml:space="preserve"> </w:t>
                      </w:r>
                    </w:p>
                    <w:p w14:paraId="6DAF7B3F" w14:textId="77777777" w:rsidR="00730B8F" w:rsidRPr="00A85D33" w:rsidRDefault="00730B8F" w:rsidP="00A85D33">
                      <w:pPr>
                        <w:pStyle w:val="Caption"/>
                      </w:pPr>
                    </w:p>
                    <w:p w14:paraId="00181D19" w14:textId="77777777" w:rsidR="00730B8F" w:rsidRDefault="00730B8F" w:rsidP="00CE3EFD">
                      <w:pPr>
                        <w:pStyle w:val="Caption"/>
                      </w:pPr>
                    </w:p>
                    <w:p w14:paraId="3820E947" w14:textId="77777777" w:rsidR="00730B8F" w:rsidRDefault="00730B8F"/>
                    <w:p w14:paraId="61A20E2D" w14:textId="77777777" w:rsidR="00730B8F" w:rsidRDefault="00730B8F"/>
                    <w:p w14:paraId="22A268E7" w14:textId="2106C378" w:rsidR="00730B8F" w:rsidRDefault="00730B8F" w:rsidP="00CE3EFD">
                      <w:pPr>
                        <w:keepNext/>
                      </w:pPr>
                      <w:r w:rsidRPr="006619F9">
                        <w:rPr>
                          <w:noProof/>
                        </w:rPr>
                        <w:drawing>
                          <wp:inline distT="0" distB="0" distL="0" distR="0" wp14:anchorId="348D450B" wp14:editId="290CD767">
                            <wp:extent cx="5195570" cy="4990465"/>
                            <wp:effectExtent l="0" t="0" r="0"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95570" cy="4990465"/>
                                    </a:xfrm>
                                    <a:prstGeom prst="rect">
                                      <a:avLst/>
                                    </a:prstGeom>
                                    <a:noFill/>
                                    <a:ln>
                                      <a:noFill/>
                                    </a:ln>
                                  </pic:spPr>
                                </pic:pic>
                              </a:graphicData>
                            </a:graphic>
                          </wp:inline>
                        </w:drawing>
                      </w:r>
                    </w:p>
                    <w:p w14:paraId="449590F8" w14:textId="629C0D40" w:rsidR="00730B8F" w:rsidRPr="00A85D33" w:rsidRDefault="00730B8F" w:rsidP="00A85D33">
                      <w:pPr>
                        <w:pStyle w:val="Caption"/>
                      </w:pPr>
                      <w:bookmarkStart w:id="125" w:name="_Ref37253829"/>
                      <w:r>
                        <w:t xml:space="preserve">Figure </w:t>
                      </w:r>
                      <w:r>
                        <w:fldChar w:fldCharType="begin"/>
                      </w:r>
                      <w:r>
                        <w:instrText xml:space="preserve">  \* ARABIC </w:instrText>
                      </w:r>
                      <w:r>
                        <w:fldChar w:fldCharType="separate"/>
                      </w:r>
                      <w:r>
                        <w:rPr>
                          <w:noProof/>
                        </w:rPr>
                        <w:t>18</w:t>
                      </w:r>
                      <w:r>
                        <w:rPr>
                          <w:noProof/>
                        </w:rPr>
                        <w:fldChar w:fldCharType="end"/>
                      </w:r>
                      <w:bookmarkEnd w:id="125"/>
                      <w:r>
                        <w:t xml:space="preserve">: </w:t>
                      </w:r>
                      <w:r w:rsidRPr="00A85D33">
                        <w:rPr>
                          <w:b w:val="0"/>
                          <w:bCs w:val="0"/>
                        </w:rPr>
                        <w:t>OSW-1 is a cytotoxic agent to monolayer ovarian cancer cells. A-D) Growth inhibition curves of Paclitaxel, OSW-1, and Cisplatin in four ovarian cell lines. E) Table of GI</w:t>
                      </w:r>
                      <w:r w:rsidRPr="00A85D33">
                        <w:rPr>
                          <w:b w:val="0"/>
                          <w:bCs w:val="0"/>
                          <w:vertAlign w:val="subscript"/>
                        </w:rPr>
                        <w:t>50</w:t>
                      </w:r>
                      <w:r w:rsidRPr="00A85D33">
                        <w:rPr>
                          <w:b w:val="0"/>
                          <w:bCs w:val="0"/>
                        </w:rPr>
                        <w:t xml:space="preserve"> values. Error shown as SD (n = 3).</w:t>
                      </w:r>
                      <w:r w:rsidRPr="00A85D33">
                        <w:t xml:space="preserve"> </w:t>
                      </w:r>
                    </w:p>
                    <w:p w14:paraId="38E75F19" w14:textId="77777777" w:rsidR="00730B8F" w:rsidRPr="00A85D33" w:rsidRDefault="00730B8F" w:rsidP="00A85D33">
                      <w:pPr>
                        <w:pStyle w:val="Caption"/>
                      </w:pPr>
                    </w:p>
                    <w:p w14:paraId="4B9F284E" w14:textId="1F38163B" w:rsidR="00730B8F" w:rsidRDefault="00730B8F" w:rsidP="00CE3EFD">
                      <w:pPr>
                        <w:pStyle w:val="Caption"/>
                      </w:pPr>
                    </w:p>
                    <w:p w14:paraId="72B2A296" w14:textId="4646BBE0" w:rsidR="00730B8F" w:rsidRDefault="00730B8F"/>
                  </w:txbxContent>
                </v:textbox>
                <w10:wrap type="square" anchorx="margin"/>
              </v:shape>
            </w:pict>
          </mc:Fallback>
        </mc:AlternateContent>
      </w:r>
      <w:r w:rsidRPr="00857842">
        <w:rPr>
          <w:rFonts w:cs="Arial"/>
          <w:bCs/>
          <w:iCs/>
        </w:rPr>
        <w:t xml:space="preserve">8 cell line starting at 1.0 nM </w:t>
      </w:r>
      <w:r w:rsidR="00503C70">
        <w:rPr>
          <w:rFonts w:cs="Arial"/>
          <w:bCs/>
          <w:iCs/>
        </w:rPr>
        <w:t>(</w:t>
      </w:r>
      <w:r w:rsidR="000F62B4">
        <w:rPr>
          <w:rFonts w:cs="Arial"/>
          <w:b/>
          <w:bCs/>
          <w:iCs/>
        </w:rPr>
        <w:fldChar w:fldCharType="begin"/>
      </w:r>
      <w:r w:rsidR="000F62B4">
        <w:rPr>
          <w:rFonts w:cs="Arial"/>
          <w:bCs/>
          <w:iCs/>
        </w:rPr>
        <w:instrText xml:space="preserve"> REF _Ref37256720 \h </w:instrText>
      </w:r>
      <w:r w:rsidR="000F62B4">
        <w:rPr>
          <w:rFonts w:cs="Arial"/>
          <w:b/>
          <w:bCs/>
          <w:iCs/>
        </w:rPr>
      </w:r>
      <w:r w:rsidR="000F62B4">
        <w:rPr>
          <w:rFonts w:cs="Arial"/>
          <w:b/>
          <w:bCs/>
          <w:iCs/>
        </w:rPr>
        <w:fldChar w:fldCharType="separate"/>
      </w:r>
      <w:r w:rsidR="000F62B4">
        <w:t xml:space="preserve">Figure </w:t>
      </w:r>
      <w:r w:rsidR="000F62B4">
        <w:rPr>
          <w:noProof/>
        </w:rPr>
        <w:t>18</w:t>
      </w:r>
      <w:r w:rsidR="000F62B4">
        <w:rPr>
          <w:rFonts w:cs="Arial"/>
          <w:b/>
          <w:bCs/>
          <w:iCs/>
        </w:rPr>
        <w:fldChar w:fldCharType="end"/>
      </w:r>
      <w:r w:rsidRPr="00857842">
        <w:rPr>
          <w:rFonts w:cs="Arial"/>
          <w:b/>
          <w:bCs/>
          <w:iCs/>
        </w:rPr>
        <w:t>)</w:t>
      </w:r>
      <w:r w:rsidRPr="00857842">
        <w:rPr>
          <w:rFonts w:cs="Arial"/>
          <w:bCs/>
          <w:iCs/>
        </w:rPr>
        <w:t xml:space="preserve">, however, it did not correlate with toxicity </w:t>
      </w:r>
      <w:r w:rsidR="00242945">
        <w:rPr>
          <w:rFonts w:cs="Arial"/>
          <w:bCs/>
          <w:iCs/>
        </w:rPr>
        <w:t>(</w:t>
      </w:r>
      <w:r w:rsidR="000F62B4" w:rsidRPr="000849BF">
        <w:rPr>
          <w:rFonts w:cs="Arial"/>
          <w:b/>
          <w:iCs/>
        </w:rPr>
        <w:fldChar w:fldCharType="begin"/>
      </w:r>
      <w:r w:rsidR="000F62B4" w:rsidRPr="000849BF">
        <w:rPr>
          <w:rFonts w:cs="Arial"/>
          <w:b/>
          <w:iCs/>
        </w:rPr>
        <w:instrText xml:space="preserve"> REF _Ref37253829 \h </w:instrText>
      </w:r>
      <w:r w:rsidR="00242945">
        <w:rPr>
          <w:rFonts w:cs="Arial"/>
          <w:b/>
          <w:iCs/>
        </w:rPr>
        <w:instrText xml:space="preserve"> \* MERGEFORMAT </w:instrText>
      </w:r>
      <w:r w:rsidR="000F62B4" w:rsidRPr="000849BF">
        <w:rPr>
          <w:rFonts w:cs="Arial"/>
          <w:b/>
          <w:iCs/>
        </w:rPr>
      </w:r>
      <w:r w:rsidR="000F62B4" w:rsidRPr="000849BF">
        <w:rPr>
          <w:rFonts w:cs="Arial"/>
          <w:b/>
          <w:iCs/>
        </w:rPr>
        <w:fldChar w:fldCharType="separate"/>
      </w:r>
      <w:r w:rsidR="000F62B4" w:rsidRPr="000849BF">
        <w:rPr>
          <w:b/>
        </w:rPr>
        <w:t xml:space="preserve">Figure </w:t>
      </w:r>
      <w:r w:rsidR="000F62B4" w:rsidRPr="000849BF">
        <w:rPr>
          <w:b/>
          <w:noProof/>
        </w:rPr>
        <w:t>15</w:t>
      </w:r>
      <w:r w:rsidR="000F62B4" w:rsidRPr="000849BF">
        <w:rPr>
          <w:rFonts w:cs="Arial"/>
          <w:b/>
          <w:iCs/>
        </w:rPr>
        <w:fldChar w:fldCharType="end"/>
      </w:r>
      <w:r w:rsidRPr="002A3B57">
        <w:rPr>
          <w:rFonts w:cs="Arial"/>
          <w:b/>
          <w:iCs/>
        </w:rPr>
        <w:t>,</w:t>
      </w:r>
      <w:r w:rsidR="00503C70" w:rsidRPr="000849BF">
        <w:rPr>
          <w:rFonts w:cs="Arial"/>
          <w:b/>
          <w:iCs/>
        </w:rPr>
        <w:t xml:space="preserve"> </w:t>
      </w:r>
      <w:r w:rsidR="000F62B4" w:rsidRPr="000849BF">
        <w:rPr>
          <w:rFonts w:cs="Arial"/>
          <w:b/>
          <w:iCs/>
        </w:rPr>
        <w:fldChar w:fldCharType="begin"/>
      </w:r>
      <w:r w:rsidR="000F62B4" w:rsidRPr="000849BF">
        <w:rPr>
          <w:rFonts w:cs="Arial"/>
          <w:b/>
          <w:iCs/>
        </w:rPr>
        <w:instrText xml:space="preserve"> REF _Ref37256720 \h </w:instrText>
      </w:r>
      <w:r w:rsidR="00242945">
        <w:rPr>
          <w:rFonts w:cs="Arial"/>
          <w:b/>
          <w:iCs/>
        </w:rPr>
        <w:instrText xml:space="preserve"> \* MERGEFORMAT </w:instrText>
      </w:r>
      <w:r w:rsidR="000F62B4" w:rsidRPr="000849BF">
        <w:rPr>
          <w:rFonts w:cs="Arial"/>
          <w:b/>
          <w:iCs/>
        </w:rPr>
      </w:r>
      <w:r w:rsidR="000F62B4" w:rsidRPr="000849BF">
        <w:rPr>
          <w:rFonts w:cs="Arial"/>
          <w:b/>
          <w:iCs/>
        </w:rPr>
        <w:fldChar w:fldCharType="separate"/>
      </w:r>
      <w:r w:rsidR="000F62B4" w:rsidRPr="000849BF">
        <w:rPr>
          <w:b/>
        </w:rPr>
        <w:t xml:space="preserve">Figure </w:t>
      </w:r>
      <w:r w:rsidR="000F62B4" w:rsidRPr="000849BF">
        <w:rPr>
          <w:b/>
          <w:noProof/>
        </w:rPr>
        <w:t>18</w:t>
      </w:r>
      <w:r w:rsidR="000F62B4" w:rsidRPr="000849BF">
        <w:rPr>
          <w:rFonts w:cs="Arial"/>
          <w:b/>
          <w:iCs/>
        </w:rPr>
        <w:fldChar w:fldCharType="end"/>
      </w:r>
      <w:r w:rsidRPr="00857842">
        <w:rPr>
          <w:rFonts w:cs="Arial"/>
          <w:b/>
          <w:bCs/>
          <w:iCs/>
        </w:rPr>
        <w:t>)</w:t>
      </w:r>
      <w:r w:rsidRPr="00857842">
        <w:rPr>
          <w:rFonts w:cs="Arial"/>
          <w:bCs/>
          <w:iCs/>
        </w:rPr>
        <w:t>. Furthermore, the OVSAHO cell line showed resistance to paclitaxel (GI</w:t>
      </w:r>
      <w:r w:rsidRPr="00857842">
        <w:rPr>
          <w:rFonts w:cs="Arial"/>
          <w:bCs/>
          <w:iCs/>
          <w:vertAlign w:val="subscript"/>
        </w:rPr>
        <w:t xml:space="preserve">50 </w:t>
      </w:r>
      <w:r w:rsidRPr="00857842">
        <w:rPr>
          <w:rFonts w:cs="Arial"/>
          <w:bCs/>
          <w:iCs/>
        </w:rPr>
        <w:t>N/Q) but was still sensitive to OSW-1 (GI</w:t>
      </w:r>
      <w:r w:rsidRPr="00857842">
        <w:rPr>
          <w:rFonts w:cs="Arial"/>
          <w:bCs/>
          <w:iCs/>
          <w:vertAlign w:val="subscript"/>
        </w:rPr>
        <w:t xml:space="preserve">50 </w:t>
      </w:r>
      <w:r w:rsidRPr="00857842">
        <w:rPr>
          <w:rFonts w:cs="Arial"/>
          <w:bCs/>
          <w:iCs/>
        </w:rPr>
        <w:t xml:space="preserve">1.8 nM). Together, these results suggest the OSW-1 is a potent, cytotoxic agent of ovarian cancer cells </w:t>
      </w:r>
      <w:r w:rsidRPr="00857842">
        <w:rPr>
          <w:rFonts w:cs="Arial"/>
          <w:bCs/>
          <w:i/>
          <w:iCs/>
        </w:rPr>
        <w:t>in vitro</w:t>
      </w:r>
      <w:r w:rsidRPr="00857842">
        <w:rPr>
          <w:rFonts w:cs="Arial"/>
          <w:bCs/>
          <w:iCs/>
        </w:rPr>
        <w:t>.</w:t>
      </w:r>
    </w:p>
    <w:p w14:paraId="1962CB6D" w14:textId="77777777" w:rsidR="000F62B4" w:rsidRDefault="000F62B4" w:rsidP="00F01888">
      <w:pPr>
        <w:ind w:firstLine="720"/>
        <w:jc w:val="both"/>
        <w:rPr>
          <w:rFonts w:cs="Arial"/>
          <w:b/>
          <w:i/>
        </w:rPr>
      </w:pPr>
    </w:p>
    <w:p w14:paraId="00B725BE" w14:textId="45E9DDE5" w:rsidR="00F01888" w:rsidRPr="00F01888" w:rsidRDefault="00F01888" w:rsidP="00F01888">
      <w:pPr>
        <w:pStyle w:val="Heading3"/>
      </w:pPr>
      <w:bookmarkStart w:id="126" w:name="_Toc39868181"/>
      <w:r w:rsidRPr="00F01888">
        <w:t>3.</w:t>
      </w:r>
      <w:r w:rsidR="00242945">
        <w:t>3</w:t>
      </w:r>
      <w:r w:rsidR="009F36E9">
        <w:t>.3</w:t>
      </w:r>
      <w:r w:rsidRPr="00F01888">
        <w:t xml:space="preserve"> Ovarian cancer cells produce in vitro spheroids.</w:t>
      </w:r>
      <w:bookmarkEnd w:id="126"/>
    </w:p>
    <w:p w14:paraId="46F054E4" w14:textId="4839B111" w:rsidR="00857842" w:rsidRPr="00857842" w:rsidRDefault="00857842" w:rsidP="00F01888">
      <w:pPr>
        <w:ind w:firstLine="720"/>
        <w:jc w:val="both"/>
        <w:rPr>
          <w:rFonts w:cs="Arial"/>
          <w:bCs/>
          <w:iCs/>
        </w:rPr>
      </w:pPr>
      <w:r w:rsidRPr="00857842">
        <w:rPr>
          <w:rFonts w:cs="Arial"/>
          <w:bCs/>
          <w:iCs/>
        </w:rPr>
        <w:t xml:space="preserve">3D tumor spheroids provide a better representation of </w:t>
      </w:r>
      <w:r w:rsidRPr="00857842">
        <w:rPr>
          <w:rFonts w:cs="Arial"/>
          <w:bCs/>
          <w:i/>
          <w:iCs/>
        </w:rPr>
        <w:t>in vivo</w:t>
      </w:r>
      <w:r w:rsidRPr="00857842">
        <w:rPr>
          <w:rFonts w:cs="Arial"/>
          <w:bCs/>
          <w:iCs/>
        </w:rPr>
        <w:t xml:space="preserve"> tumors compared to conventional 2D culture.</w:t>
      </w:r>
      <w:r w:rsidRPr="00857842">
        <w:rPr>
          <w:rFonts w:cs="Arial"/>
          <w:bCs/>
          <w:iCs/>
        </w:rPr>
        <w:fldChar w:fldCharType="begin" w:fldLock="1"/>
      </w:r>
      <w:r w:rsidR="000849BF">
        <w:rPr>
          <w:rFonts w:cs="Arial"/>
          <w:bCs/>
          <w:iCs/>
        </w:rPr>
        <w:instrText>ADDIN CSL_CITATION { "citationItems" : [ { "id" : "ITEM-1", "itemData" : { "DOI" : "10.1002/bit.26845", "ISSN" : "10970290", "abstract" : "Three-dimensional cell culture models, such as spheroids, can be used in the process of the development of new anticancer agents because they are able to closely mimic the main features of human solid tumors, namely their structural organization, cellular layered assembling, hypoxia, and nutrient gradients. These properties imprint to the spheroids an anticancer therapeutics resistance profile, which is similar to that displayed by human solid tumors. In this review, an overview of the drug resistance mechanisms observed in 3D tumor spheroids is provided. Furthermore, comparisons between the therapeutics resistance profile exhibited by spheroids, and 2D cell cultures are presented. Finally, examples of the therapeutic approaches that have been developed to surpass the drug resistance mechanisms exhibited by spheroids are described.", "author" : [ { "dropping-particle" : "", "family" : "Nunes", "given" : "Ana S.", "non-dropping-particle" : "", "parse-names" : false, "suffix" : "" }, { "dropping-particle" : "", "family" : "Barros", "given" : "Andreia S.", "non-dropping-particle" : "", "parse-names" : false, "suffix" : "" }, { "dropping-particle" : "", "family" : "Costa", "given" : "Elisabete C.", "non-dropping-particle" : "", "parse-names" : false, "suffix" : "" }, { "dropping-particle" : "", "family" : "Moreira", "given" : "Andr\u00e9 F.", "non-dropping-particle" : "", "parse-names" : false, "suffix" : "" }, { "dropping-particle" : "", "family" : "Correia", "given" : "Il\u00eddio J.", "non-dropping-particle" : "", "parse-names" : false, "suffix" : "" } ], "container-title" : "Biotechnology and Bioengineering", "id" : "ITEM-1", "issue" : "1", "issued" : { "date-parts" : [ [ "2019", "1", "1" ] ] }, "page" : "206-226", "publisher" : "John Wiley and Sons Inc.", "title" : "3D tumor spheroids as in vitro models to mimic in vivo human solid tumors resistance to therapeutic drugs", "type" : "article", "volume" : "116" }, "uris" : [ "http://www.mendeley.com/documents/?uuid=76258e7b-9ca0-3ecc-bbf9-f5be7c98e372" ] } ], "mendeley" : { "formattedCitation" : "&lt;sup&gt;124&lt;/sup&gt;", "plainTextFormattedCitation" : "124", "previouslyFormattedCitation" : "&lt;sup&gt;123&lt;/sup&gt;" }, "properties" : { "noteIndex" : 0 }, "schema" : "https://github.com/citation-style-language/schema/raw/master/csl-citation.json" }</w:instrText>
      </w:r>
      <w:r w:rsidRPr="00857842">
        <w:rPr>
          <w:rFonts w:cs="Arial"/>
          <w:bCs/>
          <w:iCs/>
        </w:rPr>
        <w:fldChar w:fldCharType="separate"/>
      </w:r>
      <w:r w:rsidR="000849BF" w:rsidRPr="000849BF">
        <w:rPr>
          <w:rFonts w:cs="Arial"/>
          <w:bCs/>
          <w:iCs/>
          <w:noProof/>
          <w:vertAlign w:val="superscript"/>
        </w:rPr>
        <w:t>124</w:t>
      </w:r>
      <w:r w:rsidRPr="00857842">
        <w:rPr>
          <w:rFonts w:cs="Arial"/>
          <w:bCs/>
          <w:iCs/>
        </w:rPr>
        <w:fldChar w:fldCharType="end"/>
      </w:r>
      <w:r w:rsidRPr="00857842">
        <w:rPr>
          <w:rFonts w:cs="Arial"/>
          <w:bCs/>
          <w:iCs/>
        </w:rPr>
        <w:t xml:space="preserve"> Spheroid formation occurs through aggregation of cells and has been developed by using different techniques; hanging drops</w:t>
      </w:r>
      <w:r w:rsidRPr="00857842">
        <w:rPr>
          <w:rFonts w:cs="Arial"/>
          <w:bCs/>
          <w:iCs/>
        </w:rPr>
        <w:fldChar w:fldCharType="begin" w:fldLock="1"/>
      </w:r>
      <w:r w:rsidR="000849BF">
        <w:rPr>
          <w:rFonts w:cs="Arial"/>
          <w:bCs/>
          <w:iCs/>
        </w:rPr>
        <w:instrText>ADDIN CSL_CITATION { "citationItems" : [ { "id" : "ITEM-1", "itemData" : { "DOI" : "10.1002/bit.10655", "ISSN" : "00063592", "PMID" : "12768623", "abstract" : "Multicellular tumor spheroids (MCTS) are used as organotypic models of normal and solid tumor tissue. Traditional techniques for generating MCTS, such as growth on nonadherent surfaces, in suspension, or on scaffolds, have a number of drawbacks, including the need for manual selection to achieve a homogeneous population and the use of nonphysiological matrix compounds. In this study we describe a mild method for the generation of MCTS, in which individual spheroids form in hanging drops suspended from a microtiter plate. The method has been successfully applied to a broad range of cell lines and shows nearly 100% efficiency (i.e., one spheroid per drop). Using the hepatoma cell line, HepG2, the hanging drop method generated well-rounded MCTS with a narrow size distribution (coefficient of variation [CV] 10% to 15%, compared with 40% to 60% for growth on nonadherent surfaces). Structural analysis of HepG2 and a mammary gland adenocarcinoma cell line, MCF-7, composed spheroids, revealed highly organized, three-dimensional, tissue-like structures with an extensive extracellular matrix. The hanging drop method represents an attractive alternative for MCTS production, because it is mild, can be applied to a wide variety of cell lines, and can produce spheroids of a homogeneous size without the need for sieving or manual selection. The method has applications for basic studies of physiology and metabolism, tumor biology, toxicology, cellular organization, and the development of bioartificial tissue. \u00a9 2003 Wiley Periodicals, Inc.", "author" : [ { "dropping-particle" : "", "family" : "Kelm", "given" : "Jens M.", "non-dropping-particle" : "", "parse-names" : false, "suffix" : "" }, { "dropping-particle" : "", "family" : "Timmins", "given" : "Nicholas E.", "non-dropping-particle" : "", "parse-names" : false, "suffix" : "" }, { "dropping-particle" : "", "family" : "Brown", "given" : "Catherine J.", "non-dropping-particle" : "", "parse-names" : false, "suffix" : "" }, { "dropping-particle" : "", "family" : "Fussenegger", "given" : "Martin", "non-dropping-particle" : "", "parse-names" : false, "suffix" : "" }, { "dropping-particle" : "", "family" : "Nielsen", "given" : "Lars K.", "non-dropping-particle" : "", "parse-names" : false, "suffix" : "" } ], "container-title" : "Biotechnology and Bioengineering", "id" : "ITEM-1", "issue" : "2", "issued" : { "date-parts" : [ [ "2003", "7", "20" ] ] }, "page" : "173-180", "title" : "Method for generation of homogeneous multicellular tumor spheroids applicable to a wide variety of cell types", "type" : "article-journal", "volume" : "83" }, "uris" : [ "http://www.mendeley.com/documents/?uuid=3f268981-1474-3a7e-99ec-dd6a6140b6d1" ] }, { "id" : "ITEM-2", "itemData" : { "DOI" : "10.1016/j.ygyno.2015.04.014", "ISSN" : "10956859", "abstract" : "Background Ovarian cancer grows and metastasizes from multicellular spheroidal aggregates within the ascites fluid. Multicellular tumor spheroids are therefore physiologically significant 3D in vitro models for ovarian cancer research. Conventional hanging drop cultures require high starting cell numbers, and are tedious for long-term maintenance. In this study, we generate stable, uniform multicellular spheroids using very small number of ovarian cancer cells in a novel 384 well hanging drop array platform. Methods We used novel tumor spheroid platform and two ovarian cancer cell lines (A2780 and OVCAR3) to demonstrate the stable incorporation of as few as 10 cells into a single spheroid. Results Spheroids had uniform geometry, with projected areas (42.60 \u00d7 103 \u03bcm-475.22 \u00d7 103 \u03bcm2 for A2780 spheroids and 37.24 \u00d7 103 \u03bcm2-281.01 \u00d7 103 \u03bcm2 for OVCAR3 spheroids) that varied as a function of the initial cell seeding density. Phalloidin and nuclear stains indicated cells formed tightly packed spheroids with demarcated boundaries and cell-cell interaction within spheroids. Cells within spheroids demonstrated over 85% viability. 3D tumor spheroids demonstrated greater resistance (70-80% viability) to cisplatin chemotherapy compared to 2D cultures (30-50% viability). Conclusions Ovarian cancer spheroids can be generated from limited cell numbers in high throughput 384 well plates with high viability. Spheroids demonstrate therapeutic resistance relative to cells in traditional 2D culture. Stable incorporation of low cell numbers is advantageous when translating this research to rare patient-derived cells. This system can be used to understand ovarian cancer spheroid biology, as well as carry out preclinical drug sensitivity assays.", "author" : [ { "dropping-particle" : "", "family" : "Raghavan", "given" : "Shreya", "non-dropping-particle" : "", "parse-names" : false, "suffix" : "" }, { "dropping-particle" : "", "family" : "Ward", "given" : "Maria R.", "non-dropping-particle" : "", "parse-names" : false, "suffix" : "" }, { "dropping-particle" : "", "family" : "Rowley", "given" : "Katelyn R.", "non-dropping-particle" : "", "parse-names" : false, "suffix" : "" }, { "dropping-particle" : "", "family" : "Wold", "given" : "Rachel M.", "non-dropping-particle" : "", "parse-names" : false, "suffix" : "" }, { "dropping-particle" : "", "family" : "Takayama", "given" : "Shuichi", "non-dropping-particle" : "", "parse-names" : false, "suffix" : "" }, { "dropping-particle" : "", "family" : "Buckanovich", "given" : "Ronald J.", "non-dropping-particle" : "", "parse-names" : false, "suffix" : "" }, { "dropping-particle" : "", "family" : "Mehta", "given" : "Geeta", "non-dropping-particle" : "", "parse-names" : false, "suffix" : "" } ], "container-title" : "Gynecologic Oncology", "id" : "ITEM-2", "issue" : "1", "issued" : { "date-parts" : [ [ "2015", "7", "1" ] ] }, "page" : "181-189", "publisher" : "Academic Press Inc.", "title" : "Formation of stable small cell number three-dimensional ovarian cancer spheroids using hanging drop arrays for preclinical drug sensitivity assays", "type" : "article-journal", "volume" : "138" }, "uris" : [ "http://www.mendeley.com/documents/?uuid=6c6f5ffd-add8-3b60-99d0-6578a06c18f2" ] } ], "mendeley" : { "formattedCitation" : "&lt;sup&gt;132,133&lt;/sup&gt;", "plainTextFormattedCitation" : "132,133", "previouslyFormattedCitation" : "&lt;sup&gt;131,132&lt;/sup&gt;" }, "properties" : { "noteIndex" : 0 }, "schema" : "https://github.com/citation-style-language/schema/raw/master/csl-citation.json" }</w:instrText>
      </w:r>
      <w:r w:rsidRPr="00857842">
        <w:rPr>
          <w:rFonts w:cs="Arial"/>
          <w:bCs/>
          <w:iCs/>
        </w:rPr>
        <w:fldChar w:fldCharType="separate"/>
      </w:r>
      <w:r w:rsidR="000849BF" w:rsidRPr="000849BF">
        <w:rPr>
          <w:rFonts w:cs="Arial"/>
          <w:bCs/>
          <w:iCs/>
          <w:noProof/>
          <w:vertAlign w:val="superscript"/>
        </w:rPr>
        <w:t>132,133</w:t>
      </w:r>
      <w:r w:rsidRPr="00857842">
        <w:rPr>
          <w:rFonts w:cs="Arial"/>
          <w:bCs/>
          <w:iCs/>
        </w:rPr>
        <w:fldChar w:fldCharType="end"/>
      </w:r>
      <w:r w:rsidRPr="00857842">
        <w:rPr>
          <w:rFonts w:cs="Arial"/>
          <w:bCs/>
          <w:iCs/>
        </w:rPr>
        <w:t>, ultra-low attachment</w:t>
      </w:r>
      <w:r w:rsidRPr="00857842">
        <w:rPr>
          <w:rFonts w:cs="Arial"/>
          <w:bCs/>
          <w:iCs/>
        </w:rPr>
        <w:fldChar w:fldCharType="begin" w:fldLock="1"/>
      </w:r>
      <w:r w:rsidR="000849BF">
        <w:rPr>
          <w:rFonts w:cs="Arial"/>
          <w:bCs/>
          <w:iCs/>
        </w:rPr>
        <w:instrText>ADDIN CSL_CITATION { "citationItems" : [ { "id" : "ITEM-1", "itemData" : { "DOI" : "10.1186/1741-7007-10-29", "ISSN" : "17417007", "PMID" : "22439642", "abstract" : "Background: There is overwhelming evidence that in vitro three-dimensional tumor cell cultures more accurately reflect the complex in vivo microenvironment than simple two-dimensional cell monolayers, not least with respect to gene expression profiles, signaling pathway activity and drug sensitivity. However, most currently available three-dimensional techniques are time consuming and/or lack reproducibility; thus standardized and rapid protocols are urgently needed.Results: To address this requirement, we have developed a versatile toolkit of reproducible three-dimensional tumor spheroid models for dynamic, automated, quantitative imaging and analysis that are compatible with routine high-throughput preclinical studies. Not only do these microplate methods measure three-dimensional tumor growth, but they have also been significantly enhanced to facilitate a range of functional assays exemplifying additional key hallmarks of cancer, namely cell motility and matrix invasion. Moreover, mutual tissue invasion and angiogenesis is accommodated by coculturing tumor spheroids with murine embryoid bodies within which angiogenic differentiation occurs. Highly malignant human tumor cells were selected to exemplify therapeutic effects of three specific molecularly-targeted agents: PI-103 (phosphatidylinositol-3-kinase (PI3K)-mammalian target of rapamycin (mTOR) inhibitor), 17-N-allylamino-17-demethoxygeldanamycin (17-AAG) (heat shock protein 90 (HSP90) inhibitor) and CCT130234 (in-house phospholipase C (PLC)\u03b3 inhibitor). Fully automated analysis using a Celigo cytometer was validated for tumor spheroid growth and invasion against standard image analysis techniques, with excellent reproducibility and significantly increased throughput. In addition, we discovered key differential sensitivities to targeted agents between two-dimensional and three-dimensional cultures, and also demonstrated enhanced potency of some agents against cell migration/invasion compared with proliferation, suggesting their preferential utility in metastatic disease.Conclusions: We have established and validated a suite of highly reproducible tumor microplate three-dimensional functional assays to enhance the biological relevance of early preclinical cancer studies. We believe these assays will increase the translational predictive value of in vitro drug evaluation studies and reduce the need for in vivo studies by more effective triaging of compounds. \u00a9 2012 Vinci et al; licensee BioMed Centr\u2026", "author" : [ { "dropping-particle" : "", "family" : "Vinci", "given" : "Maria", "non-dropping-particle" : "", "parse-names" : false, "suffix" : "" }, { "dropping-particle" : "", "family" : "Gowan", "given" : "Sharon", "non-dropping-particle" : "", "parse-names" : false, "suffix" : "" }, { "dropping-particle" : "", "family" : "Boxall", "given" : "Frances", "non-dropping-particle" : "", "parse-names" : false, "suffix" : "" }, { "dropping-particle" : "", "family" : "Patterson", "given" : "Lisa", "non-dropping-particle" : "", "parse-names" : false, "suffix" : "" }, { "dropping-particle" : "", "family" : "Zimmermann", "given" : "Miriam", "non-dropping-particle" : "", "parse-names" : false, "suffix" : "" }, { "dropping-particle" : "", "family" : "Court", "given" : "William", "non-dropping-particle" : "", "parse-names" : false, "suffix" : "" }, { "dropping-particle" : "", "family" : "Lomas", "given" : "Cara", "non-dropping-particle" : "", "parse-names" : false, "suffix" : "" }, { "dropping-particle" : "", "family" : "Mendiola", "given" : "Marta", "non-dropping-particle" : "", "parse-names" : false, "suffix" : "" }, { "dropping-particle" : "", "family" : "Hardisson", "given" : "David", "non-dropping-particle" : "", "parse-names" : false, "suffix" : "" }, { "dropping-particle" : "", "family" : "Eccles", "given" : "Suzanne A.", "non-dropping-particle" : "", "parse-names" : false, "suffix" : "" } ], "container-title" : "BMC Biology", "id" : "ITEM-1", "issue" : "1", "issued" : { "date-parts" : [ [ "2012", "3", "22" ] ] }, "page" : "29", "publisher" : "BioMed Central", "title" : "Advances in establishment and analysis of three-dimensional tumor spheroid-based functional assays for target validation and drug evaluation", "type" : "article-journal", "volume" : "10" }, "uris" : [ "http://www.mendeley.com/documents/?uuid=c38889d3-55a2-3eed-bc18-18b35564eb97" ] } ], "mendeley" : { "formattedCitation" : "&lt;sup&gt;134&lt;/sup&gt;", "plainTextFormattedCitation" : "134", "previouslyFormattedCitation" : "&lt;sup&gt;133&lt;/sup&gt;" }, "properties" : { "noteIndex" : 0 }, "schema" : "https://github.com/citation-style-language/schema/raw/master/csl-citation.json" }</w:instrText>
      </w:r>
      <w:r w:rsidRPr="00857842">
        <w:rPr>
          <w:rFonts w:cs="Arial"/>
          <w:bCs/>
          <w:iCs/>
        </w:rPr>
        <w:fldChar w:fldCharType="separate"/>
      </w:r>
      <w:r w:rsidR="000849BF" w:rsidRPr="000849BF">
        <w:rPr>
          <w:rFonts w:cs="Arial"/>
          <w:bCs/>
          <w:iCs/>
          <w:noProof/>
          <w:vertAlign w:val="superscript"/>
        </w:rPr>
        <w:t>134</w:t>
      </w:r>
      <w:r w:rsidRPr="00857842">
        <w:rPr>
          <w:rFonts w:cs="Arial"/>
          <w:bCs/>
          <w:iCs/>
        </w:rPr>
        <w:fldChar w:fldCharType="end"/>
      </w:r>
      <w:r w:rsidRPr="00857842">
        <w:rPr>
          <w:rFonts w:cs="Arial"/>
          <w:bCs/>
          <w:iCs/>
        </w:rPr>
        <w:t>, spinner flasks</w:t>
      </w:r>
      <w:r w:rsidRPr="00857842">
        <w:rPr>
          <w:rFonts w:cs="Arial"/>
          <w:bCs/>
          <w:iCs/>
        </w:rPr>
        <w:fldChar w:fldCharType="begin" w:fldLock="1"/>
      </w:r>
      <w:r w:rsidR="000849BF">
        <w:rPr>
          <w:rFonts w:cs="Arial"/>
          <w:bCs/>
          <w:iCs/>
        </w:rPr>
        <w:instrText>ADDIN CSL_CITATION { "citationItems" : [ { "id" : "ITEM-1", "itemData" : { "DOI" : "10.1096/fj.00-0350com", "ISSN" : "0892-6638", "abstract" : "Tumor vascularization is the rate-limiting step for the progression of cancer. Differential steps of tumor-induced angiogenesis were studied by a novel in vitro confrontation culture of avascular multicellular prostate tumor spheroids and embryoid bodies grown from pluripotent embryonic stem (ES) cells. Vascularization in embryoid bodies started on day 5 of cell culture and was paralleled by down-regulation of hypoxia-inducible factor 1 alpha (HIF-1 alpha) and vascular endothelial growth factor (VEGF). In parallel, a dissipation of gradients in the pericellular oxygen pressure was observed as measured by O(2)-sensitive microelectrodes. After 24--48 h of confrontation culture, cells positive for platelet endothelial cell adhesion molecule (PECAM-1) became visible in the contact region between the embryoid body and the tumor spheroid and sprouted within the confrontation cultures during subsequent days. Tumor-induced angiogenesis resulted in growth stimulation of tumor spheroids, disappearance of central necrosis and a reduction of the pericellular oxygen pressure. Furthermore, tumor vascularization resulted in elevated levels of HIF-1 alpha, VEGF, heat shock protein 27 (HSP27), and P-glycoprotein. Tumor-induced angiogenesis may augment the oxygen consumption in tumors resulting in an increased expression of hypoxia-related, proangiogenic genes as well as of HSP27 and P-glycoprotein, which are involved in a multidrug resistance phenotype.", "author" : [ { "dropping-particle" : "", "family" : "WARTENBERG", "given" : "MARIA", "non-dropping-particle" : "", "parse-names" : false, "suffix" : "" }, { "dropping-particle" : "", "family" : "D\u00d6NMEZ", "given" : "FATMA", "non-dropping-particle" : "", "parse-names" : false, "suffix" : "" }, { "dropping-particle" : "", "family" : "LING", "given" : "FREDERIKE C.", "non-dropping-particle" : "", "parse-names" : false, "suffix" : "" }, { "dropping-particle" : "", "family" : "ACKER", "given" : "HELMUT", "non-dropping-particle" : "", "parse-names" : false, "suffix" : "" }, { "dropping-particle" : "", "family" : "HESCHELER", "given" : "J\u00dcRGEN", "non-dropping-particle" : "", "parse-names" : false, "suffix" : "" }, { "dropping-particle" : "", "family" : "SAUER", "given" : "HEINRICH", "non-dropping-particle" : "", "parse-names" : false, "suffix" : "" } ], "container-title" : "The FASEB Journal", "id" : "ITEM-1", "issue" : "6", "issued" : { "date-parts" : [ [ "2001", "4" ] ] }, "page" : "995-1005", "publisher" : "FASEB", "title" : "Tumor-induced angiogenesis studied in confrontation cultures of multicellular tumor spheroids and embryoid bodies grown from pluripotent embryonic stem cells", "type" : "article-journal", "volume" : "15" }, "uris" : [ "http://www.mendeley.com/documents/?uuid=1bebb35c-8061-3a00-ac3c-12d1209f55d4" ] } ], "mendeley" : { "formattedCitation" : "&lt;sup&gt;135&lt;/sup&gt;", "plainTextFormattedCitation" : "135", "previouslyFormattedCitation" : "&lt;sup&gt;134&lt;/sup&gt;" }, "properties" : { "noteIndex" : 0 }, "schema" : "https://github.com/citation-style-language/schema/raw/master/csl-citation.json" }</w:instrText>
      </w:r>
      <w:r w:rsidRPr="00857842">
        <w:rPr>
          <w:rFonts w:cs="Arial"/>
          <w:bCs/>
          <w:iCs/>
        </w:rPr>
        <w:fldChar w:fldCharType="separate"/>
      </w:r>
      <w:r w:rsidR="000849BF" w:rsidRPr="000849BF">
        <w:rPr>
          <w:rFonts w:cs="Arial"/>
          <w:bCs/>
          <w:iCs/>
          <w:noProof/>
          <w:vertAlign w:val="superscript"/>
        </w:rPr>
        <w:t>135</w:t>
      </w:r>
      <w:r w:rsidRPr="00857842">
        <w:rPr>
          <w:rFonts w:cs="Arial"/>
          <w:bCs/>
          <w:iCs/>
        </w:rPr>
        <w:fldChar w:fldCharType="end"/>
      </w:r>
      <w:r w:rsidRPr="00857842">
        <w:rPr>
          <w:rFonts w:cs="Arial"/>
          <w:bCs/>
          <w:iCs/>
        </w:rPr>
        <w:t>, and agarose coating</w:t>
      </w:r>
      <w:r w:rsidRPr="00857842">
        <w:rPr>
          <w:rFonts w:cs="Arial"/>
          <w:bCs/>
          <w:iCs/>
        </w:rPr>
        <w:fldChar w:fldCharType="begin" w:fldLock="1"/>
      </w:r>
      <w:r w:rsidR="000849BF">
        <w:rPr>
          <w:rFonts w:cs="Arial"/>
          <w:bCs/>
          <w:iCs/>
        </w:rPr>
        <w:instrText>ADDIN CSL_CITATION { "citationItems" : [ { "id" : "ITEM-1", "itemData" : { "DOI" : "10.1038/nprot.2008.226", "ISSN" : "17542189", "PMID" : "19214182", "abstract" : "Although used in academic research for several decades, 3D culture models have long been regarded expensive, cumbersome and unnecessary in drug development processes. Technical advances, coupled with recent observations showing that gene expression in 3D is much closer to clinical expression profiles than those seen in 2D, have renewed attention and generated hope in the feasibility of maturing organotypic 3D systems to therapy test platforms with greater power to predict clinical efficacies. Here we describe a standardized setup for reproducible, easy-handling culture, treatment and routine analysis of multicellular spheroids, the classical 3D culture system resembling many aspects of the pathophysiological situation in human tumor tissue. We discuss essential conceptual and practical considerations for an adequate establishment and use of spheroid-based drug screening platforms and also provide a list of human carcinoma cell lines, partly on the basis of the NCI-DTP 60-cell line screen, that produce treatable spheroids under identical culture conditions. In contrast to many other settings with which to achieve similar results, the protocol is particularly useful to be integrated into standardized large-scale drug test routines as it requires a minimum number of defined spheroids and a limited amount of drug. The estimated time to run the complete screening protocol described herein - including spheroid initiation, drug treatment and determination of the analytical end points (spheroid integrity, and cell survival through the acid phosphatase assay) - is about 170 h. Monitoring of spheroid growth kinetics to determine growth delay and regrowth, respectively, after drug treatment requires long-term culturing (\u226514 d).", "author" : [ { "dropping-particle" : "", "family" : "Friedrich", "given" : "Juergen", "non-dropping-particle" : "", "parse-names" : false, "suffix" : "" }, { "dropping-particle" : "", "family" : "Seidel", "given" : "Claudia", "non-dropping-particle" : "", "parse-names" : false, "suffix" : "" }, { "dropping-particle" : "", "family" : "Ebner", "given" : "Reinhard", "non-dropping-particle" : "", "parse-names" : false, "suffix" : "" }, { "dropping-particle" : "", "family" : "Kunz-Schughart", "given" : "Leoni A.", "non-dropping-particle" : "", "parse-names" : false, "suffix" : "" } ], "container-title" : "Nature Protocols", "id" : "ITEM-1", "issue" : "3", "issued" : { "date-parts" : [ [ "2009" ] ] }, "page" : "309-324", "title" : "Spheroid-based drug screen: Considerations and practical approach", "type" : "article-journal", "volume" : "4" }, "uris" : [ "http://www.mendeley.com/documents/?uuid=acdb7cf6-1a1d-3d3b-8a0a-9a2e32c7d5e2" ] } ], "mendeley" : { "formattedCitation" : "&lt;sup&gt;136&lt;/sup&gt;", "plainTextFormattedCitation" : "136", "previouslyFormattedCitation" : "&lt;sup&gt;135&lt;/sup&gt;" }, "properties" : { "noteIndex" : 0 }, "schema" : "https://github.com/citation-style-language/schema/raw/master/csl-citation.json" }</w:instrText>
      </w:r>
      <w:r w:rsidRPr="00857842">
        <w:rPr>
          <w:rFonts w:cs="Arial"/>
          <w:bCs/>
          <w:iCs/>
        </w:rPr>
        <w:fldChar w:fldCharType="separate"/>
      </w:r>
      <w:r w:rsidR="000849BF" w:rsidRPr="000849BF">
        <w:rPr>
          <w:rFonts w:cs="Arial"/>
          <w:bCs/>
          <w:iCs/>
          <w:noProof/>
          <w:vertAlign w:val="superscript"/>
        </w:rPr>
        <w:t>136</w:t>
      </w:r>
      <w:r w:rsidRPr="00857842">
        <w:rPr>
          <w:rFonts w:cs="Arial"/>
          <w:bCs/>
          <w:iCs/>
        </w:rPr>
        <w:fldChar w:fldCharType="end"/>
      </w:r>
      <w:r w:rsidRPr="00857842">
        <w:rPr>
          <w:rFonts w:cs="Arial"/>
          <w:bCs/>
          <w:iCs/>
        </w:rPr>
        <w:t xml:space="preserve">. Even though each technique results in spheroid formation, </w:t>
      </w:r>
      <w:r w:rsidR="00236623">
        <w:rPr>
          <w:rFonts w:cs="Arial"/>
          <w:bCs/>
          <w:iCs/>
        </w:rPr>
        <w:t xml:space="preserve">the specific </w:t>
      </w:r>
      <w:r w:rsidRPr="00857842">
        <w:rPr>
          <w:rFonts w:cs="Arial"/>
          <w:bCs/>
          <w:iCs/>
        </w:rPr>
        <w:t>spheroid generation technique has been shown to influence drug toxicity</w:t>
      </w:r>
      <w:r w:rsidRPr="00857842">
        <w:rPr>
          <w:rFonts w:cs="Arial"/>
          <w:bCs/>
          <w:iCs/>
        </w:rPr>
        <w:fldChar w:fldCharType="begin" w:fldLock="1"/>
      </w:r>
      <w:r w:rsidR="000849BF">
        <w:rPr>
          <w:rFonts w:cs="Arial"/>
          <w:bCs/>
          <w:iCs/>
        </w:rPr>
        <w:instrText>ADDIN CSL_CITATION { "citationItems" : [ { "id" : "ITEM-1", "itemData" : { "DOI" : "10.18632/oncotarget.7659", "ISSN" : "19492553", "abstract" : "Multicellular tumor spheroids are powerful in vitro models to perform preclinical chemosensitivity assays. We compare different methodologies to generate tumor spheroids in terms of resultant spheroid morphology, cellular arrangement and chemosensitivity. We used two cancer cell lines (MCF7 and OVCAR8) to generate spheroids using i) hanging drop array plates; ii) liquid overlay on ultra-low attachment plates; iii) liquid overlay on ultra-low attachment plates with rotating mixing (nutator plates). Analysis of spheroid morphometry indicated that cellular compaction was increased in spheroids generated on nutator and hanging drop array plates. Collagen staining also indicated higher compaction and remodeling in tumor spheroids on nutator and hanging drop arrays compared to conventional liquid overlay. Consequently, spheroids generated on nutator or hanging drop plates had increased chemoresistance to cisplatin treatment (20-60% viability) compared to spheroids on ultra low attachment plates (10-20% viability).Lastly, we used a mathematical model to demonstrate minimal changes in oxygen and cisplatin diffusion within experimentally generated spheroids. Our results demonstrate that methods of tumor spheroid generation result in varied cellular arrangement and chemosensitivity.", "author" : [ { "dropping-particle" : "", "family" : "Raghavan", "given" : "Shreya", "non-dropping-particle" : "", "parse-names" : false, "suffix" : "" }, { "dropping-particle" : "", "family" : "Mehta", "given" : "Pooja", "non-dropping-particle" : "", "parse-names" : false, "suffix" : "" }, { "dropping-particle" : "", "family" : "Horst", "given" : "Eric N.", "non-dropping-particle" : "", "parse-names" : false, "suffix" : "" }, { "dropping-particle" : "", "family" : "Ward", "given" : "Maria R.", "non-dropping-particle" : "", "parse-names" : false, "suffix" : "" }, { "dropping-particle" : "", "family" : "Rowley", "given" : "Katelyn R.", "non-dropping-particle" : "", "parse-names" : false, "suffix" : "" }, { "dropping-particle" : "", "family" : "Mehta", "given" : "Geeta", "non-dropping-particle" : "", "parse-names" : false, "suffix" : "" } ], "container-title" : "Oncotarget", "id" : "ITEM-1", "issue" : "13", "issued" : { "date-parts" : [ [ "2016", "3", "29" ] ] }, "page" : "16948-16961", "publisher" : "Impact Journals LLC", "title" : "Comparative analysis of tumor spheroid generation techniques for differential in vitro drug toxicity", "type" : "article-journal", "volume" : "7" }, "uris" : [ "http://www.mendeley.com/documents/?uuid=68d34c5c-70b3-3d98-b474-5450e7ec4f67" ] } ], "mendeley" : { "formattedCitation" : "&lt;sup&gt;137&lt;/sup&gt;", "plainTextFormattedCitation" : "137", "previouslyFormattedCitation" : "&lt;sup&gt;136&lt;/sup&gt;" }, "properties" : { "noteIndex" : 0 }, "schema" : "https://github.com/citation-style-language/schema/raw/master/csl-citation.json" }</w:instrText>
      </w:r>
      <w:r w:rsidRPr="00857842">
        <w:rPr>
          <w:rFonts w:cs="Arial"/>
          <w:bCs/>
          <w:iCs/>
        </w:rPr>
        <w:fldChar w:fldCharType="separate"/>
      </w:r>
      <w:r w:rsidR="000849BF" w:rsidRPr="000849BF">
        <w:rPr>
          <w:rFonts w:cs="Arial"/>
          <w:bCs/>
          <w:iCs/>
          <w:noProof/>
          <w:vertAlign w:val="superscript"/>
        </w:rPr>
        <w:t>137</w:t>
      </w:r>
      <w:r w:rsidRPr="00857842">
        <w:rPr>
          <w:rFonts w:cs="Arial"/>
          <w:bCs/>
          <w:iCs/>
        </w:rPr>
        <w:fldChar w:fldCharType="end"/>
      </w:r>
      <w:r w:rsidRPr="00857842">
        <w:rPr>
          <w:rFonts w:cs="Arial"/>
          <w:bCs/>
          <w:iCs/>
        </w:rPr>
        <w:t>. OVCAR-8 and SKOV-3 spheroids were initiated with different cell numbers using the ultra-low attachment method and their growth for 7 days was monitored and their surface area was calculated by using ImageJ. OVSAHO and OVCAR-3 cells were unable to form compact spheroids using this method. Initial cell numbers for spheroid formation was selected to obtain similar sizes of spheroids at day 7. For both cell lines 5000, 10000, and 20000 cells were seeded on round bottom 96-well plates and monitored for their spheroid formation over 7 days. A total of 8 spheroids for each cell density seeding were analyzed for their surface area. OVCAR-8 spheroids initiated with 5,000 cells and SKOV-3 spheroids initiated with 20,000 cells resulted in similar sizes on day 7</w:t>
      </w:r>
      <w:r w:rsidR="00236623">
        <w:rPr>
          <w:rFonts w:cs="Arial"/>
          <w:bCs/>
          <w:iCs/>
        </w:rPr>
        <w:t xml:space="preserve">. </w:t>
      </w:r>
      <w:r w:rsidRPr="00857842">
        <w:rPr>
          <w:rFonts w:cs="Arial"/>
          <w:bCs/>
          <w:iCs/>
        </w:rPr>
        <w:t xml:space="preserve">Compared to SKOV-3 cells, OVCAR-8 cells aggregated within the first 24 h and formed spheroids even within 48 h. Additionally presence of FBS in the medium resulted in disruption of the spheroid formation around day 4 for SKOV-3 cells Previously, spheroid formation has been described in serum-free conditions. Therefore, SKOV-3 spheroids were initiated without the presence of FBS and within 4 days spheroids had clear boundaries </w:t>
      </w:r>
      <w:r w:rsidR="000F62B4" w:rsidRPr="000849BF">
        <w:rPr>
          <w:rFonts w:cs="Arial"/>
          <w:b/>
          <w:iCs/>
        </w:rPr>
        <w:t>(</w:t>
      </w:r>
      <w:r w:rsidR="000F62B4" w:rsidRPr="000849BF">
        <w:rPr>
          <w:rFonts w:cs="Arial"/>
          <w:b/>
          <w:iCs/>
        </w:rPr>
        <w:fldChar w:fldCharType="begin"/>
      </w:r>
      <w:r w:rsidR="000F62B4" w:rsidRPr="000849BF">
        <w:rPr>
          <w:rFonts w:cs="Arial"/>
          <w:b/>
          <w:iCs/>
        </w:rPr>
        <w:instrText xml:space="preserve"> REF _Ref37253911 \h </w:instrText>
      </w:r>
      <w:r w:rsidR="00242945">
        <w:rPr>
          <w:rFonts w:cs="Arial"/>
          <w:b/>
          <w:iCs/>
        </w:rPr>
        <w:instrText xml:space="preserve"> \* MERGEFORMAT </w:instrText>
      </w:r>
      <w:r w:rsidR="000F62B4" w:rsidRPr="000849BF">
        <w:rPr>
          <w:rFonts w:cs="Arial"/>
          <w:b/>
          <w:iCs/>
        </w:rPr>
      </w:r>
      <w:r w:rsidR="000F62B4" w:rsidRPr="000849BF">
        <w:rPr>
          <w:rFonts w:cs="Arial"/>
          <w:b/>
          <w:iCs/>
        </w:rPr>
        <w:fldChar w:fldCharType="separate"/>
      </w:r>
      <w:r w:rsidR="000F62B4" w:rsidRPr="000849BF">
        <w:rPr>
          <w:b/>
        </w:rPr>
        <w:t xml:space="preserve">Figure </w:t>
      </w:r>
      <w:r w:rsidR="000F62B4" w:rsidRPr="000849BF">
        <w:rPr>
          <w:b/>
          <w:noProof/>
        </w:rPr>
        <w:t>16</w:t>
      </w:r>
      <w:r w:rsidR="000F62B4" w:rsidRPr="000849BF">
        <w:rPr>
          <w:rFonts w:cs="Arial"/>
          <w:b/>
          <w:iCs/>
        </w:rPr>
        <w:fldChar w:fldCharType="end"/>
      </w:r>
      <w:r w:rsidRPr="00857842">
        <w:rPr>
          <w:rFonts w:cs="Arial"/>
          <w:b/>
          <w:bCs/>
          <w:iCs/>
        </w:rPr>
        <w:t>)</w:t>
      </w:r>
      <w:r w:rsidRPr="00857842">
        <w:rPr>
          <w:rFonts w:cs="Arial"/>
          <w:bCs/>
          <w:iCs/>
        </w:rPr>
        <w:t>.</w:t>
      </w:r>
    </w:p>
    <w:p w14:paraId="0CF58F44" w14:textId="15B07214" w:rsidR="00857842" w:rsidRPr="00857842" w:rsidRDefault="00A85D33" w:rsidP="00857842">
      <w:pPr>
        <w:ind w:firstLine="720"/>
        <w:jc w:val="both"/>
        <w:rPr>
          <w:rFonts w:cs="Arial"/>
          <w:bCs/>
          <w:iCs/>
        </w:rPr>
      </w:pPr>
      <w:r w:rsidRPr="00DB1487">
        <w:rPr>
          <w:rFonts w:cs="Arial"/>
          <w:noProof/>
        </w:rPr>
        <w:lastRenderedPageBreak/>
        <mc:AlternateContent>
          <mc:Choice Requires="wps">
            <w:drawing>
              <wp:anchor distT="45720" distB="45720" distL="114300" distR="114300" simplePos="0" relativeHeight="251664384" behindDoc="0" locked="0" layoutInCell="1" allowOverlap="1" wp14:anchorId="4043BF60" wp14:editId="72142FEA">
                <wp:simplePos x="0" y="0"/>
                <wp:positionH relativeFrom="margin">
                  <wp:align>left</wp:align>
                </wp:positionH>
                <wp:positionV relativeFrom="paragraph">
                  <wp:posOffset>1043974</wp:posOffset>
                </wp:positionV>
                <wp:extent cx="5385435" cy="5415280"/>
                <wp:effectExtent l="0" t="0" r="24765" b="1397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5435" cy="5415280"/>
                        </a:xfrm>
                        <a:prstGeom prst="rect">
                          <a:avLst/>
                        </a:prstGeom>
                        <a:solidFill>
                          <a:srgbClr val="FFFFFF"/>
                        </a:solidFill>
                        <a:ln w="9525">
                          <a:solidFill>
                            <a:srgbClr val="000000"/>
                          </a:solidFill>
                          <a:miter lim="800000"/>
                          <a:headEnd/>
                          <a:tailEnd/>
                        </a:ln>
                      </wps:spPr>
                      <wps:txbx>
                        <w:txbxContent>
                          <w:p w14:paraId="0CDCDE3C" w14:textId="77777777" w:rsidR="00730B8F" w:rsidRDefault="00730B8F" w:rsidP="006619F9">
                            <w:pPr>
                              <w:keepNext/>
                            </w:pPr>
                            <w:r w:rsidRPr="00DB1487">
                              <w:rPr>
                                <w:noProof/>
                              </w:rPr>
                              <w:drawing>
                                <wp:inline distT="0" distB="0" distL="0" distR="0" wp14:anchorId="787170E4" wp14:editId="15E975DC">
                                  <wp:extent cx="5193665" cy="4210685"/>
                                  <wp:effectExtent l="0" t="0" r="0"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93665" cy="4210685"/>
                                          </a:xfrm>
                                          <a:prstGeom prst="rect">
                                            <a:avLst/>
                                          </a:prstGeom>
                                          <a:noFill/>
                                          <a:ln>
                                            <a:noFill/>
                                          </a:ln>
                                        </pic:spPr>
                                      </pic:pic>
                                    </a:graphicData>
                                  </a:graphic>
                                </wp:inline>
                              </w:drawing>
                            </w:r>
                          </w:p>
                          <w:p w14:paraId="104653FB" w14:textId="17B5436B" w:rsidR="00730B8F" w:rsidRDefault="00730B8F" w:rsidP="006619F9">
                            <w:pPr>
                              <w:pStyle w:val="Caption"/>
                            </w:pPr>
                            <w:bookmarkStart w:id="127" w:name="_Toc39868229"/>
                            <w:r>
                              <w:t xml:space="preserve">Figure </w:t>
                            </w:r>
                            <w:r w:rsidR="009425BE">
                              <w:fldChar w:fldCharType="begin"/>
                            </w:r>
                            <w:r w:rsidR="009425BE">
                              <w:instrText xml:space="preserve"> SEQ Figure \* ARABIC </w:instrText>
                            </w:r>
                            <w:r w:rsidR="009425BE">
                              <w:fldChar w:fldCharType="separate"/>
                            </w:r>
                            <w:r>
                              <w:rPr>
                                <w:noProof/>
                              </w:rPr>
                              <w:t>16</w:t>
                            </w:r>
                            <w:r w:rsidR="009425BE">
                              <w:rPr>
                                <w:noProof/>
                              </w:rPr>
                              <w:fldChar w:fldCharType="end"/>
                            </w:r>
                            <w:r>
                              <w:t xml:space="preserve">: </w:t>
                            </w:r>
                            <w:r w:rsidRPr="007B57CA">
                              <w:rPr>
                                <w:b w:val="0"/>
                                <w:bCs w:val="0"/>
                              </w:rPr>
                              <w:t xml:space="preserve">OVCAR-8 and SKOV-3 ovarian cancer cells form spheroids </w:t>
                            </w:r>
                            <w:r w:rsidRPr="007B57CA">
                              <w:rPr>
                                <w:b w:val="0"/>
                                <w:bCs w:val="0"/>
                                <w:i/>
                                <w:iCs/>
                              </w:rPr>
                              <w:t>in vitro</w:t>
                            </w:r>
                            <w:r w:rsidRPr="007B57CA">
                              <w:rPr>
                                <w:b w:val="0"/>
                                <w:bCs w:val="0"/>
                              </w:rPr>
                              <w:t>. A.) Schematic of spheroid formation in ovarian cell lines. B.) OVCAR-8 and SKOV-3 spheroid development over 7 days. White bar represents 250 µM. C.) Quantification of spheroid size over 7 days.</w:t>
                            </w:r>
                            <w:bookmarkEnd w:id="127"/>
                          </w:p>
                          <w:p w14:paraId="75106FCA" w14:textId="77777777" w:rsidR="00730B8F" w:rsidRDefault="00730B8F"/>
                          <w:p w14:paraId="129D8DA6" w14:textId="77777777" w:rsidR="00730B8F" w:rsidRDefault="00730B8F"/>
                          <w:p w14:paraId="080F870E" w14:textId="414FD71F" w:rsidR="00730B8F" w:rsidRDefault="00730B8F" w:rsidP="006619F9">
                            <w:pPr>
                              <w:keepNext/>
                            </w:pPr>
                            <w:r w:rsidRPr="00DB1487">
                              <w:rPr>
                                <w:noProof/>
                              </w:rPr>
                              <w:drawing>
                                <wp:inline distT="0" distB="0" distL="0" distR="0" wp14:anchorId="787170E4" wp14:editId="15E975DC">
                                  <wp:extent cx="5193665" cy="4210685"/>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93665" cy="4210685"/>
                                          </a:xfrm>
                                          <a:prstGeom prst="rect">
                                            <a:avLst/>
                                          </a:prstGeom>
                                          <a:noFill/>
                                          <a:ln>
                                            <a:noFill/>
                                          </a:ln>
                                        </pic:spPr>
                                      </pic:pic>
                                    </a:graphicData>
                                  </a:graphic>
                                </wp:inline>
                              </w:drawing>
                            </w:r>
                          </w:p>
                          <w:p w14:paraId="56BCE1AD" w14:textId="62126891" w:rsidR="00730B8F" w:rsidRDefault="00730B8F" w:rsidP="006619F9">
                            <w:pPr>
                              <w:pStyle w:val="Caption"/>
                            </w:pPr>
                            <w:bookmarkStart w:id="128" w:name="_Ref37253911"/>
                            <w:r>
                              <w:t xml:space="preserve">Figure </w:t>
                            </w:r>
                            <w:r>
                              <w:fldChar w:fldCharType="begin"/>
                            </w:r>
                            <w:r>
                              <w:instrText xml:space="preserve">  \* ARABIC </w:instrText>
                            </w:r>
                            <w:r>
                              <w:fldChar w:fldCharType="separate"/>
                            </w:r>
                            <w:r>
                              <w:rPr>
                                <w:noProof/>
                              </w:rPr>
                              <w:t>20</w:t>
                            </w:r>
                            <w:r>
                              <w:rPr>
                                <w:noProof/>
                              </w:rPr>
                              <w:fldChar w:fldCharType="end"/>
                            </w:r>
                            <w:bookmarkEnd w:id="128"/>
                            <w:r>
                              <w:t xml:space="preserve">: </w:t>
                            </w:r>
                            <w:r w:rsidRPr="007B57CA">
                              <w:rPr>
                                <w:b w:val="0"/>
                                <w:bCs w:val="0"/>
                              </w:rPr>
                              <w:t xml:space="preserve">OVCAR-8 and SKOV-3 ovarian cancer cells form spheroids </w:t>
                            </w:r>
                            <w:r w:rsidRPr="007B57CA">
                              <w:rPr>
                                <w:b w:val="0"/>
                                <w:bCs w:val="0"/>
                                <w:i/>
                                <w:iCs/>
                              </w:rPr>
                              <w:t>in vitro</w:t>
                            </w:r>
                            <w:r w:rsidRPr="007B57CA">
                              <w:rPr>
                                <w:b w:val="0"/>
                                <w:bCs w:val="0"/>
                              </w:rPr>
                              <w:t>. A.) Schematic of spheroid formation in ovarian cell lines. B.) OVCAR-8 and SKOV-3 spheroid development over 7 days. White bar represents 250 µM. C.) Quantification of spheroid size over 7 days.</w:t>
                            </w:r>
                          </w:p>
                          <w:p w14:paraId="237B8A92" w14:textId="65870674"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3BF60" id="_x0000_s1041" type="#_x0000_t202" style="position:absolute;left:0;text-align:left;margin-left:0;margin-top:82.2pt;width:424.05pt;height:426.4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">
                <v:textbox>
                  <w:txbxContent>
                    <w:p w14:paraId="0CDCDE3C" w14:textId="77777777" w:rsidR="00730B8F" w:rsidRDefault="00730B8F" w:rsidP="006619F9">
                      <w:pPr>
                        <w:keepNext/>
                      </w:pPr>
                      <w:r w:rsidRPr="00DB1487">
                        <w:rPr>
                          <w:noProof/>
                        </w:rPr>
                        <w:drawing>
                          <wp:inline distT="0" distB="0" distL="0" distR="0" wp14:anchorId="787170E4" wp14:editId="15E975DC">
                            <wp:extent cx="5193665" cy="4210685"/>
                            <wp:effectExtent l="0" t="0" r="0"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93665" cy="4210685"/>
                                    </a:xfrm>
                                    <a:prstGeom prst="rect">
                                      <a:avLst/>
                                    </a:prstGeom>
                                    <a:noFill/>
                                    <a:ln>
                                      <a:noFill/>
                                    </a:ln>
                                  </pic:spPr>
                                </pic:pic>
                              </a:graphicData>
                            </a:graphic>
                          </wp:inline>
                        </w:drawing>
                      </w:r>
                    </w:p>
                    <w:p w14:paraId="104653FB" w14:textId="17B5436B" w:rsidR="00730B8F" w:rsidRDefault="00730B8F" w:rsidP="006619F9">
                      <w:pPr>
                        <w:pStyle w:val="Caption"/>
                      </w:pPr>
                      <w:bookmarkStart w:id="129" w:name="_Toc39868229"/>
                      <w:r>
                        <w:t xml:space="preserve">Figure </w:t>
                      </w:r>
                      <w:r w:rsidR="009425BE">
                        <w:fldChar w:fldCharType="begin"/>
                      </w:r>
                      <w:r w:rsidR="009425BE">
                        <w:instrText xml:space="preserve"> SEQ Figure \* ARABIC </w:instrText>
                      </w:r>
                      <w:r w:rsidR="009425BE">
                        <w:fldChar w:fldCharType="separate"/>
                      </w:r>
                      <w:r>
                        <w:rPr>
                          <w:noProof/>
                        </w:rPr>
                        <w:t>16</w:t>
                      </w:r>
                      <w:r w:rsidR="009425BE">
                        <w:rPr>
                          <w:noProof/>
                        </w:rPr>
                        <w:fldChar w:fldCharType="end"/>
                      </w:r>
                      <w:r>
                        <w:t xml:space="preserve">: </w:t>
                      </w:r>
                      <w:r w:rsidRPr="007B57CA">
                        <w:rPr>
                          <w:b w:val="0"/>
                          <w:bCs w:val="0"/>
                        </w:rPr>
                        <w:t xml:space="preserve">OVCAR-8 and SKOV-3 ovarian cancer cells form spheroids </w:t>
                      </w:r>
                      <w:r w:rsidRPr="007B57CA">
                        <w:rPr>
                          <w:b w:val="0"/>
                          <w:bCs w:val="0"/>
                          <w:i/>
                          <w:iCs/>
                        </w:rPr>
                        <w:t>in vitro</w:t>
                      </w:r>
                      <w:r w:rsidRPr="007B57CA">
                        <w:rPr>
                          <w:b w:val="0"/>
                          <w:bCs w:val="0"/>
                        </w:rPr>
                        <w:t>. A.) Schematic of spheroid formation in ovarian cell lines. B.) OVCAR-8 and SKOV-3 spheroid development over 7 days. White bar represents 250 µM. C.) Quantification of spheroid size over 7 days.</w:t>
                      </w:r>
                      <w:bookmarkEnd w:id="129"/>
                    </w:p>
                    <w:p w14:paraId="75106FCA" w14:textId="77777777" w:rsidR="00730B8F" w:rsidRDefault="00730B8F"/>
                    <w:p w14:paraId="129D8DA6" w14:textId="77777777" w:rsidR="00730B8F" w:rsidRDefault="00730B8F"/>
                    <w:p w14:paraId="080F870E" w14:textId="414FD71F" w:rsidR="00730B8F" w:rsidRDefault="00730B8F" w:rsidP="006619F9">
                      <w:pPr>
                        <w:keepNext/>
                      </w:pPr>
                      <w:r w:rsidRPr="00DB1487">
                        <w:rPr>
                          <w:noProof/>
                        </w:rPr>
                        <w:drawing>
                          <wp:inline distT="0" distB="0" distL="0" distR="0" wp14:anchorId="787170E4" wp14:editId="15E975DC">
                            <wp:extent cx="5193665" cy="4210685"/>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93665" cy="4210685"/>
                                    </a:xfrm>
                                    <a:prstGeom prst="rect">
                                      <a:avLst/>
                                    </a:prstGeom>
                                    <a:noFill/>
                                    <a:ln>
                                      <a:noFill/>
                                    </a:ln>
                                  </pic:spPr>
                                </pic:pic>
                              </a:graphicData>
                            </a:graphic>
                          </wp:inline>
                        </w:drawing>
                      </w:r>
                    </w:p>
                    <w:p w14:paraId="56BCE1AD" w14:textId="62126891" w:rsidR="00730B8F" w:rsidRDefault="00730B8F" w:rsidP="006619F9">
                      <w:pPr>
                        <w:pStyle w:val="Caption"/>
                      </w:pPr>
                      <w:bookmarkStart w:id="130" w:name="_Ref37253911"/>
                      <w:r>
                        <w:t xml:space="preserve">Figure </w:t>
                      </w:r>
                      <w:r>
                        <w:fldChar w:fldCharType="begin"/>
                      </w:r>
                      <w:r>
                        <w:instrText xml:space="preserve">  \* ARABIC </w:instrText>
                      </w:r>
                      <w:r>
                        <w:fldChar w:fldCharType="separate"/>
                      </w:r>
                      <w:r>
                        <w:rPr>
                          <w:noProof/>
                        </w:rPr>
                        <w:t>20</w:t>
                      </w:r>
                      <w:r>
                        <w:rPr>
                          <w:noProof/>
                        </w:rPr>
                        <w:fldChar w:fldCharType="end"/>
                      </w:r>
                      <w:bookmarkEnd w:id="130"/>
                      <w:r>
                        <w:t xml:space="preserve">: </w:t>
                      </w:r>
                      <w:r w:rsidRPr="007B57CA">
                        <w:rPr>
                          <w:b w:val="0"/>
                          <w:bCs w:val="0"/>
                        </w:rPr>
                        <w:t xml:space="preserve">OVCAR-8 and SKOV-3 ovarian cancer cells form spheroids </w:t>
                      </w:r>
                      <w:r w:rsidRPr="007B57CA">
                        <w:rPr>
                          <w:b w:val="0"/>
                          <w:bCs w:val="0"/>
                          <w:i/>
                          <w:iCs/>
                        </w:rPr>
                        <w:t>in vitro</w:t>
                      </w:r>
                      <w:r w:rsidRPr="007B57CA">
                        <w:rPr>
                          <w:b w:val="0"/>
                          <w:bCs w:val="0"/>
                        </w:rPr>
                        <w:t>. A.) Schematic of spheroid formation in ovarian cell lines. B.) OVCAR-8 and SKOV-3 spheroid development over 7 days. White bar represents 250 µM. C.) Quantification of spheroid size over 7 days.</w:t>
                      </w:r>
                    </w:p>
                    <w:p w14:paraId="237B8A92" w14:textId="65870674" w:rsidR="00730B8F" w:rsidRDefault="00730B8F"/>
                  </w:txbxContent>
                </v:textbox>
                <w10:wrap type="square" anchorx="margin"/>
              </v:shape>
            </w:pict>
          </mc:Fallback>
        </mc:AlternateContent>
      </w:r>
      <w:r w:rsidR="00857842" w:rsidRPr="00857842">
        <w:rPr>
          <w:rFonts w:cs="Arial"/>
          <w:bCs/>
          <w:iCs/>
        </w:rPr>
        <w:t xml:space="preserve">After obtaining the cell numbers resulting in similar spheroids size characterization of spheroids was carried out with these cell confluences. For 7 days, spheroids were characterized for their projected surface area </w:t>
      </w:r>
      <w:r w:rsidR="000F62B4">
        <w:rPr>
          <w:rFonts w:cs="Arial"/>
          <w:bCs/>
          <w:iCs/>
        </w:rPr>
        <w:t>(</w:t>
      </w:r>
      <w:r w:rsidR="000F62B4">
        <w:rPr>
          <w:rFonts w:cs="Arial"/>
          <w:b/>
          <w:bCs/>
          <w:iCs/>
        </w:rPr>
        <w:fldChar w:fldCharType="begin"/>
      </w:r>
      <w:r w:rsidR="000F62B4">
        <w:rPr>
          <w:rFonts w:cs="Arial"/>
          <w:bCs/>
          <w:iCs/>
        </w:rPr>
        <w:instrText xml:space="preserve"> REF _Ref37253911 \h </w:instrText>
      </w:r>
      <w:r w:rsidR="000F62B4">
        <w:rPr>
          <w:rFonts w:cs="Arial"/>
          <w:b/>
          <w:bCs/>
          <w:iCs/>
        </w:rPr>
      </w:r>
      <w:r w:rsidR="000F62B4">
        <w:rPr>
          <w:rFonts w:cs="Arial"/>
          <w:b/>
          <w:bCs/>
          <w:iCs/>
        </w:rPr>
        <w:fldChar w:fldCharType="separate"/>
      </w:r>
      <w:r w:rsidR="000F62B4">
        <w:t xml:space="preserve">Figure </w:t>
      </w:r>
      <w:r w:rsidR="000F62B4">
        <w:rPr>
          <w:noProof/>
        </w:rPr>
        <w:t>16</w:t>
      </w:r>
      <w:r w:rsidR="000F62B4">
        <w:rPr>
          <w:rFonts w:cs="Arial"/>
          <w:b/>
          <w:bCs/>
          <w:iCs/>
        </w:rPr>
        <w:fldChar w:fldCharType="end"/>
      </w:r>
      <w:r w:rsidR="00857842" w:rsidRPr="00857842">
        <w:rPr>
          <w:rFonts w:cs="Arial"/>
          <w:b/>
          <w:bCs/>
          <w:iCs/>
        </w:rPr>
        <w:t>)</w:t>
      </w:r>
      <w:r w:rsidR="00857842" w:rsidRPr="00857842">
        <w:rPr>
          <w:rFonts w:cs="Arial"/>
          <w:bCs/>
          <w:iCs/>
        </w:rPr>
        <w:t xml:space="preserve">. Circularity and solidity measurements were carried out on day 7 </w:t>
      </w:r>
      <w:r w:rsidR="000F62B4" w:rsidRPr="000849BF">
        <w:rPr>
          <w:rFonts w:cs="Arial"/>
          <w:b/>
          <w:iCs/>
        </w:rPr>
        <w:t>(</w:t>
      </w:r>
      <w:r w:rsidR="000F62B4" w:rsidRPr="000849BF">
        <w:rPr>
          <w:rFonts w:cs="Arial"/>
          <w:b/>
          <w:iCs/>
        </w:rPr>
        <w:fldChar w:fldCharType="begin"/>
      </w:r>
      <w:r w:rsidR="000F62B4" w:rsidRPr="000849BF">
        <w:rPr>
          <w:rFonts w:cs="Arial"/>
          <w:b/>
          <w:iCs/>
        </w:rPr>
        <w:instrText xml:space="preserve"> REF _Ref37253911 \h </w:instrText>
      </w:r>
      <w:r w:rsidR="00242945">
        <w:rPr>
          <w:rFonts w:cs="Arial"/>
          <w:b/>
          <w:iCs/>
        </w:rPr>
        <w:instrText xml:space="preserve"> \* MERGEFORMAT </w:instrText>
      </w:r>
      <w:r w:rsidR="000F62B4" w:rsidRPr="000849BF">
        <w:rPr>
          <w:rFonts w:cs="Arial"/>
          <w:b/>
          <w:iCs/>
        </w:rPr>
      </w:r>
      <w:r w:rsidR="000F62B4" w:rsidRPr="000849BF">
        <w:rPr>
          <w:rFonts w:cs="Arial"/>
          <w:b/>
          <w:iCs/>
        </w:rPr>
        <w:fldChar w:fldCharType="separate"/>
      </w:r>
      <w:r w:rsidR="000F62B4" w:rsidRPr="000849BF">
        <w:rPr>
          <w:b/>
        </w:rPr>
        <w:t xml:space="preserve">Figure </w:t>
      </w:r>
      <w:r w:rsidR="000F62B4" w:rsidRPr="000849BF">
        <w:rPr>
          <w:b/>
          <w:noProof/>
        </w:rPr>
        <w:t>16</w:t>
      </w:r>
      <w:r w:rsidR="000F62B4" w:rsidRPr="000849BF">
        <w:rPr>
          <w:rFonts w:cs="Arial"/>
          <w:b/>
          <w:iCs/>
        </w:rPr>
        <w:fldChar w:fldCharType="end"/>
      </w:r>
      <w:r w:rsidR="00857842" w:rsidRPr="00857842">
        <w:rPr>
          <w:rFonts w:cs="Arial"/>
          <w:b/>
          <w:bCs/>
          <w:iCs/>
        </w:rPr>
        <w:t>)</w:t>
      </w:r>
      <w:r w:rsidR="00857842" w:rsidRPr="00857842">
        <w:rPr>
          <w:rFonts w:cs="Arial"/>
          <w:bCs/>
          <w:iCs/>
        </w:rPr>
        <w:t xml:space="preserve">. OVCAR-8 spheroids increase in size over the course of 7 days and had clear boundaries around day 2, while SKOV-3 cells formed spheroid boundaries around day 4 and did not increase in size due to lack of FBS in the media </w:t>
      </w:r>
      <w:r w:rsidR="00B63FA6">
        <w:rPr>
          <w:rFonts w:cs="Arial"/>
          <w:bCs/>
          <w:iCs/>
        </w:rPr>
        <w:t>(</w:t>
      </w:r>
      <w:r w:rsidR="000F62B4">
        <w:rPr>
          <w:rFonts w:cs="Arial"/>
          <w:b/>
          <w:bCs/>
          <w:iCs/>
        </w:rPr>
        <w:fldChar w:fldCharType="begin"/>
      </w:r>
      <w:r w:rsidR="000F62B4">
        <w:rPr>
          <w:rFonts w:cs="Arial"/>
          <w:bCs/>
          <w:iCs/>
        </w:rPr>
        <w:instrText xml:space="preserve"> REF _Ref37253911 \h </w:instrText>
      </w:r>
      <w:r w:rsidR="000F62B4">
        <w:rPr>
          <w:rFonts w:cs="Arial"/>
          <w:b/>
          <w:bCs/>
          <w:iCs/>
        </w:rPr>
      </w:r>
      <w:r w:rsidR="000F62B4">
        <w:rPr>
          <w:rFonts w:cs="Arial"/>
          <w:b/>
          <w:bCs/>
          <w:iCs/>
        </w:rPr>
        <w:fldChar w:fldCharType="separate"/>
      </w:r>
      <w:r w:rsidR="000F62B4">
        <w:t xml:space="preserve">Figure </w:t>
      </w:r>
      <w:r w:rsidR="000F62B4">
        <w:rPr>
          <w:noProof/>
        </w:rPr>
        <w:t>16</w:t>
      </w:r>
      <w:r w:rsidR="000F62B4">
        <w:rPr>
          <w:rFonts w:cs="Arial"/>
          <w:b/>
          <w:bCs/>
          <w:iCs/>
        </w:rPr>
        <w:fldChar w:fldCharType="end"/>
      </w:r>
      <w:r w:rsidR="00857842" w:rsidRPr="00857842">
        <w:rPr>
          <w:rFonts w:cs="Arial"/>
          <w:b/>
          <w:bCs/>
          <w:iCs/>
        </w:rPr>
        <w:t>)</w:t>
      </w:r>
      <w:r w:rsidR="00857842" w:rsidRPr="00857842">
        <w:rPr>
          <w:rFonts w:cs="Arial"/>
          <w:bCs/>
          <w:iCs/>
        </w:rPr>
        <w:t>. Both spheroids had circularity more than 0.9 and had solidity more than 0.95 indicating the formation of dense and circular spheroids.</w:t>
      </w:r>
      <w:r w:rsidR="00857842" w:rsidRPr="00857842">
        <w:rPr>
          <w:rFonts w:cs="Arial"/>
          <w:bCs/>
          <w:iCs/>
        </w:rPr>
        <w:fldChar w:fldCharType="begin" w:fldLock="1"/>
      </w:r>
      <w:r w:rsidR="000849BF">
        <w:rPr>
          <w:rFonts w:cs="Arial"/>
          <w:bCs/>
          <w:iCs/>
        </w:rPr>
        <w:instrText>ADDIN CSL_CITATION { "citationItems" : [ { "id" : "ITEM-1", "itemData" : { "DOI" : "10.3389/fphys.2017.00605", "ISSN" : "1664042X", "abstract" : "Introduction: Cell-based assays using three-dimensional (3D) cell cultures may reflect the antitumor activity of compounds more accurately, since these models reproduce the tumor microenvironment better. Methods: Here, we report a comparative analysis of cell behavior in the two most widely employed methods for 3D spheroid culture, forced floating (Ultra-low Attachment, ULA, plates), and hanging drop (HD) methods, using the RT4 human bladder cancer cell line as a model. The morphology parameters and growth/metabolism of the spheroids generated were first characterized, using four different cell-seeding concentrations (0.5, 1.25, 2.5, and 3.75 \u00d7 104 cells/mL), and then, subjected to drug resistance evaluation. Results: Both methods generated spheroids with a smooth surface and round shape in a spheroidization time of about 48 h, regardless of the cell-seeding concentration used. Reduced cell growth and metabolism was observed in 3D cultures compared to two-dimensional (2D) cultures. The optimal range of spheroid diameter (300-500 \u03bcm) was obtained using cultures initiated with 0.5 and 1.25 \u00d7 104 cells/mL for the ULA method and 2.5 and 3.75 \u00d7 104 cells/mL for the HD method. RT4 cells cultured under 3D conditions also exhibited a higher resistance to doxorubicin (IC50 of 1.00 and 0.83 \u03bcg/mL for the ULA and HDmethods, respectively) compared to 2D cultures (IC50 ranging from 0.39 to 0.43). Conclusions: Comparing the results, we concluded that the forced floating method using ULA plates was considered more suitable and straightforward to generate RT4 spheroids for drug screening/cytotoxicity assays. The results presented here also contribute to the improvement in the standardization of the 3D cultures required for widespread application.", "author" : [ { "dropping-particle" : "", "family" : "Amaral", "given" : "Robson L.F.", "non-dropping-particle" : "", "parse-names" : false, "suffix" : "" }, { "dropping-particle" : "", "family" : "Miranda", "given" : "Mariza", "non-dropping-particle" : "", "parse-names" : false, "suffix" : "" }, { "dropping-particle" : "", "family" : "Marcato", "given" : "Priscyla D.", "non-dropping-particle" : "", "parse-names" : false, "suffix" : "" }, { "dropping-particle" : "", "family" : "Swiech", "given" : "Kamilla", "non-dropping-particle" : "", "parse-names" : false, "suffix" : "" } ], "container-title" : "Frontiers in Physiology", "id" : "ITEM-1", "issue" : "AUG", "issued" : { "date-parts" : [ [ "2017", "8", "22" ] ] }, "publisher" : "Frontiers Media S.A.", "title" : "Comparative analysis of 3D bladder tumor spheroids obtained by forced floating and hanging drop methods for drug screening", "type" : "article-journal", "volume" : "8" }, "uris" : [ "http://www.mendeley.com/documents/?uuid=a2908b75-67ff-302a-917b-734ac647df08" ] } ], "mendeley" : { "formattedCitation" : "&lt;sup&gt;138&lt;/sup&gt;", "plainTextFormattedCitation" : "138", "previouslyFormattedCitation" : "&lt;sup&gt;137&lt;/sup&gt;" }, "properties" : { "noteIndex" : 0 }, "schema" : "https://github.com/citation-style-language/schema/raw/master/csl-citation.json" }</w:instrText>
      </w:r>
      <w:r w:rsidR="00857842" w:rsidRPr="00857842">
        <w:rPr>
          <w:rFonts w:cs="Arial"/>
          <w:bCs/>
          <w:iCs/>
        </w:rPr>
        <w:fldChar w:fldCharType="separate"/>
      </w:r>
      <w:r w:rsidR="000849BF" w:rsidRPr="000849BF">
        <w:rPr>
          <w:rFonts w:cs="Arial"/>
          <w:bCs/>
          <w:iCs/>
          <w:noProof/>
          <w:vertAlign w:val="superscript"/>
        </w:rPr>
        <w:t>138</w:t>
      </w:r>
      <w:r w:rsidR="00857842" w:rsidRPr="00857842">
        <w:rPr>
          <w:rFonts w:cs="Arial"/>
          <w:bCs/>
          <w:iCs/>
        </w:rPr>
        <w:fldChar w:fldCharType="end"/>
      </w:r>
      <w:r w:rsidR="00857842" w:rsidRPr="00857842">
        <w:rPr>
          <w:rFonts w:cs="Arial"/>
          <w:bCs/>
          <w:iCs/>
        </w:rPr>
        <w:t xml:space="preserve"> </w:t>
      </w:r>
    </w:p>
    <w:p w14:paraId="12014294" w14:textId="34D67829" w:rsidR="0086443F" w:rsidRPr="007B57CA" w:rsidRDefault="007B57CA" w:rsidP="00E14F5C">
      <w:pPr>
        <w:jc w:val="both"/>
        <w:rPr>
          <w:rFonts w:cs="Arial"/>
          <w:bCs/>
          <w:iCs/>
        </w:rPr>
      </w:pPr>
      <w:r w:rsidRPr="0023490E">
        <w:rPr>
          <w:rFonts w:cs="Arial"/>
          <w:noProof/>
        </w:rPr>
        <w:lastRenderedPageBreak/>
        <mc:AlternateContent>
          <mc:Choice Requires="wps">
            <w:drawing>
              <wp:anchor distT="45720" distB="45720" distL="114300" distR="114300" simplePos="0" relativeHeight="251667456" behindDoc="0" locked="0" layoutInCell="1" allowOverlap="1" wp14:anchorId="1B820E4F" wp14:editId="03F234F0">
                <wp:simplePos x="0" y="0"/>
                <wp:positionH relativeFrom="margin">
                  <wp:align>right</wp:align>
                </wp:positionH>
                <wp:positionV relativeFrom="paragraph">
                  <wp:posOffset>429</wp:posOffset>
                </wp:positionV>
                <wp:extent cx="5379720" cy="5795010"/>
                <wp:effectExtent l="0" t="0" r="11430" b="15240"/>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5795319"/>
                        </a:xfrm>
                        <a:prstGeom prst="rect">
                          <a:avLst/>
                        </a:prstGeom>
                        <a:solidFill>
                          <a:srgbClr val="FFFFFF"/>
                        </a:solidFill>
                        <a:ln w="9525">
                          <a:solidFill>
                            <a:srgbClr val="000000"/>
                          </a:solidFill>
                          <a:miter lim="800000"/>
                          <a:headEnd/>
                          <a:tailEnd/>
                        </a:ln>
                      </wps:spPr>
                      <wps:txbx>
                        <w:txbxContent>
                          <w:p w14:paraId="291C86F0" w14:textId="77777777" w:rsidR="00730B8F" w:rsidRDefault="00730B8F" w:rsidP="007B57CA">
                            <w:pPr>
                              <w:keepNext/>
                            </w:pPr>
                            <w:r w:rsidRPr="0023490E">
                              <w:rPr>
                                <w:noProof/>
                              </w:rPr>
                              <w:drawing>
                                <wp:inline distT="0" distB="0" distL="0" distR="0" wp14:anchorId="5784C194" wp14:editId="2F253DC5">
                                  <wp:extent cx="5187950" cy="4469108"/>
                                  <wp:effectExtent l="0" t="0" r="0"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5187950" cy="4469108"/>
                                          </a:xfrm>
                                          <a:prstGeom prst="rect">
                                            <a:avLst/>
                                          </a:prstGeom>
                                          <a:noFill/>
                                          <a:ln>
                                            <a:noFill/>
                                          </a:ln>
                                        </pic:spPr>
                                      </pic:pic>
                                    </a:graphicData>
                                  </a:graphic>
                                </wp:inline>
                              </w:drawing>
                            </w:r>
                          </w:p>
                          <w:p w14:paraId="46717E34" w14:textId="77427430" w:rsidR="00730B8F" w:rsidRDefault="00730B8F" w:rsidP="007B57CA">
                            <w:pPr>
                              <w:pStyle w:val="Caption"/>
                            </w:pPr>
                            <w:bookmarkStart w:id="131" w:name="_Ref38440026"/>
                            <w:bookmarkStart w:id="132" w:name="_Toc39868230"/>
                            <w:r>
                              <w:t xml:space="preserve">Figure </w:t>
                            </w:r>
                            <w:r w:rsidR="009425BE">
                              <w:fldChar w:fldCharType="begin"/>
                            </w:r>
                            <w:r w:rsidR="009425BE">
                              <w:instrText xml:space="preserve"> SEQ Figure \* ARABIC </w:instrText>
                            </w:r>
                            <w:r w:rsidR="009425BE">
                              <w:fldChar w:fldCharType="separate"/>
                            </w:r>
                            <w:r>
                              <w:rPr>
                                <w:noProof/>
                              </w:rPr>
                              <w:t>17</w:t>
                            </w:r>
                            <w:r w:rsidR="009425BE">
                              <w:rPr>
                                <w:noProof/>
                              </w:rPr>
                              <w:fldChar w:fldCharType="end"/>
                            </w:r>
                            <w:bookmarkEnd w:id="131"/>
                            <w:r>
                              <w:t xml:space="preserve">: </w:t>
                            </w:r>
                            <w:r w:rsidRPr="00EF2748">
                              <w:rPr>
                                <w:b w:val="0"/>
                                <w:bCs w:val="0"/>
                              </w:rPr>
                              <w:t xml:space="preserve">The OSW-1 compound is potent, cytotoxic agent to </w:t>
                            </w:r>
                            <w:r w:rsidRPr="00EF2748">
                              <w:rPr>
                                <w:b w:val="0"/>
                                <w:bCs w:val="0"/>
                                <w:i/>
                                <w:iCs/>
                              </w:rPr>
                              <w:t xml:space="preserve">in vitro </w:t>
                            </w:r>
                            <w:r w:rsidRPr="00EF2748">
                              <w:rPr>
                                <w:b w:val="0"/>
                                <w:bCs w:val="0"/>
                              </w:rPr>
                              <w:t>generated ovarian cancer spheroids. A.) OVCAR-8 spheroid images at 72 h post treatment. B.) SKOV-3 spheroid images at 72 h post treatment. C.) OVCAR-8 spheroid toxicity quantification relative to control using Cell-Titer Glo. (n = 3). D.) SKOV-3 spheroid toxicity quantification. (n =3).</w:t>
                            </w:r>
                            <w:bookmarkEnd w:id="132"/>
                          </w:p>
                          <w:p w14:paraId="0B0362A4" w14:textId="77777777" w:rsidR="00730B8F" w:rsidRDefault="00730B8F"/>
                          <w:p w14:paraId="1BEBE793" w14:textId="77777777" w:rsidR="00730B8F" w:rsidRDefault="00730B8F"/>
                          <w:p w14:paraId="5C2DB8E2" w14:textId="441FBC82" w:rsidR="00730B8F" w:rsidRDefault="00730B8F" w:rsidP="007B57CA">
                            <w:pPr>
                              <w:keepNext/>
                            </w:pPr>
                            <w:r w:rsidRPr="0023490E">
                              <w:rPr>
                                <w:noProof/>
                              </w:rPr>
                              <w:drawing>
                                <wp:inline distT="0" distB="0" distL="0" distR="0" wp14:anchorId="5784C194" wp14:editId="2F253DC5">
                                  <wp:extent cx="5187950" cy="4469108"/>
                                  <wp:effectExtent l="0" t="0" r="0"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5187950" cy="4469108"/>
                                          </a:xfrm>
                                          <a:prstGeom prst="rect">
                                            <a:avLst/>
                                          </a:prstGeom>
                                          <a:noFill/>
                                          <a:ln>
                                            <a:noFill/>
                                          </a:ln>
                                        </pic:spPr>
                                      </pic:pic>
                                    </a:graphicData>
                                  </a:graphic>
                                </wp:inline>
                              </w:drawing>
                            </w:r>
                          </w:p>
                          <w:p w14:paraId="611A952F" w14:textId="77EC30AE" w:rsidR="00730B8F" w:rsidRDefault="00730B8F" w:rsidP="007B57CA">
                            <w:pPr>
                              <w:pStyle w:val="Caption"/>
                            </w:pPr>
                            <w:bookmarkStart w:id="133" w:name="_Ref37253983"/>
                            <w:r>
                              <w:t xml:space="preserve">Figure </w:t>
                            </w:r>
                            <w:r>
                              <w:fldChar w:fldCharType="begin"/>
                            </w:r>
                            <w:r>
                              <w:instrText xml:space="preserve">  \* ARABIC </w:instrText>
                            </w:r>
                            <w:r>
                              <w:fldChar w:fldCharType="separate"/>
                            </w:r>
                            <w:r>
                              <w:rPr>
                                <w:noProof/>
                              </w:rPr>
                              <w:t>22</w:t>
                            </w:r>
                            <w:r>
                              <w:rPr>
                                <w:noProof/>
                              </w:rPr>
                              <w:fldChar w:fldCharType="end"/>
                            </w:r>
                            <w:bookmarkEnd w:id="133"/>
                            <w:r>
                              <w:t xml:space="preserve">: </w:t>
                            </w:r>
                            <w:r w:rsidRPr="00EF2748">
                              <w:rPr>
                                <w:b w:val="0"/>
                                <w:bCs w:val="0"/>
                              </w:rPr>
                              <w:t xml:space="preserve">The OSW-1 compound is potent, cytotoxic agent to </w:t>
                            </w:r>
                            <w:r w:rsidRPr="00EF2748">
                              <w:rPr>
                                <w:b w:val="0"/>
                                <w:bCs w:val="0"/>
                                <w:i/>
                                <w:iCs/>
                              </w:rPr>
                              <w:t xml:space="preserve">in vitro </w:t>
                            </w:r>
                            <w:r w:rsidRPr="00EF2748">
                              <w:rPr>
                                <w:b w:val="0"/>
                                <w:bCs w:val="0"/>
                              </w:rPr>
                              <w:t>generated ovarian cancer spheroids. A.) OVCAR-8 spheroid images at 72 h post treatment. B.) SKOV-3 spheroid images at 72 h post treatment. C.) OVCAR-8 spheroid toxicity quantification relative to control using Cell-Titer Glo. (n = 3). D.) SKOV-3 spheroid toxicity quantification. (n =3).</w:t>
                            </w:r>
                          </w:p>
                          <w:p w14:paraId="6CEA7C29" w14:textId="65006BA0"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20E4F" id="_x0000_s1042" type="#_x0000_t202" style="position:absolute;left:0;text-align:left;margin-left:372.4pt;margin-top:.05pt;width:423.6pt;height:456.3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">
                <v:textbox>
                  <w:txbxContent>
                    <w:p w14:paraId="291C86F0" w14:textId="77777777" w:rsidR="00730B8F" w:rsidRDefault="00730B8F" w:rsidP="007B57CA">
                      <w:pPr>
                        <w:keepNext/>
                      </w:pPr>
                      <w:r w:rsidRPr="0023490E">
                        <w:rPr>
                          <w:noProof/>
                        </w:rPr>
                        <w:drawing>
                          <wp:inline distT="0" distB="0" distL="0" distR="0" wp14:anchorId="5784C194" wp14:editId="2F253DC5">
                            <wp:extent cx="5187950" cy="4469108"/>
                            <wp:effectExtent l="0" t="0" r="0"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5187950" cy="4469108"/>
                                    </a:xfrm>
                                    <a:prstGeom prst="rect">
                                      <a:avLst/>
                                    </a:prstGeom>
                                    <a:noFill/>
                                    <a:ln>
                                      <a:noFill/>
                                    </a:ln>
                                  </pic:spPr>
                                </pic:pic>
                              </a:graphicData>
                            </a:graphic>
                          </wp:inline>
                        </w:drawing>
                      </w:r>
                    </w:p>
                    <w:p w14:paraId="46717E34" w14:textId="77427430" w:rsidR="00730B8F" w:rsidRDefault="00730B8F" w:rsidP="007B57CA">
                      <w:pPr>
                        <w:pStyle w:val="Caption"/>
                      </w:pPr>
                      <w:bookmarkStart w:id="134" w:name="_Ref38440026"/>
                      <w:bookmarkStart w:id="135" w:name="_Toc39868230"/>
                      <w:r>
                        <w:t xml:space="preserve">Figure </w:t>
                      </w:r>
                      <w:r w:rsidR="009425BE">
                        <w:fldChar w:fldCharType="begin"/>
                      </w:r>
                      <w:r w:rsidR="009425BE">
                        <w:instrText xml:space="preserve"> SEQ Figure \* ARABIC </w:instrText>
                      </w:r>
                      <w:r w:rsidR="009425BE">
                        <w:fldChar w:fldCharType="separate"/>
                      </w:r>
                      <w:r>
                        <w:rPr>
                          <w:noProof/>
                        </w:rPr>
                        <w:t>17</w:t>
                      </w:r>
                      <w:r w:rsidR="009425BE">
                        <w:rPr>
                          <w:noProof/>
                        </w:rPr>
                        <w:fldChar w:fldCharType="end"/>
                      </w:r>
                      <w:bookmarkEnd w:id="134"/>
                      <w:r>
                        <w:t xml:space="preserve">: </w:t>
                      </w:r>
                      <w:r w:rsidRPr="00EF2748">
                        <w:rPr>
                          <w:b w:val="0"/>
                          <w:bCs w:val="0"/>
                        </w:rPr>
                        <w:t xml:space="preserve">The OSW-1 compound is potent, cytotoxic agent to </w:t>
                      </w:r>
                      <w:r w:rsidRPr="00EF2748">
                        <w:rPr>
                          <w:b w:val="0"/>
                          <w:bCs w:val="0"/>
                          <w:i/>
                          <w:iCs/>
                        </w:rPr>
                        <w:t xml:space="preserve">in vitro </w:t>
                      </w:r>
                      <w:r w:rsidRPr="00EF2748">
                        <w:rPr>
                          <w:b w:val="0"/>
                          <w:bCs w:val="0"/>
                        </w:rPr>
                        <w:t>generated ovarian cancer spheroids. A.) OVCAR-8 spheroid images at 72 h post treatment. B.) SKOV-3 spheroid images at 72 h post treatment. C.) OVCAR-8 spheroid toxicity quantification relative to control using Cell-Titer Glo. (n = 3). D.) SKOV-3 spheroid toxicity quantification. (n =3).</w:t>
                      </w:r>
                      <w:bookmarkEnd w:id="135"/>
                    </w:p>
                    <w:p w14:paraId="0B0362A4" w14:textId="77777777" w:rsidR="00730B8F" w:rsidRDefault="00730B8F"/>
                    <w:p w14:paraId="1BEBE793" w14:textId="77777777" w:rsidR="00730B8F" w:rsidRDefault="00730B8F"/>
                    <w:p w14:paraId="5C2DB8E2" w14:textId="441FBC82" w:rsidR="00730B8F" w:rsidRDefault="00730B8F" w:rsidP="007B57CA">
                      <w:pPr>
                        <w:keepNext/>
                      </w:pPr>
                      <w:r w:rsidRPr="0023490E">
                        <w:rPr>
                          <w:noProof/>
                        </w:rPr>
                        <w:drawing>
                          <wp:inline distT="0" distB="0" distL="0" distR="0" wp14:anchorId="5784C194" wp14:editId="2F253DC5">
                            <wp:extent cx="5187950" cy="4469108"/>
                            <wp:effectExtent l="0" t="0" r="0"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5187950" cy="4469108"/>
                                    </a:xfrm>
                                    <a:prstGeom prst="rect">
                                      <a:avLst/>
                                    </a:prstGeom>
                                    <a:noFill/>
                                    <a:ln>
                                      <a:noFill/>
                                    </a:ln>
                                  </pic:spPr>
                                </pic:pic>
                              </a:graphicData>
                            </a:graphic>
                          </wp:inline>
                        </w:drawing>
                      </w:r>
                    </w:p>
                    <w:p w14:paraId="611A952F" w14:textId="77EC30AE" w:rsidR="00730B8F" w:rsidRDefault="00730B8F" w:rsidP="007B57CA">
                      <w:pPr>
                        <w:pStyle w:val="Caption"/>
                      </w:pPr>
                      <w:bookmarkStart w:id="136" w:name="_Ref37253983"/>
                      <w:r>
                        <w:t xml:space="preserve">Figure </w:t>
                      </w:r>
                      <w:r>
                        <w:fldChar w:fldCharType="begin"/>
                      </w:r>
                      <w:r>
                        <w:instrText xml:space="preserve">  \* ARABIC </w:instrText>
                      </w:r>
                      <w:r>
                        <w:fldChar w:fldCharType="separate"/>
                      </w:r>
                      <w:r>
                        <w:rPr>
                          <w:noProof/>
                        </w:rPr>
                        <w:t>22</w:t>
                      </w:r>
                      <w:r>
                        <w:rPr>
                          <w:noProof/>
                        </w:rPr>
                        <w:fldChar w:fldCharType="end"/>
                      </w:r>
                      <w:bookmarkEnd w:id="136"/>
                      <w:r>
                        <w:t xml:space="preserve">: </w:t>
                      </w:r>
                      <w:r w:rsidRPr="00EF2748">
                        <w:rPr>
                          <w:b w:val="0"/>
                          <w:bCs w:val="0"/>
                        </w:rPr>
                        <w:t xml:space="preserve">The OSW-1 compound is potent, cytotoxic agent to </w:t>
                      </w:r>
                      <w:r w:rsidRPr="00EF2748">
                        <w:rPr>
                          <w:b w:val="0"/>
                          <w:bCs w:val="0"/>
                          <w:i/>
                          <w:iCs/>
                        </w:rPr>
                        <w:t xml:space="preserve">in vitro </w:t>
                      </w:r>
                      <w:r w:rsidRPr="00EF2748">
                        <w:rPr>
                          <w:b w:val="0"/>
                          <w:bCs w:val="0"/>
                        </w:rPr>
                        <w:t>generated ovarian cancer spheroids. A.) OVCAR-8 spheroid images at 72 h post treatment. B.) SKOV-3 spheroid images at 72 h post treatment. C.) OVCAR-8 spheroid toxicity quantification relative to control using Cell-Titer Glo. (n = 3). D.) SKOV-3 spheroid toxicity quantification. (n =3).</w:t>
                      </w:r>
                    </w:p>
                    <w:p w14:paraId="6CEA7C29" w14:textId="65006BA0" w:rsidR="00730B8F" w:rsidRDefault="00730B8F"/>
                  </w:txbxContent>
                </v:textbox>
                <w10:wrap type="square" anchorx="margin"/>
              </v:shape>
            </w:pict>
          </mc:Fallback>
        </mc:AlternateContent>
      </w:r>
    </w:p>
    <w:p w14:paraId="7BDF4243" w14:textId="1F536485" w:rsidR="00F01888" w:rsidRPr="00F01888" w:rsidRDefault="00F01888" w:rsidP="00F01888">
      <w:pPr>
        <w:pStyle w:val="Heading3"/>
      </w:pPr>
      <w:bookmarkStart w:id="137" w:name="_Toc39868182"/>
      <w:r w:rsidRPr="00F01888">
        <w:t>3.</w:t>
      </w:r>
      <w:r w:rsidR="00242945">
        <w:t>3</w:t>
      </w:r>
      <w:r w:rsidR="0006200A">
        <w:t>.4</w:t>
      </w:r>
      <w:r w:rsidRPr="00F01888">
        <w:t xml:space="preserve"> OSW-1 is a potent cytotoxic agent to ovarian spheroids in vitro</w:t>
      </w:r>
      <w:bookmarkEnd w:id="137"/>
    </w:p>
    <w:p w14:paraId="18D4FA7F" w14:textId="37AE5BBD" w:rsidR="00857842" w:rsidRDefault="00857842" w:rsidP="00F01888">
      <w:pPr>
        <w:ind w:firstLine="720"/>
        <w:jc w:val="both"/>
        <w:rPr>
          <w:rFonts w:cs="Arial"/>
        </w:rPr>
      </w:pPr>
      <w:r w:rsidRPr="00857842">
        <w:rPr>
          <w:rFonts w:cs="Arial"/>
        </w:rPr>
        <w:t xml:space="preserve">In order to test the OSW-1 compound in a more clinically relevant model, OSW-1, paclitaxel, and cisplatin were evaluated for their toxicity on a spheroidal (3D) assay generated from OVCAR-8 and SKOV-3 cells. </w:t>
      </w:r>
      <w:r w:rsidRPr="00857842">
        <w:rPr>
          <w:rFonts w:cs="Arial"/>
          <w:b/>
        </w:rPr>
        <w:t>(</w:t>
      </w:r>
      <w:r w:rsidR="000F62B4" w:rsidRPr="000849BF">
        <w:rPr>
          <w:rFonts w:cs="Arial"/>
          <w:b/>
        </w:rPr>
        <w:fldChar w:fldCharType="begin"/>
      </w:r>
      <w:r w:rsidR="000F62B4" w:rsidRPr="00242945">
        <w:rPr>
          <w:rFonts w:cs="Arial"/>
          <w:b/>
        </w:rPr>
        <w:instrText xml:space="preserve"> REF _Ref37253983 \h </w:instrText>
      </w:r>
      <w:r w:rsidR="00242945" w:rsidRPr="000849BF">
        <w:rPr>
          <w:rFonts w:cs="Arial"/>
          <w:b/>
        </w:rPr>
        <w:instrText xml:space="preserve"> \* MERGEFORMAT </w:instrText>
      </w:r>
      <w:r w:rsidR="000F62B4" w:rsidRPr="000849BF">
        <w:rPr>
          <w:rFonts w:cs="Arial"/>
          <w:b/>
        </w:rPr>
      </w:r>
      <w:r w:rsidR="000F62B4" w:rsidRPr="000849BF">
        <w:rPr>
          <w:rFonts w:cs="Arial"/>
          <w:b/>
        </w:rPr>
        <w:fldChar w:fldCharType="separate"/>
      </w:r>
      <w:r w:rsidR="000F62B4" w:rsidRPr="000849BF">
        <w:rPr>
          <w:b/>
        </w:rPr>
        <w:t xml:space="preserve">Figure </w:t>
      </w:r>
      <w:r w:rsidR="000F62B4" w:rsidRPr="000849BF">
        <w:rPr>
          <w:b/>
          <w:noProof/>
        </w:rPr>
        <w:t>17</w:t>
      </w:r>
      <w:r w:rsidR="000F62B4" w:rsidRPr="000849BF">
        <w:rPr>
          <w:rFonts w:cs="Arial"/>
          <w:b/>
        </w:rPr>
        <w:fldChar w:fldCharType="end"/>
      </w:r>
      <w:r w:rsidRPr="00857842">
        <w:rPr>
          <w:rFonts w:cs="Arial"/>
          <w:b/>
        </w:rPr>
        <w:t>).</w:t>
      </w:r>
      <w:r w:rsidRPr="00857842">
        <w:rPr>
          <w:rFonts w:cs="Arial"/>
          <w:bCs/>
        </w:rPr>
        <w:t xml:space="preserve"> Toxicity of the compounds were analyzed by using CellTiter Glo 3D ATP detection mechanism instead of standard colorimetric methods which have been shown not applicable in 3D systems</w:t>
      </w:r>
      <w:r w:rsidRPr="00857842">
        <w:rPr>
          <w:rFonts w:cs="Arial"/>
          <w:bCs/>
        </w:rPr>
        <w:fldChar w:fldCharType="begin" w:fldLock="1"/>
      </w:r>
      <w:r w:rsidR="000849BF">
        <w:rPr>
          <w:rFonts w:cs="Arial"/>
          <w:bCs/>
        </w:rPr>
        <w:instrText>ADDIN CSL_CITATION { "citationItems" : [ { "id" : "ITEM-1", "itemData" : { "DOI" : "10.1016/j.toxlet.2014.06.508", "ISSN" : "03784274", "abstract" : "The use of 3D cell cultures continues to emerge as improved in vitro models that are more physiologically relevant and more predictive of cytotoxic events in whole animals. Cells cultured in 3D models often acquire large in vivo-like structures compared to the thickness of a 2D monolayer of cells grown on standard plas-tic plates. Multicellular 3D culture systems containing more than one cell type and exhibiting formation of a complex extracellular matrix provide a challenge for assay chemistries originally designed for measuring events from monolayers of cells. There is an unmet need for guidelines for design and verification of assays effective for larger 3D microtissues. Critical factors to consider for each model system include effective penetration of detection reagents and/or complete lysis of cells using combinations of detergent and physi-cal disruption. We will present the results of experiments designed to improve performance of assays for 3D spheroids. We have improved the lytic capacity of assay reagents by optimizing the detergent concentration and the parameters for physical disrup-tion necessary to extract the desired markers. Improved protocols and reagents will be described to measure ATP as a cell viability marker, caspase-3/7 activity as an apoptosis marker, glutathione as a marker of oxidative stress and HIF-1 promoter driven expression of luciferase as a hypoxia marker.", "author" : [ { "dropping-particle" : "", "family" : "Riss", "given" : "Terry", "non-dropping-particle" : "", "parse-names" : false, "suffix" : "" }, { "dropping-particle" : "", "family" : "Valley", "given" : "Michael", "non-dropping-particle" : "", "parse-names" : false, "suffix" : "" }, { "dropping-particle" : "", "family" : "Kupcho", "given" : "Kevin", "non-dropping-particle" : "", "parse-names" : false, "suffix" : "" }, { "dropping-particle" : "", "family" : "Zimprich", "given" : "Chad", "non-dropping-particle" : "", "parse-names" : false, "suffix" : "" }, { "dropping-particle" : "", "family" : "Leippe", "given" : "Donna", "non-dropping-particle" : "", "parse-names" : false, "suffix" : "" }, { "dropping-particle" : "", "family" : "Niles", "given" : "Andrew", "non-dropping-particle" : "", "parse-names" : false, "suffix" : "" }, { "dropping-particle" : "", "family" : "Vidugiriene", "given" : "Jolanta", "non-dropping-particle" : "", "parse-names" : false, "suffix" : "" }, { "dropping-particle" : "", "family" : "Cali", "given" : "James", "non-dropping-particle" : "", "parse-names" : false, "suffix" : "" }, { "dropping-particle" : "", "family" : "Kelm", "given" : "Jens", "non-dropping-particle" : "", "parse-names" : false, "suffix" : "" }, { "dropping-particle" : "", "family" : "Moritz", "given" : "Wolfgang", "non-dropping-particle" : "", "parse-names" : false, "suffix" : "" }, { "dropping-particle" : "", "family" : "Lazar", "given" : "Dan", "non-dropping-particle" : "", "parse-names" : false, "suffix" : "" } ], "container-title" : "Toxicology Letters", "id" : "ITEM-1", "issue" : "229", "issued" : { "date-parts" : [ [ "2014", "9" ] ] }, "page" : "S145", "publisher" : "Elsevier BV", "title" : "Validation of in vitro assays to measure cytotoxicity in 3D cell cultures", "type" : "article-journal", "volume" : "229" }, "uris" : [ "http://www.mendeley.com/documents/?uuid=f627583d-96c6-3f19-b522-5168b39c4fe1" ] }, { "id" : "ITEM-2", "itemData" : { "PMID" : "26844332", "abstract" : "In vitro models continuously evolve to more closely mimic and predict biological responses of living organisms. Just in the past years many novel three dimensional (3D) organotypic models, which resemble tissue structure, function and even disease progression, have been developed. However, application of more complex models and technologies may increase the risk of compromising assay robustness and reproducibility. Consequently, the first developmental stage of cell-based assays is to combine complex tissue models with standard assays - a combination that already provides more physiologically insightful information when compared to two-dimensional (2D) systems. The final goal should be to exploit the full potential of tissue-like in vitro models by investigating them with modern assays such as \u2013Omics and imaging technologies. Furthermore, organotypic models will allow for a design of novel assay concepts that utilize the whole tool box of models and endpoints. In this chapter we focus on assessment of spheroid viability by measuring intracellular ATP content. This primary assay performed on 3D cell culture system is a powerful tool to predict with high confidence health, growth and energy status of tissue of interest. The 3D spheroid model is particularly useful to mimic solid-tumors from a physiologically relevant architectural perspective, when they are grown with multiple cell types prevalent in these tumors. However, this assay is equally applicable for other non-spheroid 3D tissue models to quantify viability and toxicity.", "author" : [ { "dropping-particle" : "", "family" : "Kijanska", "given" : "Monika", "non-dropping-particle" : "", "parse-names" : false, "suffix" : "" }, { "dropping-particle" : "", "family" : "Kelm", "given" : "Jens", "non-dropping-particle" : "", "parse-names" : false, "suffix" : "" } ], "container-title" : "Assay Guidance Manual", "id" : "ITEM-2", "issued" : { "date-parts" : [ [ "2004", "1", "21" ] ] }, "publisher" : "Eli Lilly &amp; Company and the National Center for Advancing Translational Sciences", "title" : "In vitro 3D Spheroids and Microtissues: ATP-based Cell Viability and Toxicity Assays", "type" : "book" }, "uris" : [ "http://www.mendeley.com/documents/?uuid=e99bbc2f-7daa-3cdd-bfe1-37c345d1c072" ] } ], "mendeley" : { "formattedCitation" : "&lt;sup&gt;139,140&lt;/sup&gt;", "plainTextFormattedCitation" : "139,140", "previouslyFormattedCitation" : "&lt;sup&gt;138,139&lt;/sup&gt;" }, "properties" : { "noteIndex" : 0 }, "schema" : "https://github.com/citation-style-language/schema/raw/master/csl-citation.json" }</w:instrText>
      </w:r>
      <w:r w:rsidRPr="00857842">
        <w:rPr>
          <w:rFonts w:cs="Arial"/>
          <w:bCs/>
        </w:rPr>
        <w:fldChar w:fldCharType="separate"/>
      </w:r>
      <w:r w:rsidR="000849BF" w:rsidRPr="000849BF">
        <w:rPr>
          <w:rFonts w:cs="Arial"/>
          <w:bCs/>
          <w:noProof/>
          <w:vertAlign w:val="superscript"/>
        </w:rPr>
        <w:t>139,140</w:t>
      </w:r>
      <w:r w:rsidRPr="00857842">
        <w:rPr>
          <w:rFonts w:cs="Arial"/>
        </w:rPr>
        <w:fldChar w:fldCharType="end"/>
      </w:r>
      <w:r w:rsidRPr="00857842">
        <w:rPr>
          <w:rFonts w:cs="Arial"/>
          <w:bCs/>
        </w:rPr>
        <w:t xml:space="preserve">. </w:t>
      </w:r>
      <w:r w:rsidRPr="00857842">
        <w:rPr>
          <w:rFonts w:cs="Arial"/>
          <w:b/>
        </w:rPr>
        <w:t xml:space="preserve"> </w:t>
      </w:r>
      <w:r w:rsidR="00D97F9C" w:rsidRPr="00D97F9C">
        <w:rPr>
          <w:rFonts w:cs="Arial"/>
          <w:b/>
          <w:noProof/>
        </w:rPr>
        <w:lastRenderedPageBreak/>
        <mc:AlternateContent>
          <mc:Choice Requires="wps">
            <w:drawing>
              <wp:anchor distT="45720" distB="45720" distL="114300" distR="114300" simplePos="0" relativeHeight="251651072" behindDoc="0" locked="0" layoutInCell="1" allowOverlap="1" wp14:anchorId="2405A091" wp14:editId="1A7657F6">
                <wp:simplePos x="0" y="0"/>
                <wp:positionH relativeFrom="margin">
                  <wp:align>right</wp:align>
                </wp:positionH>
                <wp:positionV relativeFrom="paragraph">
                  <wp:posOffset>4750</wp:posOffset>
                </wp:positionV>
                <wp:extent cx="5379085" cy="5728335"/>
                <wp:effectExtent l="0" t="0" r="12065" b="24765"/>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085" cy="5728771"/>
                        </a:xfrm>
                        <a:prstGeom prst="rect">
                          <a:avLst/>
                        </a:prstGeom>
                        <a:solidFill>
                          <a:srgbClr val="FFFFFF"/>
                        </a:solidFill>
                        <a:ln w="9525">
                          <a:solidFill>
                            <a:srgbClr val="000000"/>
                          </a:solidFill>
                          <a:miter lim="800000"/>
                          <a:headEnd/>
                          <a:tailEnd/>
                        </a:ln>
                      </wps:spPr>
                      <wps:txbx>
                        <w:txbxContent>
                          <w:p w14:paraId="4462EE61" w14:textId="77777777" w:rsidR="00730B8F" w:rsidRDefault="00730B8F" w:rsidP="00FE31FF">
                            <w:pPr>
                              <w:keepNext/>
                            </w:pPr>
                            <w:r w:rsidRPr="00FE31FF">
                              <w:rPr>
                                <w:noProof/>
                              </w:rPr>
                              <w:drawing>
                                <wp:inline distT="0" distB="0" distL="0" distR="0" wp14:anchorId="43285E67" wp14:editId="5562F12A">
                                  <wp:extent cx="5187315" cy="4562475"/>
                                  <wp:effectExtent l="0" t="0" r="0" b="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187315" cy="4562475"/>
                                          </a:xfrm>
                                          <a:prstGeom prst="rect">
                                            <a:avLst/>
                                          </a:prstGeom>
                                          <a:noFill/>
                                          <a:ln>
                                            <a:noFill/>
                                          </a:ln>
                                        </pic:spPr>
                                      </pic:pic>
                                    </a:graphicData>
                                  </a:graphic>
                                </wp:inline>
                              </w:drawing>
                            </w:r>
                          </w:p>
                          <w:p w14:paraId="225FDEC6" w14:textId="3B1479C0" w:rsidR="00730B8F" w:rsidRDefault="00730B8F" w:rsidP="00FE31FF">
                            <w:pPr>
                              <w:pStyle w:val="Caption"/>
                            </w:pPr>
                            <w:bookmarkStart w:id="138" w:name="_Ref38440394"/>
                            <w:bookmarkStart w:id="139" w:name="_Toc39868231"/>
                            <w:r>
                              <w:t xml:space="preserve">Figure </w:t>
                            </w:r>
                            <w:r w:rsidR="009425BE">
                              <w:fldChar w:fldCharType="begin"/>
                            </w:r>
                            <w:r w:rsidR="009425BE">
                              <w:instrText xml:space="preserve"> SEQ Figure \* ARABIC </w:instrText>
                            </w:r>
                            <w:r w:rsidR="009425BE">
                              <w:fldChar w:fldCharType="separate"/>
                            </w:r>
                            <w:r>
                              <w:rPr>
                                <w:noProof/>
                              </w:rPr>
                              <w:t>18</w:t>
                            </w:r>
                            <w:r w:rsidR="009425BE">
                              <w:rPr>
                                <w:noProof/>
                              </w:rPr>
                              <w:fldChar w:fldCharType="end"/>
                            </w:r>
                            <w:bookmarkEnd w:id="138"/>
                            <w:r>
                              <w:t xml:space="preserve">: </w:t>
                            </w:r>
                            <w:r w:rsidRPr="00D67ADC">
                              <w:rPr>
                                <w:b w:val="0"/>
                                <w:bCs w:val="0"/>
                              </w:rPr>
                              <w:t>OSW-1 cellular morphology and viability. A) 40X magnification of OVCAR-8 and SKOV-3 monolayer (2D) following the provided treatments of OSW-1. B) Viability of each condition using a cell count with trypan blue cell viability.</w:t>
                            </w:r>
                            <w:bookmarkEnd w:id="139"/>
                          </w:p>
                          <w:p w14:paraId="52F21C1C" w14:textId="77777777" w:rsidR="00730B8F" w:rsidRDefault="00730B8F"/>
                          <w:p w14:paraId="2D2D3145" w14:textId="77777777" w:rsidR="00730B8F" w:rsidRDefault="00730B8F"/>
                          <w:p w14:paraId="69208FD7" w14:textId="39C7E867" w:rsidR="00730B8F" w:rsidRDefault="00730B8F" w:rsidP="00FE31FF">
                            <w:pPr>
                              <w:keepNext/>
                            </w:pPr>
                            <w:r w:rsidRPr="00FE31FF">
                              <w:rPr>
                                <w:noProof/>
                              </w:rPr>
                              <w:drawing>
                                <wp:inline distT="0" distB="0" distL="0" distR="0" wp14:anchorId="43285E67" wp14:editId="5562F12A">
                                  <wp:extent cx="5187315" cy="4562475"/>
                                  <wp:effectExtent l="0" t="0" r="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187315" cy="4562475"/>
                                          </a:xfrm>
                                          <a:prstGeom prst="rect">
                                            <a:avLst/>
                                          </a:prstGeom>
                                          <a:noFill/>
                                          <a:ln>
                                            <a:noFill/>
                                          </a:ln>
                                        </pic:spPr>
                                      </pic:pic>
                                    </a:graphicData>
                                  </a:graphic>
                                </wp:inline>
                              </w:drawing>
                            </w:r>
                          </w:p>
                          <w:p w14:paraId="213B0A6B" w14:textId="6503AF7C" w:rsidR="00730B8F" w:rsidRDefault="00730B8F" w:rsidP="00FE31FF">
                            <w:pPr>
                              <w:pStyle w:val="Caption"/>
                            </w:pPr>
                            <w:bookmarkStart w:id="140" w:name="_Ref37256720"/>
                            <w:r>
                              <w:t xml:space="preserve">Figure </w:t>
                            </w:r>
                            <w:r>
                              <w:fldChar w:fldCharType="begin"/>
                            </w:r>
                            <w:r>
                              <w:instrText xml:space="preserve">  \* ARABIC </w:instrText>
                            </w:r>
                            <w:r>
                              <w:fldChar w:fldCharType="separate"/>
                            </w:r>
                            <w:r>
                              <w:rPr>
                                <w:noProof/>
                              </w:rPr>
                              <w:t>24</w:t>
                            </w:r>
                            <w:r>
                              <w:rPr>
                                <w:noProof/>
                              </w:rPr>
                              <w:fldChar w:fldCharType="end"/>
                            </w:r>
                            <w:bookmarkEnd w:id="140"/>
                            <w:r>
                              <w:t xml:space="preserve">: </w:t>
                            </w:r>
                            <w:r w:rsidRPr="00D67ADC">
                              <w:rPr>
                                <w:b w:val="0"/>
                                <w:bCs w:val="0"/>
                              </w:rPr>
                              <w:t>OSW-1 cellular morphology and viability. A) 40X magnification of OVCAR-8 and SKOV-3 monolayer (2D) following the provided treatments of OSW-1. B) Viability of each condition using a cell count with trypan blue cell viability.</w:t>
                            </w:r>
                          </w:p>
                          <w:p w14:paraId="651373F3" w14:textId="32CC77E6"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5A091" id="_x0000_s1043" type="#_x0000_t202" style="position:absolute;left:0;text-align:left;margin-left:372.35pt;margin-top:.35pt;width:423.55pt;height:451.05pt;z-index:251651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">
                <v:textbox>
                  <w:txbxContent>
                    <w:p w14:paraId="4462EE61" w14:textId="77777777" w:rsidR="00730B8F" w:rsidRDefault="00730B8F" w:rsidP="00FE31FF">
                      <w:pPr>
                        <w:keepNext/>
                      </w:pPr>
                      <w:r w:rsidRPr="00FE31FF">
                        <w:rPr>
                          <w:noProof/>
                        </w:rPr>
                        <w:drawing>
                          <wp:inline distT="0" distB="0" distL="0" distR="0" wp14:anchorId="43285E67" wp14:editId="5562F12A">
                            <wp:extent cx="5187315" cy="4562475"/>
                            <wp:effectExtent l="0" t="0" r="0" b="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187315" cy="4562475"/>
                                    </a:xfrm>
                                    <a:prstGeom prst="rect">
                                      <a:avLst/>
                                    </a:prstGeom>
                                    <a:noFill/>
                                    <a:ln>
                                      <a:noFill/>
                                    </a:ln>
                                  </pic:spPr>
                                </pic:pic>
                              </a:graphicData>
                            </a:graphic>
                          </wp:inline>
                        </w:drawing>
                      </w:r>
                    </w:p>
                    <w:p w14:paraId="225FDEC6" w14:textId="3B1479C0" w:rsidR="00730B8F" w:rsidRDefault="00730B8F" w:rsidP="00FE31FF">
                      <w:pPr>
                        <w:pStyle w:val="Caption"/>
                      </w:pPr>
                      <w:bookmarkStart w:id="141" w:name="_Ref38440394"/>
                      <w:bookmarkStart w:id="142" w:name="_Toc39868231"/>
                      <w:r>
                        <w:t xml:space="preserve">Figure </w:t>
                      </w:r>
                      <w:r w:rsidR="009425BE">
                        <w:fldChar w:fldCharType="begin"/>
                      </w:r>
                      <w:r w:rsidR="009425BE">
                        <w:instrText xml:space="preserve"> SEQ Figure \* ARABIC </w:instrText>
                      </w:r>
                      <w:r w:rsidR="009425BE">
                        <w:fldChar w:fldCharType="separate"/>
                      </w:r>
                      <w:r>
                        <w:rPr>
                          <w:noProof/>
                        </w:rPr>
                        <w:t>18</w:t>
                      </w:r>
                      <w:r w:rsidR="009425BE">
                        <w:rPr>
                          <w:noProof/>
                        </w:rPr>
                        <w:fldChar w:fldCharType="end"/>
                      </w:r>
                      <w:bookmarkEnd w:id="141"/>
                      <w:r>
                        <w:t xml:space="preserve">: </w:t>
                      </w:r>
                      <w:r w:rsidRPr="00D67ADC">
                        <w:rPr>
                          <w:b w:val="0"/>
                          <w:bCs w:val="0"/>
                        </w:rPr>
                        <w:t>OSW-1 cellular morphology and viability. A) 40X magnification of OVCAR-8 and SKOV-3 monolayer (2D) following the provided treatments of OSW-1. B) Viability of each condition using a cell count with trypan blue cell viability.</w:t>
                      </w:r>
                      <w:bookmarkEnd w:id="142"/>
                    </w:p>
                    <w:p w14:paraId="52F21C1C" w14:textId="77777777" w:rsidR="00730B8F" w:rsidRDefault="00730B8F"/>
                    <w:p w14:paraId="2D2D3145" w14:textId="77777777" w:rsidR="00730B8F" w:rsidRDefault="00730B8F"/>
                    <w:p w14:paraId="69208FD7" w14:textId="39C7E867" w:rsidR="00730B8F" w:rsidRDefault="00730B8F" w:rsidP="00FE31FF">
                      <w:pPr>
                        <w:keepNext/>
                      </w:pPr>
                      <w:r w:rsidRPr="00FE31FF">
                        <w:rPr>
                          <w:noProof/>
                        </w:rPr>
                        <w:drawing>
                          <wp:inline distT="0" distB="0" distL="0" distR="0" wp14:anchorId="43285E67" wp14:editId="5562F12A">
                            <wp:extent cx="5187315" cy="4562475"/>
                            <wp:effectExtent l="0" t="0" r="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187315" cy="4562475"/>
                                    </a:xfrm>
                                    <a:prstGeom prst="rect">
                                      <a:avLst/>
                                    </a:prstGeom>
                                    <a:noFill/>
                                    <a:ln>
                                      <a:noFill/>
                                    </a:ln>
                                  </pic:spPr>
                                </pic:pic>
                              </a:graphicData>
                            </a:graphic>
                          </wp:inline>
                        </w:drawing>
                      </w:r>
                    </w:p>
                    <w:p w14:paraId="213B0A6B" w14:textId="6503AF7C" w:rsidR="00730B8F" w:rsidRDefault="00730B8F" w:rsidP="00FE31FF">
                      <w:pPr>
                        <w:pStyle w:val="Caption"/>
                      </w:pPr>
                      <w:bookmarkStart w:id="143" w:name="_Ref37256720"/>
                      <w:r>
                        <w:t xml:space="preserve">Figure </w:t>
                      </w:r>
                      <w:r>
                        <w:fldChar w:fldCharType="begin"/>
                      </w:r>
                      <w:r>
                        <w:instrText xml:space="preserve">  \* ARABIC </w:instrText>
                      </w:r>
                      <w:r>
                        <w:fldChar w:fldCharType="separate"/>
                      </w:r>
                      <w:r>
                        <w:rPr>
                          <w:noProof/>
                        </w:rPr>
                        <w:t>24</w:t>
                      </w:r>
                      <w:r>
                        <w:rPr>
                          <w:noProof/>
                        </w:rPr>
                        <w:fldChar w:fldCharType="end"/>
                      </w:r>
                      <w:bookmarkEnd w:id="143"/>
                      <w:r>
                        <w:t xml:space="preserve">: </w:t>
                      </w:r>
                      <w:r w:rsidRPr="00D67ADC">
                        <w:rPr>
                          <w:b w:val="0"/>
                          <w:bCs w:val="0"/>
                        </w:rPr>
                        <w:t>OSW-1 cellular morphology and viability. A) 40X magnification of OVCAR-8 and SKOV-3 monolayer (2D) following the provided treatments of OSW-1. B) Viability of each condition using a cell count with trypan blue cell viability.</w:t>
                      </w:r>
                    </w:p>
                    <w:p w14:paraId="651373F3" w14:textId="32CC77E6" w:rsidR="00730B8F" w:rsidRDefault="00730B8F"/>
                  </w:txbxContent>
                </v:textbox>
                <w10:wrap type="square" anchorx="margin"/>
              </v:shape>
            </w:pict>
          </mc:Fallback>
        </mc:AlternateContent>
      </w:r>
      <w:r w:rsidRPr="00857842">
        <w:rPr>
          <w:rFonts w:cs="Arial"/>
        </w:rPr>
        <w:t>Following 7 days of growth, spheroids were treated with the provided concentration of compound and analyzed for viability following 72 h. OVCAR-8 spheroids were not as responsive to paclitaxel treatment (50% cell death at 100 nM) compared to the monolayer treatment (GI</w:t>
      </w:r>
      <w:r w:rsidRPr="00857842">
        <w:rPr>
          <w:rFonts w:cs="Arial"/>
          <w:vertAlign w:val="subscript"/>
        </w:rPr>
        <w:t>50</w:t>
      </w:r>
      <w:r w:rsidRPr="00857842">
        <w:rPr>
          <w:rFonts w:cs="Arial"/>
        </w:rPr>
        <w:t xml:space="preserve"> 58 nM) but exhibited similar sensitivity toward cisplatin treatment (50% cell death at 10 μM in spheroids and GI</w:t>
      </w:r>
      <w:r w:rsidRPr="00857842">
        <w:rPr>
          <w:rFonts w:cs="Arial"/>
          <w:vertAlign w:val="subscript"/>
        </w:rPr>
        <w:t xml:space="preserve">50 </w:t>
      </w:r>
      <w:r w:rsidRPr="00857842">
        <w:rPr>
          <w:rFonts w:cs="Arial"/>
        </w:rPr>
        <w:t>22 μM in monolayer)</w:t>
      </w:r>
      <w:r w:rsidRPr="00857842" w:rsidDel="00EB55E7">
        <w:rPr>
          <w:rFonts w:cs="Arial"/>
        </w:rPr>
        <w:t xml:space="preserve"> </w:t>
      </w:r>
      <w:r w:rsidRPr="00242945">
        <w:rPr>
          <w:rFonts w:cs="Arial"/>
          <w:b/>
        </w:rPr>
        <w:t>(</w:t>
      </w:r>
      <w:r w:rsidR="000F62B4" w:rsidRPr="000849BF">
        <w:rPr>
          <w:rFonts w:cs="Arial"/>
          <w:b/>
        </w:rPr>
        <w:fldChar w:fldCharType="begin"/>
      </w:r>
      <w:r w:rsidR="000F62B4" w:rsidRPr="00242945">
        <w:rPr>
          <w:rFonts w:cs="Arial"/>
          <w:b/>
        </w:rPr>
        <w:instrText xml:space="preserve"> REF _Ref37253983 \h </w:instrText>
      </w:r>
      <w:r w:rsidR="00242945" w:rsidRPr="000849BF">
        <w:rPr>
          <w:rFonts w:cs="Arial"/>
          <w:b/>
        </w:rPr>
        <w:instrText xml:space="preserve"> \* MERGEFORMAT </w:instrText>
      </w:r>
      <w:r w:rsidR="000F62B4" w:rsidRPr="000849BF">
        <w:rPr>
          <w:rFonts w:cs="Arial"/>
          <w:b/>
        </w:rPr>
      </w:r>
      <w:r w:rsidR="000F62B4" w:rsidRPr="000849BF">
        <w:rPr>
          <w:rFonts w:cs="Arial"/>
          <w:b/>
        </w:rPr>
        <w:fldChar w:fldCharType="separate"/>
      </w:r>
      <w:r w:rsidR="000F62B4" w:rsidRPr="000849BF">
        <w:rPr>
          <w:b/>
        </w:rPr>
        <w:t xml:space="preserve">Figure </w:t>
      </w:r>
      <w:r w:rsidR="000F62B4" w:rsidRPr="000849BF">
        <w:rPr>
          <w:b/>
          <w:noProof/>
        </w:rPr>
        <w:t>17</w:t>
      </w:r>
      <w:r w:rsidR="000F62B4" w:rsidRPr="000849BF">
        <w:rPr>
          <w:rFonts w:cs="Arial"/>
          <w:b/>
        </w:rPr>
        <w:fldChar w:fldCharType="end"/>
      </w:r>
      <w:r w:rsidRPr="00857842">
        <w:rPr>
          <w:rFonts w:cs="Arial"/>
          <w:b/>
        </w:rPr>
        <w:t xml:space="preserve">). </w:t>
      </w:r>
      <w:r w:rsidRPr="00857842">
        <w:rPr>
          <w:rFonts w:cs="Arial"/>
        </w:rPr>
        <w:t xml:space="preserve">Interestingly, OSW-1 treatment resulted in a dose dependent loss of viability in OVCAR-8 spheroids with 50% cell death at 100 nM, in contrast to monolayer cells showing resistance up to 1 </w:t>
      </w:r>
      <w:r w:rsidR="00D67ADC" w:rsidRPr="002D6819">
        <w:rPr>
          <w:rFonts w:cs="Arial"/>
          <w:noProof/>
        </w:rPr>
        <w:lastRenderedPageBreak/>
        <mc:AlternateContent>
          <mc:Choice Requires="wps">
            <w:drawing>
              <wp:anchor distT="45720" distB="45720" distL="114300" distR="114300" simplePos="0" relativeHeight="251670528" behindDoc="0" locked="0" layoutInCell="1" allowOverlap="1" wp14:anchorId="0BFB56E7" wp14:editId="55D8D4E5">
                <wp:simplePos x="0" y="0"/>
                <wp:positionH relativeFrom="margin">
                  <wp:align>right</wp:align>
                </wp:positionH>
                <wp:positionV relativeFrom="paragraph">
                  <wp:posOffset>0</wp:posOffset>
                </wp:positionV>
                <wp:extent cx="5388610" cy="7141845"/>
                <wp:effectExtent l="0" t="0" r="21590" b="20955"/>
                <wp:wrapSquare wrapText="bothSides"/>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8610" cy="7141845"/>
                        </a:xfrm>
                        <a:prstGeom prst="rect">
                          <a:avLst/>
                        </a:prstGeom>
                        <a:solidFill>
                          <a:srgbClr val="FFFFFF"/>
                        </a:solidFill>
                        <a:ln w="9525">
                          <a:solidFill>
                            <a:srgbClr val="000000"/>
                          </a:solidFill>
                          <a:miter lim="800000"/>
                          <a:headEnd/>
                          <a:tailEnd/>
                        </a:ln>
                      </wps:spPr>
                      <wps:txbx>
                        <w:txbxContent>
                          <w:p w14:paraId="237BC931" w14:textId="77777777" w:rsidR="00730B8F" w:rsidRDefault="00730B8F" w:rsidP="00936334">
                            <w:pPr>
                              <w:keepNext/>
                            </w:pPr>
                            <w:r w:rsidRPr="002D6819">
                              <w:rPr>
                                <w:noProof/>
                              </w:rPr>
                              <w:drawing>
                                <wp:inline distT="0" distB="0" distL="0" distR="0" wp14:anchorId="20483778" wp14:editId="31040177">
                                  <wp:extent cx="5166803" cy="5982850"/>
                                  <wp:effectExtent l="0" t="0" r="0" b="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71298" cy="5988054"/>
                                          </a:xfrm>
                                          <a:prstGeom prst="rect">
                                            <a:avLst/>
                                          </a:prstGeom>
                                          <a:noFill/>
                                          <a:ln>
                                            <a:noFill/>
                                          </a:ln>
                                        </pic:spPr>
                                      </pic:pic>
                                    </a:graphicData>
                                  </a:graphic>
                                </wp:inline>
                              </w:drawing>
                            </w:r>
                          </w:p>
                          <w:p w14:paraId="5EE21F69" w14:textId="5970087A" w:rsidR="00730B8F" w:rsidRDefault="00730B8F" w:rsidP="00936334">
                            <w:pPr>
                              <w:pStyle w:val="Caption"/>
                            </w:pPr>
                            <w:bookmarkStart w:id="144" w:name="_Ref38440076"/>
                            <w:bookmarkStart w:id="145" w:name="_Toc39868232"/>
                            <w:r>
                              <w:t xml:space="preserve">Figure </w:t>
                            </w:r>
                            <w:r w:rsidR="009425BE">
                              <w:fldChar w:fldCharType="begin"/>
                            </w:r>
                            <w:r w:rsidR="009425BE">
                              <w:instrText xml:space="preserve"> SEQ Figure \* ARABIC </w:instrText>
                            </w:r>
                            <w:r w:rsidR="009425BE">
                              <w:fldChar w:fldCharType="separate"/>
                            </w:r>
                            <w:r>
                              <w:rPr>
                                <w:noProof/>
                              </w:rPr>
                              <w:t>19</w:t>
                            </w:r>
                            <w:r w:rsidR="009425BE">
                              <w:rPr>
                                <w:noProof/>
                              </w:rPr>
                              <w:fldChar w:fldCharType="end"/>
                            </w:r>
                            <w:bookmarkEnd w:id="144"/>
                            <w:r>
                              <w:t xml:space="preserve">: </w:t>
                            </w:r>
                            <w:r w:rsidRPr="00936334">
                              <w:rPr>
                                <w:b w:val="0"/>
                                <w:bCs w:val="0"/>
                              </w:rPr>
                              <w:t>Ovarian cancer viability is correlated with ORP4L degradation and independent of OSBP expression upon OSW-1 treatment. A.) OSBP and ORP4L protein expression in 2D and 3D following the provided treatments of OSW-1 for 48 h in SKOV-3 and B.) in OVCAR-8.</w:t>
                            </w:r>
                            <w:bookmarkEnd w:id="145"/>
                          </w:p>
                          <w:p w14:paraId="23DBEB58" w14:textId="77777777" w:rsidR="00730B8F" w:rsidRDefault="00730B8F"/>
                          <w:p w14:paraId="46E04D89" w14:textId="77777777" w:rsidR="00730B8F" w:rsidRDefault="00730B8F"/>
                          <w:p w14:paraId="4E5A5FD7" w14:textId="260B4DF3" w:rsidR="00730B8F" w:rsidRDefault="00730B8F" w:rsidP="00936334">
                            <w:pPr>
                              <w:keepNext/>
                            </w:pPr>
                            <w:r w:rsidRPr="002D6819">
                              <w:rPr>
                                <w:noProof/>
                              </w:rPr>
                              <w:drawing>
                                <wp:inline distT="0" distB="0" distL="0" distR="0" wp14:anchorId="20483778" wp14:editId="31040177">
                                  <wp:extent cx="5166803" cy="5982850"/>
                                  <wp:effectExtent l="0" t="0" r="0"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71298" cy="5988054"/>
                                          </a:xfrm>
                                          <a:prstGeom prst="rect">
                                            <a:avLst/>
                                          </a:prstGeom>
                                          <a:noFill/>
                                          <a:ln>
                                            <a:noFill/>
                                          </a:ln>
                                        </pic:spPr>
                                      </pic:pic>
                                    </a:graphicData>
                                  </a:graphic>
                                </wp:inline>
                              </w:drawing>
                            </w:r>
                          </w:p>
                          <w:p w14:paraId="7C1B9B16" w14:textId="175F94F4" w:rsidR="00730B8F" w:rsidRDefault="00730B8F" w:rsidP="00936334">
                            <w:pPr>
                              <w:pStyle w:val="Caption"/>
                            </w:pPr>
                            <w:bookmarkStart w:id="146" w:name="_Ref37254054"/>
                            <w:r>
                              <w:t xml:space="preserve">Figure </w:t>
                            </w:r>
                            <w:r>
                              <w:fldChar w:fldCharType="begin"/>
                            </w:r>
                            <w:r>
                              <w:instrText xml:space="preserve">  \* ARABIC </w:instrText>
                            </w:r>
                            <w:r>
                              <w:fldChar w:fldCharType="separate"/>
                            </w:r>
                            <w:r>
                              <w:rPr>
                                <w:noProof/>
                              </w:rPr>
                              <w:t>26</w:t>
                            </w:r>
                            <w:r>
                              <w:rPr>
                                <w:noProof/>
                              </w:rPr>
                              <w:fldChar w:fldCharType="end"/>
                            </w:r>
                            <w:bookmarkEnd w:id="146"/>
                            <w:r>
                              <w:t xml:space="preserve">: </w:t>
                            </w:r>
                            <w:r w:rsidRPr="00936334">
                              <w:rPr>
                                <w:b w:val="0"/>
                                <w:bCs w:val="0"/>
                              </w:rPr>
                              <w:t>Ovarian cancer viability is correlated with ORP4L degradation and independent of OSBP expression upon OSW-1 treatment. A.) OSBP and ORP4L protein expression in 2D and 3D following the provided treatments of OSW-1 for 48 h in SKOV-3 and B.) in OVCAR-8.</w:t>
                            </w:r>
                          </w:p>
                          <w:p w14:paraId="70BBDF69" w14:textId="082A004E"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B56E7" id="_x0000_s1044" type="#_x0000_t202" style="position:absolute;left:0;text-align:left;margin-left:373.1pt;margin-top:0;width:424.3pt;height:562.35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">
                <v:textbox>
                  <w:txbxContent>
                    <w:p w14:paraId="237BC931" w14:textId="77777777" w:rsidR="00730B8F" w:rsidRDefault="00730B8F" w:rsidP="00936334">
                      <w:pPr>
                        <w:keepNext/>
                      </w:pPr>
                      <w:r w:rsidRPr="002D6819">
                        <w:rPr>
                          <w:noProof/>
                        </w:rPr>
                        <w:drawing>
                          <wp:inline distT="0" distB="0" distL="0" distR="0" wp14:anchorId="20483778" wp14:editId="31040177">
                            <wp:extent cx="5166803" cy="5982850"/>
                            <wp:effectExtent l="0" t="0" r="0" b="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71298" cy="5988054"/>
                                    </a:xfrm>
                                    <a:prstGeom prst="rect">
                                      <a:avLst/>
                                    </a:prstGeom>
                                    <a:noFill/>
                                    <a:ln>
                                      <a:noFill/>
                                    </a:ln>
                                  </pic:spPr>
                                </pic:pic>
                              </a:graphicData>
                            </a:graphic>
                          </wp:inline>
                        </w:drawing>
                      </w:r>
                    </w:p>
                    <w:p w14:paraId="5EE21F69" w14:textId="5970087A" w:rsidR="00730B8F" w:rsidRDefault="00730B8F" w:rsidP="00936334">
                      <w:pPr>
                        <w:pStyle w:val="Caption"/>
                      </w:pPr>
                      <w:bookmarkStart w:id="147" w:name="_Ref38440076"/>
                      <w:bookmarkStart w:id="148" w:name="_Toc39868232"/>
                      <w:r>
                        <w:t xml:space="preserve">Figure </w:t>
                      </w:r>
                      <w:r w:rsidR="009425BE">
                        <w:fldChar w:fldCharType="begin"/>
                      </w:r>
                      <w:r w:rsidR="009425BE">
                        <w:instrText xml:space="preserve"> SEQ Figure \* ARABIC </w:instrText>
                      </w:r>
                      <w:r w:rsidR="009425BE">
                        <w:fldChar w:fldCharType="separate"/>
                      </w:r>
                      <w:r>
                        <w:rPr>
                          <w:noProof/>
                        </w:rPr>
                        <w:t>19</w:t>
                      </w:r>
                      <w:r w:rsidR="009425BE">
                        <w:rPr>
                          <w:noProof/>
                        </w:rPr>
                        <w:fldChar w:fldCharType="end"/>
                      </w:r>
                      <w:bookmarkEnd w:id="147"/>
                      <w:r>
                        <w:t xml:space="preserve">: </w:t>
                      </w:r>
                      <w:r w:rsidRPr="00936334">
                        <w:rPr>
                          <w:b w:val="0"/>
                          <w:bCs w:val="0"/>
                        </w:rPr>
                        <w:t>Ovarian cancer viability is correlated with ORP4L degradation and independent of OSBP expression upon OSW-1 treatment. A.) OSBP and ORP4L protein expression in 2D and 3D following the provided treatments of OSW-1 for 48 h in SKOV-3 and B.) in OVCAR-8.</w:t>
                      </w:r>
                      <w:bookmarkEnd w:id="148"/>
                    </w:p>
                    <w:p w14:paraId="23DBEB58" w14:textId="77777777" w:rsidR="00730B8F" w:rsidRDefault="00730B8F"/>
                    <w:p w14:paraId="46E04D89" w14:textId="77777777" w:rsidR="00730B8F" w:rsidRDefault="00730B8F"/>
                    <w:p w14:paraId="4E5A5FD7" w14:textId="260B4DF3" w:rsidR="00730B8F" w:rsidRDefault="00730B8F" w:rsidP="00936334">
                      <w:pPr>
                        <w:keepNext/>
                      </w:pPr>
                      <w:r w:rsidRPr="002D6819">
                        <w:rPr>
                          <w:noProof/>
                        </w:rPr>
                        <w:drawing>
                          <wp:inline distT="0" distB="0" distL="0" distR="0" wp14:anchorId="20483778" wp14:editId="31040177">
                            <wp:extent cx="5166803" cy="5982850"/>
                            <wp:effectExtent l="0" t="0" r="0"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71298" cy="5988054"/>
                                    </a:xfrm>
                                    <a:prstGeom prst="rect">
                                      <a:avLst/>
                                    </a:prstGeom>
                                    <a:noFill/>
                                    <a:ln>
                                      <a:noFill/>
                                    </a:ln>
                                  </pic:spPr>
                                </pic:pic>
                              </a:graphicData>
                            </a:graphic>
                          </wp:inline>
                        </w:drawing>
                      </w:r>
                    </w:p>
                    <w:p w14:paraId="7C1B9B16" w14:textId="175F94F4" w:rsidR="00730B8F" w:rsidRDefault="00730B8F" w:rsidP="00936334">
                      <w:pPr>
                        <w:pStyle w:val="Caption"/>
                      </w:pPr>
                      <w:bookmarkStart w:id="149" w:name="_Ref37254054"/>
                      <w:r>
                        <w:t xml:space="preserve">Figure </w:t>
                      </w:r>
                      <w:r>
                        <w:fldChar w:fldCharType="begin"/>
                      </w:r>
                      <w:r>
                        <w:instrText xml:space="preserve">  \* ARABIC </w:instrText>
                      </w:r>
                      <w:r>
                        <w:fldChar w:fldCharType="separate"/>
                      </w:r>
                      <w:r>
                        <w:rPr>
                          <w:noProof/>
                        </w:rPr>
                        <w:t>26</w:t>
                      </w:r>
                      <w:r>
                        <w:rPr>
                          <w:noProof/>
                        </w:rPr>
                        <w:fldChar w:fldCharType="end"/>
                      </w:r>
                      <w:bookmarkEnd w:id="149"/>
                      <w:r>
                        <w:t xml:space="preserve">: </w:t>
                      </w:r>
                      <w:r w:rsidRPr="00936334">
                        <w:rPr>
                          <w:b w:val="0"/>
                          <w:bCs w:val="0"/>
                        </w:rPr>
                        <w:t>Ovarian cancer viability is correlated with ORP4L degradation and independent of OSBP expression upon OSW-1 treatment. A.) OSBP and ORP4L protein expression in 2D and 3D following the provided treatments of OSW-1 for 48 h in SKOV-3 and B.) in OVCAR-8.</w:t>
                      </w:r>
                    </w:p>
                    <w:p w14:paraId="70BBDF69" w14:textId="082A004E" w:rsidR="00730B8F" w:rsidRDefault="00730B8F"/>
                  </w:txbxContent>
                </v:textbox>
                <w10:wrap type="square" anchorx="margin"/>
              </v:shape>
            </w:pict>
          </mc:Fallback>
        </mc:AlternateContent>
      </w:r>
      <w:r w:rsidRPr="00857842">
        <w:rPr>
          <w:rFonts w:cs="Arial"/>
        </w:rPr>
        <w:t xml:space="preserve">µM. SKOV-3 spheroids were resistant to paclitaxel treatment exhibiting less than 25% cell death up to 10 μM and showed an increased resistance toward cisplatin treatment with less than 50% cell death at 10 μM. </w:t>
      </w:r>
      <w:r w:rsidRPr="00857842">
        <w:rPr>
          <w:rFonts w:cs="Arial"/>
          <w:b/>
        </w:rPr>
        <w:t>(</w:t>
      </w:r>
      <w:r w:rsidR="000F62B4" w:rsidRPr="000849BF">
        <w:rPr>
          <w:rFonts w:cs="Arial"/>
          <w:b/>
        </w:rPr>
        <w:fldChar w:fldCharType="begin"/>
      </w:r>
      <w:r w:rsidR="000F62B4" w:rsidRPr="00242945">
        <w:rPr>
          <w:rFonts w:cs="Arial"/>
          <w:b/>
        </w:rPr>
        <w:instrText xml:space="preserve"> REF _Ref37253983 \h </w:instrText>
      </w:r>
      <w:r w:rsidR="00242945" w:rsidRPr="000849BF">
        <w:rPr>
          <w:rFonts w:cs="Arial"/>
          <w:b/>
        </w:rPr>
        <w:instrText xml:space="preserve"> \* MERGEFORMAT </w:instrText>
      </w:r>
      <w:r w:rsidR="000F62B4" w:rsidRPr="000849BF">
        <w:rPr>
          <w:rFonts w:cs="Arial"/>
          <w:b/>
        </w:rPr>
      </w:r>
      <w:r w:rsidR="000F62B4" w:rsidRPr="000849BF">
        <w:rPr>
          <w:rFonts w:cs="Arial"/>
          <w:b/>
        </w:rPr>
        <w:fldChar w:fldCharType="separate"/>
      </w:r>
      <w:r w:rsidR="000F62B4" w:rsidRPr="000849BF">
        <w:rPr>
          <w:b/>
        </w:rPr>
        <w:t xml:space="preserve">Figure </w:t>
      </w:r>
      <w:r w:rsidR="000F62B4" w:rsidRPr="000849BF">
        <w:rPr>
          <w:b/>
          <w:noProof/>
        </w:rPr>
        <w:t>17</w:t>
      </w:r>
      <w:r w:rsidR="000F62B4" w:rsidRPr="000849BF">
        <w:rPr>
          <w:rFonts w:cs="Arial"/>
          <w:b/>
        </w:rPr>
        <w:fldChar w:fldCharType="end"/>
      </w:r>
      <w:r w:rsidRPr="00857842">
        <w:rPr>
          <w:rFonts w:cs="Arial"/>
          <w:b/>
        </w:rPr>
        <w:t xml:space="preserve">). </w:t>
      </w:r>
      <w:r w:rsidRPr="00857842">
        <w:rPr>
          <w:rFonts w:cs="Arial"/>
        </w:rPr>
        <w:t xml:space="preserve">Similar to OVCAR-8 spheroids, </w:t>
      </w:r>
      <w:r w:rsidRPr="00857842">
        <w:rPr>
          <w:rFonts w:cs="Arial"/>
        </w:rPr>
        <w:lastRenderedPageBreak/>
        <w:t>OSW-1 inhibited SKOV-3 spheroid viability in a dose-dependent manner with 50% cell death at 1 nM, comparable to the 2D model (GI</w:t>
      </w:r>
      <w:r w:rsidRPr="00857842">
        <w:rPr>
          <w:rFonts w:cs="Arial"/>
          <w:vertAlign w:val="subscript"/>
        </w:rPr>
        <w:t>50</w:t>
      </w:r>
      <w:r w:rsidRPr="00857842">
        <w:rPr>
          <w:rFonts w:cs="Arial"/>
        </w:rPr>
        <w:t xml:space="preserve"> 4.0 nM) </w:t>
      </w:r>
      <w:r w:rsidRPr="00B63FA6">
        <w:rPr>
          <w:rFonts w:cs="Arial"/>
          <w:b/>
        </w:rPr>
        <w:t>(</w:t>
      </w:r>
      <w:r w:rsidR="000F62B4" w:rsidRPr="000849BF">
        <w:rPr>
          <w:rFonts w:cs="Arial"/>
          <w:b/>
        </w:rPr>
        <w:fldChar w:fldCharType="begin"/>
      </w:r>
      <w:r w:rsidR="000F62B4" w:rsidRPr="00242945">
        <w:rPr>
          <w:rFonts w:cs="Arial"/>
          <w:b/>
        </w:rPr>
        <w:instrText xml:space="preserve"> REF _Ref37253983 \h </w:instrText>
      </w:r>
      <w:r w:rsidR="00242945" w:rsidRPr="000849BF">
        <w:rPr>
          <w:rFonts w:cs="Arial"/>
          <w:b/>
        </w:rPr>
        <w:instrText xml:space="preserve"> \* MERGEFORMAT </w:instrText>
      </w:r>
      <w:r w:rsidR="000F62B4" w:rsidRPr="000849BF">
        <w:rPr>
          <w:rFonts w:cs="Arial"/>
          <w:b/>
        </w:rPr>
      </w:r>
      <w:r w:rsidR="000F62B4" w:rsidRPr="000849BF">
        <w:rPr>
          <w:rFonts w:cs="Arial"/>
          <w:b/>
        </w:rPr>
        <w:fldChar w:fldCharType="separate"/>
      </w:r>
      <w:r w:rsidR="000F62B4" w:rsidRPr="000849BF">
        <w:rPr>
          <w:b/>
        </w:rPr>
        <w:t xml:space="preserve">Figure </w:t>
      </w:r>
      <w:r w:rsidR="000F62B4" w:rsidRPr="000849BF">
        <w:rPr>
          <w:b/>
          <w:noProof/>
        </w:rPr>
        <w:t>17</w:t>
      </w:r>
      <w:r w:rsidR="000F62B4" w:rsidRPr="000849BF">
        <w:rPr>
          <w:rFonts w:cs="Arial"/>
          <w:b/>
        </w:rPr>
        <w:fldChar w:fldCharType="end"/>
      </w:r>
      <w:r w:rsidRPr="00857842">
        <w:rPr>
          <w:rFonts w:cs="Arial"/>
          <w:b/>
        </w:rPr>
        <w:t xml:space="preserve">). </w:t>
      </w:r>
      <w:r w:rsidRPr="00857842">
        <w:rPr>
          <w:rFonts w:cs="Arial"/>
          <w:bCs/>
        </w:rPr>
        <w:t xml:space="preserve">Furthermore, </w:t>
      </w:r>
      <w:r w:rsidRPr="00857842">
        <w:rPr>
          <w:rFonts w:cs="Arial"/>
        </w:rPr>
        <w:t>paclitaxel and cisplatin treated spheroids maintained their compact spheroid structure for the initial 48 h even at 1 mM concentration, however OSW-1 treatment clearly indicated disruption of spheroid boundaries around 10 nM which is 100-times lower than paclitaxel and cisplatin</w:t>
      </w:r>
      <w:r w:rsidR="00503C70">
        <w:rPr>
          <w:rFonts w:cs="Arial"/>
        </w:rPr>
        <w:t xml:space="preserve">. </w:t>
      </w:r>
      <w:r w:rsidRPr="00857842">
        <w:rPr>
          <w:rFonts w:cs="Arial"/>
        </w:rPr>
        <w:t xml:space="preserve">These results indicate that OSW-1 is a potent cytotoxic agent of </w:t>
      </w:r>
      <w:r w:rsidRPr="00857842">
        <w:rPr>
          <w:rFonts w:cs="Arial"/>
          <w:i/>
        </w:rPr>
        <w:t>in vitro</w:t>
      </w:r>
      <w:r w:rsidRPr="00857842">
        <w:rPr>
          <w:rFonts w:cs="Arial"/>
        </w:rPr>
        <w:t xml:space="preserve"> generated ovarian cancer spheroids, showing toxicity even when the SOC paclitaxel and cisplatin are incapable of inducing cell death. </w:t>
      </w:r>
    </w:p>
    <w:p w14:paraId="137E76CD" w14:textId="77777777" w:rsidR="00F01888" w:rsidRDefault="00F01888" w:rsidP="00F01888">
      <w:pPr>
        <w:ind w:firstLine="720"/>
        <w:jc w:val="both"/>
        <w:rPr>
          <w:rFonts w:cs="Arial"/>
        </w:rPr>
      </w:pPr>
    </w:p>
    <w:p w14:paraId="6BD2608B" w14:textId="4C5B1411" w:rsidR="00F01888" w:rsidRPr="00F01888" w:rsidRDefault="00F01888" w:rsidP="00F01888">
      <w:pPr>
        <w:pStyle w:val="Heading3"/>
      </w:pPr>
      <w:bookmarkStart w:id="150" w:name="_Toc39868183"/>
      <w:r w:rsidRPr="00F01888">
        <w:t>3.</w:t>
      </w:r>
      <w:r w:rsidR="00242945">
        <w:t>3</w:t>
      </w:r>
      <w:r w:rsidR="0006200A">
        <w:t>.5</w:t>
      </w:r>
      <w:r w:rsidRPr="00F01888">
        <w:t xml:space="preserve"> OSW-1 toxicity is independent of OSBP degradation and correlates with ORP4L levels.</w:t>
      </w:r>
      <w:bookmarkEnd w:id="150"/>
      <w:r w:rsidRPr="00F01888">
        <w:t xml:space="preserve"> </w:t>
      </w:r>
    </w:p>
    <w:p w14:paraId="7D6E840D" w14:textId="0EC43C5C" w:rsidR="00857842" w:rsidRDefault="00857842" w:rsidP="00F01888">
      <w:pPr>
        <w:ind w:firstLine="720"/>
        <w:jc w:val="both"/>
        <w:rPr>
          <w:rFonts w:cs="Arial"/>
          <w:bCs/>
          <w:iCs/>
        </w:rPr>
      </w:pPr>
      <w:r w:rsidRPr="00857842">
        <w:rPr>
          <w:rFonts w:cs="Arial"/>
          <w:bCs/>
          <w:iCs/>
        </w:rPr>
        <w:t>To address the mechanism of OSW-1 toxicity, both the OSBP and ORP4 levels were analyzed upon different concentration treatments of OSW-1 in both SKOV-3 and OVCAR-8 2D and 3D cultures following 48 h of treatment. Previous studies have demonstrated that low dose OSW-1 treatment (1 nM) results in selective degradation of the OSBP protein in a monolayer cell model</w:t>
      </w:r>
      <w:r w:rsidRPr="00857842">
        <w:rPr>
          <w:rFonts w:cs="Arial"/>
          <w:bCs/>
          <w:iCs/>
        </w:rPr>
        <w:fldChar w:fldCharType="begin" w:fldLock="1"/>
      </w:r>
      <w:r w:rsidR="006B01D5">
        <w:rPr>
          <w:rFonts w:cs="Arial"/>
          <w:bCs/>
          <w:iCs/>
        </w:rPr>
        <w:instrText>ADDIN CSL_CITATION { "citationItems" : [ { "id" : "ITEM-1", "itemData" : { "DOI" : "10.1038/nchembio.625", "ISBN" : "1552-4469 (Electronic)\\n1552-4450 (Linking)", "ISSN" : "1552-4450", "PMID" : "21822274", "abstract" : "Cephalostatin 1, OSW-1, ritterazine B and schweinfurthin A are natural products that potently, and in some cases selectively, inhibit the growth of cultured human cancer cell lines. The cellular targets of these small molecules have yet to be identified. We have discovered that these molecules target oxysterol binding protein (OSBP) and its closest paralog, OSBP-related protein 4L (ORP4L)\u2014proteins not known to be involved in cancer cell survival. OSBP and the ORPs constitute an evolutionarily conserved protein superfamily, members of which have been implicated in signal transduction, lipid transport and lipid metabolism. The functions of OSBP and the ORPs, however, remain largely enigmatic. Based on our findings, we have named the aforementioned natural products ORPphilins. Here we used ORPphilins to reveal new cellular activities of OSBP. The ORPphilins are powerful probes of OSBP and ORP4L that will be useful in uncovering their cellular functions and their roles in human diseases. C", "author" : [ { "dropping-particle" : "", "family" : "Burgett", "given" : "Anthony W G", "non-dropping-particle" : "", "parse-names" : false, "suffix" : "" }, { "dropping-particle" : "", "family" : "Poulsen", "given" : "Thomas B", "non-dropping-particle" : "", "parse-names" : false, "suffix" : "" }, { "dropping-particle" : "", "family" : "Wangkanont", "given" : "Kittikhun", "non-dropping-particle" : "", "parse-names" : false, "suffix" : "" }, { "dropping-particle" : "", "family" : "Anderson", "given" : "D Ryan", "non-dropping-particle" : "", "parse-names" : false, "suffix" : "" }, { "dropping-particle" : "", "family" : "Kikuchi", "given" : "Chikako", "non-dropping-particle" : "", "parse-names" : false, "suffix" : "" }, { "dropping-particle" : "", "family" : "Shimada", "given" : "Kousei", "non-dropping-particle" : "", "parse-names" : false, "suffix" : "" }, { "dropping-particle" : "", "family" : "Okubo", "given" : "Shuichi", "non-dropping-particle" : "", "parse-names" : false, "suffix" : "" }, { "dropping-particle" : "", "family" : "Fortner", "given" : "Kevin C", "non-dropping-particle" : "", "parse-names" : false, "suffix" : "" }, { "dropping-particle" : "", "family" : "Mimaki", "given" : "Yoshihiro", "non-dropping-particle" : "", "parse-names" : false, "suffix" : "" }, { "dropping-particle" : "", "family" : "Kuroda", "given" : "Minpei", "non-dropping-particle" : "", "parse-names" : false, "suffix" : "" }, { "dropping-particle" : "", "family" : "Murphy", "given" : "Jason P", "non-dropping-particle" : "", "parse-names" : false, "suffix" : "" }, { "dropping-particle" : "", "family" : "Schwalb", "given" : "David J", "non-dropping-particle" : "", "parse-names" : false, "suffix" : "" }, { "dropping-particle" : "", "family" : "Petrella", "given" : "Eugene C", "non-dropping-particle" : "", "parse-names" : false, "suffix" : "" }, { "dropping-particle" : "", "family" : "Cornella-Taracido", "given" : "Ivan", "non-dropping-particle" : "", "parse-names" : false, "suffix" : "" }, { "dropping-particle" : "", "family" : "Schirle", "given" : "Markus", "non-dropping-particle" : "", "parse-names" : false, "suffix" : "" }, { "dropping-particle" : "", "family" : "Tallarico", "given" : "John A", "non-dropping-particle" : "", "parse-names" : false, "suffix" : "" }, { "dropping-particle" : "", "family" : "Shair", "given" : "Matthew D", "non-dropping-particle" : "", "parse-names" : false, "suffix" : "" } ], "container-title" : "Nature Chemical Biology", "id" : "ITEM-1", "issue" : "9", "issued" : { "date-parts" : [ [ "2011" ] ] }, "page" : "639-647", "publisher" : "Nature Publishing Group", "title" : "Natural products reveal cancer cell dependence on oxysterol-binding proteins", "type" : "article-journal", "volume" : "7" }, "uris" : [ "http://www.mendeley.com/documents/?uuid=6f2c64f6-deec-4de5-97a1-26ddf6c57098" ] }, { "id" : "ITEM-2", "itemData" : { "DOI" : "10.1021/acschembio.8b00984", "ISSN" : "1554-8929",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 "given" : "Anh T.", "non-dropping-particle" : "", "parse-names" : false, "suffix" : "" }, { "dropping-particle" : "", "family" : "Kothapalli", "given" : "Naga Rama", "non-dropping-particle" : "", "parse-names" : false, "suffix" : "" }, { "dropping-particle" : "", "family" : "Nu\u00f1ez", "given" : "Juan I.", "non-dropping-particle" : "", "parse-names" : false, "suffix" : "" }, { "dropping-particle" : "", "family" : "Ma", "given" : "Hongyan", "non-dropping-particle" : "", "parse-names" : false, "suffix" : "" }, { "dropping-particle" : "", "family" : "Wu", "given" : "Si", "non-dropping-particle" : "", "parse-names" : false, "suffix" : "" }, { "dropping-particle" : "", "family" : "Standke", "given" : "Shawna J.", "non-dropping-particle" : "", "parse-names" : false, "suffix" : "" }, { "dropping-particle" : "", "family" : "Yang", "given" : "Zhibo",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 G.", "non-dropping-particle" : "", "parse-names" : false, "suffix" : "" } ], "container-title" : "ACS Chemical Biology", "id" : "ITEM-2", "issue" : "2", "issued" : { "date-parts" : [ [ "2019", "2", "15" ] ] }, "page" : "276-287", "title" : "Transient Compound Treatment Induces a Multigenerational Reduction of Oxysterol-Binding Protein (OSBP) Levels and Prophylactic Antiviral Activity", "type" : "article-journal", "volume" : "14" }, "uris" : [ "http://www.mendeley.com/documents/?uuid=79790f4e-ff37-3681-b884-2fd618f8f424" ] } ], "mendeley" : { "formattedCitation" : "&lt;sup&gt;60,90&lt;/sup&gt;", "plainTextFormattedCitation" : "60,90", "previouslyFormattedCitation" : "&lt;sup&gt;60,90&lt;/sup&gt;" }, "properties" : { "noteIndex" : 0 }, "schema" : "https://github.com/citation-style-language/schema/raw/master/csl-citation.json" }</w:instrText>
      </w:r>
      <w:r w:rsidRPr="00857842">
        <w:rPr>
          <w:rFonts w:cs="Arial"/>
          <w:bCs/>
          <w:iCs/>
        </w:rPr>
        <w:fldChar w:fldCharType="separate"/>
      </w:r>
      <w:r w:rsidR="006B01D5" w:rsidRPr="006B01D5">
        <w:rPr>
          <w:rFonts w:cs="Arial"/>
          <w:bCs/>
          <w:iCs/>
          <w:noProof/>
          <w:vertAlign w:val="superscript"/>
        </w:rPr>
        <w:t>60,90</w:t>
      </w:r>
      <w:r w:rsidRPr="00857842">
        <w:rPr>
          <w:rFonts w:cs="Arial"/>
          <w:bCs/>
          <w:iCs/>
        </w:rPr>
        <w:fldChar w:fldCharType="end"/>
      </w:r>
      <w:r w:rsidRPr="00857842">
        <w:rPr>
          <w:rFonts w:cs="Arial"/>
          <w:bCs/>
          <w:iCs/>
        </w:rPr>
        <w:t xml:space="preserve">. We also observed &gt;60% OSBP degradation with as little as 0.1 nM OSW-1 for 48 h in both a 2D and 3D model with no signs of toxicity </w:t>
      </w:r>
      <w:r w:rsidR="00FE354B" w:rsidRPr="000849BF">
        <w:rPr>
          <w:rFonts w:cs="Arial"/>
          <w:b/>
          <w:iCs/>
        </w:rPr>
        <w:t>(</w:t>
      </w:r>
      <w:r w:rsidR="000F62B4" w:rsidRPr="000849BF">
        <w:rPr>
          <w:rFonts w:cs="Arial"/>
          <w:b/>
          <w:iCs/>
        </w:rPr>
        <w:fldChar w:fldCharType="begin"/>
      </w:r>
      <w:r w:rsidR="000F62B4" w:rsidRPr="000849BF">
        <w:rPr>
          <w:rFonts w:cs="Arial"/>
          <w:b/>
          <w:iCs/>
        </w:rPr>
        <w:instrText xml:space="preserve"> REF _Ref37256720 \h </w:instrText>
      </w:r>
      <w:r w:rsidR="00242945" w:rsidRPr="00242945">
        <w:rPr>
          <w:rFonts w:cs="Arial"/>
          <w:b/>
          <w:iCs/>
        </w:rPr>
        <w:instrText xml:space="preserve"> \* MERGEFORMAT </w:instrText>
      </w:r>
      <w:r w:rsidR="000F62B4" w:rsidRPr="000849BF">
        <w:rPr>
          <w:rFonts w:cs="Arial"/>
          <w:b/>
          <w:iCs/>
        </w:rPr>
      </w:r>
      <w:r w:rsidR="000F62B4" w:rsidRPr="000849BF">
        <w:rPr>
          <w:rFonts w:cs="Arial"/>
          <w:b/>
          <w:iCs/>
        </w:rPr>
        <w:fldChar w:fldCharType="separate"/>
      </w:r>
      <w:r w:rsidR="000F62B4" w:rsidRPr="000849BF">
        <w:rPr>
          <w:b/>
        </w:rPr>
        <w:t xml:space="preserve">Figure </w:t>
      </w:r>
      <w:r w:rsidR="000F62B4" w:rsidRPr="000849BF">
        <w:rPr>
          <w:b/>
          <w:noProof/>
        </w:rPr>
        <w:t>18</w:t>
      </w:r>
      <w:r w:rsidR="000F62B4" w:rsidRPr="000849BF">
        <w:rPr>
          <w:rFonts w:cs="Arial"/>
          <w:b/>
          <w:iCs/>
        </w:rPr>
        <w:fldChar w:fldCharType="end"/>
      </w:r>
      <w:r w:rsidRPr="00857842">
        <w:rPr>
          <w:rFonts w:cs="Arial"/>
          <w:b/>
          <w:bCs/>
          <w:iCs/>
        </w:rPr>
        <w:t>)</w:t>
      </w:r>
      <w:r w:rsidRPr="00857842">
        <w:rPr>
          <w:rFonts w:cs="Arial"/>
          <w:bCs/>
          <w:iCs/>
        </w:rPr>
        <w:t xml:space="preserve">. An increasing amount of OSW-1 compound (i.e, 1.0 nM and 1.0 µM) resulted in a non-significant difference in OSBP levels compared to the 0.1 nM treatment (p value &gt; 0.05) </w:t>
      </w:r>
      <w:r w:rsidRPr="00242945">
        <w:rPr>
          <w:rFonts w:cs="Arial"/>
          <w:b/>
          <w:bCs/>
          <w:iCs/>
        </w:rPr>
        <w:t>(</w:t>
      </w:r>
      <w:r w:rsidR="00967A50" w:rsidRPr="000849BF">
        <w:rPr>
          <w:rFonts w:cs="Arial"/>
          <w:b/>
          <w:bCs/>
          <w:iCs/>
        </w:rPr>
        <w:fldChar w:fldCharType="begin"/>
      </w:r>
      <w:r w:rsidR="00967A50" w:rsidRPr="00242945">
        <w:rPr>
          <w:rFonts w:cs="Arial"/>
          <w:b/>
          <w:bCs/>
          <w:iCs/>
        </w:rPr>
        <w:instrText xml:space="preserve"> REF _Ref37256720 \h </w:instrText>
      </w:r>
      <w:r w:rsidR="00242945" w:rsidRPr="000849BF">
        <w:rPr>
          <w:rFonts w:cs="Arial"/>
          <w:b/>
          <w:bCs/>
          <w:iCs/>
        </w:rPr>
        <w:instrText xml:space="preserve"> \* MERGEFORMAT </w:instrText>
      </w:r>
      <w:r w:rsidR="00967A50" w:rsidRPr="000849BF">
        <w:rPr>
          <w:rFonts w:cs="Arial"/>
          <w:b/>
          <w:bCs/>
          <w:iCs/>
        </w:rPr>
      </w:r>
      <w:r w:rsidR="00967A50" w:rsidRPr="000849BF">
        <w:rPr>
          <w:rFonts w:cs="Arial"/>
          <w:b/>
          <w:bCs/>
          <w:iCs/>
        </w:rPr>
        <w:fldChar w:fldCharType="separate"/>
      </w:r>
      <w:r w:rsidR="00967A50" w:rsidRPr="000849BF">
        <w:rPr>
          <w:b/>
          <w:bCs/>
        </w:rPr>
        <w:t xml:space="preserve">Figure </w:t>
      </w:r>
      <w:r w:rsidR="00967A50" w:rsidRPr="000849BF">
        <w:rPr>
          <w:b/>
          <w:bCs/>
          <w:noProof/>
        </w:rPr>
        <w:t>18</w:t>
      </w:r>
      <w:r w:rsidR="00967A50" w:rsidRPr="000849BF">
        <w:rPr>
          <w:rFonts w:cs="Arial"/>
          <w:b/>
          <w:bCs/>
          <w:iCs/>
        </w:rPr>
        <w:fldChar w:fldCharType="end"/>
      </w:r>
      <w:r w:rsidRPr="00857842">
        <w:rPr>
          <w:rFonts w:cs="Arial"/>
          <w:b/>
          <w:bCs/>
          <w:iCs/>
        </w:rPr>
        <w:t>)</w:t>
      </w:r>
      <w:r w:rsidRPr="00857842">
        <w:rPr>
          <w:rFonts w:cs="Arial"/>
          <w:bCs/>
          <w:iCs/>
        </w:rPr>
        <w:t xml:space="preserve">. ORP4L protein levels, however, correlated closely with the viability of the cells in a 2D model, resulting in an OSW-1 concentration dependent degradation of the protein </w:t>
      </w:r>
      <w:r w:rsidRPr="00857842">
        <w:rPr>
          <w:rFonts w:cs="Arial"/>
          <w:b/>
          <w:bCs/>
          <w:iCs/>
        </w:rPr>
        <w:t>(</w:t>
      </w:r>
      <w:r w:rsidR="00967A50" w:rsidRPr="000849BF">
        <w:rPr>
          <w:rFonts w:cs="Arial"/>
          <w:b/>
          <w:bCs/>
          <w:iCs/>
        </w:rPr>
        <w:fldChar w:fldCharType="begin"/>
      </w:r>
      <w:r w:rsidR="00967A50" w:rsidRPr="00242945">
        <w:rPr>
          <w:rFonts w:cs="Arial"/>
          <w:b/>
          <w:bCs/>
          <w:iCs/>
        </w:rPr>
        <w:instrText xml:space="preserve"> REF _Ref37256720 \h </w:instrText>
      </w:r>
      <w:r w:rsidR="00242945" w:rsidRPr="000849BF">
        <w:rPr>
          <w:rFonts w:cs="Arial"/>
          <w:b/>
          <w:bCs/>
          <w:iCs/>
        </w:rPr>
        <w:instrText xml:space="preserve"> \* MERGEFORMAT </w:instrText>
      </w:r>
      <w:r w:rsidR="00967A50" w:rsidRPr="000849BF">
        <w:rPr>
          <w:rFonts w:cs="Arial"/>
          <w:b/>
          <w:bCs/>
          <w:iCs/>
        </w:rPr>
      </w:r>
      <w:r w:rsidR="00967A50" w:rsidRPr="000849BF">
        <w:rPr>
          <w:rFonts w:cs="Arial"/>
          <w:b/>
          <w:bCs/>
          <w:iCs/>
        </w:rPr>
        <w:fldChar w:fldCharType="separate"/>
      </w:r>
      <w:r w:rsidR="00967A50" w:rsidRPr="000849BF">
        <w:rPr>
          <w:b/>
          <w:bCs/>
        </w:rPr>
        <w:t xml:space="preserve">Figure </w:t>
      </w:r>
      <w:r w:rsidR="00967A50" w:rsidRPr="000849BF">
        <w:rPr>
          <w:b/>
          <w:bCs/>
          <w:noProof/>
        </w:rPr>
        <w:t>18</w:t>
      </w:r>
      <w:r w:rsidR="00967A50" w:rsidRPr="000849BF">
        <w:rPr>
          <w:rFonts w:cs="Arial"/>
          <w:b/>
          <w:bCs/>
          <w:iCs/>
        </w:rPr>
        <w:fldChar w:fldCharType="end"/>
      </w:r>
      <w:r w:rsidRPr="00857842">
        <w:rPr>
          <w:rFonts w:cs="Arial"/>
          <w:b/>
          <w:bCs/>
          <w:iCs/>
        </w:rPr>
        <w:t xml:space="preserve">). </w:t>
      </w:r>
      <w:r w:rsidRPr="00857842">
        <w:rPr>
          <w:rFonts w:cs="Arial"/>
          <w:bCs/>
          <w:iCs/>
        </w:rPr>
        <w:t xml:space="preserve">The degradation of ORP4L was also evident in a 3D cell model correlating to viability in an OSW-1 dependent manner with </w:t>
      </w:r>
      <w:r w:rsidRPr="00857842">
        <w:rPr>
          <w:rFonts w:cs="Arial"/>
          <w:bCs/>
          <w:iCs/>
        </w:rPr>
        <w:lastRenderedPageBreak/>
        <w:t xml:space="preserve">&gt; 80% protein degradation at 1 μM in both SKOV-3 and OVCAR-8 spheroids </w:t>
      </w:r>
      <w:r w:rsidR="00FE354B">
        <w:rPr>
          <w:rFonts w:cs="Arial"/>
          <w:bCs/>
          <w:iCs/>
        </w:rPr>
        <w:t>(</w:t>
      </w:r>
      <w:r w:rsidR="00967A50" w:rsidRPr="000849BF">
        <w:rPr>
          <w:rFonts w:cs="Arial"/>
          <w:b/>
          <w:bCs/>
          <w:iCs/>
        </w:rPr>
        <w:fldChar w:fldCharType="begin"/>
      </w:r>
      <w:r w:rsidR="00967A50" w:rsidRPr="000849BF">
        <w:rPr>
          <w:rFonts w:cs="Arial"/>
          <w:b/>
          <w:bCs/>
          <w:iCs/>
        </w:rPr>
        <w:instrText xml:space="preserve"> REF _Ref37256720 \h </w:instrText>
      </w:r>
      <w:r w:rsidR="00242945" w:rsidRPr="000849BF">
        <w:rPr>
          <w:rFonts w:cs="Arial"/>
          <w:b/>
          <w:bCs/>
          <w:iCs/>
        </w:rPr>
        <w:instrText xml:space="preserve"> \* MERGEFORMAT </w:instrText>
      </w:r>
      <w:r w:rsidR="00967A50" w:rsidRPr="000849BF">
        <w:rPr>
          <w:rFonts w:cs="Arial"/>
          <w:b/>
          <w:bCs/>
          <w:iCs/>
        </w:rPr>
      </w:r>
      <w:r w:rsidR="00967A50" w:rsidRPr="000849BF">
        <w:rPr>
          <w:rFonts w:cs="Arial"/>
          <w:b/>
          <w:bCs/>
          <w:iCs/>
        </w:rPr>
        <w:fldChar w:fldCharType="separate"/>
      </w:r>
      <w:r w:rsidR="00967A50" w:rsidRPr="000849BF">
        <w:rPr>
          <w:b/>
          <w:bCs/>
        </w:rPr>
        <w:t xml:space="preserve">Figure </w:t>
      </w:r>
      <w:r w:rsidR="00967A50" w:rsidRPr="000849BF">
        <w:rPr>
          <w:b/>
          <w:bCs/>
          <w:noProof/>
        </w:rPr>
        <w:t>18</w:t>
      </w:r>
      <w:r w:rsidR="00967A50" w:rsidRPr="000849BF">
        <w:rPr>
          <w:rFonts w:cs="Arial"/>
          <w:b/>
          <w:bCs/>
          <w:iCs/>
        </w:rPr>
        <w:fldChar w:fldCharType="end"/>
      </w:r>
      <w:r w:rsidRPr="00242945">
        <w:rPr>
          <w:rFonts w:cs="Arial"/>
          <w:b/>
          <w:bCs/>
          <w:iCs/>
        </w:rPr>
        <w:t xml:space="preserve">, </w:t>
      </w:r>
      <w:r w:rsidR="00967A50" w:rsidRPr="000849BF">
        <w:rPr>
          <w:rFonts w:cs="Arial"/>
          <w:b/>
          <w:bCs/>
          <w:iCs/>
        </w:rPr>
        <w:fldChar w:fldCharType="begin"/>
      </w:r>
      <w:r w:rsidR="00967A50" w:rsidRPr="00242945">
        <w:rPr>
          <w:rFonts w:cs="Arial"/>
          <w:b/>
          <w:bCs/>
          <w:iCs/>
        </w:rPr>
        <w:instrText xml:space="preserve"> REF _Ref37253983 \h </w:instrText>
      </w:r>
      <w:r w:rsidR="00242945" w:rsidRPr="000849BF">
        <w:rPr>
          <w:rFonts w:cs="Arial"/>
          <w:b/>
          <w:bCs/>
          <w:iCs/>
        </w:rPr>
        <w:instrText xml:space="preserve"> \* MERGEFORMAT </w:instrText>
      </w:r>
      <w:r w:rsidR="00967A50" w:rsidRPr="000849BF">
        <w:rPr>
          <w:rFonts w:cs="Arial"/>
          <w:b/>
          <w:bCs/>
          <w:iCs/>
        </w:rPr>
      </w:r>
      <w:r w:rsidR="00967A50" w:rsidRPr="000849BF">
        <w:rPr>
          <w:rFonts w:cs="Arial"/>
          <w:b/>
          <w:bCs/>
          <w:iCs/>
        </w:rPr>
        <w:fldChar w:fldCharType="separate"/>
      </w:r>
      <w:r w:rsidR="00967A50" w:rsidRPr="000849BF">
        <w:rPr>
          <w:b/>
          <w:bCs/>
        </w:rPr>
        <w:t xml:space="preserve">Figure </w:t>
      </w:r>
      <w:r w:rsidR="00967A50" w:rsidRPr="000849BF">
        <w:rPr>
          <w:b/>
          <w:bCs/>
          <w:noProof/>
        </w:rPr>
        <w:t>17</w:t>
      </w:r>
      <w:r w:rsidR="00967A50" w:rsidRPr="000849BF">
        <w:rPr>
          <w:rFonts w:cs="Arial"/>
          <w:b/>
          <w:bCs/>
          <w:iCs/>
        </w:rPr>
        <w:fldChar w:fldCharType="end"/>
      </w:r>
      <w:r w:rsidR="00967A50">
        <w:rPr>
          <w:rFonts w:cs="Arial"/>
          <w:b/>
          <w:bCs/>
          <w:iCs/>
        </w:rPr>
        <w:t xml:space="preserve">). </w:t>
      </w:r>
      <w:r w:rsidRPr="00857842">
        <w:rPr>
          <w:rFonts w:cs="Arial"/>
          <w:bCs/>
          <w:iCs/>
        </w:rPr>
        <w:t>The higher levels of degradation of the ORP4 protein upon 1.0 µM treatment in OVCAR-8 spheroids (87%) compared to the monolayer (63%), could suggest a rationale into its increased toxicity to the OSW-1 compound in a 3D model. Furthermore, the lower, but not significant (p value &gt; 0.0.5) levels of the OSBP and ORP4L protein in OVCAR-8 spheroids compared to monolayer could also influence the increase toxicity to OSW-1</w:t>
      </w:r>
      <w:r w:rsidR="0048048E">
        <w:rPr>
          <w:rFonts w:cs="Arial"/>
          <w:bCs/>
          <w:iCs/>
        </w:rPr>
        <w:t>.</w:t>
      </w:r>
      <w:r w:rsidRPr="00857842">
        <w:rPr>
          <w:rFonts w:cs="Arial"/>
          <w:bCs/>
          <w:iCs/>
        </w:rPr>
        <w:t xml:space="preserve"> Together, these results demonstrate an OSBP independent cytotoxicity mechanism of action, suggesting that the degradation of the ORP4L protein due to OSW-1 compound binding correlates with cellular viability </w:t>
      </w:r>
      <w:r w:rsidRPr="00857842">
        <w:rPr>
          <w:rFonts w:cs="Arial"/>
          <w:bCs/>
          <w:i/>
          <w:iCs/>
        </w:rPr>
        <w:t>in vitro</w:t>
      </w:r>
      <w:r w:rsidRPr="00857842">
        <w:rPr>
          <w:rFonts w:cs="Arial"/>
          <w:bCs/>
          <w:iCs/>
        </w:rPr>
        <w:t xml:space="preserve">. </w:t>
      </w:r>
    </w:p>
    <w:p w14:paraId="538E3339" w14:textId="77777777" w:rsidR="00F01888" w:rsidRDefault="00F01888" w:rsidP="00F01888">
      <w:pPr>
        <w:ind w:firstLine="720"/>
        <w:jc w:val="both"/>
        <w:rPr>
          <w:rFonts w:cs="Arial"/>
          <w:bCs/>
          <w:iCs/>
        </w:rPr>
      </w:pPr>
    </w:p>
    <w:p w14:paraId="361FC9B3" w14:textId="6366DC8E" w:rsidR="00F01888" w:rsidRPr="00F01888" w:rsidRDefault="00F01888" w:rsidP="00F01888">
      <w:pPr>
        <w:pStyle w:val="Heading3"/>
      </w:pPr>
      <w:bookmarkStart w:id="151" w:name="_Toc39868184"/>
      <w:r w:rsidRPr="00F01888">
        <w:t>3.</w:t>
      </w:r>
      <w:r w:rsidR="00242945">
        <w:t>3</w:t>
      </w:r>
      <w:r w:rsidR="0006200A">
        <w:t>.6</w:t>
      </w:r>
      <w:r w:rsidRPr="00F01888">
        <w:t xml:space="preserve"> OSW-1 toxicity is regulated based on extracellular lipids.</w:t>
      </w:r>
      <w:bookmarkEnd w:id="151"/>
      <w:r w:rsidRPr="00F01888">
        <w:t xml:space="preserve"> </w:t>
      </w:r>
    </w:p>
    <w:p w14:paraId="1FAC860B" w14:textId="373F3F1A" w:rsidR="00D67ADC" w:rsidRDefault="00857842" w:rsidP="00F01888">
      <w:pPr>
        <w:ind w:firstLine="720"/>
        <w:jc w:val="both"/>
        <w:rPr>
          <w:rFonts w:cs="Arial"/>
        </w:rPr>
      </w:pPr>
      <w:r w:rsidRPr="00857842">
        <w:rPr>
          <w:rFonts w:cs="Arial"/>
          <w:i/>
          <w:iCs/>
        </w:rPr>
        <w:t>In vivo</w:t>
      </w:r>
      <w:r w:rsidRPr="00857842">
        <w:rPr>
          <w:rFonts w:cs="Arial"/>
        </w:rPr>
        <w:t xml:space="preserve"> tumors are increasingly characterized by having hypoxi</w:t>
      </w:r>
      <w:r w:rsidR="00236623">
        <w:rPr>
          <w:rFonts w:cs="Arial"/>
        </w:rPr>
        <w:t>c</w:t>
      </w:r>
      <w:r w:rsidRPr="00857842">
        <w:rPr>
          <w:rFonts w:cs="Arial"/>
        </w:rPr>
        <w:t xml:space="preserve"> conditions and nutrient gradients in accordance with their distance from the nearest vasculature, this includes essential amino acids and sugars, but also lipids</w:t>
      </w:r>
      <w:r w:rsidRPr="00857842">
        <w:rPr>
          <w:rFonts w:cs="Arial"/>
        </w:rPr>
        <w:fldChar w:fldCharType="begin" w:fldLock="1"/>
      </w:r>
      <w:r w:rsidR="000849BF">
        <w:rPr>
          <w:rFonts w:cs="Arial"/>
        </w:rPr>
        <w:instrText>ADDIN CSL_CITATION { "citationItems" : [ { "id" : "ITEM-1", "itemData" : { "DOI" : "10.1038/onc.2014.439", "ISSN" : "14765594", "abstract" : "Oxygen and nutrient limitation are common features of the tumor microenvironment and are associated with cancer progression and induction of metastasis. The inefficient vascularization of tumor tissue also limits the penetration of other serum-derived factors, such as lipids and lipoproteins, which can be rate limiting for cell proliferation and survival. Here we have investigated the effect of hypoxia and serum deprivation on sterol regulatory element-binding protein (SREBP) activity and the expression of lipid metabolism genes in human glioblastoma multiforme (GBM) cancer cells. We found that SREBP transcriptional activity was induced by serum depletion both in normoxic and hypoxic cells and that activation of SREBP was required to maintain the expression of fatty acid and cholesterol metabolism genes under hypoxic conditions. Moreover, expression of stearoyl-CoA desaturase, the enzyme required for the generation of mono-unsaturated fatty acids, and fatty acid-binding protein 7, a regulator of glioma stem cell function, was strongly dependent on SREBP function. Inhibition of SREBP function blocked lipid biosynthesis in hypoxic cancer cells and impaired cell survival under hypoxia and in a three-dimensional spheroid model. Finally, gene expression analysis revealed that SREBP defines a gene signature that is associated with poor survival in glioblastoma.", "author" : [ { "dropping-particle" : "", "family" : "Lewis", "given" : "C. A.", "non-dropping-particle" : "", "parse-names" : false, "suffix" : "" }, { "dropping-particle" : "", "family" : "Brault", "given" : "C.", "non-dropping-particle" : "", "parse-names" : false, "suffix" : "" }, { "dropping-particle" : "", "family" : "Peck", "given" : "B.", "non-dropping-particle" : "", "parse-names" : false, "suffix" : "" }, { "dropping-particle" : "", "family" : "Bensaad", "given" : "K.", "non-dropping-particle" : "", "parse-names" : false, "suffix" : "" }, { "dropping-particle" : "", "family" : "Griffiths", "given" : "B.", "non-dropping-particle" : "", "parse-names" : false, "suffix" : "" }, { "dropping-particle" : "", "family" : "Mitter", "given" : "R.", "non-dropping-particle" : "", "parse-names" : false, "suffix" : "" }, { "dropping-particle" : "", "family" : "Chakravarty", "given" : "P.", "non-dropping-particle" : "", "parse-names" : false, "suffix" : "" }, { "dropping-particle" : "", "family" : "East", "given" : "P.", "non-dropping-particle" : "", "parse-names" : false, "suffix" : "" }, { "dropping-particle" : "", "family" : "Dankworth", "given" : "B.", "non-dropping-particle" : "", "parse-names" : false, "suffix" : "" }, { "dropping-particle" : "", "family" : "Alibhai", "given" : "D.", "non-dropping-particle" : "", "parse-names" : false, "suffix" : "" }, { "dropping-particle" : "", "family" : "Harris", "given" : "A. L.", "non-dropping-particle" : "", "parse-names" : false, "suffix" : "" }, { "dropping-particle" : "", "family" : "Schulze", "given" : "A.", "non-dropping-particle" : "", "parse-names" : false, "suffix" : "" } ], "container-title" : "Oncogene", "id" : "ITEM-1", "issue" : "40", "issued" : { "date-parts" : [ [ "2015", "10", "1" ] ] }, "page" : "5128-5140", "publisher" : "Nature Publishing Group", "title" : "SREBP maintains lipid biosynthesis and viability of cancer cells under lipid- and oxygen-deprived conditions and defines a gene signature associated with poor survival in glioblastoma multiforme", "type" : "article-journal", "volume" : "34" }, "uris" : [ "http://www.mendeley.com/documents/?uuid=40b11882-7a76-3b0a-945c-55aecd22a4ea" ] } ], "mendeley" : { "formattedCitation" : "&lt;sup&gt;141&lt;/sup&gt;", "plainTextFormattedCitation" : "141", "previouslyFormattedCitation" : "&lt;sup&gt;140&lt;/sup&gt;" }, "properties" : { "noteIndex" : 0 }, "schema" : "https://github.com/citation-style-language/schema/raw/master/csl-citation.json" }</w:instrText>
      </w:r>
      <w:r w:rsidRPr="00857842">
        <w:rPr>
          <w:rFonts w:cs="Arial"/>
        </w:rPr>
        <w:fldChar w:fldCharType="separate"/>
      </w:r>
      <w:r w:rsidR="000849BF" w:rsidRPr="000849BF">
        <w:rPr>
          <w:rFonts w:cs="Arial"/>
          <w:noProof/>
          <w:vertAlign w:val="superscript"/>
        </w:rPr>
        <w:t>141</w:t>
      </w:r>
      <w:r w:rsidRPr="00857842">
        <w:rPr>
          <w:rFonts w:cs="Arial"/>
        </w:rPr>
        <w:fldChar w:fldCharType="end"/>
      </w:r>
      <w:r w:rsidRPr="00857842">
        <w:rPr>
          <w:rFonts w:cs="Arial"/>
        </w:rPr>
        <w:t xml:space="preserve">. This absence of lipids demands a </w:t>
      </w:r>
      <w:r w:rsidR="00236623">
        <w:rPr>
          <w:rFonts w:cs="Arial"/>
        </w:rPr>
        <w:t>dependence</w:t>
      </w:r>
      <w:r w:rsidRPr="00857842">
        <w:rPr>
          <w:rFonts w:cs="Arial"/>
        </w:rPr>
        <w:t xml:space="preserve"> on endogenous lipid biosynthesis. To further explore the discrepancy in OSW-1 toxicity between the 3D and 2D cell models of OVCAR-8, OSW-1 toxicity was monitored in both the presence and absence of extracellular lipids in a 2D model. OVCAR-8 and SKOV-3 cells grown in this delipidated condition exhibited little to no changes in growth and phenotype but exhibited a significant change in toxicity to the OSW-1 compound </w:t>
      </w:r>
      <w:r w:rsidR="000147BC">
        <w:rPr>
          <w:rFonts w:cs="Arial"/>
        </w:rPr>
        <w:t>(</w:t>
      </w:r>
      <w:r w:rsidR="00967A50" w:rsidRPr="000849BF">
        <w:rPr>
          <w:rFonts w:cs="Arial"/>
          <w:b/>
          <w:bCs/>
        </w:rPr>
        <w:fldChar w:fldCharType="begin"/>
      </w:r>
      <w:r w:rsidR="00967A50" w:rsidRPr="000849BF">
        <w:rPr>
          <w:rFonts w:cs="Arial"/>
          <w:b/>
          <w:bCs/>
        </w:rPr>
        <w:instrText xml:space="preserve"> REF _Ref37254054 \h </w:instrText>
      </w:r>
      <w:r w:rsidR="00242945">
        <w:rPr>
          <w:rFonts w:cs="Arial"/>
          <w:b/>
          <w:bCs/>
        </w:rPr>
        <w:instrText xml:space="preserve"> \* MERGEFORMAT </w:instrText>
      </w:r>
      <w:r w:rsidR="00967A50" w:rsidRPr="000849BF">
        <w:rPr>
          <w:rFonts w:cs="Arial"/>
          <w:b/>
          <w:bCs/>
        </w:rPr>
      </w:r>
      <w:r w:rsidR="00967A50" w:rsidRPr="000849BF">
        <w:rPr>
          <w:rFonts w:cs="Arial"/>
          <w:b/>
          <w:bCs/>
        </w:rPr>
        <w:fldChar w:fldCharType="separate"/>
      </w:r>
      <w:r w:rsidR="00967A50" w:rsidRPr="000849BF">
        <w:rPr>
          <w:b/>
          <w:bCs/>
        </w:rPr>
        <w:t xml:space="preserve">Figure </w:t>
      </w:r>
      <w:r w:rsidR="00967A50" w:rsidRPr="000849BF">
        <w:rPr>
          <w:b/>
          <w:bCs/>
          <w:noProof/>
        </w:rPr>
        <w:t>19</w:t>
      </w:r>
      <w:r w:rsidR="00967A50" w:rsidRPr="000849BF">
        <w:rPr>
          <w:rFonts w:cs="Arial"/>
          <w:b/>
          <w:bCs/>
        </w:rPr>
        <w:fldChar w:fldCharType="end"/>
      </w:r>
      <w:r w:rsidRPr="00857842">
        <w:rPr>
          <w:rFonts w:cs="Arial"/>
          <w:b/>
          <w:bCs/>
        </w:rPr>
        <w:t>)</w:t>
      </w:r>
      <w:r w:rsidRPr="00857842">
        <w:rPr>
          <w:rFonts w:cs="Arial"/>
        </w:rPr>
        <w:t>. OVCAR-8 cells exhibited a significant -200,000 fold change in sensitivity to the compound in delipidated media (GI</w:t>
      </w:r>
      <w:r w:rsidRPr="00857842">
        <w:rPr>
          <w:rFonts w:cs="Arial"/>
          <w:vertAlign w:val="subscript"/>
        </w:rPr>
        <w:t xml:space="preserve">50 </w:t>
      </w:r>
      <w:r w:rsidRPr="00857842">
        <w:rPr>
          <w:rFonts w:cs="Arial"/>
        </w:rPr>
        <w:t xml:space="preserve">0.06 nM) </w:t>
      </w:r>
      <w:r w:rsidR="00FE354B">
        <w:rPr>
          <w:rFonts w:cs="Arial"/>
        </w:rPr>
        <w:t>(</w:t>
      </w:r>
      <w:r w:rsidR="000147BC">
        <w:rPr>
          <w:rFonts w:cs="Arial"/>
          <w:b/>
          <w:bCs/>
        </w:rPr>
        <w:fldChar w:fldCharType="begin"/>
      </w:r>
      <w:r w:rsidR="000147BC">
        <w:rPr>
          <w:rFonts w:cs="Arial"/>
        </w:rPr>
        <w:instrText xml:space="preserve"> REF _Ref37254054 \h </w:instrText>
      </w:r>
      <w:r w:rsidR="000147BC">
        <w:rPr>
          <w:rFonts w:cs="Arial"/>
          <w:b/>
          <w:bCs/>
        </w:rPr>
      </w:r>
      <w:r w:rsidR="000147BC">
        <w:rPr>
          <w:rFonts w:cs="Arial"/>
          <w:b/>
          <w:bCs/>
        </w:rPr>
        <w:fldChar w:fldCharType="separate"/>
      </w:r>
      <w:r w:rsidR="000147BC">
        <w:t xml:space="preserve">Figure </w:t>
      </w:r>
      <w:r w:rsidR="000147BC">
        <w:rPr>
          <w:noProof/>
        </w:rPr>
        <w:t>19</w:t>
      </w:r>
      <w:r w:rsidR="000147BC">
        <w:rPr>
          <w:rFonts w:cs="Arial"/>
          <w:b/>
          <w:bCs/>
        </w:rPr>
        <w:fldChar w:fldCharType="end"/>
      </w:r>
      <w:r w:rsidRPr="00857842">
        <w:rPr>
          <w:rFonts w:cs="Arial"/>
          <w:b/>
          <w:bCs/>
        </w:rPr>
        <w:t>)</w:t>
      </w:r>
      <w:r w:rsidRPr="00857842">
        <w:rPr>
          <w:rFonts w:cs="Arial"/>
        </w:rPr>
        <w:t xml:space="preserve">. This effect was also seen in SKOV-3 with a -180 fold change in sensitivity in delipid </w:t>
      </w:r>
      <w:r w:rsidRPr="00857842">
        <w:rPr>
          <w:rFonts w:cs="Arial"/>
        </w:rPr>
        <w:lastRenderedPageBreak/>
        <w:t>media (GI</w:t>
      </w:r>
      <w:r w:rsidRPr="00857842">
        <w:rPr>
          <w:rFonts w:cs="Arial"/>
          <w:vertAlign w:val="subscript"/>
        </w:rPr>
        <w:t xml:space="preserve">50 </w:t>
      </w:r>
      <w:r w:rsidRPr="00857842">
        <w:rPr>
          <w:rFonts w:cs="Arial"/>
        </w:rPr>
        <w:t xml:space="preserve">0.02 nM) </w:t>
      </w:r>
      <w:r w:rsidR="000147BC">
        <w:rPr>
          <w:rFonts w:cs="Arial"/>
        </w:rPr>
        <w:t>(</w:t>
      </w:r>
      <w:r w:rsidR="000147BC">
        <w:rPr>
          <w:rFonts w:cs="Arial"/>
          <w:b/>
          <w:bCs/>
        </w:rPr>
        <w:fldChar w:fldCharType="begin"/>
      </w:r>
      <w:r w:rsidR="000147BC">
        <w:rPr>
          <w:rFonts w:cs="Arial"/>
        </w:rPr>
        <w:instrText xml:space="preserve"> REF _Ref37254054 \h </w:instrText>
      </w:r>
      <w:r w:rsidR="000147BC">
        <w:rPr>
          <w:rFonts w:cs="Arial"/>
          <w:b/>
          <w:bCs/>
        </w:rPr>
      </w:r>
      <w:r w:rsidR="000147BC">
        <w:rPr>
          <w:rFonts w:cs="Arial"/>
          <w:b/>
          <w:bCs/>
        </w:rPr>
        <w:fldChar w:fldCharType="separate"/>
      </w:r>
      <w:r w:rsidR="000147BC">
        <w:t xml:space="preserve">Figure </w:t>
      </w:r>
      <w:r w:rsidR="000147BC">
        <w:rPr>
          <w:noProof/>
        </w:rPr>
        <w:t>19</w:t>
      </w:r>
      <w:r w:rsidR="000147BC">
        <w:rPr>
          <w:rFonts w:cs="Arial"/>
          <w:b/>
          <w:bCs/>
        </w:rPr>
        <w:fldChar w:fldCharType="end"/>
      </w:r>
      <w:r w:rsidRPr="00857842">
        <w:rPr>
          <w:rFonts w:cs="Arial"/>
        </w:rPr>
        <w:t xml:space="preserve">). Intriguingly, the </w:t>
      </w:r>
      <w:r w:rsidR="00D67ADC" w:rsidRPr="00A669C6">
        <w:rPr>
          <w:rFonts w:cs="Arial"/>
          <w:noProof/>
        </w:rPr>
        <mc:AlternateContent>
          <mc:Choice Requires="wps">
            <w:drawing>
              <wp:anchor distT="45720" distB="45720" distL="114300" distR="114300" simplePos="0" relativeHeight="251673600" behindDoc="0" locked="0" layoutInCell="1" allowOverlap="1" wp14:anchorId="48B85689" wp14:editId="5B7331C9">
                <wp:simplePos x="0" y="0"/>
                <wp:positionH relativeFrom="margin">
                  <wp:align>left</wp:align>
                </wp:positionH>
                <wp:positionV relativeFrom="paragraph">
                  <wp:posOffset>620</wp:posOffset>
                </wp:positionV>
                <wp:extent cx="5388610" cy="4998085"/>
                <wp:effectExtent l="0" t="0" r="21590" b="1206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8610" cy="4998085"/>
                        </a:xfrm>
                        <a:prstGeom prst="rect">
                          <a:avLst/>
                        </a:prstGeom>
                        <a:solidFill>
                          <a:srgbClr val="FFFFFF"/>
                        </a:solidFill>
                        <a:ln w="9525">
                          <a:solidFill>
                            <a:srgbClr val="000000"/>
                          </a:solidFill>
                          <a:miter lim="800000"/>
                          <a:headEnd/>
                          <a:tailEnd/>
                        </a:ln>
                      </wps:spPr>
                      <wps:txbx>
                        <w:txbxContent>
                          <w:p w14:paraId="4036904E" w14:textId="77777777" w:rsidR="00730B8F" w:rsidRDefault="00730B8F" w:rsidP="00936334">
                            <w:pPr>
                              <w:keepNext/>
                            </w:pPr>
                            <w:r w:rsidRPr="00537927">
                              <w:rPr>
                                <w:noProof/>
                              </w:rPr>
                              <w:drawing>
                                <wp:inline distT="0" distB="0" distL="0" distR="0" wp14:anchorId="55772587" wp14:editId="2CD4CEEE">
                                  <wp:extent cx="5193714" cy="358838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0" y="0"/>
                                            <a:ext cx="5193714" cy="3588385"/>
                                          </a:xfrm>
                                          <a:prstGeom prst="rect">
                                            <a:avLst/>
                                          </a:prstGeom>
                                          <a:noFill/>
                                          <a:ln>
                                            <a:noFill/>
                                          </a:ln>
                                        </pic:spPr>
                                      </pic:pic>
                                    </a:graphicData>
                                  </a:graphic>
                                </wp:inline>
                              </w:drawing>
                            </w:r>
                          </w:p>
                          <w:p w14:paraId="084ACC04" w14:textId="48E21D05" w:rsidR="00730B8F" w:rsidRDefault="00730B8F" w:rsidP="00936334">
                            <w:pPr>
                              <w:pStyle w:val="Caption"/>
                            </w:pPr>
                            <w:bookmarkStart w:id="152" w:name="_Ref38440121"/>
                            <w:bookmarkStart w:id="153" w:name="_Toc39868233"/>
                            <w:r>
                              <w:t xml:space="preserve">Figure </w:t>
                            </w:r>
                            <w:r w:rsidR="009425BE">
                              <w:fldChar w:fldCharType="begin"/>
                            </w:r>
                            <w:r w:rsidR="009425BE">
                              <w:instrText xml:space="preserve"> SEQ Figure \* ARABIC </w:instrText>
                            </w:r>
                            <w:r w:rsidR="009425BE">
                              <w:fldChar w:fldCharType="separate"/>
                            </w:r>
                            <w:r>
                              <w:rPr>
                                <w:noProof/>
                              </w:rPr>
                              <w:t>20</w:t>
                            </w:r>
                            <w:r w:rsidR="009425BE">
                              <w:rPr>
                                <w:noProof/>
                              </w:rPr>
                              <w:fldChar w:fldCharType="end"/>
                            </w:r>
                            <w:bookmarkEnd w:id="152"/>
                            <w:r>
                              <w:t xml:space="preserve">: </w:t>
                            </w:r>
                            <w:r w:rsidRPr="00E5747D">
                              <w:rPr>
                                <w:b w:val="0"/>
                                <w:bCs w:val="0"/>
                              </w:rPr>
                              <w:t>OSW-1 toxicity is potentiated in the absence of extracellular cholesterol.  A) Growth inhibition curves of 2D OVCAR-8 cells and B) SKOV-3 2D cells with OSW-1, Paclitaxel, or 25-hydroxycholesterol incubated in either normal media (RPMI with 10% FBS), Delipid media (RPMI with 10% Delipid FBS), or cholesterol media (RPMI with 10% Delipid FBS and 20 µg/mL cholesterol). C) Fold change quantification of GI</w:t>
                            </w:r>
                            <w:r w:rsidRPr="00E5747D">
                              <w:rPr>
                                <w:b w:val="0"/>
                                <w:bCs w:val="0"/>
                                <w:vertAlign w:val="subscript"/>
                              </w:rPr>
                              <w:t xml:space="preserve">50 </w:t>
                            </w:r>
                            <w:r w:rsidRPr="00E5747D">
                              <w:rPr>
                                <w:b w:val="0"/>
                                <w:bCs w:val="0"/>
                              </w:rPr>
                              <w:t>values relative to normal media.</w:t>
                            </w:r>
                            <w:bookmarkEnd w:id="153"/>
                          </w:p>
                          <w:p w14:paraId="38817A76" w14:textId="77777777" w:rsidR="00730B8F" w:rsidRDefault="00730B8F"/>
                          <w:p w14:paraId="5A43E5DF" w14:textId="77777777" w:rsidR="00730B8F" w:rsidRDefault="00730B8F"/>
                          <w:p w14:paraId="62BCFFBF" w14:textId="79D67027" w:rsidR="00730B8F" w:rsidRDefault="00730B8F" w:rsidP="00936334">
                            <w:pPr>
                              <w:keepNext/>
                            </w:pPr>
                            <w:r w:rsidRPr="00537927">
                              <w:rPr>
                                <w:noProof/>
                              </w:rPr>
                              <w:drawing>
                                <wp:inline distT="0" distB="0" distL="0" distR="0" wp14:anchorId="55772587" wp14:editId="2CD4CEEE">
                                  <wp:extent cx="5193714" cy="358838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0" y="0"/>
                                            <a:ext cx="5193714" cy="3588385"/>
                                          </a:xfrm>
                                          <a:prstGeom prst="rect">
                                            <a:avLst/>
                                          </a:prstGeom>
                                          <a:noFill/>
                                          <a:ln>
                                            <a:noFill/>
                                          </a:ln>
                                        </pic:spPr>
                                      </pic:pic>
                                    </a:graphicData>
                                  </a:graphic>
                                </wp:inline>
                              </w:drawing>
                            </w:r>
                          </w:p>
                          <w:p w14:paraId="07AC1B68" w14:textId="33B19E45" w:rsidR="00730B8F" w:rsidRDefault="00730B8F" w:rsidP="00936334">
                            <w:pPr>
                              <w:pStyle w:val="Caption"/>
                            </w:pPr>
                            <w:bookmarkStart w:id="154" w:name="_Ref37254110"/>
                            <w:r>
                              <w:t xml:space="preserve">Figure </w:t>
                            </w:r>
                            <w:r>
                              <w:fldChar w:fldCharType="begin"/>
                            </w:r>
                            <w:r>
                              <w:instrText xml:space="preserve">  \* ARABIC </w:instrText>
                            </w:r>
                            <w:r>
                              <w:fldChar w:fldCharType="separate"/>
                            </w:r>
                            <w:r>
                              <w:rPr>
                                <w:noProof/>
                              </w:rPr>
                              <w:t>28</w:t>
                            </w:r>
                            <w:r>
                              <w:rPr>
                                <w:noProof/>
                              </w:rPr>
                              <w:fldChar w:fldCharType="end"/>
                            </w:r>
                            <w:bookmarkEnd w:id="154"/>
                            <w:r>
                              <w:t xml:space="preserve">: </w:t>
                            </w:r>
                            <w:r w:rsidRPr="00E5747D">
                              <w:rPr>
                                <w:b w:val="0"/>
                                <w:bCs w:val="0"/>
                              </w:rPr>
                              <w:t>OSW-1 toxicity is potentiated in the absence of extracellular cholesterol.  A) Growth inhibition curves of 2D OVCAR-8 cells and B) SKOV-3 2D cells with OSW-1, Paclitaxel, or 25-hydroxycholesterol incubated in either normal media (RPMI with 10% FBS), Delipid media (RPMI with 10% Delipid FBS), or cholesterol media (RPMI with 10% Delipid FBS and 20 µg/mL cholesterol). C) Fold change quantification of GI</w:t>
                            </w:r>
                            <w:r w:rsidRPr="00E5747D">
                              <w:rPr>
                                <w:b w:val="0"/>
                                <w:bCs w:val="0"/>
                                <w:vertAlign w:val="subscript"/>
                              </w:rPr>
                              <w:t xml:space="preserve">50 </w:t>
                            </w:r>
                            <w:r w:rsidRPr="00E5747D">
                              <w:rPr>
                                <w:b w:val="0"/>
                                <w:bCs w:val="0"/>
                              </w:rPr>
                              <w:t>values relative to normal media.</w:t>
                            </w:r>
                          </w:p>
                          <w:p w14:paraId="38C5EF23" w14:textId="2B43CA84"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85689" id="_x0000_s1045" type="#_x0000_t202" style="position:absolute;left:0;text-align:left;margin-left:0;margin-top:.05pt;width:424.3pt;height:393.5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">
                <v:textbox>
                  <w:txbxContent>
                    <w:p w14:paraId="4036904E" w14:textId="77777777" w:rsidR="00730B8F" w:rsidRDefault="00730B8F" w:rsidP="00936334">
                      <w:pPr>
                        <w:keepNext/>
                      </w:pPr>
                      <w:r w:rsidRPr="00537927">
                        <w:rPr>
                          <w:noProof/>
                        </w:rPr>
                        <w:drawing>
                          <wp:inline distT="0" distB="0" distL="0" distR="0" wp14:anchorId="55772587" wp14:editId="2CD4CEEE">
                            <wp:extent cx="5193714" cy="358838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0" y="0"/>
                                      <a:ext cx="5193714" cy="3588385"/>
                                    </a:xfrm>
                                    <a:prstGeom prst="rect">
                                      <a:avLst/>
                                    </a:prstGeom>
                                    <a:noFill/>
                                    <a:ln>
                                      <a:noFill/>
                                    </a:ln>
                                  </pic:spPr>
                                </pic:pic>
                              </a:graphicData>
                            </a:graphic>
                          </wp:inline>
                        </w:drawing>
                      </w:r>
                    </w:p>
                    <w:p w14:paraId="084ACC04" w14:textId="48E21D05" w:rsidR="00730B8F" w:rsidRDefault="00730B8F" w:rsidP="00936334">
                      <w:pPr>
                        <w:pStyle w:val="Caption"/>
                      </w:pPr>
                      <w:bookmarkStart w:id="155" w:name="_Ref38440121"/>
                      <w:bookmarkStart w:id="156" w:name="_Toc39868233"/>
                      <w:r>
                        <w:t xml:space="preserve">Figure </w:t>
                      </w:r>
                      <w:r w:rsidR="009425BE">
                        <w:fldChar w:fldCharType="begin"/>
                      </w:r>
                      <w:r w:rsidR="009425BE">
                        <w:instrText xml:space="preserve"> SEQ Figure \* ARABIC </w:instrText>
                      </w:r>
                      <w:r w:rsidR="009425BE">
                        <w:fldChar w:fldCharType="separate"/>
                      </w:r>
                      <w:r>
                        <w:rPr>
                          <w:noProof/>
                        </w:rPr>
                        <w:t>20</w:t>
                      </w:r>
                      <w:r w:rsidR="009425BE">
                        <w:rPr>
                          <w:noProof/>
                        </w:rPr>
                        <w:fldChar w:fldCharType="end"/>
                      </w:r>
                      <w:bookmarkEnd w:id="155"/>
                      <w:r>
                        <w:t xml:space="preserve">: </w:t>
                      </w:r>
                      <w:r w:rsidRPr="00E5747D">
                        <w:rPr>
                          <w:b w:val="0"/>
                          <w:bCs w:val="0"/>
                        </w:rPr>
                        <w:t>OSW-1 toxicity is potentiated in the absence of extracellular cholesterol.  A) Growth inhibition curves of 2D OVCAR-8 cells and B) SKOV-3 2D cells with OSW-1, Paclitaxel, or 25-hydroxycholesterol incubated in either normal media (RPMI with 10% FBS), Delipid media (RPMI with 10% Delipid FBS), or cholesterol media (RPMI with 10% Delipid FBS and 20 µg/mL cholesterol). C) Fold change quantification of GI</w:t>
                      </w:r>
                      <w:r w:rsidRPr="00E5747D">
                        <w:rPr>
                          <w:b w:val="0"/>
                          <w:bCs w:val="0"/>
                          <w:vertAlign w:val="subscript"/>
                        </w:rPr>
                        <w:t xml:space="preserve">50 </w:t>
                      </w:r>
                      <w:r w:rsidRPr="00E5747D">
                        <w:rPr>
                          <w:b w:val="0"/>
                          <w:bCs w:val="0"/>
                        </w:rPr>
                        <w:t>values relative to normal media.</w:t>
                      </w:r>
                      <w:bookmarkEnd w:id="156"/>
                    </w:p>
                    <w:p w14:paraId="38817A76" w14:textId="77777777" w:rsidR="00730B8F" w:rsidRDefault="00730B8F"/>
                    <w:p w14:paraId="5A43E5DF" w14:textId="77777777" w:rsidR="00730B8F" w:rsidRDefault="00730B8F"/>
                    <w:p w14:paraId="62BCFFBF" w14:textId="79D67027" w:rsidR="00730B8F" w:rsidRDefault="00730B8F" w:rsidP="00936334">
                      <w:pPr>
                        <w:keepNext/>
                      </w:pPr>
                      <w:r w:rsidRPr="00537927">
                        <w:rPr>
                          <w:noProof/>
                        </w:rPr>
                        <w:drawing>
                          <wp:inline distT="0" distB="0" distL="0" distR="0" wp14:anchorId="55772587" wp14:editId="2CD4CEEE">
                            <wp:extent cx="5193714" cy="358838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0" y="0"/>
                                      <a:ext cx="5193714" cy="3588385"/>
                                    </a:xfrm>
                                    <a:prstGeom prst="rect">
                                      <a:avLst/>
                                    </a:prstGeom>
                                    <a:noFill/>
                                    <a:ln>
                                      <a:noFill/>
                                    </a:ln>
                                  </pic:spPr>
                                </pic:pic>
                              </a:graphicData>
                            </a:graphic>
                          </wp:inline>
                        </w:drawing>
                      </w:r>
                    </w:p>
                    <w:p w14:paraId="07AC1B68" w14:textId="33B19E45" w:rsidR="00730B8F" w:rsidRDefault="00730B8F" w:rsidP="00936334">
                      <w:pPr>
                        <w:pStyle w:val="Caption"/>
                      </w:pPr>
                      <w:bookmarkStart w:id="157" w:name="_Ref37254110"/>
                      <w:r>
                        <w:t xml:space="preserve">Figure </w:t>
                      </w:r>
                      <w:r>
                        <w:fldChar w:fldCharType="begin"/>
                      </w:r>
                      <w:r>
                        <w:instrText xml:space="preserve">  \* ARABIC </w:instrText>
                      </w:r>
                      <w:r>
                        <w:fldChar w:fldCharType="separate"/>
                      </w:r>
                      <w:r>
                        <w:rPr>
                          <w:noProof/>
                        </w:rPr>
                        <w:t>28</w:t>
                      </w:r>
                      <w:r>
                        <w:rPr>
                          <w:noProof/>
                        </w:rPr>
                        <w:fldChar w:fldCharType="end"/>
                      </w:r>
                      <w:bookmarkEnd w:id="157"/>
                      <w:r>
                        <w:t xml:space="preserve">: </w:t>
                      </w:r>
                      <w:r w:rsidRPr="00E5747D">
                        <w:rPr>
                          <w:b w:val="0"/>
                          <w:bCs w:val="0"/>
                        </w:rPr>
                        <w:t>OSW-1 toxicity is potentiated in the absence of extracellular cholesterol.  A) Growth inhibition curves of 2D OVCAR-8 cells and B) SKOV-3 2D cells with OSW-1, Paclitaxel, or 25-hydroxycholesterol incubated in either normal media (RPMI with 10% FBS), Delipid media (RPMI with 10% Delipid FBS), or cholesterol media (RPMI with 10% Delipid FBS and 20 µg/mL cholesterol). C) Fold change quantification of GI</w:t>
                      </w:r>
                      <w:r w:rsidRPr="00E5747D">
                        <w:rPr>
                          <w:b w:val="0"/>
                          <w:bCs w:val="0"/>
                          <w:vertAlign w:val="subscript"/>
                        </w:rPr>
                        <w:t xml:space="preserve">50 </w:t>
                      </w:r>
                      <w:r w:rsidRPr="00E5747D">
                        <w:rPr>
                          <w:b w:val="0"/>
                          <w:bCs w:val="0"/>
                        </w:rPr>
                        <w:t>values relative to normal media.</w:t>
                      </w:r>
                    </w:p>
                    <w:p w14:paraId="38C5EF23" w14:textId="2B43CA84" w:rsidR="00730B8F" w:rsidRDefault="00730B8F"/>
                  </w:txbxContent>
                </v:textbox>
                <w10:wrap type="square" anchorx="margin"/>
              </v:shape>
            </w:pict>
          </mc:Fallback>
        </mc:AlternateContent>
      </w:r>
      <w:r w:rsidRPr="00857842">
        <w:rPr>
          <w:rFonts w:cs="Arial"/>
        </w:rPr>
        <w:t xml:space="preserve">addition of exogenous cholesterol to the delipid media attenuated the potency of the OSW-1 compound </w:t>
      </w:r>
      <w:r w:rsidR="00FE354B">
        <w:rPr>
          <w:rFonts w:cs="Arial"/>
        </w:rPr>
        <w:t>(</w:t>
      </w:r>
      <w:r w:rsidR="000147BC" w:rsidRPr="000849BF">
        <w:rPr>
          <w:rFonts w:cs="Arial"/>
          <w:b/>
          <w:bCs/>
        </w:rPr>
        <w:fldChar w:fldCharType="begin"/>
      </w:r>
      <w:r w:rsidR="000147BC" w:rsidRPr="000849BF">
        <w:rPr>
          <w:rFonts w:cs="Arial"/>
          <w:b/>
          <w:bCs/>
        </w:rPr>
        <w:instrText xml:space="preserve"> REF _Ref37254054 \h </w:instrText>
      </w:r>
      <w:r w:rsidR="00242945" w:rsidRPr="000849BF">
        <w:rPr>
          <w:rFonts w:cs="Arial"/>
          <w:b/>
          <w:bCs/>
        </w:rPr>
        <w:instrText xml:space="preserve"> \* MERGEFORMAT </w:instrText>
      </w:r>
      <w:r w:rsidR="000147BC" w:rsidRPr="000849BF">
        <w:rPr>
          <w:rFonts w:cs="Arial"/>
          <w:b/>
          <w:bCs/>
        </w:rPr>
      </w:r>
      <w:r w:rsidR="000147BC" w:rsidRPr="000849BF">
        <w:rPr>
          <w:rFonts w:cs="Arial"/>
          <w:b/>
          <w:bCs/>
        </w:rPr>
        <w:fldChar w:fldCharType="separate"/>
      </w:r>
      <w:r w:rsidR="000147BC" w:rsidRPr="000849BF">
        <w:rPr>
          <w:b/>
          <w:bCs/>
        </w:rPr>
        <w:t xml:space="preserve">Figure </w:t>
      </w:r>
      <w:r w:rsidR="000147BC" w:rsidRPr="000849BF">
        <w:rPr>
          <w:b/>
          <w:bCs/>
          <w:noProof/>
        </w:rPr>
        <w:t>19</w:t>
      </w:r>
      <w:r w:rsidR="000147BC" w:rsidRPr="000849BF">
        <w:rPr>
          <w:rFonts w:cs="Arial"/>
          <w:b/>
          <w:bCs/>
        </w:rPr>
        <w:fldChar w:fldCharType="end"/>
      </w:r>
      <w:r w:rsidRPr="00857842">
        <w:rPr>
          <w:rFonts w:cs="Arial"/>
          <w:b/>
          <w:bCs/>
        </w:rPr>
        <w:t xml:space="preserve">). </w:t>
      </w:r>
      <w:r w:rsidRPr="00857842">
        <w:rPr>
          <w:rFonts w:cs="Arial"/>
        </w:rPr>
        <w:t xml:space="preserve">25-OHC, an endogenous ligand to the OSBP and ORP4 protein and also an inhibitor of β-Hydroxy β-methylglutarly-CoA (HMG-CoA), an essential enzyme for endogenous cholesterol synthesis, also showed an increase in toxicity in the absence of lipids as expected, and the addition of cholesterol completely rescued the cells with no detectable toxicity up to 10 μM </w:t>
      </w:r>
      <w:r w:rsidRPr="00857842">
        <w:rPr>
          <w:rFonts w:cs="Arial"/>
          <w:b/>
          <w:bCs/>
        </w:rPr>
        <w:t>(</w:t>
      </w:r>
      <w:r w:rsidR="000147BC">
        <w:rPr>
          <w:rFonts w:cs="Arial"/>
          <w:b/>
          <w:bCs/>
        </w:rPr>
        <w:fldChar w:fldCharType="begin"/>
      </w:r>
      <w:r w:rsidR="000147BC">
        <w:rPr>
          <w:rFonts w:cs="Arial"/>
          <w:b/>
          <w:bCs/>
        </w:rPr>
        <w:instrText xml:space="preserve"> REF _Ref37254054 \h </w:instrText>
      </w:r>
      <w:r w:rsidR="000147BC">
        <w:rPr>
          <w:rFonts w:cs="Arial"/>
          <w:b/>
          <w:bCs/>
        </w:rPr>
      </w:r>
      <w:r w:rsidR="000147BC">
        <w:rPr>
          <w:rFonts w:cs="Arial"/>
          <w:b/>
          <w:bCs/>
        </w:rPr>
        <w:fldChar w:fldCharType="separate"/>
      </w:r>
      <w:r w:rsidR="000147BC">
        <w:t xml:space="preserve">Figure </w:t>
      </w:r>
      <w:r w:rsidR="000147BC">
        <w:rPr>
          <w:noProof/>
        </w:rPr>
        <w:t>19</w:t>
      </w:r>
      <w:r w:rsidR="000147BC">
        <w:rPr>
          <w:rFonts w:cs="Arial"/>
          <w:b/>
          <w:bCs/>
        </w:rPr>
        <w:fldChar w:fldCharType="end"/>
      </w:r>
      <w:r w:rsidRPr="00857842">
        <w:rPr>
          <w:rFonts w:cs="Arial"/>
          <w:b/>
          <w:bCs/>
        </w:rPr>
        <w:t>)</w:t>
      </w:r>
      <w:r w:rsidRPr="00857842">
        <w:rPr>
          <w:rFonts w:cs="Arial"/>
        </w:rPr>
        <w:t>. Import</w:t>
      </w:r>
      <w:r w:rsidR="00236623">
        <w:rPr>
          <w:rFonts w:cs="Arial"/>
        </w:rPr>
        <w:t>antly</w:t>
      </w:r>
      <w:r w:rsidRPr="00857842">
        <w:rPr>
          <w:rFonts w:cs="Arial"/>
        </w:rPr>
        <w:t xml:space="preserve">, the change in toxicity in the delipid media was specific only to the OSW-1 compound and not due to a global cellular stress response (e.g. paclitaxel treatment). Together, these results demonstrate a unique mechanism of action specific to </w:t>
      </w:r>
      <w:r w:rsidRPr="00857842">
        <w:rPr>
          <w:rFonts w:cs="Arial"/>
        </w:rPr>
        <w:lastRenderedPageBreak/>
        <w:t>the OSW-1 compound in the absence of exogenous lipids, potentially further explaining the increased sensitivity to the OSW-1 compound in 3D OVCAR-8 culture.</w:t>
      </w:r>
    </w:p>
    <w:p w14:paraId="12D29C43" w14:textId="77777777" w:rsidR="00D67ADC" w:rsidRDefault="00D67ADC" w:rsidP="00D67ADC">
      <w:pPr>
        <w:ind w:firstLine="720"/>
        <w:jc w:val="both"/>
        <w:rPr>
          <w:rFonts w:cs="Arial"/>
        </w:rPr>
      </w:pPr>
    </w:p>
    <w:p w14:paraId="489EDA6A" w14:textId="77777777" w:rsidR="00D67ADC" w:rsidRDefault="00D67ADC" w:rsidP="00D67ADC">
      <w:pPr>
        <w:ind w:firstLine="720"/>
        <w:jc w:val="both"/>
        <w:rPr>
          <w:rFonts w:cs="Arial"/>
        </w:rPr>
      </w:pPr>
    </w:p>
    <w:p w14:paraId="765D8876" w14:textId="77777777" w:rsidR="00D67ADC" w:rsidRDefault="00D67ADC" w:rsidP="00D67ADC">
      <w:pPr>
        <w:ind w:firstLine="720"/>
        <w:jc w:val="both"/>
        <w:rPr>
          <w:rFonts w:cs="Arial"/>
        </w:rPr>
      </w:pPr>
    </w:p>
    <w:p w14:paraId="74B40590" w14:textId="77777777" w:rsidR="00D67ADC" w:rsidRDefault="00D67ADC" w:rsidP="00D67ADC">
      <w:pPr>
        <w:ind w:firstLine="720"/>
        <w:jc w:val="both"/>
        <w:rPr>
          <w:rFonts w:cs="Arial"/>
        </w:rPr>
      </w:pPr>
    </w:p>
    <w:p w14:paraId="5C834CC5" w14:textId="77777777" w:rsidR="00D67ADC" w:rsidRDefault="00D67ADC" w:rsidP="00D67ADC">
      <w:pPr>
        <w:ind w:firstLine="720"/>
        <w:jc w:val="both"/>
        <w:rPr>
          <w:rFonts w:cs="Arial"/>
        </w:rPr>
      </w:pPr>
    </w:p>
    <w:p w14:paraId="0929BDD4" w14:textId="77777777" w:rsidR="00D67ADC" w:rsidRDefault="00D67ADC" w:rsidP="00D67ADC">
      <w:pPr>
        <w:ind w:firstLine="720"/>
        <w:jc w:val="both"/>
        <w:rPr>
          <w:rFonts w:cs="Arial"/>
        </w:rPr>
      </w:pPr>
    </w:p>
    <w:p w14:paraId="1A098914" w14:textId="77777777" w:rsidR="00D67ADC" w:rsidRDefault="00D67ADC" w:rsidP="00D67ADC">
      <w:pPr>
        <w:ind w:firstLine="720"/>
        <w:jc w:val="both"/>
        <w:rPr>
          <w:rFonts w:cs="Arial"/>
        </w:rPr>
      </w:pPr>
    </w:p>
    <w:p w14:paraId="76242E9E" w14:textId="77777777" w:rsidR="00D67ADC" w:rsidRDefault="00D67ADC" w:rsidP="00D67ADC">
      <w:pPr>
        <w:ind w:firstLine="720"/>
        <w:jc w:val="both"/>
        <w:rPr>
          <w:rFonts w:cs="Arial"/>
        </w:rPr>
      </w:pPr>
    </w:p>
    <w:p w14:paraId="30134444" w14:textId="77777777" w:rsidR="00D67ADC" w:rsidRDefault="00D67ADC" w:rsidP="00D67ADC">
      <w:pPr>
        <w:ind w:firstLine="720"/>
        <w:jc w:val="both"/>
        <w:rPr>
          <w:rFonts w:cs="Arial"/>
        </w:rPr>
      </w:pPr>
    </w:p>
    <w:p w14:paraId="128D0975" w14:textId="77777777" w:rsidR="00D67ADC" w:rsidRDefault="00D67ADC" w:rsidP="00D67ADC">
      <w:pPr>
        <w:ind w:firstLine="720"/>
        <w:jc w:val="both"/>
        <w:rPr>
          <w:rFonts w:cs="Arial"/>
        </w:rPr>
      </w:pPr>
    </w:p>
    <w:p w14:paraId="57CA0071" w14:textId="77777777" w:rsidR="00D67ADC" w:rsidRDefault="00D67ADC" w:rsidP="00D67ADC">
      <w:pPr>
        <w:ind w:firstLine="720"/>
        <w:jc w:val="both"/>
        <w:rPr>
          <w:rFonts w:cs="Arial"/>
        </w:rPr>
      </w:pPr>
    </w:p>
    <w:p w14:paraId="73BA3CEC" w14:textId="77777777" w:rsidR="00D67ADC" w:rsidRDefault="00D67ADC" w:rsidP="00D67ADC">
      <w:pPr>
        <w:ind w:firstLine="720"/>
        <w:jc w:val="both"/>
        <w:rPr>
          <w:rFonts w:cs="Arial"/>
        </w:rPr>
      </w:pPr>
    </w:p>
    <w:p w14:paraId="49C2262D" w14:textId="77777777" w:rsidR="00D67ADC" w:rsidRDefault="00D67ADC" w:rsidP="00D67ADC">
      <w:pPr>
        <w:ind w:firstLine="720"/>
        <w:jc w:val="both"/>
        <w:rPr>
          <w:rFonts w:cs="Arial"/>
        </w:rPr>
      </w:pPr>
    </w:p>
    <w:p w14:paraId="71AAC357" w14:textId="77777777" w:rsidR="00D67ADC" w:rsidRDefault="00D67ADC" w:rsidP="00D67ADC">
      <w:pPr>
        <w:ind w:firstLine="720"/>
        <w:jc w:val="both"/>
        <w:rPr>
          <w:rFonts w:cs="Arial"/>
        </w:rPr>
      </w:pPr>
    </w:p>
    <w:p w14:paraId="1FC78DF3" w14:textId="77777777" w:rsidR="00D67ADC" w:rsidRDefault="00D67ADC" w:rsidP="00D67ADC">
      <w:pPr>
        <w:ind w:firstLine="720"/>
        <w:jc w:val="both"/>
        <w:rPr>
          <w:rFonts w:cs="Arial"/>
        </w:rPr>
      </w:pPr>
    </w:p>
    <w:p w14:paraId="4365F5A2" w14:textId="77777777" w:rsidR="00D67ADC" w:rsidRDefault="00D67ADC" w:rsidP="00D67ADC">
      <w:pPr>
        <w:ind w:firstLine="720"/>
        <w:jc w:val="both"/>
        <w:rPr>
          <w:rFonts w:cs="Arial"/>
        </w:rPr>
      </w:pPr>
    </w:p>
    <w:p w14:paraId="780A212F" w14:textId="77777777" w:rsidR="00D67ADC" w:rsidRDefault="00D67ADC" w:rsidP="00D67ADC">
      <w:pPr>
        <w:ind w:firstLine="720"/>
        <w:jc w:val="both"/>
        <w:rPr>
          <w:rFonts w:cs="Arial"/>
        </w:rPr>
      </w:pPr>
    </w:p>
    <w:p w14:paraId="41C01B3B" w14:textId="1CDBE689" w:rsidR="00D67ADC" w:rsidRDefault="00D67ADC" w:rsidP="00D67ADC">
      <w:pPr>
        <w:ind w:firstLine="720"/>
        <w:jc w:val="both"/>
        <w:rPr>
          <w:rFonts w:cs="Arial"/>
        </w:rPr>
      </w:pPr>
    </w:p>
    <w:p w14:paraId="3B27C653" w14:textId="77777777" w:rsidR="00242945" w:rsidRDefault="00242945" w:rsidP="00D67ADC">
      <w:pPr>
        <w:ind w:firstLine="720"/>
        <w:jc w:val="both"/>
        <w:rPr>
          <w:rFonts w:cs="Arial"/>
        </w:rPr>
      </w:pPr>
    </w:p>
    <w:p w14:paraId="122BD264" w14:textId="2980E652" w:rsidR="0086443F" w:rsidRPr="00AC19AD" w:rsidRDefault="0086443F" w:rsidP="00E14F5C">
      <w:pPr>
        <w:pStyle w:val="Heading2"/>
        <w:jc w:val="both"/>
      </w:pPr>
      <w:bookmarkStart w:id="158" w:name="_Toc39868185"/>
      <w:r>
        <w:lastRenderedPageBreak/>
        <w:t>3.</w:t>
      </w:r>
      <w:r w:rsidR="002A3B57">
        <w:t>4</w:t>
      </w:r>
      <w:r>
        <w:t xml:space="preserve"> Discussion</w:t>
      </w:r>
      <w:bookmarkEnd w:id="158"/>
    </w:p>
    <w:p w14:paraId="230D93D6" w14:textId="6D569F15" w:rsidR="0086443F" w:rsidRDefault="0086443F" w:rsidP="00E14F5C">
      <w:pPr>
        <w:ind w:firstLine="720"/>
        <w:jc w:val="both"/>
        <w:rPr>
          <w:rFonts w:cs="Arial"/>
        </w:rPr>
      </w:pPr>
      <w:r>
        <w:rPr>
          <w:rFonts w:cs="Arial"/>
        </w:rPr>
        <w:t>We’ve identified the OSW-1 compound as a potent inhibitor of ovarian cancer growth in both a monolayer (2D) and spheroid (3D) cell model</w:t>
      </w:r>
      <w:r w:rsidR="0047507C">
        <w:rPr>
          <w:rFonts w:cs="Arial"/>
        </w:rPr>
        <w:t xml:space="preserve"> (</w:t>
      </w:r>
      <w:r w:rsidR="0047507C" w:rsidRPr="000849BF">
        <w:rPr>
          <w:rFonts w:cs="Arial"/>
          <w:b/>
          <w:bCs/>
        </w:rPr>
        <w:fldChar w:fldCharType="begin"/>
      </w:r>
      <w:r w:rsidR="0047507C" w:rsidRPr="000849BF">
        <w:rPr>
          <w:rFonts w:cs="Arial"/>
          <w:b/>
          <w:bCs/>
        </w:rPr>
        <w:instrText xml:space="preserve"> REF _Ref38440024 \h </w:instrText>
      </w:r>
      <w:r w:rsidR="0047507C">
        <w:rPr>
          <w:rFonts w:cs="Arial"/>
          <w:b/>
          <w:bCs/>
        </w:rPr>
        <w:instrText xml:space="preserve"> \* MERGEFORMAT </w:instrText>
      </w:r>
      <w:r w:rsidR="0047507C" w:rsidRPr="000849BF">
        <w:rPr>
          <w:rFonts w:cs="Arial"/>
          <w:b/>
          <w:bCs/>
        </w:rPr>
      </w:r>
      <w:r w:rsidR="0047507C" w:rsidRPr="000849BF">
        <w:rPr>
          <w:rFonts w:cs="Arial"/>
          <w:b/>
          <w:bCs/>
        </w:rPr>
        <w:fldChar w:fldCharType="separate"/>
      </w:r>
      <w:r w:rsidR="0047507C" w:rsidRPr="000849BF">
        <w:rPr>
          <w:b/>
          <w:bCs/>
        </w:rPr>
        <w:t xml:space="preserve">Figure </w:t>
      </w:r>
      <w:r w:rsidR="0047507C" w:rsidRPr="000849BF">
        <w:rPr>
          <w:b/>
          <w:bCs/>
          <w:noProof/>
        </w:rPr>
        <w:t>15</w:t>
      </w:r>
      <w:r w:rsidR="0047507C" w:rsidRPr="000849BF">
        <w:rPr>
          <w:rFonts w:cs="Arial"/>
          <w:b/>
          <w:bCs/>
        </w:rPr>
        <w:fldChar w:fldCharType="end"/>
      </w:r>
      <w:r w:rsidR="0047507C" w:rsidRPr="000849BF">
        <w:rPr>
          <w:rFonts w:cs="Arial"/>
          <w:b/>
          <w:bCs/>
        </w:rPr>
        <w:t xml:space="preserve">, </w:t>
      </w:r>
      <w:r w:rsidR="0047507C" w:rsidRPr="000849BF">
        <w:rPr>
          <w:rFonts w:cs="Arial"/>
          <w:b/>
          <w:bCs/>
        </w:rPr>
        <w:fldChar w:fldCharType="begin"/>
      </w:r>
      <w:r w:rsidR="0047507C" w:rsidRPr="000849BF">
        <w:rPr>
          <w:rFonts w:cs="Arial"/>
          <w:b/>
          <w:bCs/>
        </w:rPr>
        <w:instrText xml:space="preserve"> REF _Ref38440026 \h </w:instrText>
      </w:r>
      <w:r w:rsidR="0047507C">
        <w:rPr>
          <w:rFonts w:cs="Arial"/>
          <w:b/>
          <w:bCs/>
        </w:rPr>
        <w:instrText xml:space="preserve"> \* MERGEFORMAT </w:instrText>
      </w:r>
      <w:r w:rsidR="0047507C" w:rsidRPr="000849BF">
        <w:rPr>
          <w:rFonts w:cs="Arial"/>
          <w:b/>
          <w:bCs/>
        </w:rPr>
      </w:r>
      <w:r w:rsidR="0047507C" w:rsidRPr="000849BF">
        <w:rPr>
          <w:rFonts w:cs="Arial"/>
          <w:b/>
          <w:bCs/>
        </w:rPr>
        <w:fldChar w:fldCharType="separate"/>
      </w:r>
      <w:r w:rsidR="0047507C" w:rsidRPr="000849BF">
        <w:rPr>
          <w:b/>
          <w:bCs/>
        </w:rPr>
        <w:t xml:space="preserve">Figure </w:t>
      </w:r>
      <w:r w:rsidR="0047507C" w:rsidRPr="000849BF">
        <w:rPr>
          <w:b/>
          <w:bCs/>
          <w:noProof/>
        </w:rPr>
        <w:t>17</w:t>
      </w:r>
      <w:r w:rsidR="0047507C" w:rsidRPr="000849BF">
        <w:rPr>
          <w:rFonts w:cs="Arial"/>
          <w:b/>
          <w:bCs/>
        </w:rPr>
        <w:fldChar w:fldCharType="end"/>
      </w:r>
      <w:r w:rsidR="0047507C">
        <w:rPr>
          <w:rFonts w:cs="Arial"/>
        </w:rPr>
        <w:t>)</w:t>
      </w:r>
      <w:r>
        <w:rPr>
          <w:rFonts w:cs="Arial"/>
        </w:rPr>
        <w:t>. The OSW-1 compound was able to induce cellular toxicity to ovarian cancer spheroids in the nano-molar range, whereas the clinically used therapeutics, cisplatin and paclitaxel were unable to induce a significant degree of toxicity under 10 µM. The toxicity of the OSW-1 compound was correlated with the degradation of the ORP4L protein and was independent of OSBP degradation</w:t>
      </w:r>
      <w:r w:rsidR="0047507C">
        <w:rPr>
          <w:rFonts w:cs="Arial"/>
        </w:rPr>
        <w:t xml:space="preserve"> (</w:t>
      </w:r>
      <w:r w:rsidR="0047507C" w:rsidRPr="000849BF">
        <w:rPr>
          <w:rFonts w:cs="Arial"/>
          <w:b/>
          <w:bCs/>
        </w:rPr>
        <w:fldChar w:fldCharType="begin"/>
      </w:r>
      <w:r w:rsidR="0047507C" w:rsidRPr="000849BF">
        <w:rPr>
          <w:rFonts w:cs="Arial"/>
          <w:b/>
          <w:bCs/>
        </w:rPr>
        <w:instrText xml:space="preserve"> REF _Ref38440076 \h </w:instrText>
      </w:r>
      <w:r w:rsidR="0047507C">
        <w:rPr>
          <w:rFonts w:cs="Arial"/>
          <w:b/>
          <w:bCs/>
        </w:rPr>
        <w:instrText xml:space="preserve"> \* MERGEFORMAT </w:instrText>
      </w:r>
      <w:r w:rsidR="0047507C" w:rsidRPr="000849BF">
        <w:rPr>
          <w:rFonts w:cs="Arial"/>
          <w:b/>
          <w:bCs/>
        </w:rPr>
      </w:r>
      <w:r w:rsidR="0047507C" w:rsidRPr="000849BF">
        <w:rPr>
          <w:rFonts w:cs="Arial"/>
          <w:b/>
          <w:bCs/>
        </w:rPr>
        <w:fldChar w:fldCharType="separate"/>
      </w:r>
      <w:r w:rsidR="0047507C" w:rsidRPr="000849BF">
        <w:rPr>
          <w:b/>
          <w:bCs/>
        </w:rPr>
        <w:t xml:space="preserve">Figure </w:t>
      </w:r>
      <w:r w:rsidR="0047507C" w:rsidRPr="000849BF">
        <w:rPr>
          <w:b/>
          <w:bCs/>
          <w:noProof/>
        </w:rPr>
        <w:t>19</w:t>
      </w:r>
      <w:r w:rsidR="0047507C" w:rsidRPr="000849BF">
        <w:rPr>
          <w:rFonts w:cs="Arial"/>
          <w:b/>
          <w:bCs/>
        </w:rPr>
        <w:fldChar w:fldCharType="end"/>
      </w:r>
      <w:r w:rsidR="0047507C">
        <w:rPr>
          <w:rFonts w:cs="Arial"/>
        </w:rPr>
        <w:t>)</w:t>
      </w:r>
      <w:r>
        <w:rPr>
          <w:rFonts w:cs="Arial"/>
        </w:rPr>
        <w:t>. Intriguingly, the OSW-1 compound was significantly more potent in the absence of extracellular lipids in a 2D model and the presence of exogenous cholesterol rescued this effect</w:t>
      </w:r>
      <w:r w:rsidR="0047507C">
        <w:rPr>
          <w:rFonts w:cs="Arial"/>
        </w:rPr>
        <w:t xml:space="preserve"> (</w:t>
      </w:r>
      <w:r w:rsidR="0047507C" w:rsidRPr="000849BF">
        <w:rPr>
          <w:rFonts w:cs="Arial"/>
          <w:b/>
          <w:bCs/>
        </w:rPr>
        <w:fldChar w:fldCharType="begin"/>
      </w:r>
      <w:r w:rsidR="0047507C" w:rsidRPr="000849BF">
        <w:rPr>
          <w:rFonts w:cs="Arial"/>
          <w:b/>
          <w:bCs/>
        </w:rPr>
        <w:instrText xml:space="preserve"> REF _Ref38440121 \h </w:instrText>
      </w:r>
      <w:r w:rsidR="0047507C">
        <w:rPr>
          <w:rFonts w:cs="Arial"/>
          <w:b/>
          <w:bCs/>
        </w:rPr>
        <w:instrText xml:space="preserve"> \* MERGEFORMAT </w:instrText>
      </w:r>
      <w:r w:rsidR="0047507C" w:rsidRPr="000849BF">
        <w:rPr>
          <w:rFonts w:cs="Arial"/>
          <w:b/>
          <w:bCs/>
        </w:rPr>
      </w:r>
      <w:r w:rsidR="0047507C" w:rsidRPr="000849BF">
        <w:rPr>
          <w:rFonts w:cs="Arial"/>
          <w:b/>
          <w:bCs/>
        </w:rPr>
        <w:fldChar w:fldCharType="separate"/>
      </w:r>
      <w:r w:rsidR="0047507C" w:rsidRPr="000849BF">
        <w:rPr>
          <w:b/>
          <w:bCs/>
        </w:rPr>
        <w:t xml:space="preserve">Figure </w:t>
      </w:r>
      <w:r w:rsidR="0047507C" w:rsidRPr="000849BF">
        <w:rPr>
          <w:b/>
          <w:bCs/>
          <w:noProof/>
        </w:rPr>
        <w:t>20</w:t>
      </w:r>
      <w:r w:rsidR="0047507C" w:rsidRPr="000849BF">
        <w:rPr>
          <w:rFonts w:cs="Arial"/>
          <w:b/>
          <w:bCs/>
        </w:rPr>
        <w:fldChar w:fldCharType="end"/>
      </w:r>
      <w:r w:rsidR="0047507C">
        <w:rPr>
          <w:rFonts w:cs="Arial"/>
        </w:rPr>
        <w:t>).</w:t>
      </w:r>
      <w:r>
        <w:rPr>
          <w:rFonts w:cs="Arial"/>
        </w:rPr>
        <w:t xml:space="preserve"> </w:t>
      </w:r>
    </w:p>
    <w:p w14:paraId="5AED3B81" w14:textId="1064A6C9" w:rsidR="0086443F" w:rsidRDefault="0086443F">
      <w:pPr>
        <w:ind w:firstLine="720"/>
        <w:jc w:val="both"/>
        <w:rPr>
          <w:rFonts w:cs="Arial"/>
        </w:rPr>
      </w:pPr>
      <w:r>
        <w:rPr>
          <w:rFonts w:cs="Arial"/>
        </w:rPr>
        <w:t>The OVCAR-8 cell line is the first cell line, to the best of our knowledge, to show resistance to the OSW-1 compound</w:t>
      </w:r>
      <w:r w:rsidR="0047507C">
        <w:rPr>
          <w:rFonts w:cs="Arial"/>
        </w:rPr>
        <w:t xml:space="preserve"> (</w:t>
      </w:r>
      <w:r w:rsidR="0047507C" w:rsidRPr="000849BF">
        <w:rPr>
          <w:rFonts w:cs="Arial"/>
          <w:b/>
          <w:bCs/>
        </w:rPr>
        <w:fldChar w:fldCharType="begin"/>
      </w:r>
      <w:r w:rsidR="0047507C" w:rsidRPr="000849BF">
        <w:rPr>
          <w:rFonts w:cs="Arial"/>
          <w:b/>
          <w:bCs/>
        </w:rPr>
        <w:instrText xml:space="preserve"> REF _Ref38440024 \h </w:instrText>
      </w:r>
      <w:r w:rsidR="0047507C">
        <w:rPr>
          <w:rFonts w:cs="Arial"/>
          <w:b/>
          <w:bCs/>
        </w:rPr>
        <w:instrText xml:space="preserve"> \* MERGEFORMAT </w:instrText>
      </w:r>
      <w:r w:rsidR="0047507C" w:rsidRPr="000849BF">
        <w:rPr>
          <w:rFonts w:cs="Arial"/>
          <w:b/>
          <w:bCs/>
        </w:rPr>
      </w:r>
      <w:r w:rsidR="0047507C" w:rsidRPr="000849BF">
        <w:rPr>
          <w:rFonts w:cs="Arial"/>
          <w:b/>
          <w:bCs/>
        </w:rPr>
        <w:fldChar w:fldCharType="separate"/>
      </w:r>
      <w:r w:rsidR="0047507C" w:rsidRPr="000849BF">
        <w:rPr>
          <w:b/>
          <w:bCs/>
        </w:rPr>
        <w:t xml:space="preserve">Figure </w:t>
      </w:r>
      <w:r w:rsidR="0047507C" w:rsidRPr="000849BF">
        <w:rPr>
          <w:b/>
          <w:bCs/>
          <w:noProof/>
        </w:rPr>
        <w:t>15</w:t>
      </w:r>
      <w:r w:rsidR="0047507C" w:rsidRPr="000849BF">
        <w:rPr>
          <w:rFonts w:cs="Arial"/>
          <w:b/>
          <w:bCs/>
        </w:rPr>
        <w:fldChar w:fldCharType="end"/>
      </w:r>
      <w:r w:rsidR="0047507C">
        <w:rPr>
          <w:rFonts w:cs="Arial"/>
        </w:rPr>
        <w:t>)</w:t>
      </w:r>
      <w:r>
        <w:rPr>
          <w:rFonts w:cs="Arial"/>
        </w:rPr>
        <w:t>. The cell line does exhibit a significantly higher amount of the ORP4L protein, the proposed cytotoxic target of the OSW-1 compound, which could lead towards its resistance</w:t>
      </w:r>
      <w:r w:rsidR="0047507C">
        <w:rPr>
          <w:rFonts w:cs="Arial"/>
        </w:rPr>
        <w:t xml:space="preserve"> (</w:t>
      </w:r>
      <w:r w:rsidR="0047507C" w:rsidRPr="000849BF">
        <w:rPr>
          <w:rFonts w:cs="Arial"/>
          <w:b/>
          <w:bCs/>
        </w:rPr>
        <w:fldChar w:fldCharType="begin"/>
      </w:r>
      <w:r w:rsidR="0047507C" w:rsidRPr="000849BF">
        <w:rPr>
          <w:rFonts w:cs="Arial"/>
          <w:b/>
          <w:bCs/>
        </w:rPr>
        <w:instrText xml:space="preserve"> REF _Ref38440219 \h </w:instrText>
      </w:r>
      <w:r w:rsidR="0047507C">
        <w:rPr>
          <w:rFonts w:cs="Arial"/>
          <w:b/>
          <w:bCs/>
        </w:rPr>
        <w:instrText xml:space="preserve"> \* MERGEFORMAT </w:instrText>
      </w:r>
      <w:r w:rsidR="0047507C" w:rsidRPr="000849BF">
        <w:rPr>
          <w:rFonts w:cs="Arial"/>
          <w:b/>
          <w:bCs/>
        </w:rPr>
      </w:r>
      <w:r w:rsidR="0047507C" w:rsidRPr="000849BF">
        <w:rPr>
          <w:rFonts w:cs="Arial"/>
          <w:b/>
          <w:bCs/>
        </w:rPr>
        <w:fldChar w:fldCharType="separate"/>
      </w:r>
      <w:r w:rsidR="0047507C" w:rsidRPr="000849BF">
        <w:rPr>
          <w:b/>
          <w:bCs/>
        </w:rPr>
        <w:t xml:space="preserve">Figure </w:t>
      </w:r>
      <w:r w:rsidR="0047507C" w:rsidRPr="000849BF">
        <w:rPr>
          <w:b/>
          <w:bCs/>
          <w:noProof/>
        </w:rPr>
        <w:t>14</w:t>
      </w:r>
      <w:r w:rsidR="0047507C" w:rsidRPr="000849BF">
        <w:rPr>
          <w:rFonts w:cs="Arial"/>
          <w:b/>
          <w:bCs/>
        </w:rPr>
        <w:fldChar w:fldCharType="end"/>
      </w:r>
      <w:r w:rsidR="0047507C">
        <w:rPr>
          <w:rFonts w:cs="Arial"/>
        </w:rPr>
        <w:t>)</w:t>
      </w:r>
      <w:r>
        <w:rPr>
          <w:rFonts w:cs="Arial"/>
        </w:rPr>
        <w:t>. However, the OVSAHO cell line also has a large amount of the ORP4L protein relative to SKOV-3, but remains sensitive to the compound, suggesting that OVCAR-8’s resistance is not entirely due to elevated ORP4L levels. High dose OSW-1 treatment (1 µM) for 48 h in 2D OVCAR-8 cells did not induce as much ORP4L degradation as in 3D</w:t>
      </w:r>
      <w:r w:rsidR="0047507C">
        <w:rPr>
          <w:rFonts w:cs="Arial"/>
        </w:rPr>
        <w:t xml:space="preserve"> (</w:t>
      </w:r>
      <w:r w:rsidR="0047507C" w:rsidRPr="000849BF">
        <w:rPr>
          <w:rFonts w:cs="Arial"/>
          <w:b/>
          <w:bCs/>
        </w:rPr>
        <w:fldChar w:fldCharType="begin"/>
      </w:r>
      <w:r w:rsidR="0047507C" w:rsidRPr="000849BF">
        <w:rPr>
          <w:rFonts w:cs="Arial"/>
          <w:b/>
          <w:bCs/>
        </w:rPr>
        <w:instrText xml:space="preserve"> REF _Ref38440076 \h </w:instrText>
      </w:r>
      <w:r w:rsidR="0047507C">
        <w:rPr>
          <w:rFonts w:cs="Arial"/>
          <w:b/>
          <w:bCs/>
        </w:rPr>
        <w:instrText xml:space="preserve"> \* MERGEFORMAT </w:instrText>
      </w:r>
      <w:r w:rsidR="0047507C" w:rsidRPr="000849BF">
        <w:rPr>
          <w:rFonts w:cs="Arial"/>
          <w:b/>
          <w:bCs/>
        </w:rPr>
      </w:r>
      <w:r w:rsidR="0047507C" w:rsidRPr="000849BF">
        <w:rPr>
          <w:rFonts w:cs="Arial"/>
          <w:b/>
          <w:bCs/>
        </w:rPr>
        <w:fldChar w:fldCharType="separate"/>
      </w:r>
      <w:r w:rsidR="0047507C" w:rsidRPr="000849BF">
        <w:rPr>
          <w:b/>
          <w:bCs/>
        </w:rPr>
        <w:t xml:space="preserve">Figure </w:t>
      </w:r>
      <w:r w:rsidR="0047507C" w:rsidRPr="000849BF">
        <w:rPr>
          <w:b/>
          <w:bCs/>
          <w:noProof/>
        </w:rPr>
        <w:t>19</w:t>
      </w:r>
      <w:r w:rsidR="0047507C" w:rsidRPr="000849BF">
        <w:rPr>
          <w:rFonts w:cs="Arial"/>
          <w:b/>
          <w:bCs/>
        </w:rPr>
        <w:fldChar w:fldCharType="end"/>
      </w:r>
      <w:r w:rsidR="0047507C" w:rsidRPr="000849BF">
        <w:rPr>
          <w:rFonts w:cs="Arial"/>
          <w:b/>
          <w:bCs/>
        </w:rPr>
        <w:t>)</w:t>
      </w:r>
      <w:r>
        <w:rPr>
          <w:rFonts w:cs="Arial"/>
        </w:rPr>
        <w:t>, suggesting; 1</w:t>
      </w:r>
      <w:r w:rsidR="00FB6A45">
        <w:rPr>
          <w:rFonts w:cs="Arial"/>
        </w:rPr>
        <w:t>)</w:t>
      </w:r>
      <w:r>
        <w:rPr>
          <w:rFonts w:cs="Arial"/>
        </w:rPr>
        <w:t xml:space="preserve"> The ORP4L protein is essential for the viability of the cells</w:t>
      </w:r>
      <w:r w:rsidR="00FB6A45">
        <w:rPr>
          <w:rFonts w:cs="Arial"/>
        </w:rPr>
        <w:t>;</w:t>
      </w:r>
      <w:r>
        <w:rPr>
          <w:rFonts w:cs="Arial"/>
        </w:rPr>
        <w:t xml:space="preserve"> 2</w:t>
      </w:r>
      <w:r w:rsidR="00FB6A45">
        <w:rPr>
          <w:rFonts w:cs="Arial"/>
        </w:rPr>
        <w:t>)</w:t>
      </w:r>
      <w:r>
        <w:rPr>
          <w:rFonts w:cs="Arial"/>
        </w:rPr>
        <w:t xml:space="preserve"> </w:t>
      </w:r>
      <w:r w:rsidR="00FB6A45">
        <w:rPr>
          <w:rFonts w:cs="Arial"/>
        </w:rPr>
        <w:t>t</w:t>
      </w:r>
      <w:r>
        <w:rPr>
          <w:rFonts w:cs="Arial"/>
        </w:rPr>
        <w:t xml:space="preserve">he OSW-1 compound is able to </w:t>
      </w:r>
      <w:r w:rsidR="00236623">
        <w:rPr>
          <w:rFonts w:cs="Arial"/>
        </w:rPr>
        <w:t xml:space="preserve">cause the degradation of </w:t>
      </w:r>
      <w:r>
        <w:rPr>
          <w:rFonts w:cs="Arial"/>
        </w:rPr>
        <w:t>the protein, and</w:t>
      </w:r>
      <w:r w:rsidR="00FB6A45">
        <w:rPr>
          <w:rFonts w:cs="Arial"/>
        </w:rPr>
        <w:t>;</w:t>
      </w:r>
      <w:r>
        <w:rPr>
          <w:rFonts w:cs="Arial"/>
        </w:rPr>
        <w:t xml:space="preserve"> 3</w:t>
      </w:r>
      <w:r w:rsidR="00FB6A45">
        <w:rPr>
          <w:rFonts w:cs="Arial"/>
        </w:rPr>
        <w:t>)</w:t>
      </w:r>
      <w:r>
        <w:rPr>
          <w:rFonts w:cs="Arial"/>
        </w:rPr>
        <w:t xml:space="preserve"> </w:t>
      </w:r>
      <w:r w:rsidR="00FB6A45">
        <w:rPr>
          <w:rFonts w:cs="Arial"/>
        </w:rPr>
        <w:t>t</w:t>
      </w:r>
      <w:r>
        <w:rPr>
          <w:rFonts w:cs="Arial"/>
        </w:rPr>
        <w:t xml:space="preserve">his degradation could be regulated differently between 2D and 3D cultures, but could also be due to the difference, albeit not significant, OSBP and ORP4L protein levels between 2D and 3D. It should also be noted that 0.1 nM treatment of the compound was able to induce OSBP degradation in both 2D </w:t>
      </w:r>
      <w:r>
        <w:rPr>
          <w:rFonts w:cs="Arial"/>
        </w:rPr>
        <w:lastRenderedPageBreak/>
        <w:t xml:space="preserve">and 3D cultures in each cell line tested, suggesting that the OSW-1 compound is able to penetrate into the cells, and the resistance of the OVCAR-8 cells is not due to compound entry. </w:t>
      </w:r>
    </w:p>
    <w:p w14:paraId="2AC8DAD0" w14:textId="005F1470" w:rsidR="002A3B57" w:rsidRDefault="0086443F" w:rsidP="000849BF">
      <w:pPr>
        <w:ind w:firstLine="720"/>
        <w:jc w:val="both"/>
        <w:rPr>
          <w:rFonts w:cs="Arial"/>
        </w:rPr>
      </w:pPr>
      <w:r>
        <w:rPr>
          <w:rFonts w:cs="Arial"/>
        </w:rPr>
        <w:t>The significantly lower pico-molar GI</w:t>
      </w:r>
      <w:r>
        <w:rPr>
          <w:rFonts w:cs="Arial"/>
          <w:vertAlign w:val="subscript"/>
        </w:rPr>
        <w:t xml:space="preserve">50 </w:t>
      </w:r>
      <w:r>
        <w:rPr>
          <w:rFonts w:cs="Arial"/>
        </w:rPr>
        <w:t>values of the OSW-1 compound in delipidated media compared to normal 10% FBS supplemented media</w:t>
      </w:r>
      <w:r w:rsidR="0047507C">
        <w:rPr>
          <w:rFonts w:cs="Arial"/>
        </w:rPr>
        <w:t xml:space="preserve"> (</w:t>
      </w:r>
      <w:r w:rsidR="0047507C" w:rsidRPr="000849BF">
        <w:rPr>
          <w:rFonts w:cs="Arial"/>
          <w:b/>
          <w:bCs/>
        </w:rPr>
        <w:fldChar w:fldCharType="begin"/>
      </w:r>
      <w:r w:rsidR="0047507C" w:rsidRPr="000849BF">
        <w:rPr>
          <w:rFonts w:cs="Arial"/>
          <w:b/>
          <w:bCs/>
        </w:rPr>
        <w:instrText xml:space="preserve"> REF _Ref38440121 \h </w:instrText>
      </w:r>
      <w:r w:rsidR="0047507C">
        <w:rPr>
          <w:rFonts w:cs="Arial"/>
          <w:b/>
          <w:bCs/>
        </w:rPr>
        <w:instrText xml:space="preserve"> \* MERGEFORMAT </w:instrText>
      </w:r>
      <w:r w:rsidR="0047507C" w:rsidRPr="000849BF">
        <w:rPr>
          <w:rFonts w:cs="Arial"/>
          <w:b/>
          <w:bCs/>
        </w:rPr>
      </w:r>
      <w:r w:rsidR="0047507C" w:rsidRPr="000849BF">
        <w:rPr>
          <w:rFonts w:cs="Arial"/>
          <w:b/>
          <w:bCs/>
        </w:rPr>
        <w:fldChar w:fldCharType="separate"/>
      </w:r>
      <w:r w:rsidR="0047507C" w:rsidRPr="000849BF">
        <w:rPr>
          <w:b/>
          <w:bCs/>
        </w:rPr>
        <w:t xml:space="preserve">Figure </w:t>
      </w:r>
      <w:r w:rsidR="0047507C" w:rsidRPr="000849BF">
        <w:rPr>
          <w:b/>
          <w:bCs/>
          <w:noProof/>
        </w:rPr>
        <w:t>20</w:t>
      </w:r>
      <w:r w:rsidR="0047507C" w:rsidRPr="000849BF">
        <w:rPr>
          <w:rFonts w:cs="Arial"/>
          <w:b/>
          <w:bCs/>
        </w:rPr>
        <w:fldChar w:fldCharType="end"/>
      </w:r>
      <w:r w:rsidR="0047507C">
        <w:rPr>
          <w:rFonts w:cs="Arial"/>
        </w:rPr>
        <w:t>)</w:t>
      </w:r>
      <w:r>
        <w:rPr>
          <w:rFonts w:cs="Arial"/>
        </w:rPr>
        <w:t xml:space="preserve"> could be due to targeting of the OSBP protein, the strongest known binding protein to the compound. This would correlate with the degradation of the OSBP protein seen in both 2D and 3D culture as low as 100 pM treatment of the compound</w:t>
      </w:r>
      <w:r w:rsidR="0047507C">
        <w:rPr>
          <w:rFonts w:cs="Arial"/>
        </w:rPr>
        <w:t xml:space="preserve"> (</w:t>
      </w:r>
      <w:r w:rsidR="0047507C" w:rsidRPr="000849BF">
        <w:rPr>
          <w:rFonts w:cs="Arial"/>
          <w:b/>
          <w:bCs/>
        </w:rPr>
        <w:fldChar w:fldCharType="begin"/>
      </w:r>
      <w:r w:rsidR="0047507C" w:rsidRPr="000849BF">
        <w:rPr>
          <w:rFonts w:cs="Arial"/>
          <w:b/>
          <w:bCs/>
        </w:rPr>
        <w:instrText xml:space="preserve"> REF _Ref38440076 \h </w:instrText>
      </w:r>
      <w:r w:rsidR="0047507C">
        <w:rPr>
          <w:rFonts w:cs="Arial"/>
          <w:b/>
          <w:bCs/>
        </w:rPr>
        <w:instrText xml:space="preserve"> \* MERGEFORMAT </w:instrText>
      </w:r>
      <w:r w:rsidR="0047507C" w:rsidRPr="000849BF">
        <w:rPr>
          <w:rFonts w:cs="Arial"/>
          <w:b/>
          <w:bCs/>
        </w:rPr>
      </w:r>
      <w:r w:rsidR="0047507C" w:rsidRPr="000849BF">
        <w:rPr>
          <w:rFonts w:cs="Arial"/>
          <w:b/>
          <w:bCs/>
        </w:rPr>
        <w:fldChar w:fldCharType="separate"/>
      </w:r>
      <w:r w:rsidR="0047507C" w:rsidRPr="000849BF">
        <w:rPr>
          <w:b/>
          <w:bCs/>
        </w:rPr>
        <w:t xml:space="preserve">Figure </w:t>
      </w:r>
      <w:r w:rsidR="0047507C" w:rsidRPr="000849BF">
        <w:rPr>
          <w:b/>
          <w:bCs/>
          <w:noProof/>
        </w:rPr>
        <w:t>19</w:t>
      </w:r>
      <w:r w:rsidR="0047507C" w:rsidRPr="000849BF">
        <w:rPr>
          <w:rFonts w:cs="Arial"/>
          <w:b/>
          <w:bCs/>
        </w:rPr>
        <w:fldChar w:fldCharType="end"/>
      </w:r>
      <w:r w:rsidR="0047507C">
        <w:rPr>
          <w:rFonts w:cs="Arial"/>
        </w:rPr>
        <w:t>)</w:t>
      </w:r>
      <w:r>
        <w:rPr>
          <w:rFonts w:cs="Arial"/>
        </w:rPr>
        <w:t>. Furthermore, the addition of cholesterol to the media rescuing this toxicity also suggests OSBP as the molecular target, since OSBP is known to traffic newly synthesized cholesterol from the Endoplasmic Reticulum to the Golgi Apparatus in addition to sensing cholesterol levels and controlling pERK activity, an essential pathway for cellular division</w:t>
      </w:r>
      <w:r>
        <w:rPr>
          <w:rFonts w:cs="Arial"/>
        </w:rPr>
        <w:fldChar w:fldCharType="begin" w:fldLock="1"/>
      </w:r>
      <w:r w:rsidR="000849BF">
        <w:rPr>
          <w:rFonts w:cs="Arial"/>
        </w:rPr>
        <w:instrText>ADDIN CSL_CITATION { "citationItems" : [ { "id" : "ITEM-1", "itemData" : { "DOI" : "10.1146/annurev.cellbio.042308.113334", "ISSN" : "1081-0706", "abstract" : "Oxysterol-binding protein (OSBP)-related proteins (ORPs) are lipid-binding proteins that are conserved from yeast to humans. They are implicated in many cellular processes including signaling, vesicular trafficking, lipid metabolism, and nonvesicular sterol transport. All ORPs contain an OSBP-related domain (ORD) that has a hydrophobic pocket that binds a single sterol. ORDs also contain additional membrane-binding surfaces, some of which bind phosphoinositides and may regulate sterol binding. Studies in yeast suggest that ORPs function as sterol transporters, perhaps in regions where organelle membranes are closely apposed. Yeast ORPs also participate in vesicular trafficking, although their role is unclear. In mammalian cells, some ORPs function as sterol sensors that regulate the assembly of protein complexes in response to changes in cholesterol levels. This review will summarize recent advances in our understanding of how ORPs bind lipids and membranes and how they function in diverse cellular processes.", "author" : [ { "dropping-particle" : "", "family" : "Raychaudhuri", "given" : "Sumana", "non-dropping-particle" : "", "parse-names" : false, "suffix" : "" }, { "dropping-particle" : "", "family" : "Prinz", "given" : "William A.", "non-dropping-particle" : "", "parse-names" : false, "suffix" : "" } ], "container-title" : "Annual Review of Cell and Developmental Biology", "id" : "ITEM-1", "issue" : "1", "issued" : { "date-parts" : [ [ "2010", "11", "10" ] ] }, "page" : "157-177", "publisher" : "Annual Reviews", "title" : "The Diverse Functions of Oxysterol-Binding Proteins", "type" : "article-journal", "volume" : "26" }, "uris" : [ "http://www.mendeley.com/documents/?uuid=c9149a9a-b1ec-3e87-89b8-b5f78427d5ee" ] }, { "id" : "ITEM-2", "itemData" : { "DOI" : "10.1126/science.1107710", "ISSN" : "00368075", "abstract" : "Oxysterol-binding protein (OSBP) is the founding member of a family of sterol-binding proteins implicated in vesicle transport, lipid metabolism, and signal transduction. Here, OSBP was found to function as a cholesterol-binding scaffolding protein coordinating the activity of two phosphatases to control the extracellular signal-regulated kinase (ERK) signaling pathway. Cytosolic OSBP. formed a \u223c440-kilodalton oligomer with a member of the PTPPBS family of tyrosine phosphatases, the serine/threonine phosphatase PP2A, and cholesterol. This oligomer had dual specific phosphatase activity for phosphorylated ERK (pERK). When cell cholesterol was lowered, the oligomer disassembled and the level of pERK rose. The oligomer also disassembled when exposed to oxysterols. Increasing the amount of OSBP oligomer rendered cells resistant to the effects of cholesterol depletion and decreased the basal level of pERK. Thus, cholesterol functions through its interaction with OSBP outside of membranes to regulate the assembly of an oligomeric phosphatase that controls a key signaling pathway in the cell.", "author" : [ { "dropping-particle" : "", "family" : "Wang", "given" : "Ping Yuan", "non-dropping-particle" : "", "parse-names" : false, "suffix" : "" }, { "dropping-particle" : "", "family" : "Weng", "given" : "Jian", "non-dropping-particle" : "", "parse-names" : false, "suffix" : "" }, { "dropping-particle" : "", "family" : "Anderson", "given" : "Richard G.W.", "non-dropping-particle" : "", "parse-names" : false, "suffix" : "" } ], "container-title" : "Science", "id" : "ITEM-2", "issue" : "5714", "issued" : { "date-parts" : [ [ "2005", "3", "4" ] ] }, "page" : "1472-1476", "title" : "OSBP is a cholesterol-regulated scaffolding protein in control of ERK1/2 activation", "type" : "article-journal", "volume" : "307" }, "uris" : [ "http://www.mendeley.com/documents/?uuid=e60e7065-21ae-3575-85a7-ecf51191ca1d" ] } ], "mendeley" : { "formattedCitation" : "&lt;sup&gt;43,142&lt;/sup&gt;", "plainTextFormattedCitation" : "43,142", "previouslyFormattedCitation" : "&lt;sup&gt;43,141&lt;/sup&gt;" }, "properties" : { "noteIndex" : 0 }, "schema" : "https://github.com/citation-style-language/schema/raw/master/csl-citation.json" }</w:instrText>
      </w:r>
      <w:r>
        <w:rPr>
          <w:rFonts w:cs="Arial"/>
        </w:rPr>
        <w:fldChar w:fldCharType="separate"/>
      </w:r>
      <w:r w:rsidR="000849BF" w:rsidRPr="000849BF">
        <w:rPr>
          <w:rFonts w:cs="Arial"/>
          <w:noProof/>
          <w:vertAlign w:val="superscript"/>
        </w:rPr>
        <w:t>43,142</w:t>
      </w:r>
      <w:r>
        <w:rPr>
          <w:rFonts w:cs="Arial"/>
        </w:rPr>
        <w:fldChar w:fldCharType="end"/>
      </w:r>
      <w:r>
        <w:rPr>
          <w:rFonts w:cs="Arial"/>
        </w:rPr>
        <w:t>. The degradation of the OSBP protein is independent of toxicity in the presence of extracellular lipids, however</w:t>
      </w:r>
      <w:r w:rsidR="0047507C">
        <w:rPr>
          <w:rFonts w:cs="Arial"/>
        </w:rPr>
        <w:t xml:space="preserve"> (</w:t>
      </w:r>
      <w:r w:rsidR="0047507C" w:rsidRPr="000849BF">
        <w:rPr>
          <w:rFonts w:cs="Arial"/>
          <w:b/>
          <w:bCs/>
        </w:rPr>
        <w:fldChar w:fldCharType="begin"/>
      </w:r>
      <w:r w:rsidR="0047507C" w:rsidRPr="000849BF">
        <w:rPr>
          <w:rFonts w:cs="Arial"/>
          <w:b/>
          <w:bCs/>
        </w:rPr>
        <w:instrText xml:space="preserve"> REF _Ref38440394 \h </w:instrText>
      </w:r>
      <w:r w:rsidR="0047507C">
        <w:rPr>
          <w:rFonts w:cs="Arial"/>
          <w:b/>
          <w:bCs/>
        </w:rPr>
        <w:instrText xml:space="preserve"> \* MERGEFORMAT </w:instrText>
      </w:r>
      <w:r w:rsidR="0047507C" w:rsidRPr="000849BF">
        <w:rPr>
          <w:rFonts w:cs="Arial"/>
          <w:b/>
          <w:bCs/>
        </w:rPr>
      </w:r>
      <w:r w:rsidR="0047507C" w:rsidRPr="000849BF">
        <w:rPr>
          <w:rFonts w:cs="Arial"/>
          <w:b/>
          <w:bCs/>
        </w:rPr>
        <w:fldChar w:fldCharType="separate"/>
      </w:r>
      <w:r w:rsidR="0047507C" w:rsidRPr="000849BF">
        <w:rPr>
          <w:b/>
          <w:bCs/>
        </w:rPr>
        <w:t xml:space="preserve">Figure </w:t>
      </w:r>
      <w:r w:rsidR="0047507C" w:rsidRPr="000849BF">
        <w:rPr>
          <w:b/>
          <w:bCs/>
          <w:noProof/>
        </w:rPr>
        <w:t>18</w:t>
      </w:r>
      <w:r w:rsidR="0047507C" w:rsidRPr="000849BF">
        <w:rPr>
          <w:rFonts w:cs="Arial"/>
          <w:b/>
          <w:bCs/>
        </w:rPr>
        <w:fldChar w:fldCharType="end"/>
      </w:r>
      <w:r w:rsidR="0047507C">
        <w:rPr>
          <w:rFonts w:cs="Arial"/>
        </w:rPr>
        <w:t>).</w:t>
      </w:r>
      <w:r>
        <w:rPr>
          <w:rFonts w:cs="Arial"/>
        </w:rPr>
        <w:t xml:space="preserve"> This suggests that the OSW-1 compound would be a selective inhibitor for tumor growth by targeting both OSBP and ORP4. In this proposed model, 1. OSW-1 targets and degrades the cancer specific ORP4 protein resulting in cellular death, and 2. OSW-1 targets and degrades the ubiquitous tissue expressed OSBP protein, resulting in cellular death only in cholesterol deprived conditions (e.g., tumor tissue).  </w:t>
      </w:r>
    </w:p>
    <w:p w14:paraId="057DEA22" w14:textId="77777777" w:rsidR="002A3B57" w:rsidRDefault="002A3B57" w:rsidP="00E14F5C">
      <w:pPr>
        <w:ind w:firstLine="720"/>
        <w:jc w:val="both"/>
        <w:rPr>
          <w:rFonts w:cs="Arial"/>
        </w:rPr>
      </w:pPr>
    </w:p>
    <w:p w14:paraId="463765B1" w14:textId="18886662" w:rsidR="00FB6A45" w:rsidRPr="000849BF" w:rsidRDefault="002A3B57" w:rsidP="000849BF">
      <w:pPr>
        <w:pStyle w:val="Heading2"/>
        <w:jc w:val="both"/>
      </w:pPr>
      <w:bookmarkStart w:id="159" w:name="_Toc39868186"/>
      <w:r>
        <w:t>3.5 Conclusions</w:t>
      </w:r>
      <w:bookmarkEnd w:id="159"/>
    </w:p>
    <w:p w14:paraId="4210847B" w14:textId="531AB3D2" w:rsidR="00645375" w:rsidRPr="0086443F" w:rsidRDefault="00FB6A45" w:rsidP="000849BF">
      <w:pPr>
        <w:ind w:firstLine="720"/>
        <w:jc w:val="both"/>
        <w:rPr>
          <w:rFonts w:cs="Arial"/>
        </w:rPr>
      </w:pPr>
      <w:r>
        <w:rPr>
          <w:rFonts w:cs="Arial"/>
        </w:rPr>
        <w:t>T</w:t>
      </w:r>
      <w:r w:rsidR="0086443F">
        <w:rPr>
          <w:rFonts w:cs="Arial"/>
        </w:rPr>
        <w:t xml:space="preserve">aken together, our data suggests that the OSW-1 compound is a more potent inhibitor of ovarian cancer compared to the clinically used compounds, cisplatin and </w:t>
      </w:r>
      <w:r w:rsidR="0086443F">
        <w:rPr>
          <w:rFonts w:cs="Arial"/>
        </w:rPr>
        <w:lastRenderedPageBreak/>
        <w:t xml:space="preserve">paclitaxel, in both monolayer and spheroids </w:t>
      </w:r>
      <w:r w:rsidR="0086443F" w:rsidRPr="00917D38">
        <w:rPr>
          <w:rFonts w:cs="Arial"/>
          <w:i/>
          <w:iCs/>
        </w:rPr>
        <w:t>in vitro</w:t>
      </w:r>
      <w:r w:rsidR="0086443F">
        <w:rPr>
          <w:rFonts w:cs="Arial"/>
        </w:rPr>
        <w:t xml:space="preserve">. This toxicity is suggested to be due to ORP4L degradation, but in the absence of extracellular cholesterol, the targeting and degradation of the OSBP protein may be toxic to the cells in a sub nano-molar concentration, producing an ideal therapeutic for ovarian cancer </w:t>
      </w:r>
      <w:r w:rsidR="00236623">
        <w:rPr>
          <w:rFonts w:cs="Arial"/>
        </w:rPr>
        <w:t xml:space="preserve">with </w:t>
      </w:r>
      <w:r w:rsidR="0086443F">
        <w:rPr>
          <w:rFonts w:cs="Arial"/>
        </w:rPr>
        <w:t xml:space="preserve">the potential of being applicable </w:t>
      </w:r>
      <w:r w:rsidR="00236623">
        <w:rPr>
          <w:rFonts w:cs="Arial"/>
        </w:rPr>
        <w:t xml:space="preserve">to multiple other cancers. </w:t>
      </w:r>
    </w:p>
    <w:p w14:paraId="5A635B47" w14:textId="77777777" w:rsidR="00180205" w:rsidRPr="00180205" w:rsidRDefault="00180205" w:rsidP="00180205"/>
    <w:p w14:paraId="224CBA9C" w14:textId="77777777" w:rsidR="00180205" w:rsidRPr="00180205" w:rsidRDefault="00180205" w:rsidP="00180205"/>
    <w:p w14:paraId="041B772A" w14:textId="77777777" w:rsidR="00857842" w:rsidRDefault="00857842" w:rsidP="00012F48">
      <w:pPr>
        <w:pStyle w:val="Heading1"/>
      </w:pPr>
    </w:p>
    <w:p w14:paraId="470D11B7" w14:textId="77777777" w:rsidR="00E5747D" w:rsidRDefault="00E5747D" w:rsidP="00012F48">
      <w:pPr>
        <w:pStyle w:val="Heading1"/>
      </w:pPr>
    </w:p>
    <w:p w14:paraId="113B7EF9" w14:textId="77777777" w:rsidR="00E5747D" w:rsidRDefault="00E5747D" w:rsidP="00012F48">
      <w:pPr>
        <w:pStyle w:val="Heading1"/>
      </w:pPr>
    </w:p>
    <w:p w14:paraId="5F0B01AD" w14:textId="77777777" w:rsidR="00E5747D" w:rsidRDefault="00E5747D" w:rsidP="00012F48">
      <w:pPr>
        <w:pStyle w:val="Heading1"/>
      </w:pPr>
    </w:p>
    <w:p w14:paraId="38E4FE65" w14:textId="77777777" w:rsidR="00E5747D" w:rsidRDefault="00E5747D" w:rsidP="00012F48">
      <w:pPr>
        <w:pStyle w:val="Heading1"/>
      </w:pPr>
    </w:p>
    <w:p w14:paraId="56282E0E" w14:textId="77777777" w:rsidR="00E5747D" w:rsidRDefault="00E5747D" w:rsidP="00012F48">
      <w:pPr>
        <w:pStyle w:val="Heading1"/>
      </w:pPr>
    </w:p>
    <w:p w14:paraId="4B3CE48D" w14:textId="77777777" w:rsidR="00E5747D" w:rsidRDefault="00E5747D" w:rsidP="00012F48">
      <w:pPr>
        <w:pStyle w:val="Heading1"/>
      </w:pPr>
    </w:p>
    <w:p w14:paraId="2508C7C5" w14:textId="77777777" w:rsidR="00E5747D" w:rsidRDefault="00E5747D" w:rsidP="00012F48">
      <w:pPr>
        <w:pStyle w:val="Heading1"/>
      </w:pPr>
    </w:p>
    <w:p w14:paraId="49E33B0B" w14:textId="77777777" w:rsidR="00E5747D" w:rsidRDefault="00E5747D" w:rsidP="00012F48">
      <w:pPr>
        <w:pStyle w:val="Heading1"/>
      </w:pPr>
    </w:p>
    <w:p w14:paraId="5EF3340E" w14:textId="77777777" w:rsidR="00E5747D" w:rsidRDefault="00E5747D" w:rsidP="00012F48">
      <w:pPr>
        <w:pStyle w:val="Heading1"/>
      </w:pPr>
    </w:p>
    <w:p w14:paraId="0E8E8C03" w14:textId="77777777" w:rsidR="00E5747D" w:rsidRDefault="00E5747D" w:rsidP="00012F48">
      <w:pPr>
        <w:pStyle w:val="Heading1"/>
      </w:pPr>
    </w:p>
    <w:p w14:paraId="04F46266" w14:textId="77777777" w:rsidR="00E5747D" w:rsidRDefault="00E5747D" w:rsidP="00012F48">
      <w:pPr>
        <w:pStyle w:val="Heading1"/>
      </w:pPr>
    </w:p>
    <w:p w14:paraId="0AA6A8CE" w14:textId="77777777" w:rsidR="00E5747D" w:rsidRDefault="00E5747D" w:rsidP="00012F48">
      <w:pPr>
        <w:pStyle w:val="Heading1"/>
      </w:pPr>
    </w:p>
    <w:p w14:paraId="687C7961" w14:textId="77777777" w:rsidR="00E5747D" w:rsidRDefault="00E5747D" w:rsidP="000849BF">
      <w:pPr>
        <w:pStyle w:val="Heading1"/>
        <w:jc w:val="left"/>
      </w:pPr>
    </w:p>
    <w:p w14:paraId="3ECCC3C6" w14:textId="2B25A5C4" w:rsidR="000A41F9" w:rsidRDefault="00AC19AD" w:rsidP="00012F48">
      <w:pPr>
        <w:pStyle w:val="Heading1"/>
      </w:pPr>
      <w:bookmarkStart w:id="160" w:name="_Toc39868187"/>
      <w:r>
        <w:lastRenderedPageBreak/>
        <w:t xml:space="preserve">Chapter 4: </w:t>
      </w:r>
      <w:r w:rsidR="00851A73">
        <w:t>Bio-</w:t>
      </w:r>
      <w:r w:rsidRPr="002D3010">
        <w:t>Analytical Chemotherapeutic Drug Monitoring and Quantification of Gemcitabine in Single Cells</w:t>
      </w:r>
      <w:bookmarkEnd w:id="160"/>
      <w:r w:rsidRPr="00AC19AD">
        <w:t xml:space="preserve"> </w:t>
      </w:r>
    </w:p>
    <w:p w14:paraId="022131DB" w14:textId="77C8A885" w:rsidR="00655CA3" w:rsidRPr="00653690" w:rsidRDefault="00655CA3" w:rsidP="000849BF">
      <w:pPr>
        <w:pStyle w:val="Heading2"/>
        <w:spacing w:line="240" w:lineRule="auto"/>
        <w:jc w:val="both"/>
      </w:pPr>
      <w:bookmarkStart w:id="161" w:name="_Toc39868188"/>
      <w:r>
        <w:t>Abstract</w:t>
      </w:r>
      <w:bookmarkEnd w:id="161"/>
    </w:p>
    <w:p w14:paraId="4E8254F5" w14:textId="131BA5A7" w:rsidR="00655CA3" w:rsidRPr="006949A4" w:rsidRDefault="00655CA3">
      <w:pPr>
        <w:spacing w:line="240" w:lineRule="auto"/>
        <w:ind w:firstLine="720"/>
        <w:jc w:val="both"/>
      </w:pPr>
      <w:r w:rsidRPr="006949A4">
        <w:t>The personalization of drug treatment requires capabilities to measure drug levels and efficacies in patients at the single-cell level since disease states are characterized by the biological activity of individual cells. Currently, there are no commonly used bioanalytical methods capable of real-time measurement of drug levels for the live single cells. The ability to quantify drug amount on the single-cell level is especially needed in the clinical treatment of cancer, because precisely measuring the amount of chemotherapy drug present in the individual cancer cells of a patient would allow for more adaptative and personalized administration of chemotherapy drugs</w:t>
      </w:r>
      <w:r w:rsidR="00236623">
        <w:t>. This would</w:t>
      </w:r>
      <w:r w:rsidRPr="006949A4">
        <w:t xml:space="preserve"> potentially lead to better clinical outcomes with fewer side effects. In this study, we report the quantification of the anti-cancer drug gemcitabine present in individual bladder cancer cells from both cell lines and patients undergoing standard chemotherapy. This bioanalytical innovation was achieved through development of a quantitative single cell mass spectrometry (qSCMS) sampling apparatus consisting of Single-probe mass spectrometry technology and an integrated cell manipulation platform (ICMP). The qSCMS analysis using the integrated Single-probe/ICMP system allows for the measurement of drug amount from individual cells. Particularly, the drug concentration can be obtained upon the measurement of cell size using the microscope of this integrated system. Our technique can potentially be developed into a rapid, real-time bioanalytical tool to more effectively and safely administer drug medications in patients. </w:t>
      </w:r>
    </w:p>
    <w:p w14:paraId="5E551C07" w14:textId="77777777" w:rsidR="00655CA3" w:rsidRPr="002A3B57" w:rsidRDefault="00655CA3" w:rsidP="000849BF">
      <w:pPr>
        <w:spacing w:line="240" w:lineRule="auto"/>
      </w:pPr>
    </w:p>
    <w:p w14:paraId="123CF005" w14:textId="4E70087C" w:rsidR="000A41F9" w:rsidRPr="00AC19AD" w:rsidRDefault="000A41F9" w:rsidP="000849BF">
      <w:pPr>
        <w:pStyle w:val="Heading2"/>
        <w:spacing w:line="240" w:lineRule="auto"/>
        <w:jc w:val="both"/>
      </w:pPr>
      <w:bookmarkStart w:id="162" w:name="_Toc39868189"/>
      <w:r>
        <w:t>Allocation of Contribution</w:t>
      </w:r>
      <w:bookmarkEnd w:id="162"/>
    </w:p>
    <w:p w14:paraId="4C299086" w14:textId="26AEB2B7" w:rsidR="000A41F9" w:rsidRDefault="00FB6A45" w:rsidP="000849BF">
      <w:pPr>
        <w:keepNext/>
        <w:spacing w:line="240" w:lineRule="auto"/>
        <w:ind w:firstLine="720"/>
        <w:jc w:val="both"/>
        <w:outlineLvl w:val="1"/>
        <w:rPr>
          <w:rFonts w:ascii="Times New Roman" w:hAnsi="Times New Roman"/>
          <w:iCs/>
          <w:szCs w:val="28"/>
        </w:rPr>
      </w:pPr>
      <w:r>
        <w:rPr>
          <w:rFonts w:ascii="Times New Roman" w:hAnsi="Times New Roman"/>
          <w:iCs/>
          <w:szCs w:val="28"/>
        </w:rPr>
        <w:t xml:space="preserve">This chapter is a submitted manuscript currently under review. I am co-first author on this manuscript. </w:t>
      </w:r>
      <w:r w:rsidR="000A41F9">
        <w:rPr>
          <w:rFonts w:ascii="Times New Roman" w:hAnsi="Times New Roman"/>
          <w:iCs/>
          <w:szCs w:val="28"/>
        </w:rPr>
        <w:t xml:space="preserve">The data in this chapter is an accumulation of results from </w:t>
      </w:r>
      <w:r>
        <w:rPr>
          <w:rFonts w:ascii="Times New Roman" w:hAnsi="Times New Roman"/>
          <w:iCs/>
          <w:szCs w:val="28"/>
        </w:rPr>
        <w:t>my</w:t>
      </w:r>
      <w:r w:rsidR="000A41F9">
        <w:rPr>
          <w:rFonts w:ascii="Times New Roman" w:hAnsi="Times New Roman"/>
          <w:iCs/>
          <w:szCs w:val="28"/>
        </w:rPr>
        <w:t xml:space="preserve"> collaborative work with Dr. Yang’s lab at the University of Oklahoma</w:t>
      </w:r>
      <w:r>
        <w:rPr>
          <w:rFonts w:ascii="Times New Roman" w:hAnsi="Times New Roman"/>
          <w:iCs/>
          <w:szCs w:val="28"/>
        </w:rPr>
        <w:t>. My collaborative work</w:t>
      </w:r>
      <w:r w:rsidR="00655CA3">
        <w:rPr>
          <w:rFonts w:ascii="Times New Roman" w:hAnsi="Times New Roman"/>
          <w:iCs/>
          <w:szCs w:val="28"/>
        </w:rPr>
        <w:t xml:space="preserve"> includ</w:t>
      </w:r>
      <w:r>
        <w:rPr>
          <w:rFonts w:ascii="Times New Roman" w:hAnsi="Times New Roman"/>
          <w:iCs/>
          <w:szCs w:val="28"/>
        </w:rPr>
        <w:t>es</w:t>
      </w:r>
      <w:r w:rsidR="00655CA3">
        <w:rPr>
          <w:rFonts w:ascii="Times New Roman" w:hAnsi="Times New Roman"/>
          <w:iCs/>
          <w:szCs w:val="28"/>
        </w:rPr>
        <w:t xml:space="preserve"> the 2019 </w:t>
      </w:r>
      <w:r w:rsidR="00655CA3" w:rsidRPr="000849BF">
        <w:rPr>
          <w:rFonts w:ascii="Times New Roman" w:hAnsi="Times New Roman"/>
          <w:i/>
          <w:szCs w:val="28"/>
        </w:rPr>
        <w:t>Analytical Chemistry</w:t>
      </w:r>
      <w:r>
        <w:rPr>
          <w:rFonts w:ascii="Times New Roman" w:hAnsi="Times New Roman"/>
          <w:i/>
          <w:szCs w:val="28"/>
        </w:rPr>
        <w:t xml:space="preserve"> </w:t>
      </w:r>
      <w:r w:rsidRPr="000849BF">
        <w:rPr>
          <w:rFonts w:ascii="Times New Roman" w:hAnsi="Times New Roman"/>
          <w:iCs/>
          <w:szCs w:val="28"/>
        </w:rPr>
        <w:t>publication</w:t>
      </w:r>
      <w:r w:rsidR="00655CA3">
        <w:rPr>
          <w:rFonts w:ascii="Times New Roman" w:hAnsi="Times New Roman"/>
          <w:i/>
          <w:szCs w:val="28"/>
        </w:rPr>
        <w:t>.</w:t>
      </w:r>
      <w:r w:rsidR="00655CA3">
        <w:rPr>
          <w:rFonts w:ascii="Times New Roman" w:hAnsi="Times New Roman"/>
          <w:i/>
          <w:szCs w:val="28"/>
        </w:rPr>
        <w:fldChar w:fldCharType="begin" w:fldLock="1"/>
      </w:r>
      <w:r w:rsidR="000849BF">
        <w:rPr>
          <w:rFonts w:ascii="Times New Roman" w:hAnsi="Times New Roman"/>
          <w:i/>
          <w:szCs w:val="28"/>
        </w:rPr>
        <w:instrText>ADDIN CSL_CITATION { "citationItems" : [ { "id" : "ITEM-1", "itemData" : { "DOI" : "10.1021/acs.analchem.9b01311", "ISSN" : "0003-2700", "abstract" : "Analyzing cellular constituents on the single-cell level through mass spectrometry (MS) allows for a wide range of compounds to be studied simultaneously. However, there is a need for quantitative single-cell mass spectrometry (qSCMS) methods to fully characterize drug efficacy from individual cells within cell populations. In this study, qSCMS experiments were carried out using the Single-probe MS technique. The method was successfully used to perform rapid absolute quantifications of the anticancer drug irinotecan in individual mammalian cancer cells under ambient conditions in real time. Traditional liquid chromatography/mass spectrometry (LC/MS) quantifications of irinotecan in cell lysate samples were used to compare the results from Single-probe qSCMS. This technique showcases heterogeneity of drug efficacy on the single-cell level.", "author" : [ { "dropping-particle" : "", "family" : "Pan", "given" : "Ning", "non-dropping-particle" : "", "parse-names" : false, "suffix" : "" }, { "dropping-particle" : "", "family" : "Standke", "given" : "Shawna J.", "non-dropping-particle" : "", "parse-names" : false, "suffix" : "" }, { "dropping-particle" : "", "family" : "Kothapalli", "given" : "Naga Rama", "non-dropping-particle" : "", "parse-names" : false, "suffix" : "" }, { "dropping-particle" : "", "family" : "Sun", "given" : "Mei", "non-dropping-particle" : "", "parse-names" : false, "suffix" : "" }, { "dropping-particle" : "", "family" : "Bensen", "given" : "Ryan C.",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 : "14", "issued" : { "date-parts" : [ [ "2019", "7", "16" ] ] }, "page" : "9018-9024", "publisher" : "American Chemical Society", "title" : "Quantification of Drug Molecules in Live Single Cells Using the Single-Probe Mass Spectrometry Technique", "type" : "article-journal", "volume" : "91" }, "uris" : [ "http://www.mendeley.com/documents/?uuid=6a88ddbf-1f12-40b1-9cf0-514390b961c8" ] } ], "mendeley" : { "formattedCitation" : "&lt;sup&gt;143&lt;/sup&gt;", "plainTextFormattedCitation" : "143", "previouslyFormattedCitation" : "&lt;sup&gt;142&lt;/sup&gt;" }, "properties" : { "noteIndex" : 0 }, "schema" : "https://github.com/citation-style-language/schema/raw/master/csl-citation.json" }</w:instrText>
      </w:r>
      <w:r w:rsidR="00655CA3">
        <w:rPr>
          <w:rFonts w:ascii="Times New Roman" w:hAnsi="Times New Roman"/>
          <w:i/>
          <w:szCs w:val="28"/>
        </w:rPr>
        <w:fldChar w:fldCharType="separate"/>
      </w:r>
      <w:r w:rsidR="000849BF" w:rsidRPr="000849BF">
        <w:rPr>
          <w:rFonts w:ascii="Times New Roman" w:hAnsi="Times New Roman"/>
          <w:noProof/>
          <w:szCs w:val="28"/>
          <w:vertAlign w:val="superscript"/>
        </w:rPr>
        <w:t>143</w:t>
      </w:r>
      <w:r w:rsidR="00655CA3">
        <w:rPr>
          <w:rFonts w:ascii="Times New Roman" w:hAnsi="Times New Roman"/>
          <w:i/>
          <w:szCs w:val="28"/>
        </w:rPr>
        <w:fldChar w:fldCharType="end"/>
      </w:r>
      <w:r w:rsidR="00655CA3">
        <w:rPr>
          <w:rFonts w:ascii="Times New Roman" w:hAnsi="Times New Roman"/>
          <w:iCs/>
          <w:szCs w:val="28"/>
        </w:rPr>
        <w:t xml:space="preserve"> </w:t>
      </w:r>
      <w:r w:rsidR="000A41F9">
        <w:rPr>
          <w:rFonts w:ascii="Times New Roman" w:hAnsi="Times New Roman"/>
          <w:iCs/>
          <w:szCs w:val="28"/>
        </w:rPr>
        <w:t xml:space="preserve">The </w:t>
      </w:r>
      <w:r w:rsidR="00523CE0">
        <w:rPr>
          <w:rFonts w:ascii="Times New Roman" w:hAnsi="Times New Roman"/>
          <w:iCs/>
          <w:szCs w:val="28"/>
        </w:rPr>
        <w:t xml:space="preserve">research presented here </w:t>
      </w:r>
      <w:r w:rsidR="000A41F9">
        <w:rPr>
          <w:rFonts w:ascii="Times New Roman" w:hAnsi="Times New Roman"/>
          <w:iCs/>
          <w:szCs w:val="28"/>
        </w:rPr>
        <w:t xml:space="preserve">was mainly conducted by myself and Dr. Standke, a former graduate student of Dr. Yang’s lab. Dr. Standke contributed the analytical </w:t>
      </w:r>
      <w:r w:rsidR="00523CE0">
        <w:rPr>
          <w:rFonts w:ascii="Times New Roman" w:hAnsi="Times New Roman"/>
          <w:iCs/>
          <w:szCs w:val="28"/>
        </w:rPr>
        <w:t xml:space="preserve">chemistry </w:t>
      </w:r>
      <w:r w:rsidR="000A41F9">
        <w:rPr>
          <w:rFonts w:ascii="Times New Roman" w:hAnsi="Times New Roman"/>
          <w:iCs/>
          <w:szCs w:val="28"/>
        </w:rPr>
        <w:t>expertise to the project</w:t>
      </w:r>
      <w:r w:rsidR="00523CE0">
        <w:rPr>
          <w:rFonts w:ascii="Times New Roman" w:hAnsi="Times New Roman"/>
          <w:iCs/>
          <w:szCs w:val="28"/>
        </w:rPr>
        <w:t>, including</w:t>
      </w:r>
      <w:r w:rsidR="000A41F9">
        <w:rPr>
          <w:rFonts w:ascii="Times New Roman" w:hAnsi="Times New Roman"/>
          <w:iCs/>
          <w:szCs w:val="28"/>
        </w:rPr>
        <w:t xml:space="preserve"> probe fabrication, </w:t>
      </w:r>
      <w:r w:rsidR="00523CE0">
        <w:rPr>
          <w:rFonts w:ascii="Times New Roman" w:hAnsi="Times New Roman"/>
          <w:iCs/>
          <w:szCs w:val="28"/>
        </w:rPr>
        <w:t xml:space="preserve">instrument </w:t>
      </w:r>
      <w:r w:rsidR="000A41F9">
        <w:rPr>
          <w:rFonts w:ascii="Times New Roman" w:hAnsi="Times New Roman"/>
          <w:iCs/>
          <w:szCs w:val="28"/>
        </w:rPr>
        <w:t>maintenance, and operat</w:t>
      </w:r>
      <w:r w:rsidR="00523CE0">
        <w:rPr>
          <w:rFonts w:ascii="Times New Roman" w:hAnsi="Times New Roman"/>
          <w:iCs/>
          <w:szCs w:val="28"/>
        </w:rPr>
        <w:t>ion</w:t>
      </w:r>
      <w:r w:rsidR="000A41F9">
        <w:rPr>
          <w:rFonts w:ascii="Times New Roman" w:hAnsi="Times New Roman"/>
          <w:iCs/>
          <w:szCs w:val="28"/>
        </w:rPr>
        <w:t xml:space="preserve"> of the mass spectrometer. I was responsible for all mammalian and clinical cell culturing</w:t>
      </w:r>
      <w:r w:rsidR="00523CE0">
        <w:rPr>
          <w:rFonts w:ascii="Times New Roman" w:hAnsi="Times New Roman"/>
          <w:iCs/>
          <w:szCs w:val="28"/>
        </w:rPr>
        <w:t xml:space="preserve"> and </w:t>
      </w:r>
      <w:r w:rsidR="000A41F9">
        <w:rPr>
          <w:rFonts w:ascii="Times New Roman" w:hAnsi="Times New Roman"/>
          <w:iCs/>
          <w:szCs w:val="28"/>
        </w:rPr>
        <w:t>preparation</w:t>
      </w:r>
      <w:r w:rsidR="00523CE0">
        <w:rPr>
          <w:rFonts w:ascii="Times New Roman" w:hAnsi="Times New Roman"/>
          <w:iCs/>
          <w:szCs w:val="28"/>
        </w:rPr>
        <w:t xml:space="preserve"> and</w:t>
      </w:r>
      <w:r w:rsidR="000A41F9">
        <w:rPr>
          <w:rFonts w:ascii="Times New Roman" w:hAnsi="Times New Roman"/>
          <w:iCs/>
          <w:szCs w:val="28"/>
        </w:rPr>
        <w:t xml:space="preserve"> drug treatment</w:t>
      </w:r>
      <w:r w:rsidR="00523CE0">
        <w:rPr>
          <w:rFonts w:ascii="Times New Roman" w:hAnsi="Times New Roman"/>
          <w:iCs/>
          <w:szCs w:val="28"/>
        </w:rPr>
        <w:t>. I also</w:t>
      </w:r>
      <w:r w:rsidR="000A41F9">
        <w:rPr>
          <w:rFonts w:ascii="Times New Roman" w:hAnsi="Times New Roman"/>
          <w:iCs/>
          <w:szCs w:val="28"/>
        </w:rPr>
        <w:t xml:space="preserve"> assisted in the operation of analytical data accumulation (assisted with the operation of the mass spectrometer/ main operator of the ICMP/ LCMS)</w:t>
      </w:r>
      <w:r w:rsidR="00523CE0">
        <w:rPr>
          <w:rFonts w:ascii="Times New Roman" w:hAnsi="Times New Roman"/>
          <w:iCs/>
          <w:szCs w:val="28"/>
        </w:rPr>
        <w:t>. Dr. Standke and I</w:t>
      </w:r>
      <w:r w:rsidR="000A41F9">
        <w:rPr>
          <w:rFonts w:ascii="Times New Roman" w:hAnsi="Times New Roman"/>
          <w:iCs/>
          <w:szCs w:val="28"/>
        </w:rPr>
        <w:t xml:space="preserve"> contributed equally with data analysis and drug quantification</w:t>
      </w:r>
      <w:r w:rsidR="00523CE0">
        <w:rPr>
          <w:rFonts w:ascii="Times New Roman" w:hAnsi="Times New Roman"/>
          <w:iCs/>
          <w:szCs w:val="28"/>
        </w:rPr>
        <w:t xml:space="preserve">. I was </w:t>
      </w:r>
      <w:r w:rsidR="000A41F9">
        <w:rPr>
          <w:rFonts w:ascii="Times New Roman" w:hAnsi="Times New Roman"/>
          <w:iCs/>
          <w:szCs w:val="28"/>
        </w:rPr>
        <w:t xml:space="preserve">the main contributor for the creation of all publication figures shown (Dr. Standke was responsible for </w:t>
      </w:r>
      <w:r w:rsidR="006949A4" w:rsidRPr="000849BF">
        <w:rPr>
          <w:rFonts w:ascii="Times New Roman" w:hAnsi="Times New Roman"/>
          <w:b/>
          <w:bCs/>
          <w:iCs/>
          <w:szCs w:val="28"/>
        </w:rPr>
        <w:fldChar w:fldCharType="begin"/>
      </w:r>
      <w:r w:rsidR="006949A4" w:rsidRPr="000849BF">
        <w:rPr>
          <w:rFonts w:ascii="Times New Roman" w:hAnsi="Times New Roman"/>
          <w:b/>
          <w:bCs/>
          <w:iCs/>
          <w:szCs w:val="28"/>
        </w:rPr>
        <w:instrText xml:space="preserve"> REF _Ref29823032 \h </w:instrText>
      </w:r>
      <w:r w:rsidR="006F3006" w:rsidRPr="000849BF">
        <w:rPr>
          <w:rFonts w:ascii="Times New Roman" w:hAnsi="Times New Roman"/>
          <w:b/>
          <w:bCs/>
          <w:iCs/>
          <w:szCs w:val="28"/>
        </w:rPr>
        <w:instrText xml:space="preserve"> \* MERGEFORMAT </w:instrText>
      </w:r>
      <w:r w:rsidR="006949A4" w:rsidRPr="000849BF">
        <w:rPr>
          <w:rFonts w:ascii="Times New Roman" w:hAnsi="Times New Roman"/>
          <w:b/>
          <w:bCs/>
          <w:iCs/>
          <w:szCs w:val="28"/>
        </w:rPr>
      </w:r>
      <w:r w:rsidR="006949A4" w:rsidRPr="000849BF">
        <w:rPr>
          <w:rFonts w:ascii="Times New Roman" w:hAnsi="Times New Roman"/>
          <w:b/>
          <w:bCs/>
          <w:iCs/>
          <w:szCs w:val="28"/>
        </w:rPr>
        <w:fldChar w:fldCharType="separate"/>
      </w:r>
      <w:r w:rsidR="006949A4" w:rsidRPr="000849BF">
        <w:rPr>
          <w:rFonts w:ascii="Times New Roman" w:hAnsi="Times New Roman"/>
          <w:b/>
          <w:bCs/>
        </w:rPr>
        <w:t xml:space="preserve">Figure </w:t>
      </w:r>
      <w:r w:rsidR="006949A4" w:rsidRPr="000849BF">
        <w:rPr>
          <w:rFonts w:ascii="Times New Roman" w:hAnsi="Times New Roman"/>
          <w:b/>
          <w:bCs/>
          <w:noProof/>
        </w:rPr>
        <w:t>21</w:t>
      </w:r>
      <w:r w:rsidR="006949A4" w:rsidRPr="000849BF">
        <w:rPr>
          <w:rFonts w:ascii="Times New Roman" w:hAnsi="Times New Roman"/>
          <w:b/>
          <w:bCs/>
          <w:iCs/>
          <w:szCs w:val="28"/>
        </w:rPr>
        <w:fldChar w:fldCharType="end"/>
      </w:r>
      <w:r w:rsidR="000A41F9">
        <w:rPr>
          <w:rFonts w:ascii="Times New Roman" w:hAnsi="Times New Roman"/>
          <w:iCs/>
          <w:szCs w:val="28"/>
        </w:rPr>
        <w:t xml:space="preserve">). </w:t>
      </w:r>
      <w:r w:rsidR="003F2D3B">
        <w:rPr>
          <w:rFonts w:ascii="Times New Roman" w:hAnsi="Times New Roman"/>
          <w:iCs/>
          <w:szCs w:val="28"/>
        </w:rPr>
        <w:t xml:space="preserve">Mr. Devon Colby assisted throughout the project and was primarily responsible for probe fabrication. </w:t>
      </w:r>
    </w:p>
    <w:p w14:paraId="4580A14A" w14:textId="72B868D9" w:rsidR="000147BC" w:rsidRDefault="000147BC" w:rsidP="000A41F9"/>
    <w:p w14:paraId="232C7B4A" w14:textId="2AAC3C24" w:rsidR="000A41F9" w:rsidRDefault="005339D3" w:rsidP="007077AC">
      <w:pPr>
        <w:pStyle w:val="Heading2"/>
        <w:jc w:val="both"/>
      </w:pPr>
      <w:bookmarkStart w:id="163" w:name="_Toc39868190"/>
      <w:r>
        <w:lastRenderedPageBreak/>
        <w:t>4</w:t>
      </w:r>
      <w:r w:rsidR="009C7566">
        <w:t>.</w:t>
      </w:r>
      <w:r w:rsidR="00655CA3">
        <w:t>1</w:t>
      </w:r>
      <w:r w:rsidR="009C7566">
        <w:t xml:space="preserve"> Introduction</w:t>
      </w:r>
      <w:bookmarkEnd w:id="163"/>
    </w:p>
    <w:p w14:paraId="732D5296" w14:textId="77777777" w:rsidR="007077AC" w:rsidRPr="007077AC" w:rsidRDefault="007077AC" w:rsidP="007077AC">
      <w:pPr>
        <w:ind w:firstLine="720"/>
        <w:jc w:val="both"/>
      </w:pPr>
      <w:bookmarkStart w:id="164" w:name="_Hlk25582364"/>
      <w:r w:rsidRPr="007077AC">
        <w:t xml:space="preserve">The current inability to quantify intracellular chemotherapy drug concentrations in cancer cells limits the personalization and overall effectiveness of drug administration in clinical cancer medicine. In this study, we report the development of a new quantitative single cell mass spectrometry (qSCMS) method capable of providing absolute drug amounts and concentrations (for spherical cells) in single cancer cells. Our qSCMS system is comprised of the Single-probe, a miniaturized sampling and ionization probe, combined with an integrated cell manipulation platform (ICMP). Using this qSCMS system, we conducted quantitative analysis of the intracellular drug gemcitabine present in individual bladder cancer cells, including those isolated from patients undergoing standard-of-care chemotherapy. The development of single cell pharmacology bioanalytical methods can potentially lead to more effective and safely administered drug medications in patients, especially in the treatment of cancer. </w:t>
      </w:r>
      <w:bookmarkEnd w:id="164"/>
    </w:p>
    <w:p w14:paraId="2CC62886" w14:textId="04429C97" w:rsidR="007077AC" w:rsidRPr="007077AC" w:rsidRDefault="007077AC" w:rsidP="007077AC">
      <w:pPr>
        <w:ind w:firstLine="720"/>
        <w:jc w:val="both"/>
        <w:rPr>
          <w:bCs/>
        </w:rPr>
      </w:pPr>
      <w:r w:rsidRPr="007077AC">
        <w:rPr>
          <w:bCs/>
        </w:rPr>
        <w:t>New single cell analysis techniques have recently emerged, including DNA and RNA sequencing, microfluidics, imaging, flow cytometry, and mass spectrometry (MS).</w:t>
      </w:r>
      <w:r w:rsidRPr="007077AC">
        <w:rPr>
          <w:bCs/>
        </w:rPr>
        <w:fldChar w:fldCharType="begin" w:fldLock="1"/>
      </w:r>
      <w:r w:rsidR="000849BF">
        <w:rPr>
          <w:bCs/>
        </w:rPr>
        <w:instrText>ADDIN CSL_CITATION { "citationItems" : [ { "id" : "ITEM-1", "itemData" : { "DOI" : "10.1016/j.tibtech.2010.03.002", "ISSN" : "01677799", "PMID" : "20434785", "abstract" : "Cellular heterogeneity that arises from stochastic expression of genes, proteins and metabolites is a fundamental principle of cell biology, but single cell analysis has been beyond the capability of 'omics' technology. This is rapidly changing with the recent examples of single cell genomics, transcriptomics, proteomics and metabolomics. The rate of change is expected to accelerate owing to emerging technologies that range from micro/nanofluidics to microfabricated interfaces for mass spectrometry to third- and fourth-generation automated DNA sequencers. As described in this review, single cell analysis is the new frontier in omics, and single cell omics has the potential to transform systems biology through new discoveries derived from cellular heterogeneity.", "author" : [ { "dropping-particle" : "", "family" : "Wang", "given" : "Daojing", "non-dropping-particle" : "", "parse-names" : false, "suffix" : "" }, { "dropping-particle" : "", "family" : "Bodovitz", "given" : "Steven", "non-dropping-particle" : "", "parse-names" : false, "suffix" : "" } ], "container-title" : "Trends in Biotechnology", "id" : "ITEM-1", "issue" : "6", "issued" : { "date-parts" : [ [ "2010", "6" ] ] }, "page" : "281-290", "title" : "Single cell analysis: the new frontier in \u2018omics\u2019", "type" : "article-journal", "volume" : "28" }, "uris" : [ "http://www.mendeley.com/documents/?uuid=44da3037-b52a-3df1-8f75-529e8e34fe9f" ] }, { "id" : "ITEM-2", "itemData" : { "DOI" : "10.1038/nrd.2015.16", "abstract" : "There have been significant recent advances in the develop ment of single-cell analysis tools. For example, approximately 5 years ago, patch-clamping electro-physiology methods 1 , fluorescence in situ hybridization 2,3 , flow cytometry 4,5 and enzyme-linked immunospot 6 assays were among the few single-cell molecular analy sis tools available. Most of those methods could only analyse between 1 and 3 molecules from a given cell, although multicolour flow cytometry could capture approximately 12 cell surface protein markers 7. This landscape is rapidly changing, and several technologies that can comprehensively analyse the single cell at the molecular level have now emerged. For example, some single-cell tools and methods can assay reasonably large numbers (&gt;40) of secreted proteins 8 , equally large numbers of cell surface markers 9 and elements of phos-phoprotein signalling pathways 10,11. In addition, single cells can now be analysed for the genome at focused 12,13 or high coverage 14 , the transcriptome at sparse coverage 15,16 or the entire transcriptome with moderate 17 or high 18 cell statistics. Additional reports in which integrated measurements of genes and transcripts 19 , limited numbers of proteins, transcripts 20,21 and genes 22 , and panels of proteins and metabolites 23 from single cells have also appeared. Microfluidics methods permit molecular analysis to be correlated with measurements of specific cellular functions (such as motility) or enable the analysis of defined, small populations of cells (that is, two to three cells) 24-26. Microfluidic designs can also permit cell analysis within highly controlled, custom environments 27-29 , or can allow for non-destructive cell analysis so that cells identified as interesting, such as B cells producing specific antibodies, can be harvested for further use 30,31. Two recent tissue staining methods, in situ RNA profiling via sequential hybridization 32-34 and proteomic analysis via ion beam profiling 35 , enable the analysis of single cells within fixed, intact tissues, with a level of multiplexing that significantly exceeds traditional immunohistochemical staining methods. The level of analyte quantification varies from measurements that yield copy numbers per cell 18,32,36 to relative quantification between cells. Many of these methods generate relatively new types of data and are therefore being integrated with new computational approaches 37-41. In fact, the development of computational to\u2026", "author" : [ { "dropping-particle" : "", "family" : "Heath", "given" : "James R", "non-dropping-particle" : "", "parse-names" : false, "suffix" : "" }, { "dropping-particle" : "", "family" : "Ribas", "given" : "Antoni", "non-dropping-particle" : "", "parse-names" : false, "suffix" : "" }, { "dropping-particle" : "", "family" : "Mischel", "given" : "Paul S", "non-dropping-particle" : "", "parse-names" : false, "suffix" : "" } ], "container-title" : "Nature Publishing Group", "id" : "ITEM-2", "issued" : { "date-parts" : [ [ "2016" ] ] }, "title" : "Single-cell analysis tools for drug discovery and development", "type" : "article-journal" }, "uris" : [ "http://www.mendeley.com/documents/?uuid=112ff3de-2b2d-374d-8c9e-0cd0a1189d87" ] }, { "id" : "ITEM-3", "itemData" : { "DOI" : "10.1016/j.copbio.2010.01.007", "ISSN" : "09581669", "PMID" : "20167469", "abstract" : "Single cells represent the minimal functional unit of life. A major goal of biology is to understand the mechanisms operating in this minimal unit. Nowadays, analysis of the single cell can be performed at unprecedented resolution using new lab-on-a-chip devices and advanced analytical methods. While cell handling and cultivation devices can be classified into finite volume reactors and flow systems, the analytical approaches differ in respect to invasive (i.e. chemical) and noninvasive (i.e. biological/living cell) analysis. Using these new and exciting technologies cell-to-cell differences, originating from regulatory circuits and distinct microenvironments, can now be explored. For example, it could be shown that the rates of transcription and translation are stochastic. Chemical and biological single cell analyses provide an unprecedented access to the understanding of cell-to-cell differences and basic biological concepts.", "author" : [ { "dropping-particle" : "", "family" : "Schmid", "given" : "Andreas", "non-dropping-particle" : "", "parse-names" : false, "suffix" : "" }, { "dropping-particle" : "", "family" : "Kortmann", "given" : "Hendrik", "non-dropping-particle" : "", "parse-names" : false, "suffix" : "" }, { "dropping-particle" : "", "family" : "Dittrich", "given" : "Petra S", "non-dropping-particle" : "", "parse-names" : false, "suffix" : "" }, { "dropping-particle" : "", "family" : "Blank", "given" : "Lars M", "non-dropping-particle" : "", "parse-names" : false, "suffix" : "" } ], "container-title" : "Current Opinion in Biotechnology", "id" : "ITEM-3", "issue" : "1", "issued" : { "date-parts" : [ [ "2010", "2" ] ] }, "page" : "12-20", "title" : "Chemical and biological single cell analysis", "type" : "article-journal", "volume" : "21" }, "uris" : [ "http://www.mendeley.com/documents/?uuid=b6dbcf4f-0eef-3aaf-b854-f8bf8f3a1add" ] }, { "id" : "ITEM-4", "itemData" : { "DOI" : "10.1586/epr.11.53", "ISSN" : "1478-9450", "PMID" : "21999830", "abstract" : "Single-cell analysis is gaining popularity in the field of mass spectrometry as a method for analyzing protein and peptide content in cells. The spatial resolution of MALDI mass spectrometry (MS) imaging is by a large extent limited by the laser focal diameter and the displacement of analytes during matrix deposition. Owing to recent advancements in both laser optics and matrix deposition methods, spatial resolution on the order of a single eukaryotic cell is now achievable by MALDI MS imaging. Provided adequate instrument sensitivity, a lateral resolution of approximately 10 \u00b5m is currently attainable with commercial instruments. As a result of these advances, MALDI MS imaging is poised to become a transformative clinical technology. In this article, the crucial steps needed to obtain single-cell resolution are discussed, as well as potential applications to disease research.", "author" : [ { "dropping-particle" : "", "family" : "Boggio", "given" : "Kristin J", "non-dropping-particle" : "", "parse-names" : false, "suffix" : "" }, { "dropping-particle" : "", "family" : "Obasuyi", "given" : "Emmanuel", "non-dropping-particle" : "", "parse-names" : false, "suffix" : "" }, { "dropping-particle" : "", "family" : "Sugino", "given" : "Ken", "non-dropping-particle" : "", "parse-names" : false, "suffix" : "" }, { "dropping-particle" : "", "family" : "Nelson", "given" : "Sacha B", "non-dropping-particle" : "", "parse-names" : false, "suffix" : "" }, { "dropping-particle" : "", "family" : "Agar", "given" : "Nathalie YR", "non-dropping-particle" : "", "parse-names" : false, "suffix" : "" }, { "dropping-particle" : "", "family" : "Agar", "given" : "Jeffrey N", "non-dropping-particle" : "", "parse-names" : false, "suffix" : "" } ], "container-title" : "Expert Review of Proteomics", "id" : "ITEM-4", "issue" : "5", "issued" : { "date-parts" : [ [ "2011", "10", "9" ] ] }, "page" : "591-604", "title" : "Recent advances in single-cell MALDI mass spectrometry imaging and potential clinical impact", "type" : "article-journal", "volume" : "8" }, "uris" : [ "http://www.mendeley.com/documents/?uuid=1aa8e2a6-7115-3b09-abd9-1e5680e8d07b" ] }, { "id" : "ITEM-5", "itemData" : { "DOI" : "10.1038/nmeth.1549", "ISSN" : "1548-7091", "PMID" : "21451513", "abstract" : "The intracellular levels and spatial localizations of metabolites and peptides reflect the state of a cell and its relationship to its surrounding environment. Moreover, the amounts and dynamics of metabolites and peptides are indicative of normal or pathological cellular conditions. Here we highlight established and evolving strategies for characterizing the metabolome and peptidome of single cells. Focused studies of the chemical composition of individual cells and functionally defined groups of cells promise to provide a greater understanding of cell fate, function and homeostatic balance. Single-cell bioanalytical microanalysis has also become increasingly valuable for examining cellular heterogeneity, particularly in the fields of neuroscience, stem cell biology and developmental biology.", "author" : [ { "dropping-particle" : "", "family" : "Rubakhin", "given" : "Stanislav S", "non-dropping-particle" : "", "parse-names" : false, "suffix" : "" }, { "dropping-particle" : "V", "family" : "Romanova", "given" : "Elena", "non-dropping-particle" : "", "parse-names" : false, "suffix" : "" }, { "dropping-particle" : "", "family" : "Nemes", "given" : "Peter", "non-dropping-particle" : "", "parse-names" : false, "suffix" : "" }, { "dropping-particle" : "V", "family" : "Sweedler", "given" : "Jonathan", "non-dropping-particle" : "", "parse-names" : false, "suffix" : "" } ], "container-title" : "Nature Methods", "id" : "ITEM-5", "issue" : "4", "issued" : { "date-parts" : [ [ "2011", "4", "30" ] ] }, "page" : "S20-S29", "title" : "Profiling metabolites and peptides in single cells", "type" : "article-journal", "volume" : "8" }, "uris" : [ "http://www.mendeley.com/documents/?uuid=fd1cb41d-467d-3149-8d71-f8158ed9e268" ] }, { "id" : "ITEM-6", "itemData" : { "DOI" : "10.1126/science.1258367", "ISSN" : "0036-8075", "abstract" : "&lt;p&gt;We present a technically simple approach for gene expression cytometry combining next-generation sequencing with stochastic barcoding of single cells. A combinatorial library of beads bearing cell- and molecular-barcoding capture probes is used to uniquely label transcripts and reconstruct the digital gene expression profile of thousands of individual cells in a single experiment without the need for robotics or automation. We applied the technology to dissect the human hematopoietic system and to characterize heterogeneous response to in vitro stimulation. High sensitivity is demonstrated by detection of low-abundance transcripts and rare cells. Under current implementation, the technique can analyze a few thousand cells simultaneously and can readily scale to 10,000s or 100,000s of cells.&lt;/p&gt;", "author" : [ { "dropping-particle" : "", "family" : "Fan", "given" : "H. Christina", "non-dropping-particle" : "", "parse-names" : false, "suffix" : "" }, { "dropping-particle" : "", "family" : "Fu", "given" : "Glenn K.", "non-dropping-particle" : "", "parse-names" : false, "suffix" : "" }, { "dropping-particle" : "", "family" : "Fodor", "given" : "Stephen P. A.", "non-dropping-particle" : "", "parse-names" : false, "suffix" : "" } ], "container-title" : "Science", "id" : "ITEM-6", "issue" : "6222", "issued" : { "date-parts" : [ [ "2015", "2", "6" ] ] }, "page" : "1258367", "title" : "Combinatorial labeling of single cells for gene expression cytometry", "type" : "article-journal", "volume" : "347" }, "uris" : [ "http://www.mendeley.com/documents/?uuid=64782157-7869-3d17-8fc8-c2c9f0065b2e" ] }, { "id" : "ITEM-7", "itemData" : { "DOI" : "10.1038/s41576-019-0093-7", "ISSN" : "14710064", "abstract" : "The recent maturation of single-cell RNA sequencing (scRNA-seq) technologies has coincided with transformative new methods to profile genetic, epigenetic, spatial, proteomic and lineage information in individual cells. This provides unique opportunities, alongside computational challenges, for integrative methods that can jointly learn across multiple types of data. Integrated analysis can discover relationships across cellular modalities, learn a holistic representation of the cell state, and enable the pooling of data sets produced across individuals and technologies. In this Review, we discuss the recent advances in the collection and integration of different data types at single-cell resolution with a focus on the integration of gene expression data with other types of single-cell measurement.", "author" : [ { "dropping-particle" : "", "family" : "Stuart", "given" : "Tim", "non-dropping-particle" : "", "parse-names" : false, "suffix" : "" }, { "dropping-particle" : "", "family" : "Satija", "given" : "Rahul", "non-dropping-particle" : "", "parse-names" : false, "suffix" : "" } ], "container-title" : "Nature Reviews Genetics", "id" : "ITEM-7", "issue" : "5", "issued" : { "date-parts" : [ [ "2019", "5", "1" ] ] }, "page" : "257-272", "publisher" : "Nature Publishing Group", "title" : "Integrative single-cell analysis", "type" : "article", "volume" : "20" }, "uris" : [ "http://www.mendeley.com/documents/?uuid=ead27e84-94e8-32c1-884e-8549b60365a3" ] }, { "id" : "ITEM-8", "itemData" : { "DOI" : "10.1038/nmeth.4150", "ISSN" : "15487105", "abstract" : "Single-cell gene expression studies promise to reveal rare cell types and cryptic states, but the high variability of single-cell RNA-seq measurements frustrates efforts to assay transcriptional differences between cells. We introduce the Census algorithm to convert relative RNA-seq expression levels into relative transcript counts without the need for experimental spike-in controls. Analyzing changes in relative transcript counts led to dramatic improvements in accuracy compared to normalized read counts and enabled new statistical tests for identifying developmentally regulated genes. Census counts can be analyzed with widely used regression techniques to reveal changes in cell-fate-dependent gene expression, splicing patterns and allelic imbalances. We reanalyzed single-cell data from several developmental and disease studies, and demonstrate that Census enabled robust analysis at multiple layers of gene regulation. Census is freely available through our updated single-cell analysis toolkit, Monocle 2.", "author" : [ { "dropping-particle" : "", "family" : "Qiu", "given" : "Xiaojie", "non-dropping-particle" : "", "parse-names" : false, "suffix" : "" }, { "dropping-particle" : "", "family" : "Hill", "given" : "Andrew", "non-dropping-particle" : "", "parse-names" : false, "suffix" : "" }, { "dropping-particle" : "", "family" : "Packer", "given" : "Jonathan", "non-dropping-particle" : "", "parse-names" : false, "suffix" : "" }, { "dropping-particle" : "", "family" : "Lin", "given" : "Dejun", "non-dropping-particle" : "", "parse-names" : false, "suffix" : "" }, { "dropping-particle" : "", "family" : "Ma", "given" : "Yi An", "non-dropping-particle" : "", "parse-names" : false, "suffix" : "" }, { "dropping-particle" : "", "family" : "Trapnell", "given" : "Cole", "non-dropping-particle" : "", "parse-names" : false, "suffix" : "" } ], "container-title" : "Nature Methods", "id" : "ITEM-8", "issue" : "3", "issued" : { "date-parts" : [ [ "2017", "2", "28" ] ] }, "page" : "309-315", "publisher" : "Nature Publishing Group", "title" : "Single-cell mRNA quantification and differential analysis with Census", "type" : "article-journal", "volume" : "14" }, "uris" : [ "http://www.mendeley.com/documents/?uuid=713e5cd0-201f-32f6-b3c6-9135ec9ee181" ] }, { "id" : "ITEM-9", "itemData" : { "DOI" : "10.1038/nm.4336", "ISSN" : "1546170X", "abstract" : "Recent advances in single-cell transcriptomics are ideally placed to unravel intratumoral heterogeneity and selective resistance of cancer stem cell (SC) subpopulations to molecularly targeted cancer therapies. However, current single-cell RNA-sequencing approaches lack the sensitivity required to reliably detect somatic mutations. We developed a method that combines high-sensitivity mutation detection with whole-transcriptome analysis of the same single cell. We applied this technique to analyze more than 2,000 SCs from patients with chronic myeloid leukemia (CML) throughout the disease course, revealing heterogeneity of CML-SCs, including the identification of a subgroup of CML-SCs with a distinct molecular signature that selectively persisted during prolonged therapy. Analysis of nonleukemic SCs from patients with CML also provided new insights into cell-extrinsic disruption of hematopoiesis in CML associated with clinical outcome. Furthermore, we used this single-cell approach to identify a blast-crisis-specific SC population, which was also present in a subclone of CML-SCs during the chronic phase in a patient who subsequently developed blast crisis. This approach, which might be broadly applied to any malignancy, illustrates how single-cell analysis can identify subpopulations of therapy-resistant SCs that are not apparent through cell-population analysis.", "author" : [ { "dropping-particle" : "", "family" : "Giustacchini", "given" : "Alice", "non-dropping-particle" : "", "parse-names" : false, "suffix" : "" }, { "dropping-particle" : "", "family" : "Thongjuea", "given" : "Supat", "non-dropping-particle" : "", "parse-names" : false, "suffix" : "" }, { "dropping-particle" : "", "family" : "Barkas", "given" : "Nikolaos", "non-dropping-particle" : "", "parse-names" : false, "suffix" : "" }, { "dropping-particle" : "", "family" : "Woll", "given" : "Petter S.", "non-dropping-particle" : "", "parse-names" : false, "suffix" : "" }, { "dropping-particle" : "", "family" : "Povinelli", "given" : "Benjamin J.", "non-dropping-particle" : "", "parse-names" : false, "suffix" : "" }, { "dropping-particle" : "", "family" : "Booth", "given" : "Christopher A.G.", "non-dropping-particle" : "", "parse-names" : false, "suffix" : "" }, { "dropping-particle" : "", "family" : "Sopp", "given" : "Paul", "non-dropping-particle" : "", "parse-names" : false, "suffix" : "" }, { "dropping-particle" : "", "family" : "Norfo", "given" : "Ruggiero", "non-dropping-particle" : "", "parse-names" : false, "suffix" : "" }, { "dropping-particle" : "", "family" : "Rodriguez-Meira", "given" : "Alba", "non-dropping-particle" : "", "parse-names" : false, "suffix" : "" }, { "dropping-particle" : "", "family" : "Ashley", "given" : "Neil", "non-dropping-particle" : "", "parse-names" : false, "suffix" : "" }, { "dropping-particle" : "", "family" : "Jamieson", "given" : "Lauren", "non-dropping-particle" : "", "parse-names" : false, "suffix" : "" }, { "dropping-particle" : "", "family" : "Vyas", "given" : "Paresh", "non-dropping-particle" : "", "parse-names" : false, "suffix" : "" }, { "dropping-particle" : "", "family" : "Anderson", "given" : "Kristina", "non-dropping-particle" : "", "parse-names" : false, "suffix" : "" }, { "dropping-particle" : "", "family" : "Segerstolpe", "given" : "\u00c5sa", "non-dropping-particle" : "", "parse-names" : false, "suffix" : "" }, { "dropping-particle" : "", "family" : "Qian", "given" : "Hong", "non-dropping-particle" : "", "parse-names" : false, "suffix" : "" }, { "dropping-particle" : "", "family" : "Olsson-Str\u00f6mberg", "given" : "Ulla", "non-dropping-particle" : "", "parse-names" : false, "suffix" : "" }, { "dropping-particle" : "", "family" : "Mustjoki", "given" : "Satu", "non-dropping-particle" : "", "parse-names" : false, "suffix" : "" }, { "dropping-particle" : "", "family" : "Sandberg", "given" : "Rickard", "non-dropping-particle" : "", "parse-names" : false, "suffix" : "" }, { "dropping-particle" : "", "family" : "Jacobsen", "given" : "Sten Eirik W.", "non-dropping-particle" : "", "parse-names" : false, "suffix" : "" }, { "dropping-particle" : "", "family" : "Mead", "given" : "Adam J.", "non-dropping-particle" : "", "parse-names" : false, "suffix" : "" } ], "container-title" : "Nature Medicine", "id" : "ITEM-9", "issue" : "6", "issued" : { "date-parts" : [ [ "2017", "6", "1" ] ] }, "page" : "692-702", "publisher" : "Nature Publishing Group", "title" : "Single-cell transcriptomics uncovers distinct molecular signatures of stem cells in chronic myeloid leukemia", "type" : "article-journal", "volume" : "23" }, "uris" : [ "http://www.mendeley.com/documents/?uuid=657810a2-491b-3d8d-8a49-df8188069c50" ] }, { "id" : "ITEM-10", "itemData" : { "DOI" : "10.1038/nmeth0411-311", "ISSN" : "1548-7091", "PMID" : "21451520", "abstract" : "Methods for genomic analysis at single-cell resolution enable new understanding of complex biological phenomena. Single-cell techniques, ranging from flow cytometry and microfluidics to PCR and sequencing, are used to understand the cellular composition of complex tissues, find new microbial species and perform genome-wide haplotyping.", "author" : [ { "dropping-particle" : "", "family" : "Kalisky", "given" : "Tomer", "non-dropping-particle" : "", "parse-names" : false, "suffix" : "" }, { "dropping-particle" : "", "family" : "Quake", "given" : "Stephen R", "non-dropping-particle" : "", "parse-names" : false, "suffix" : "" } ], "container-title" : "Nature Methods", "id" : "ITEM-10", "issue" : "4", "issued" : { "date-parts" : [ [ "2011", "4" ] ] }, "page" : "311-314", "title" : "Single-cell genomics", "type" : "article-journal", "volume" : "8" }, "uris" : [ "http://www.mendeley.com/documents/?uuid=547a438d-a08e-300a-a2e7-a0f486bedb93" ] }, { "id" : "ITEM-11", "itemData" : { "DOI" : "10.1038/nrg3542", "ISSN" : "1471-0056", "PMID" : "23897237", "abstract" : "The unabated progress in next-generation sequencing technologies is fostering a wave of new genomics, epigenomics, transcriptomics and proteomics technologies. These sequencing-based technologies are increasingly being targeted to individual cells, which will allow many new and longstanding questions to be addressed. For example, single-cell genomics will help to uncover cell lineage relationships; single-cell transcriptomics will supplant the coarse notion of marker-based cell types; and single-cell epigenomics and proteomics will allow the functional states of individual cells to be analysed. These technologies will become integrated within a decade or so, enabling high-throughput, multi-dimensional analyses of individual cells that will produce detailed knowledge of the cell lineage trees of higher organisms, including humans. Such studies will have important implications for both basic biological research and medicine.", "author" : [ { "dropping-particle" : "", "family" : "Shapiro", "given" : "Ehud", "non-dropping-particle" : "", "parse-names" : false, "suffix" : "" }, { "dropping-particle" : "", "family" : "Biezuner", "given" : "Tamir", "non-dropping-particle" : "", "parse-names" : false, "suffix" : "" }, { "dropping-particle" : "", "family" : "Linnarsson", "given" : "Sten", "non-dropping-particle" : "", "parse-names" : false, "suffix" : "" } ], "container-title" : "Nature Reviews Genetics", "id" : "ITEM-11", "issue" : "9", "issued" : { "date-parts" : [ [ "2013", "9", "30" ] ] }, "page" : "618-630", "title" : "Single-cell sequencing-based technologies will revolutionize whole-organism science", "type" : "article-journal", "volume" : "14" }, "uris" : [ "http://www.mendeley.com/documents/?uuid=d2f668e8-9ead-32a0-923c-33d0c9be8b4b" ] }, { "id" : "ITEM-12", "itemData" : { "DOI" : "10.1038/nsmb.2660", "ISSN" : "1545-9993", "PMID" : "23934149", "abstract" : "Measuring gene expression in individual cells is crucial for understanding the gene regulatory network controlling human embryonic development. Here we apply single-cell RNA sequencing (RNA-Seq) analysis to 124 individual cells from human preimplantation embryos and human embryonic stem cells (hESCs) at different passages. The number of maternally expressed genes detected in our data set is 22,687, including 8,701 long noncoding RNAs (lncRNAs), which represents a significant increase from 9,735 maternal genes detected previously by cDNA microarray. We discovered 2,733 novel lncRNAs, many of which are expressed in specific developmental stages. To address the long-standing question whether gene expression signatures of human epiblast (EPI) and in vitro hESCs are the same, we found that EPI cells and primary hESC outgrowth have dramatically different transcriptomes, with 1,498 genes showing differential expression between them. This work provides a comprehensive framework of the transcriptome landscapes of human early embryos and hESCs.", "author" : [ { "dropping-particle" : "", "family" : "Yan", "given" : "Liying", "non-dropping-particle" : "", "parse-names" : false, "suffix" : "" }, { "dropping-particle" : "", "family" : "Yang", "given" : "Mingyu", "non-dropping-particle" : "", "parse-names" : false, "suffix" : "" }, { "dropping-particle" : "", "family" : "Guo", "given" : "Hongshan", "non-dropping-particle" : "", "parse-names" : false, "suffix" : "" }, { "dropping-particle" : "", "family" : "Yang", "given" : "Lu", "non-dropping-particle" : "", "parse-names" : false, "suffix" : "" }, { "dropping-particle" : "", "family" : "Wu", "given" : "Jun", "non-dropping-particle" : "", "parse-names" : false, "suffix" : "" }, { "dropping-particle" : "", "family" : "Li", "given" : "Rong", "non-dropping-particle" : "", "parse-names" : false, "suffix" : "" }, { "dropping-particle" : "", "family" : "Liu", "given" : "Ping", "non-dropping-particle" : "", "parse-names" : false, "suffix" : "" }, { "dropping-particle" : "", "family" : "Lian", "given" : "Ying", "non-dropping-particle" : "", "parse-names" : false, "suffix" : "" }, { "dropping-particle" : "", "family" : "Zheng", "given" : "Xiaoying", "non-dropping-particle" : "", "parse-names" : false, "suffix" : "" }, { "dropping-particle" : "", "family" : "Yan", "given" : "Jie", "non-dropping-particle" : "", "parse-names" : false, "suffix" : "" }, { "dropping-particle" : "", "family" : "Huang", "given" : "Jin", "non-dropping-particle" : "", "parse-names" : false, "suffix" : "" }, { "dropping-particle" : "", "family" : "Li", "given" : "Ming", "non-dropping-particle" : "", "parse-names" : false, "suffix" : "" }, { "dropping-particle" : "", "family" : "Wu", "given" : "Xinglong", "non-dropping-particle" : "", "parse-names" : false, "suffix" : "" }, { "dropping-particle" : "", "family" : "Wen", "given" : "Lu", "non-dropping-particle" : "", "parse-names" : false, "suffix" : "" }, { "dropping-particle" : "", "family" : "Lao", "given" : "Kaiqin", "non-dropping-particle" : "", "parse-names" : false, "suffix" : "" }, { "dropping-particle" : "", "family" : "Li", "given" : "Ruiqiang", "non-dropping-particle" : "", "parse-names" : false, "suffix" : "" }, { "dropping-particle" : "", "family" : "Qiao", "given" : "Jie", "non-dropping-particle" : "", "parse-names" : false, "suffix" : "" }, { "dropping-particle" : "", "family" : "Tang", "given" : "Fuchou", "non-dropping-particle" : "", "parse-names" : false, "suffix" : "" } ], "container-title" : "Nature Structural &amp; Molecular Biology", "id" : "ITEM-12", "issue" : "9", "issued" : { "date-parts" : [ [ "2013", "9", "11" ] ] }, "page" : "1131-1139", "title" : "Single-cell RNA-Seq profiling of human preimplantation embryos and embryonic stem cells", "type" : "article-journal", "volume" : "20" }, "uris" : [ "http://www.mendeley.com/documents/?uuid=c33eff7b-f248-3c22-8bd8-dced81e53dec" ] }, { "id" : "ITEM-13", "itemData" : { "DOI" : "10.1016/j.cbpa.2012.03.022", "ISSN" : "13675931", "PMID" : "22525493", "abstract" : "Methods for single-cell analysis are critical to revealing cell-to-cell variability in biological systems, especially in cases where relevant minority cell populations can be obscured by population-averaged measurements. However, to date single cell studies have been limited by the cost and throughput required to examine large numbers of cells and the difficulties associated with analyzing small amounts of starting material. Microfluidic approaches are well suited to resolving these issues by providing increased senstitivity, economy of scale, and automation. After many years of development microfluidic systems are now finding traction in a variety of single-cell analytics including gene expression measurements, protein analysis, signaling response, and growth dynamics. With newly developed tools now being applied in fields ranging from human haplotyping and drug discovery to stem cell and cancer research, the long-heralded promise of microfluidic single cell analysis is now finally being realized.", "author" : [ { "dropping-particle" : "", "family" : "Lecault", "given" : "V\u00e9ronique", "non-dropping-particle" : "", "parse-names" : false, "suffix" : "" }, { "dropping-particle" : "", "family" : "White", "given" : "Adam K", "non-dropping-particle" : "", "parse-names" : false, "suffix" : "" }, { "dropping-particle" : "", "family" : "Singhal", "given" : "Anupam", "non-dropping-particle" : "", "parse-names" : false, "suffix" : "" }, { "dropping-particle" : "", "family" : "Hansen", "given" : "Carl L", "non-dropping-particle" : "", "parse-names" : false, "suffix" : "" } ], "container-title" : "Current Opinion in Chemical Biology", "id" : "ITEM-13", "issue" : "3-4", "issued" : { "date-parts" : [ [ "2012", "8" ] ] }, "page" : "381-390", "title" : "Microfluidic single cell analysis: from promise to practice", "type" : "article-journal", "volume" : "16" }, "uris" : [ "http://www.mendeley.com/documents/?uuid=7fbe6417-1b3c-3a83-82d8-c6892231b485" ] } ], "mendeley" : { "formattedCitation" : "&lt;sup&gt;144\u2013156&lt;/sup&gt;", "plainTextFormattedCitation" : "144\u2013156", "previouslyFormattedCitation" : "&lt;sup&gt;143\u2013155&lt;/sup&gt;" }, "properties" : { "noteIndex" : 0 }, "schema" : "https://github.com/citation-style-language/schema/raw/master/csl-citation.json" }</w:instrText>
      </w:r>
      <w:r w:rsidRPr="007077AC">
        <w:rPr>
          <w:bCs/>
        </w:rPr>
        <w:fldChar w:fldCharType="separate"/>
      </w:r>
      <w:r w:rsidR="000849BF" w:rsidRPr="000849BF">
        <w:rPr>
          <w:bCs/>
          <w:noProof/>
          <w:vertAlign w:val="superscript"/>
        </w:rPr>
        <w:t>144–156</w:t>
      </w:r>
      <w:r w:rsidRPr="007077AC">
        <w:fldChar w:fldCharType="end"/>
      </w:r>
      <w:r w:rsidRPr="007077AC">
        <w:rPr>
          <w:bCs/>
        </w:rPr>
        <w:t xml:space="preserve"> The pursuit of single cell mass spectrometry (SCMS) technology has led to the development of new and innovative  methodologies utilizing unique apparatuses, ionization technologies, and microscopy.</w:t>
      </w:r>
      <w:r w:rsidRPr="007077AC">
        <w:rPr>
          <w:bCs/>
        </w:rPr>
        <w:fldChar w:fldCharType="begin" w:fldLock="1"/>
      </w:r>
      <w:r w:rsidR="000849BF">
        <w:rPr>
          <w:bCs/>
        </w:rPr>
        <w:instrText>ADDIN CSL_CITATION { "citationItems" : [ { "id" : "ITEM-1", "itemData" : { "DOI" : "10.1021/ac303038j", "ISSN" : "0003-2700", "abstract" : "Neurons isolated from Aplysia californica, an organism with a well-defined neural network, were imaged with secondary ion mass spectrometry, C60-SIMS. A major lipid component of the neuronal membrane was identified as 1-hexadecyl-2-octadecenoyl-sn-glycero-3-phosphocholine [PC(16:0e/18:1)] using tandem mass spectrometry (MS/MS). The assignment was made directly off the sample surface using a C60-QSTAR instrument, a prototype instrument that combines an ion source with a commercial electrospray ionization/matrix-assisted laser desorption ionization (ESI/MALDI) mass spectrometer. Normal phase liquid chromatography mass spectrometry (NP-LC\u2013MS) was used to confirm the assignment. Cholesterol and vitamin E were also identified with in situ tandem MS analyses that were compared to reference spectra obtained from purified compounds. In order to improve sensitivity on the single-cell level, the tandem MS spectrum of vitamin E reference material was used to extract and compile all the vitamin E related peaks from t...", "author" : [ { "dropping-particle" : "", "family" : "Passarelli", "given" : "Melissa K.", "non-dropping-particle" : "", "parse-names" : false, "suffix" : "" }, { "dropping-particle" : "", "family" : "Ewing", "given" : "Andrew G.", "non-dropping-particle" : "", "parse-names" : false, "suffix" : "" }, { "dropping-particle" : "", "family" : "Winograd", "given" : "Nicholas", "non-dropping-particle" : "", "parse-names" : false, "suffix" : "" } ], "container-title" : "Analytical Chemistry", "id" : "ITEM-1", "issue" : "4", "issued" : { "date-parts" : [ [ "2013", "2", "19" ] ] }, "page" : "2231-2238", "publisher" : "American Chemical Society", "title" : "Single-Cell Lipidomics: Characterizing and Imaging Lipids on the Surface of Individual Aplysia californica Neurons with Cluster Secondary Ion Mass Spectrometry", "type" : "article-journal", "volume" : "85" }, "uris" : [ "http://www.mendeley.com/documents/?uuid=05241afb-a678-3bdf-9444-fcb44d9e1bb8" ] }, { "id" : "ITEM-2", "itemData" : { "DOI" : "10.1016/j.copbio.2012.10.021", "ISSN" : "09581669", "PMID" : "23246232", "abstract" : "The metabolome refers to the entire set of small molecules, or metabolites, within a biological sample. These molecules are involved in many fundamental intracellular functions and reflect the cell's physiological condition. The ability to detect and identify metabolites and determine and monitor their amounts at the single cell level enables an exciting range of studies of biological variation and functional heterogeneity between cells, even within a presumably homogenous cell population. Significant progress has been made in the development and application of bioanalytical tools for single cell metabolomics based on mass spectrometry, microfluidics, and capillary separations. Remarkable improvements in the sensitivity, specificity, and throughput of these approaches enable investigation of multiple metabolites simultaneously in a range of individual cell samples.", "author" : [ { "dropping-particle" : "", "family" : "Rubakhin", "given" : "Stanislav S", "non-dropping-particle" : "", "parse-names" : false, "suffix" : "" }, { "dropping-particle" : "", "family" : "Lanni", "given" : "Eric J", "non-dropping-particle" : "", "parse-names" : false, "suffix" : "" }, { "dropping-particle" : "V", "family" : "Sweedler", "given" : "Jonathan", "non-dropping-particle" : "", "parse-names" : false, "suffix" : "" } ], "container-title" : "Current Opinion in Biotechnology", "id" : "ITEM-2", "issue" : "1", "issued" : { "date-parts" : [ [ "2013", "2" ] ] }, "page" : "95-104", "title" : "Progress toward single cell metabolomics", "type" : "article-journal", "volume" : "24" }, "uris" : [ "http://www.mendeley.com/documents/?uuid=2be1e91f-a4f3-34e4-a695-23884385246c" ] }, { "id" : "ITEM-3", "itemData" : { "DOI" : "10.1002/ANIE.201709719@10.1002/(ISSN)1521-3773.ANALYTICALCHEMISTRY", "ISSN" : "1521-3773", "author" : [ { "dropping-particle" : "", "family" : "Zhang", "given" : "Linwen", "non-dropping-particle" : "", "parse-names" : false, "suffix" : "" }, { "dropping-particle" : "", "family" : "Vertes", "given" : "Akos", "non-dropping-particle" : "", "parse-names" : false, "suffix" : "" } ], "container-title" : "Angewandte Chemie International Edition", "id" : "ITEM-3", "issue" : "17", "issued" : { "date-parts" : [ [ "2018", "4", "16" ] ] }, "page" : "4466-4477", "publisher" : "John Wiley &amp; Sons, Ltd", "title" : "Single\u2010Cell Mass Spectrometry Approaches to Explore Cellular Heterogeneity", "type" : "article-journal", "volume" : "57" }, "uris" : [ "http://www.mendeley.com/documents/?uuid=3e620e19-5b74-36d5-b070-5c179ee4b01d" ] }, { "id" : "ITEM-4", "itemData" : { "DOI" : "10.1039/c8an01581c", "ISSN" : "13645528", "abstract" : "Metabolomics has grown into a prominent field contributing to the molecular understanding of complex biological processes in both health and disease. Furthermore, single-cells are known to display metabolic differences between seemingly homogeneous populations of cells. Single-cell metabolomics attempts to analyze many cellular metabolites from single cells to understand phenotypic heterogeneity, which is a significant challenge due to the low analyte abundances and limited sample volumes. Label-free metabolite detection can be achieved with mass spectrometry, which is capable of simultaneously analyzing hundreds of metabolites. Herein, we review the recent advances in mass spectrometry based single-cell metabolomics, highlighting the current state-of-the-art within the last three years, and identify the challenges to move the field forward.", "author" : [ { "dropping-particle" : "", "family" : "Duncan", "given" : "Kyle D.", "non-dropping-particle" : "", "parse-names" : false, "suffix" : "" }, { "dropping-particle" : "", "family" : "Fyrestam", "given" : "Jonas", "non-dropping-particle" : "", "parse-names" : false, "suffix" : "" }, { "dropping-particle" : "", "family" : "Lanekoff", "given" : "Ingela", "non-dropping-particle" : "", "parse-names" : false, "suffix" : "" } ], "container-title" : "Analyst", "id" : "ITEM-4", "issue" : "3", "issued" : { "date-parts" : [ [ "2019", "2", "7" ] ] }, "page" : "782-793", "publisher" : "Royal Society of Chemistry", "title" : "Advances in mass spectrometry based single-cell metabolomics", "type" : "article", "volume" : "144" }, "uris" : [ "http://www.mendeley.com/documents/?uuid=2a70ce25-667c-3269-b285-a4feac0d4c3d" ] }, { "id" : "ITEM-5", "itemData" : { "DOI" : "10.1002/jms.1460", "ISSN" : "10765174", "PMID" : "18615771", "abstract" : "The molecular content from the cytoplasm of a live, single mammalian cell and its organelle were trapped with a nano-electrospray ionization (ESI) tip acting as a micropipette under a video microscope, and hundreds of small molecular peaks were detected by direct nano-ESI mass spectrometry (MS). Granule- or cytoplasm-specific peaks in a mast cell (RBL 2H3) model were extracted by paired t-test to demonstrate their specific localization. Some of the typical and specific molecules were successfully identified by MS/MS analysis. This method was also applied to the cell classification of seven types of cell lines at the single-cellular level by principal component analysis (PCA), revealing seven clusters in the multivariate score plot.", "author" : [ { "dropping-particle" : "", "family" : "Mizuno", "given" : "Hajime", "non-dropping-particle" : "", "parse-names" : false, "suffix" : "" }, { "dropping-particle" : "", "family" : "Tsuyama", "given" : "Naohiro", "non-dropping-particle" : "", "parse-names" : false, "suffix" : "" }, { "dropping-particle" : "", "family" : "Harada", "given" : "Takanori", "non-dropping-particle" : "", "parse-names" : false, "suffix" : "" }, { "dropping-particle" : "", "family" : "Masujima", "given" : "Tsutomu", "non-dropping-particle" : "", "parse-names" : false, "suffix" : "" } ], "container-title" : "Journal of Mass Spectrometry", "id" : "ITEM-5", "issue" : "12", "issued" : { "date-parts" : [ [ "2008", "12" ] ] }, "page" : "1692-1700", "title" : "Live single-cell video-mass spectrometry for cellular and subcellular molecular detection and cell classification", "type" : "article-journal", "volume" : "43" }, "uris" : [ "http://www.mendeley.com/documents/?uuid=d5bd645b-8d20-3d93-b2ef-ceb5e3decc54" ] }, { "id" : "ITEM-6", "itemData" : { "ISSN" : "1348-2246", "PMID" : "19667470", "abstract" : "The history from bio-imaging to live single-cell mass spectrometry (MS) is herein reviewed. The limitation of the current bio-imaging method is probing only known molecules, and a method for finding new molecules is needed for cells which, however, show individual behaviors even in the same incubation dish. Single-cell MALDI-TOF/MS has been developed, but it can detect only molecules that can be easily ionized, and not be exhaustive. Recently, the contents of a single cell have been sucked out by a nano-electro spray tip, and directly introduced into MS by nano-spray ionization. Thousands of molecular peaks have been successfully and exhaustively detected, and an extraction method for key molecules was also developed. This new method is now being widely applied to explore site- or state-specific molecules in various aspects of cell dynamisms.", "author" : [ { "dropping-particle" : "", "family" : "Masujima", "given" : "Tsutomu", "non-dropping-particle" : "", "parse-names" : false, "suffix" : "" } ], "container-title" : "Analytical sciences : the international journal of the Japan Society for Analytical Chemistry", "id" : "ITEM-6", "issue" : "8", "issued" : { "date-parts" : [ [ "2009", "8" ] ] }, "page" : "953-60", "title" : "Live single-cell mass spectrometry.", "type" : "article-journal", "volume" : "25" }, "uris" : [ "http://www.mendeley.com/documents/?uuid=78fe8941-4ba0-3b0a-a815-f6f9a0b17b3f" ] }, { "id" : "ITEM-7", "itemData" : { "DOI" : "10.1021/ac102702m", "ISSN" : "0003-2700", "abstract" : "We demonstrate a facile label-free approach for performing multidimensional chemical analysis on individual single-cell organisms by combining optical, fluorescence, and Raman microspectroscopy with matrix-free laser desorption/ionization mass spectrometry (MS). Single unicellular algae are seeded on a bare stainless steel plate and analyzed microspectroscopically. This provides information on the content and distribution of photoactive species, such as \u03b2-carotene, as well as chlorophyll and other components of the photosynthetic apparatus. Exactly the same cells are then analyzed by mass spectrometry in the negative ion mode. Phospholipid species are readily ionized by laser desorption/ionization of intact cells, without the need for an auxiliary matrix. This not only facilitates sample preparation but also preserves high spatial resolution and high sensitivity. Using this method, we were able to study the content and arrangement of proplastids and photosystem components, as well as the amounts of variou...", "author" : [ { "dropping-particle" : "", "family" : "Urban", "given" : "Pawel L.", "non-dropping-particle" : "", "parse-names" : false, "suffix" : "" }, { "dropping-particle" : "", "family" : "Schmid", "given" : "Thomas", "non-dropping-particle" : "", "parse-names" : false, "suffix" : "" }, { "dropping-particle" : "", "family" : "Amantonico", "given" : "Andrea", "non-dropping-particle" : "", "parse-names" : false, "suffix" : "" }, { "dropping-particle" : "", "family" : "Zenobi", "given" : "Renato", "non-dropping-particle" : "", "parse-names" : false, "suffix" : "" } ], "container-title" : "Analytical Chemistry", "id" : "ITEM-7", "issue" : "5", "issued" : { "date-parts" : [ [ "2011", "3" ] ] }, "page" : "1843-1849", "publisher" : "American Chemical Society", "title" : "Multidimensional Analysis of Single Algal Cells by Integrating Microspectroscopy with Mass Spectrometry", "type" : "article-journal", "volume" : "83" }, "uris" : [ "http://www.mendeley.com/documents/?uuid=3581d0b1-df42-39b6-91cf-b473738fb13f" ] }, { "id" : "ITEM-8", "itemData" : { "DOI" : "10.1021/ac101565f", "ISSN" : "0003-2700", "PMID" : "21049956", "abstract" : "Nanostructure-Initiator Mass Spectrometry (NIMS) is a matrix-free desorption/ionization approach that is particularly well-suited for unbiased (untargeted) metabolomics. An overview of the NIMS technology and its application in the detection of biofluid and tissue metabolites are presented. (To listen to a podcast about this feature, please go to the Analytical Chemistry multimedia page at pubs.acs.org/page/ancham/audio/index.html .).", "author" : [ { "dropping-particle" : "", "family" : "Greving", "given" : "Matthew P.", "non-dropping-particle" : "", "parse-names" : false, "suffix" : "" }, { "dropping-particle" : "", "family" : "Patti", "given" : "Gary J.", "non-dropping-particle" : "", "parse-names" : false, "suffix" : "" }, { "dropping-particle" : "", "family" : "Siuzdak", "given" : "Gary", "non-dropping-particle" : "", "parse-names" : false, "suffix" : "" } ], "container-title" : "Analytical Chemistry", "id" : "ITEM-8", "issue" : "1", "issued" : { "date-parts" : [ [ "2011", "1", "1" ] ] }, "page" : "2-7", "title" : "Nanostructure-Initiator Mass Spectrometry Metabolite Analysis and Imaging", "type" : "article-journal", "volume" : "83" }, "uris" : [ "http://www.mendeley.com/documents/?uuid=0189b4aa-162d-3420-9499-85ae5339e556" ] }, { "id" : "ITEM-9", "itemData" : { "DOI" : "10.1016/j.jprot.2012.02.011", "abstract" : "MS imaging (MSI) is a remarkable new technology that enables us to determine the distribution of biological molecules present in tissue sections by direct ionization and detection. This technique is now widely used for in situ imaging of endogenous or exogenous molecules such as proteins, lipids, drugs and their metabolites, and it is a potential tool for pathological analysis and the investigation of disease mechanisms. MSI is also thought to be a technique that could be used for biomarker discovery with spatial information. The application of MSI to the study of endogenous metabolites has received considerable attention because metabo-lites are the result of the interactions of a system's genome with its environment and a total set of these metabolites more closely represents the phenotype of an organism under a given set of conditions. Recent studies have suggested the importance of in situ metabolite imaging in biological discovery and biomedical applications, but several issues regarding the technical application limits of MSI still remained to be resolved. In this review, we describe the capabili-ties of the latest MSI techniques for the imaging of endogenous metabolites in biological sam-ples, and also discuss the technical problems and new challenges that need to be addressed for effective and widespread application of MSI in both preclinical and clinical settings. This article is part of a Special Issue entitled: Mass spectrometric interrogation and imaging of tissues Mass spectrometric interrogation and imaging of tissues.", "author" : [ { "dropping-particle" : "", "family" : "Miura", "given" : "Daisuke", "non-dropping-particle" : "", "parse-names" : false, "suffix" : "" }, { "dropping-particle" : "", "family" : "Fujimura", "given" : "Yoshinori", "non-dropping-particle" : "", "parse-names" : false, "suffix" : "" }, { "dropping-particle" : "", "family" : "Wariishi", "given" : "Hiroyuki", "non-dropping-particle" : "", "parse-names" : false, "suffix" : "" } ], "id" : "ITEM-9", "issued" : { "date-parts" : [ [ "0" ] ] }, "title" : "In situ metabolomic mass spectrometry imaging: Recent advances and difficulties", "type" : "article-journal" }, "uris" : [ "http://www.mendeley.com/documents/?uuid=c1de0c7e-8dd9-345d-bbf3-143a7ca4f266" ] }, { "id" : "ITEM-10", "itemData" : { "DOI" : "10.1021/cr200280p", "ISSN" : "0009-2665", "author" : [ { "dropping-particle" : "", "family" : "Zemski Berry", "given" : "Karin A.", "non-dropping-particle" : "", "parse-names" : false, "suffix" : "" }, { "dropping-particle" : "", "family" : "Hankin", "given" : "Joseph A.", "non-dropping-particle" : "", "parse-names" : false, "suffix" : "" }, { "dropping-particle" : "", "family" : "Barkley", "given" : "Robert M.", "non-dropping-particle" : "", "parse-names" : false, "suffix" : "" }, { "dropping-particle" : "", "family" : "Spraggins", "given" : "Jeffrey M.", "non-dropping-particle" : "", "parse-names" : false, "suffix" : "" }, { "dropping-particle" : "", "family" : "Caprioli", "given" : "Richard M.", "non-dropping-particle" : "", "parse-names" : false, "suffix" : "" }, { "dropping-particle" : "", "family" : "Murphy", "given" : "Robert C.", "non-dropping-particle" : "", "parse-names" : false, "suffix" : "" } ], "container-title" : "Chemical Reviews", "id" : "ITEM-10", "issue" : "10", "issued" : { "date-parts" : [ [ "2011", "10", "12" ] ] }, "page" : "6491-6512", "publisher" : "American Chemical Society", "title" : "MALDI Imaging of Lipid Biochemistry in Tissues by Mass Spectrometry", "type" : "article-journal", "volume" : "111" }, "uris" : [ "http://www.mendeley.com/documents/?uuid=5bce7d51-9fe0-331e-9fed-913a3b6c2449" ] }, { "id" : "ITEM-11", "itemData" : { "DOI" : "10.1021/cr100012c", "ISSN" : "0009-2665", "author" : [ { "dropping-particle" : "", "family" : "Chughtai", "given" : "Kamila", "non-dropping-particle" : "", "parse-names" : false, "suffix" : "" }, { "dropping-particle" : "", "family" : "Heeren", "given" : "Ron M. A.", "non-dropping-particle" : "", "parse-names" : false, "suffix" : "" } ], "container-title" : "Chemical Reviews", "id" : "ITEM-11", "issue" : "5", "issued" : { "date-parts" : [ [ "2010", "5", "12" ] ] }, "page" : "3237-3277", "publisher" : " American Chemical Society", "title" : "Mass Spectrometric Imaging for Biomedical Tissue Analysis", "type" : "article-journal", "volume" : "110" }, "uris" : [ "http://www.mendeley.com/documents/?uuid=ae34e442-7337-3e26-87a9-6fc0bb53a99b" ] } ], "mendeley" : { "formattedCitation" : "&lt;sup&gt;157\u2013167&lt;/sup&gt;", "plainTextFormattedCitation" : "157\u2013167", "previouslyFormattedCitation" : "&lt;sup&gt;156\u2013166&lt;/sup&gt;" }, "properties" : { "noteIndex" : 0 }, "schema" : "https://github.com/citation-style-language/schema/raw/master/csl-citation.json" }</w:instrText>
      </w:r>
      <w:r w:rsidRPr="007077AC">
        <w:rPr>
          <w:bCs/>
        </w:rPr>
        <w:fldChar w:fldCharType="separate"/>
      </w:r>
      <w:r w:rsidR="000849BF" w:rsidRPr="000849BF">
        <w:rPr>
          <w:bCs/>
          <w:noProof/>
          <w:vertAlign w:val="superscript"/>
        </w:rPr>
        <w:t>157–167</w:t>
      </w:r>
      <w:r w:rsidRPr="007077AC">
        <w:fldChar w:fldCharType="end"/>
      </w:r>
      <w:r w:rsidRPr="007077AC">
        <w:rPr>
          <w:bCs/>
        </w:rPr>
        <w:t xml:space="preserve"> Research into the treatment and study of cancer is a major potential application of SCMS methods. Understanding abnormal biology at the single cancer cell level is an increasing focus of cancer biology. Cancer stem cell theory and the clinical relevance of circulating tumor cells (CTC) are examples of the single cell focus of cancer research.</w:t>
      </w:r>
      <w:r w:rsidRPr="007077AC">
        <w:rPr>
          <w:bCs/>
        </w:rPr>
        <w:fldChar w:fldCharType="begin" w:fldLock="1"/>
      </w:r>
      <w:r w:rsidR="000849BF">
        <w:rPr>
          <w:bCs/>
        </w:rPr>
        <w:instrText>ADDIN CSL_CITATION { "citationItems" : [ { "id" : "ITEM-1", "itemData" : { "DOI" : "10.1053/j.seminoncol.2006.03.016", "ISSN" : "00937754", "PMID" : "16797376", "abstract" : "Metastatic breast cancer (MBC) is considered incurable; therefore, palliative treatment is the only option. The biologic heterogeneity of the disease is reflected in its somewhat unpredictable clinical behavior. The presence of circulating tumor cells (CTCs) in patients with MBC about to start a new line of treatment has been shown to predict progression-free and overall survival. This prognostic value is independent of the line of therapy (eg, first or second line). Moreover, a multivariate analysis has shown the prognostic value of CTCs to be superior to that of site of metastasis, type of therapy, and length of time to recurrence after definitive primary surgery. These data suggest that the presence of CTCs may be used to modify the staging system for advanced disease. Larger studies are needed to confirm these data and evaluate the use of CTC detection in monitoring treatment and furthering our understanding of breast cancer biology when combined with other diagnostic technologies.", "author" : [ { "dropping-particle" : "", "family" : "CRISTOFANILLI", "given" : "M", "non-dropping-particle" : "", "parse-names" : false, "suffix" : "" } ], "container-title" : "Seminars in Oncology", "id" : "ITEM-1", "issue" : "3 Suppl 9", "issued" : { "date-parts" : [ [ "2006", "6" ] ] }, "page" : "9-14", "title" : "Circulating Tumor Cells, Disease Progression, and Survival in Metastatic Breast Cancer", "type" : "article-journal", "volume" : "33" }, "uris" : [ "http://www.mendeley.com/documents/?uuid=a7d46bbf-fd0b-3a6a-979b-9a6a36bafef5" ] }, { "id" : "ITEM-2", "itemData" : { "DOI" : "10.1056/NEJMoa1113205", "ISSN" : "0028-4793", "author" : [ { "dropping-particle" : "", "family" : "Gerlinger", "given" : "Marco", "non-dropping-particle" : "", "parse-names" : false, "suffix" : "" }, { "dropping-particle" : "", "family" : "Rowan", "given" : "Andrew J.", "non-dropping-particle" : "", "parse-names" : false, "suffix" : "" }, { "dropping-particle" : "", "family" : "Horswell", "given" : "Stuart", "non-dropping-particle" : "", "parse-names" : false, "suffix" : "" }, { "dropping-particle" : "", "family" : "Larkin", "given" : "James", "non-dropping-particle" : "", "parse-names" : false, "suffix" : "" }, { "dropping-particle" : "", "family" : "Endesfelder", "given" : "David", "non-dropping-particle" : "", "parse-names" : false, "suffix" : "" }, { "dropping-particle" : "", "family" : "Gronroos", "given" : "Eva", "non-dropping-particle" : "", "parse-names" : false, "suffix" : "" }, { "dropping-particle" : "", "family" : "Martinez", "given" : "Pierre", "non-dropping-particle" : "", "parse-names" : false, "suffix" : "" }, { "dropping-particle" : "", "family" : "Matthews", "given" : "Nicholas", "non-dropping-particle" : "", "parse-names" : false, "suffix" : "" }, { "dropping-particle" : "", "family" : "Stewart", "given" : "Aengus", "non-dropping-particle" : "", "parse-names" : false, "suffix" : "" }, { "dropping-particle" : "", "family" : "Tarpey", "given" : "Patrick", "non-dropping-particle" : "", "parse-names" : false, "suffix" : "" }, { "dropping-particle" : "", "family" : "Varela", "given" : "Ignacio", "non-dropping-particle" : "", "parse-names" : false, "suffix" : "" }, { "dropping-particle" : "", "family" : "Phillimore", "given" : "Benjamin", "non-dropping-particle" : "", "parse-names" : false, "suffix" : "" }, { "dropping-particle" : "", "family" : "Begum", "given" : "Sharmin", "non-dropping-particle" : "", "parse-names" : false, "suffix" : "" }, { "dropping-particle" : "", "family" : "McDonald", "given" : "Neil Q.", "non-dropping-particle" : "", "parse-names" : false, "suffix" : "" }, { "dropping-particle" : "", "family" : "Butler", "given" : "Adam", "non-dropping-particle" : "", "parse-names" : false, "suffix" : "" }, { "dropping-particle" : "", "family" : "Jones", "given" : "David", "non-dropping-particle" : "", "parse-names" : false, "suffix" : "" }, { "dropping-particle" : "", "family" : "Raine", "given" : "Keiran", "non-dropping-particle" : "", "parse-names" : false, "suffix" : "" }, { "dropping-particle" : "", "family" : "Latimer", "given" : "Calli", "non-dropping-particle" : "", "parse-names" : false, "suffix" : "" }, { "dropping-particle" : "", "family" : "Santos", "given" : "Claudio R.", "non-dropping-particle" : "", "parse-names" : false, "suffix" : "" }, { "dropping-particle" : "", "family" : "Nohadani", "given" : "Mahrokh", "non-dropping-particle" : "", "parse-names" : false, "suffix" : "" }, { "dropping-particle" : "", "family" : "Eklund", "given" : "Aron C.", "non-dropping-particle" : "", "parse-names" : false, "suffix" : "" }, { "dropping-particle" : "", "family" : "Spencer-Dene", "given" : "Bradley", "non-dropping-particle" : "", "parse-names" : false, "suffix" : "" }, { "dropping-particle" : "", "family" : "Clark", "given" : "Graham", "non-dropping-particle" : "", "parse-names" : false, "suffix" : "" }, { "dropping-particle" : "", "family" : "Pickering", "given" : "Lisa", "non-dropping-particle" : "", "parse-names" : false, "suffix" : "" }, { "dropping-particle" : "", "family" : "Stamp", "given" : "Gordon", "non-dropping-particle" : "", "parse-names" : false, "suffix" : "" }, { "dropping-particle" : "", "family" : "Gore", "given" : "Martin", "non-dropping-particle" : "", "parse-names" : false, "suffix" : "" }, { "dropping-particle" : "", "family" : "Szallasi", "given" : "Zoltan", "non-dropping-particle" : "", "parse-names" : false, "suffix" : "" }, { "dropping-particle" : "", "family" : "Downward", "given" : "Julian", "non-dropping-particle" : "", "parse-names" : false, "suffix" : "" }, { "dropping-particle" : "", "family" : "Futreal", "given" : "P. Andrew", "non-dropping-particle" : "", "parse-names" : false, "suffix" : "" }, { "dropping-particle" : "", "family" : "Swanton", "given" : "Charles", "non-dropping-particle" : "", "parse-names" : false, "suffix" : "" } ], "container-title" : "New England Journal of Medicine", "id" : "ITEM-2", "issue" : "10", "issued" : { "date-parts" : [ [ "2012", "3", "8" ] ] }, "page" : "883-892", "title" : "Intratumor Heterogeneity and Branched Evolution Revealed by Multiregion Sequencing", "type" : "article-journal", "volume" : "366" }, "uris" : [ "http://www.mendeley.com/documents/?uuid=8dbdc99c-d6f0-3802-b6e0-dc4a10228886" ] }, { "id" : "ITEM-3", "itemData" : { "DOI" : "10.1038/nrc3261", "ISSN" : "1474-175X", "author" : [ { "dropping-particle" : "", "family" : "Marusyk", "given" : "Andriy", "non-dropping-particle" : "", "parse-names" : false, "suffix" : "" }, { "dropping-particle" : "", "family" : "Almendro", "given" : "Vanessa", "non-dropping-particle" : "", "parse-names" : false, "suffix" : "" }, { "dropping-particle" : "", "family" : "Polyak", "given" : "Kornelia", "non-dropping-particle" : "", "parse-names" : false, "suffix" : "" } ], "container-title" : "Nature Reviews Cancer", "id" : "ITEM-3", "issue" : "5", "issued" : { "date-parts" : [ [ "2012", "5", "19" ] ] }, "page" : "323-334", "title" : "Intra-tumour heterogeneity: a looking glass for cancer?", "type" : "article-journal", "volume" : "12" }, "uris" : [ "http://www.mendeley.com/documents/?uuid=b07e2bdb-6c7d-352c-8cf0-d41f6cfab9b3" ] } ], "mendeley" : { "formattedCitation" : "&lt;sup&gt;168\u2013170&lt;/sup&gt;", "plainTextFormattedCitation" : "168\u2013170", "previouslyFormattedCitation" : "&lt;sup&gt;167\u2013169&lt;/sup&gt;" }, "properties" : { "noteIndex" : 0 }, "schema" : "https://github.com/citation-style-language/schema/raw/master/csl-citation.json" }</w:instrText>
      </w:r>
      <w:r w:rsidRPr="007077AC">
        <w:rPr>
          <w:bCs/>
        </w:rPr>
        <w:fldChar w:fldCharType="separate"/>
      </w:r>
      <w:r w:rsidR="000849BF" w:rsidRPr="000849BF">
        <w:rPr>
          <w:bCs/>
          <w:noProof/>
          <w:vertAlign w:val="superscript"/>
        </w:rPr>
        <w:t>168–170</w:t>
      </w:r>
      <w:r w:rsidRPr="007077AC">
        <w:fldChar w:fldCharType="end"/>
      </w:r>
    </w:p>
    <w:p w14:paraId="490D630A" w14:textId="170ACF0E" w:rsidR="007077AC" w:rsidRPr="007077AC" w:rsidRDefault="007077AC" w:rsidP="007077AC">
      <w:pPr>
        <w:ind w:firstLine="720"/>
        <w:jc w:val="both"/>
        <w:rPr>
          <w:lang w:val="de-DE"/>
        </w:rPr>
      </w:pPr>
      <w:r w:rsidRPr="007077AC">
        <w:rPr>
          <w:lang w:val="de-DE"/>
        </w:rPr>
        <w:lastRenderedPageBreak/>
        <w:t>SCMS also has the potential to improve the administration of drug compounds in clinical cancer medicine. The use of SCMS in drug development and in drug administration will be especially important in the emergence of effective precision medicine. Ideally precision medicines in the clinical treatment of cancer should combine new targeted treatments with the capability of assessing, in a time-relevant manner, the efficacy of drug treatments in individual patients.</w:t>
      </w:r>
      <w:r w:rsidRPr="007077AC">
        <w:rPr>
          <w:lang w:val="de-DE"/>
        </w:rPr>
        <w:fldChar w:fldCharType="begin" w:fldLock="1"/>
      </w:r>
      <w:r w:rsidR="000849BF">
        <w:rPr>
          <w:lang w:val="de-DE"/>
        </w:rPr>
        <w:instrText>ADDIN CSL_CITATION { "citationItems" : [ { "id" : "ITEM-1", "itemData" : { "DOI" : "10.1038/clpt.2012.237", "ISBN" : "1532-6535 (Electronic)\\r0009-9236 (Linking)", "ISSN" : "1532-6535", "PMID" : "23361103", "abstract" : "The progressive elucidation of the molecular pathogenesis of cancer has fueled the rational development of targeted drugs for patient populations stratified by genetic characteristics. Here we discuss general challenges relating to molecular diagnostics and describe predictive biomarkers for personalized cancer medicine. We also highlight resistance mechanisms for epidermal growth factor receptor (EGFR) kinase inhibitors in lung cancer. We envisage a future requiring the use of longitudinal genome sequencing and other omics technologies alongside combinatorial treatment to overcome cellular and molecular heterogeneity and prevent resistance caused by clonal evolution.", "author" : [ { "dropping-particle" : "", "family" : "Gonzalez de Castro", "given" : "D", "non-dropping-particle" : "", "parse-names" : false, "suffix" : "" }, { "dropping-particle" : "", "family" : "Clarke", "given" : "P a", "non-dropping-particle" : "", "parse-names" : false, "suffix" : "" }, { "dropping-particle" : "", "family" : "Al-Lazikani", "given" : "B", "non-dropping-particle" : "", "parse-names" : false, "suffix" : "" }, { "dropping-particle" : "", "family" : "Workman", "given" : "P", "non-dropping-particle" : "", "parse-names" : false, "suffix" : "" } ], "container-title" : "Clinical pharmacology and therapeutics", "id" : "ITEM-1", "issue" : "3", "issued" : { "date-parts" : [ [ "2013" ] ] }, "page" : "252-9", "title" : "Personalized cancer medicine: molecular diagnostics, predictive biomarkers, and drug resistance.", "type" : "article-journal", "volume" : "93" }, "uris" : [ "http://www.mendeley.com/documents/?uuid=9164d75d-8bc1-418f-91dd-1a0061e61a4c", "http://www.mendeley.com/documents/?uuid=bc9b9460-2225-44af-89ed-527106c95e77" ] } ], "mendeley" : { "formattedCitation" : "&lt;sup&gt;171&lt;/sup&gt;", "plainTextFormattedCitation" : "171", "previouslyFormattedCitation" : "&lt;sup&gt;170&lt;/sup&gt;" }, "properties" : { "noteIndex" : 0 }, "schema" : "https://github.com/citation-style-language/schema/raw/master/csl-citation.json" }</w:instrText>
      </w:r>
      <w:r w:rsidRPr="007077AC">
        <w:rPr>
          <w:lang w:val="de-DE"/>
        </w:rPr>
        <w:fldChar w:fldCharType="separate"/>
      </w:r>
      <w:r w:rsidR="000849BF" w:rsidRPr="000849BF">
        <w:rPr>
          <w:noProof/>
          <w:vertAlign w:val="superscript"/>
          <w:lang w:val="de-DE"/>
        </w:rPr>
        <w:t>171</w:t>
      </w:r>
      <w:r w:rsidRPr="007077AC">
        <w:fldChar w:fldCharType="end"/>
      </w:r>
      <w:r w:rsidRPr="007077AC">
        <w:rPr>
          <w:lang w:val="de-DE"/>
        </w:rPr>
        <w:t xml:space="preserve"> The current lack of meaningful, real-time bioanalytical measurements in cancer patient drug administration limits the personalization and responsiveness of the treatment. Due to inter-individual pharmacokinetics/ pharmacodynamics (PK/PD), the amount of drug present in patient serum often does not report on the amount of drug present at tumor sites.</w:t>
      </w:r>
      <w:r w:rsidRPr="007077AC">
        <w:rPr>
          <w:lang w:val="de-DE"/>
        </w:rPr>
        <w:fldChar w:fldCharType="begin" w:fldLock="1"/>
      </w:r>
      <w:r w:rsidR="000849BF">
        <w:rPr>
          <w:lang w:val="de-DE"/>
        </w:rPr>
        <w:instrText>ADDIN CSL_CITATION { "citationItems" : [ { "id" : "ITEM-1", "itemData" : { "DOI" : "10.1177/1078155207081133", "ISBN" : "0009-9147 (Print)\\r0009-9147 (Linking)", "ISSN" : "1078-1552", "PMID" : "18045780", "abstract" : "Therapeutic drug monitoring is not routinely used for chemotherapy agents. There are Several reasons, but one major drawback is the lack of established therapeutic Concentration ranges. Combination chemotherapy makes the establishment of Therapeutic ranges for individual drugs difficult, the concentration-effect relationship for a single drug may not be the same as when that drug is used in a drug combination. Pharmacokinetic optimization protocols for many classes of cytotoxic compounds exist in specialized centers, and some of these protocols are now part of large multicentre trials. Nonetheless, TDM clearly has the potential to improve the clinical use of chemotherapy gents, most of which have very narrow therapeutic indices and highly variable pharmacokinetics. A substantial body of literature accumulating during the past 15 years demonstrates relationships between systemic exposure to various chemotherapy agents and their toxic or therapeutic effects. This article reviews TDM concepts in addition to tools based on pharmacokinetic modeling of chemotherapy agents. The administered dose of chemotherapy agents is sometimes adjusted individually using either a priori or a posteriori methods. These models can only be applied by using the same dose and schedule as the original study. Bayesian estimation offers more flexibility in blood sampling times and, owing to its precision and to the amount of information provided is the method of choice for ensuring that a given patient benefits from the desired systemic exposure. Moreover, the role and application of Pharmacogenetics as a tool for individualizing chemotherapy is discussed highlighting the agents and mechanisms that have been well studied and defined and their relevance to clinical practice. Finally, this paper address issues critical to the optimal use of TDM in a clinical setting, and the role of clinical pharmacist in this regard. In addition, it discusses future developments in this field that can contribute to improving cancer chemotherapy In terms of patient outcome and survival.", "author" : [ { "dropping-particle" : "", "family" : "Alnaim", "given" : "Lamya", "non-dropping-particle" : "", "parse-names" : false, "suffix" : "" } ], "container-title" : "Journal of oncology pharmacy practice : official publication of the International Society of Oncology Pharmacy Practitioners", "id" : "ITEM-1", "issue" : "4", "issued" : { "date-parts" : [ [ "2007" ] ] }, "page" : "207-221", "title" : "Therapeutic drug monitoring of cancer chemotherapy.", "type" : "article-journal", "volume" : "13" }, "uris" : [ "http://www.mendeley.com/documents/?uuid=54665782-8350-4786-a439-6643e333f721", "http://www.mendeley.com/documents/?uuid=5e49ba72-fb5a-4b52-9977-1d5b6ca41dc6" ] }, { "id" : "ITEM-2", "itemData" : { "DOI" : "10.1016/j.ejca.2014.04.013", "ISBN" : "09598049", "ISSN" : "18790852", "PMID" : "24878063", "abstract" : "Therapeutic drug monitoring (TDM) can be defined as the measurement of drug in biological samples to individualise treatment by adapting drug dose to improve efficacy and/or reduce toxicity. The cytotoxic drugs are characterised by steep dose-response relationships and narrow therapeutic windows. Inter-individual pharmacokinetic (PK) variability is often substantial. There are, however, a multitude of reasons why TDM has never been fully implemented in daily oncology practice. These include difficulties in establishing appropriate concentration target, common use of combination chemotherapies and the paucity of published data from pharmacological trials. The situation is different with targeted therapies. The large interindividual PK variability is influenced by the pharmacogenetic background of the patient (e.g. cytochrome P450 and ABC transporters polymorphisms), patient characteristics such as adherence to treatment and environmental factors (drug-drug interactions). Retrospective studies have shown that targeted drug exposure correlates with treatment response in various cancers. Evidence for imatinib currently exists, others are emerging for compounds including nilotinib, dasatinib, erlotinib, sunitinib, sorafenib and mammalian target of rapamycin (mTOR) inhibitors. Applications for TDM during oral targeted therapies may best be reserved for particular situations including lack of therapeutic response, severe or unexpected toxicities, anticipated drug-drug interactions and concerns over adherence treatment. There are still few data with monoclonal antibodies (mAbs) in favour of TDM approaches, even if data showed encouraging results with rituximab and cetuximab. TDM of mAbs is not yet supported by scientific evidence. Considerable effort should be made for targeted therapies to better define concentration-effect relationships and to perform comparative randomised trials of classic dosing versus pharmacokinetically-guided adaptive dosing. \u00a9 2014 Elsevier Ltd. All rights reserved.", "author" : [ { "dropping-particle" : "", "family" : "Bardin", "given" : "Christophe", "non-dropping-particle" : "", "parse-names" : false, "suffix" : "" }, { "dropping-particle" : "", "family" : "Veal", "given" : "Gareth", "non-dropping-particle" : "", "parse-names" : false, "suffix" : "" }, { "dropping-particle" : "", "family" : "Paci", "given" : "Angelo", "non-dropping-particle" : "", "parse-names" : false, "suffix" : "" }, { "dropping-particle" : "", "family" : "Chatelut", "given" : "Etienne", "non-dropping-particle" : "", "parse-names" : false, "suffix" : "" }, { "dropping-particle" : "", "family" : "Astier", "given" : "Alain", "non-dropping-particle" : "", "parse-names" : false, "suffix" : "" }, { "dropping-particle" : "", "family" : "Lev\u00eaque", "given" : "Dominique", "non-dropping-particle" : "", "parse-names" : false, "suffix" : "" }, { "dropping-particle" : "", "family" : "Widmer", "given" : "Nicolas", "non-dropping-particle" : "", "parse-names" : false, "suffix" : "" }, { "dropping-particle" : "", "family" : "Beijnen", "given" : "Jos", "non-dropping-particle" : "", "parse-names" : false, "suffix" : "" } ], "container-title" : "European Journal of Cancer", "id" : "ITEM-2", "issue" : "12", "issued" : { "date-parts" : [ [ "2014" ] ] }, "page" : "2005-2009", "title" : "Therapeutic drug monitoring in cancer - Are we missing a trick?", "type" : "article-journal", "volume" : "50" }, "uris" : [ "http://www.mendeley.com/documents/?uuid=27e538f5-c847-430d-8ba2-f7e2a7a0a70b", "http://www.mendeley.com/documents/?uuid=0334eacb-f2d3-4caf-9e72-6e5c15472196" ] } ], "mendeley" : { "formattedCitation" : "&lt;sup&gt;172,173&lt;/sup&gt;", "plainTextFormattedCitation" : "172,173", "previouslyFormattedCitation" : "&lt;sup&gt;171,172&lt;/sup&gt;" }, "properties" : { "noteIndex" : 0 }, "schema" : "https://github.com/citation-style-language/schema/raw/master/csl-citation.json" }</w:instrText>
      </w:r>
      <w:r w:rsidRPr="007077AC">
        <w:rPr>
          <w:lang w:val="de-DE"/>
        </w:rPr>
        <w:fldChar w:fldCharType="separate"/>
      </w:r>
      <w:r w:rsidR="000849BF" w:rsidRPr="000849BF">
        <w:rPr>
          <w:noProof/>
          <w:vertAlign w:val="superscript"/>
          <w:lang w:val="de-DE"/>
        </w:rPr>
        <w:t>172,173</w:t>
      </w:r>
      <w:r w:rsidRPr="007077AC">
        <w:fldChar w:fldCharType="end"/>
      </w:r>
      <w:r w:rsidRPr="007077AC">
        <w:rPr>
          <w:lang w:val="de-DE"/>
        </w:rPr>
        <w:t xml:space="preserve"> The measurement of chemotherapy</w:t>
      </w:r>
      <w:r w:rsidR="00236623">
        <w:rPr>
          <w:lang w:val="de-DE"/>
        </w:rPr>
        <w:t xml:space="preserve"> </w:t>
      </w:r>
      <w:r w:rsidRPr="007077AC">
        <w:rPr>
          <w:lang w:val="de-DE"/>
        </w:rPr>
        <w:t xml:space="preserve">drug concentrations in </w:t>
      </w:r>
      <w:r w:rsidR="00236623">
        <w:rPr>
          <w:lang w:val="de-DE"/>
        </w:rPr>
        <w:t xml:space="preserve">biopsied </w:t>
      </w:r>
      <w:r w:rsidRPr="007077AC">
        <w:rPr>
          <w:lang w:val="de-DE"/>
        </w:rPr>
        <w:t xml:space="preserve">tissue isolated from tumor sites might not represent the intracellular drug concentration in the tumor cells for multiple reasons. Tumor tissue samples are usually a complex, heterogenous mixture of cancer cells and non-cancer cells, and multi-drug resistant (MDR) cancer cells engage P-glycoprotein pumps to extrude therapeutic </w:t>
      </w:r>
      <w:r w:rsidRPr="007077AC">
        <w:rPr>
          <w:bCs/>
        </w:rPr>
        <w:t>drugs into the extracellular tumor space.</w:t>
      </w:r>
      <w:r w:rsidRPr="007077AC">
        <w:rPr>
          <w:bCs/>
        </w:rPr>
        <w:fldChar w:fldCharType="begin" w:fldLock="1"/>
      </w:r>
      <w:r w:rsidR="00CB7208">
        <w:rPr>
          <w:bCs/>
        </w:rPr>
        <w:instrText>ADDIN CSL_CITATION { "citationItems" : [ { "id" : "ITEM-1", "itemData" : { "DOI" : "10.3390/ph9040071", "ISSN" : "1424-8247", "author" : [ { "dropping-particle" : "", "family" : "Lopes-Rodrigues", "given" : "Vanessa", "non-dropping-particle" : "", "parse-names" : false, "suffix" : "" }, { "dropping-particle" : "", "family" : "Sousa", "given" : "Em\u00edlia", "non-dropping-particle" : "", "parse-names" : false, "suffix" : "" }, { "dropping-particle" : "", "family" : "Vasconcelos", "given" : "M.", "non-dropping-particle" : "", "parse-names" : false, "suffix" : "" } ], "container-title" : "Pharmaceuticals", "id" : "ITEM-1", "issue" : "4", "issued" : { "date-parts" : [ [ "2016", "11", "10" ] ] }, "page" : "71", "title" : "Curcumin as a Modulator of P-Glycoprotein in Cancer: Challenges and Perspectives", "type" : "article-journal", "volume" : "9" }, "uris" : [ "http://www.mendeley.com/documents/?uuid=5a7b71c6-1242-3fab-aeed-1d1aad90b97b" ] } ], "mendeley" : { "formattedCitation" : "&lt;sup&gt;16&lt;/sup&gt;", "plainTextFormattedCitation" : "16", "previouslyFormattedCitation" : "&lt;sup&gt;16&lt;/sup&gt;" }, "properties" : { "noteIndex" : 0 }, "schema" : "https://github.com/citation-style-language/schema/raw/master/csl-citation.json" }</w:instrText>
      </w:r>
      <w:r w:rsidRPr="007077AC">
        <w:rPr>
          <w:bCs/>
        </w:rPr>
        <w:fldChar w:fldCharType="separate"/>
      </w:r>
      <w:r w:rsidR="00CB7208" w:rsidRPr="00CB7208">
        <w:rPr>
          <w:bCs/>
          <w:noProof/>
          <w:vertAlign w:val="superscript"/>
        </w:rPr>
        <w:t>16</w:t>
      </w:r>
      <w:r w:rsidRPr="007077AC">
        <w:fldChar w:fldCharType="end"/>
      </w:r>
      <w:r w:rsidRPr="007077AC">
        <w:rPr>
          <w:bCs/>
        </w:rPr>
        <w:t xml:space="preserve"> Due to these limitations in bioanalysis in drug administration, most chemotherapy drug dosage is determined by a patient’s gross physical characteristics, such as body surface area, rather than any personalized or cancer-specific criteria.</w:t>
      </w:r>
      <w:r w:rsidRPr="007077AC">
        <w:rPr>
          <w:bCs/>
        </w:rPr>
        <w:fldChar w:fldCharType="begin" w:fldLock="1"/>
      </w:r>
      <w:r w:rsidR="000849BF">
        <w:rPr>
          <w:bCs/>
        </w:rPr>
        <w:instrText>ADDIN CSL_CITATION { "citationItems" : [ { "id" : "ITEM-1", "itemData" : { "DOI" : "10.1038/sj.bjc.6600139", "ISSN" : "00070920", "abstract" : "Body surface area-dosing does not account for the complex processes of cytotoxic drug elimination. This leads to an unpredictable variation in effect. Overdosing is easily recognised but it is possible that unrecognised underdosing is more common and may occur in 30% or more of patients receiving standard regimen. Those patients who are inadvertently underdosed are at risk of a significantly reduced anticancer effect. Using published data, it can be calculated that there is an almost 20% relative reduction in survival for women receiving adjuvant chemotherapy for breast cancer as a result of unrecognised underdosing. Similarly, the cure rate of cisplatin-based chemotherapy for advanced testicular cancer may be reduced by as much as 10%. The inaccuracy of body surface area-dosing is more than an inconvenience and it is important that methods for more accurate dose calculation are determined, based on the known drug elimination processes for cytotoxic chemotherapy. Twelve rules for dose calculation of chemotherapy are given that can be used as a guideline until better dose-calculation methods become available. Consideration should be given to using fixed dose guidelines independent of body surface area and based on drug elimination capability, both as a starting dose and for dose adjustment, which may have accuracy, safety and financial advantages. \u00a9 2002 Cancer Research UK.", "author" : [ { "dropping-particle" : "", "family" : "Gurney", "given" : "H.", "non-dropping-particle" : "", "parse-names" : false, "suffix" : "" } ], "container-title" : "British Journal of Cancer", "id" : "ITEM-1", "issue" : "8", "issued" : { "date-parts" : [ [ "2002", "4", "22" ] ] }, "page" : "1297-1302", "publisher" : "Nature Publishing Group", "title" : "How to calculate the dose of chemotherapy", "type" : "article-journal", "volume" : "86" }, "uris" : [ "http://www.mendeley.com/documents/?uuid=b37e6247-8338-3950-a087-a17364db97db" ] } ], "mendeley" : { "formattedCitation" : "&lt;sup&gt;174&lt;/sup&gt;", "plainTextFormattedCitation" : "174", "previouslyFormattedCitation" : "&lt;sup&gt;173&lt;/sup&gt;" }, "properties" : { "noteIndex" : 0 }, "schema" : "https://github.com/citation-style-language/schema/raw/master/csl-citation.json" }</w:instrText>
      </w:r>
      <w:r w:rsidRPr="007077AC">
        <w:rPr>
          <w:bCs/>
        </w:rPr>
        <w:fldChar w:fldCharType="separate"/>
      </w:r>
      <w:r w:rsidR="000849BF" w:rsidRPr="000849BF">
        <w:rPr>
          <w:bCs/>
          <w:noProof/>
          <w:vertAlign w:val="superscript"/>
        </w:rPr>
        <w:t>174</w:t>
      </w:r>
      <w:r w:rsidRPr="007077AC">
        <w:fldChar w:fldCharType="end"/>
      </w:r>
      <w:r w:rsidRPr="007077AC">
        <w:rPr>
          <w:bCs/>
        </w:rPr>
        <w:t xml:space="preserve"> Further, the chemotherapy drug regimen is commonly administered using a non-adapting, fixed schedule with efficacy determined from an endpoint analysis, such as an imaging scan (e.g., PET scan), after weeks or months of drug chemotherapy drug administration</w:t>
      </w:r>
      <w:r w:rsidRPr="007077AC">
        <w:rPr>
          <w:bCs/>
        </w:rPr>
        <w:fldChar w:fldCharType="begin" w:fldLock="1"/>
      </w:r>
      <w:r w:rsidR="000849BF">
        <w:rPr>
          <w:bCs/>
        </w:rPr>
        <w:instrText>ADDIN CSL_CITATION { "citationItems" : [ { "id" : "ITEM-1", "itemData" : { "DOI" : "10.1002/(SICI)1097-0347(199712)19:8&lt;666::AID-HED4&gt;3.0.CO;2-3", "ISSN" : "10433074", "abstract" : "Background. [F-18]Fluorodeoxyglucose (FDG)-position emission tomography (PET) can measure the metabolic activity of tissues; FDG-PET may be able to predict response to chemotherapy by identifying changes in tumor metabolism. Measurement of response to treatment may help improve survival in the management of advanced head and neck cancer. We evaluated this particular use of FDG-PET in patients participating in a neoadjuvant organ-preservation protocol using taxol and carboplatin and compared pathologic response after chemotherapy with changes in tumor metabolism measured by FDG-PET. Methods. Serial FDG-PET studies (n = 56) were performed in patients (n = 28) with stage III/IV head and neck cancer participating in a neoadjuvant organ- preservation protocol. The FDG-PET studies were performed before and after chemotherapy. All patients had tissue biopsies before and after chemotherapy. Patients were classified as pathologic complete response (PCR) or residual disease (RD) based on tissue biopsies. Visual analysis of PET scans was performed to identify patients with complete response by PET, and these findings were compared with pathology results. Metabolic changes were also evaluated using standardized uptake ratios (SUR) of FDG. Results. The sensitivity and specificity of PET for residual cancer after therapy was 90% (19/21) and 83% (5/6), respectively. Two patients had initially negative biopsies and positive PET studies for persistent disease. Pathology review and rebiospy led to confirmation of the PET results in these cases, giving a sensitivity of 90% for initial tissue biopsy. Conclusions. In this preliminary analysis, FDG-PET was accurate in classifying response to chemotherapy in most patients. Fluorodeoxyglucose-PET may identify residual viable tumor when it is otherwise undetectable.", "author" : [ { "dropping-particle" : "", "family" : "Lowe", "given" : "Val J.", "non-dropping-particle" : "", "parse-names" : false, "suffix" : "" }, { "dropping-particle" : "", "family" : "Dunphy", "given" : "Frank R.", "non-dropping-particle" : "", "parse-names" : false, "suffix" : "" }, { "dropping-particle" : "", "family" : "Varvares", "given" : "Mark", "non-dropping-particle" : "", "parse-names" : false, "suffix" : "" }, { "dropping-particle" : "", "family" : "Kim", "given" : "Han", "non-dropping-particle" : "", "parse-names" : false, "suffix" : "" }, { "dropping-particle" : "", "family" : "Wittry", "given" : "Mark", "non-dropping-particle" : "", "parse-names" : false, "suffix" : "" }, { "dropping-particle" : "", "family" : "Dunphy", "given" : "Cherie H.", "non-dropping-particle" : "", "parse-names" : false, "suffix" : "" }, { "dropping-particle" : "", "family" : "Dunleavy", "given" : "Theresa", "non-dropping-particle" : "", "parse-names" : false, "suffix" : "" }, { "dropping-particle" : "", "family" : "McDonough", "given" : "Erin", "non-dropping-particle" : "", "parse-names" : false, "suffix" : "" }, { "dropping-particle" : "", "family" : "Minster", "given" : "Jeffrey", "non-dropping-particle" : "", "parse-names" : false, "suffix" : "" }, { "dropping-particle" : "", "family" : "Fletcher", "given" : "James W.", "non-dropping-particle" : "", "parse-names" : false, "suffix" : "" }, { "dropping-particle" : "", "family" : "Boyd", "given" : "James H.", "non-dropping-particle" : "", "parse-names" : false, "suffix" : "" } ], "container-title" : "Head &amp; Neck", "id" : "ITEM-1", "issue" : "8", "issued" : { "date-parts" : [ [ "1997", "12", "1" ] ] }, "page" : "666-674", "publisher" : "John Wiley &amp; Sons, Ltd", "title" : "Evaluation of chemotherapy response in patients with advanced head and neck cancer using [F-18]fluorodeoxyglucose positron emission tomography", "type" : "article-journal", "volume" : "19" }, "uris" : [ "http://www.mendeley.com/documents/?uuid=3aec722f-a26d-399a-8a22-cc1c5f360249" ] } ], "mendeley" : { "formattedCitation" : "&lt;sup&gt;175&lt;/sup&gt;", "plainTextFormattedCitation" : "175", "previouslyFormattedCitation" : "&lt;sup&gt;174&lt;/sup&gt;" }, "properties" : { "noteIndex" : 0 }, "schema" : "https://github.com/citation-style-language/schema/raw/master/csl-citation.json" }</w:instrText>
      </w:r>
      <w:r w:rsidRPr="007077AC">
        <w:rPr>
          <w:bCs/>
        </w:rPr>
        <w:fldChar w:fldCharType="separate"/>
      </w:r>
      <w:r w:rsidR="000849BF" w:rsidRPr="000849BF">
        <w:rPr>
          <w:bCs/>
          <w:noProof/>
          <w:vertAlign w:val="superscript"/>
        </w:rPr>
        <w:t>175</w:t>
      </w:r>
      <w:r w:rsidRPr="007077AC">
        <w:fldChar w:fldCharType="end"/>
      </w:r>
      <w:r w:rsidRPr="007077AC">
        <w:rPr>
          <w:bCs/>
        </w:rPr>
        <w:t xml:space="preserve">. Patients, therefore, are required to endure extensive, non-personalized chemotherapy dosing with its potential </w:t>
      </w:r>
      <w:r w:rsidRPr="007077AC">
        <w:rPr>
          <w:bCs/>
        </w:rPr>
        <w:lastRenderedPageBreak/>
        <w:t xml:space="preserve">associated adverse side effects before any determination if the treatment will have any efficacy. </w:t>
      </w:r>
    </w:p>
    <w:p w14:paraId="219D3F9D" w14:textId="0BFC53FC" w:rsidR="007077AC" w:rsidRPr="007077AC" w:rsidRDefault="007077AC" w:rsidP="007077AC">
      <w:pPr>
        <w:ind w:firstLine="720"/>
        <w:jc w:val="both"/>
      </w:pPr>
      <w:r w:rsidRPr="007077AC">
        <w:rPr>
          <w:bCs/>
        </w:rPr>
        <w:t>The development and application of SCMS bioanalytical methods for the detection, quantification, and biological activity of drug compounds would be a powerful tool to provide real-time feedback of therapeutically-relevant treatment efficacy.</w:t>
      </w:r>
      <w:r w:rsidRPr="007077AC">
        <w:rPr>
          <w:bCs/>
        </w:rPr>
        <w:fldChar w:fldCharType="begin" w:fldLock="1"/>
      </w:r>
      <w:r w:rsidR="000849BF">
        <w:rPr>
          <w:bCs/>
        </w:rPr>
        <w:instrText>ADDIN CSL_CITATION { "citationItems" : [ { "id" : "ITEM-1", "itemData" : { "DOI" : "10.1021/ac5029038", "ISSN" : "1520-6882 (Electronic)", "PMID" : "25222919", "abstract" : "We have developed a new mass spectrometry (MS) technology, the Single-probe MS, capable of real-time, in situ metabolomic analysis of individual living cells. The Single-probe is a miniaturized multifunctional sampling and ionization device that is directly coupled to the mass spectrometer. With a sampling tip smaller than individual eukaryotic cells (&lt;10 mum), the Single-probe can be inserted into single cells to sample the intracellular compounds for real-time MS analysis. We have used the Single-probe to detect several cellular metabolites and the anticancer small molecules paclitaxel, doxorubicin, and OSW-1 in individual cervical cancer cells (HeLa). Single cell mass spectrometry (SCMS) is an emerging scientific technology that could reshape the analytical science of many research disciplines, and the Single-probe MS technology is a novel method for SCMS that, through its accessible fabrication protocols, can be broadly applied to different research areas.", "author" : [ { "dropping-particle" : "", "family" : "Pan", "given" : "Ning", "non-dropping-particle" : "", "parse-names" : false, "suffix" : "" }, { "dropping-particle" : "", "family" : "Rao", "given" : "Wei", "non-dropping-particle" : "", "parse-names" : false, "suffix" : "" }, { "dropping-particle" : "", "family" : "Kothapalli", "given" : "Naga Rama", "non-dropping-particle" : "", "parse-names" : false, "suffix" : "" }, { "dropping-particle" : "", "family" : "Liu", "given" : "Renmeng",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 : "19", "issued" : { "date-parts" : [ [ "2014", "10" ] ] }, "language" : "eng", "page" : "9376-9380", "publisher-place" : "United States", "title" : "The single-probe: a miniaturized multifunctional device for single cell mass spectrometry analysis.", "type" : "article-journal", "volume" : "86" }, "uris" : [ "http://www.mendeley.com/documents/?uuid=7214052c-1dcb-4728-831c-1cd9836ac564" ] } ], "mendeley" : { "formattedCitation" : "&lt;sup&gt;176&lt;/sup&gt;", "plainTextFormattedCitation" : "176", "previouslyFormattedCitation" : "&lt;sup&gt;175&lt;/sup&gt;" }, "properties" : { "noteIndex" : 0 }, "schema" : "https://github.com/citation-style-language/schema/raw/master/csl-citation.json" }</w:instrText>
      </w:r>
      <w:r w:rsidRPr="007077AC">
        <w:rPr>
          <w:bCs/>
        </w:rPr>
        <w:fldChar w:fldCharType="separate"/>
      </w:r>
      <w:r w:rsidR="000849BF" w:rsidRPr="000849BF">
        <w:rPr>
          <w:bCs/>
          <w:noProof/>
          <w:vertAlign w:val="superscript"/>
        </w:rPr>
        <w:t>176</w:t>
      </w:r>
      <w:r w:rsidRPr="007077AC">
        <w:fldChar w:fldCharType="end"/>
      </w:r>
      <w:r w:rsidRPr="007077AC">
        <w:rPr>
          <w:bCs/>
        </w:rPr>
        <w:t xml:space="preserve"> Our established Single-probe SCMS technology allows for the analysis of small molecules from individual cells, which are attached onto substrate (e.g., glass cover slip) surfaces, under ambient conditions.</w:t>
      </w:r>
      <w:r w:rsidRPr="007077AC">
        <w:rPr>
          <w:bCs/>
        </w:rPr>
        <w:fldChar w:fldCharType="begin" w:fldLock="1"/>
      </w:r>
      <w:r w:rsidR="000849BF">
        <w:rPr>
          <w:bCs/>
        </w:rPr>
        <w:instrText>ADDIN CSL_CITATION { "citationItems" : [ { "id" : "ITEM-1", "itemData" : { "DOI" : "10.1021/ac5029038", "ISSN" : "0003-2700", "abstract" : "We have developed a new mass spectrometry (MS) technology, the Single-probe MS, capable of real-time, in situ metabolomic analysis of individual living cells. The Single-probe is a miniaturized multifunctional sampling and ionization device that is directly coupled to the mass spectrometer. With a sampling tip smaller than individual eukaryotic cells (&lt;10 \u03bcm), the Single-probe can be inserted into single cells to sample the intracellular compounds for real-time MS analysis. We have used the Single-probe to detect several cellular metabolites and the anticancer small molecules paclitaxel, doxorubicin, and OSW-1 in individual cervical cancer cells (HeLa). Single cell mass spectrometry (SCMS) is an emerging scientific technology that could reshape the analytical science of many research disciplines, and the Single-probe MS technology is a novel method for SCMS that, through its accessible fabrication protocols, can be broadly applied to different research areas.", "author" : [ { "dropping-particle" : "", "family" : "Pan", "given" : "Ning", "non-dropping-particle" : "", "parse-names" : false, "suffix" : "" }, { "dropping-particle" : "", "family" : "Rao", "given" : "Wei", "non-dropping-particle" : "", "parse-names" : false, "suffix" : "" }, { "dropping-particle" : "", "family" : "Kothapalli", "given" : "Naga Rama", "non-dropping-particle" : "", "parse-names" : false, "suffix" : "" }, { "dropping-particle" : "", "family" : "Liu", "given" : "Renmeng",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 : "19", "issued" : { "date-parts" : [ [ "2014", "10", "7" ] ] }, "page" : "9376-9380", "publisher" : "American Chemical Society", "title" : "The Single-Probe: A Miniaturized Multifunctional Device for Single Cell Mass Spectrometry Analysis", "type" : "article-journal", "volume" : "86" }, "uris" : [ "http://www.mendeley.com/documents/?uuid=adf46866-126a-3777-ae91-4b2accbc202a" ] }, { "id" : "ITEM-2", "itemData" : { "DOI" : "10.1021/acs.analchem.8b05166", "ISSN" : "0003-2700", "author" : [ { "dropping-particle" : "", "family" : "Sun", "given" : "Mei", "non-dropping-particle" : "", "parse-names" : false, "suffix" : "" }, { "dropping-particle" : "", "family" : "Yang", "given" : "Zhibo", "non-dropping-particle" : "", "parse-names" : false, "suffix" : "" } ], "container-title" : "Analytical Chemistry", "id" : "ITEM-2", "issue" : "3", "issued" : { "date-parts" : [ [ "2019", "2", "5" ] ] }, "page" : "2384-2391", "title" : "Metabolomic Studies of Live Single Cancer Stem Cells Using Mass Spectrometry", "type" : "article-journal", "volume" : "91" }, "uris" : [ "http://www.mendeley.com/documents/?uuid=59ce2942-c38f-3a24-af7f-f6bd7caee4bf" ] } ], "mendeley" : { "formattedCitation" : "&lt;sup&gt;84,177&lt;/sup&gt;", "plainTextFormattedCitation" : "84,177", "previouslyFormattedCitation" : "&lt;sup&gt;84,176&lt;/sup&gt;" }, "properties" : { "noteIndex" : 0 }, "schema" : "https://github.com/citation-style-language/schema/raw/master/csl-citation.json" }</w:instrText>
      </w:r>
      <w:r w:rsidRPr="007077AC">
        <w:rPr>
          <w:bCs/>
        </w:rPr>
        <w:fldChar w:fldCharType="separate"/>
      </w:r>
      <w:r w:rsidR="000849BF" w:rsidRPr="000849BF">
        <w:rPr>
          <w:bCs/>
          <w:noProof/>
          <w:vertAlign w:val="superscript"/>
        </w:rPr>
        <w:t>84,177</w:t>
      </w:r>
      <w:r w:rsidRPr="007077AC">
        <w:fldChar w:fldCharType="end"/>
      </w:r>
      <w:r w:rsidRPr="007077AC">
        <w:rPr>
          <w:bCs/>
        </w:rPr>
        <w:t xml:space="preserve"> Using an isotopically-labeled deuterated irinotecan drug compound analog as an internal standard, we utilized the Single-probe system to successfully perform quantitative single cell mass spectrometry (qSCMS) in measuring the intracellular amounts of the anticancer drug irinotecan in single adherent cancer cells.</w:t>
      </w:r>
      <w:r w:rsidRPr="007077AC">
        <w:rPr>
          <w:bCs/>
        </w:rPr>
        <w:fldChar w:fldCharType="begin" w:fldLock="1"/>
      </w:r>
      <w:r w:rsidR="000849BF">
        <w:rPr>
          <w:bCs/>
        </w:rPr>
        <w:instrText>ADDIN CSL_CITATION { "citationItems" : [ { "id" : "ITEM-1", "itemData" : { "DOI" : "10.1021/acs.analchem.9b01311", "ISSN" : "0003-2700", "abstract" : "Analyzing cellular constituents on the single-cell level through mass spectrometry (MS) allows for a wide range of compounds to be studied simultaneously. However, there is a need for quantitative single cell mass spectrometry (qSCMS) methods to fully char-acterize drug efficacy from individual cells within cell populations. In this study, qSCMS experiments were carried out using the Single-probe MS technique. The method was successfully used to perform rapid absolute quantifications of the anti-cancer drug irinotecan in individual mammalian cancer cells under ambient conditions in real time. Traditional liquid chromatography/mass spectrometry (LC/MS) quantifications of irinotecan in cell lysate samples were used to compare the results from Single-probe qSCMS. This technique showcases heterogeneity of drug efficacy on the single-cell level.", "author" : [ { "dropping-particle" : "", "family" : "Pan", "given" : "Ning", "non-dropping-particle" : "", "parse-names" : false, "suffix" : "" }, { "dropping-particle" : "", "family" : "Standke", "given" : "Shawna J.", "non-dropping-particle" : "", "parse-names" : false, "suffix" : "" }, { "dropping-particle" : "", "family" : "Kothapalli", "given" : "Naga Rama", "non-dropping-particle" : "", "parse-names" : false, "suffix" : "" }, { "dropping-particle" : "", "family" : "Sun", "given" : "Mei", "non-dropping-particle" : "", "parse-names" : false, "suffix" : "" }, { "dropping-particle" : "", "family" : "Bensen", "given" : "Ryan C.",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"issued" : { "date-parts" : [ [ "2019", "6", "17" ] ] }, "page" : "acs.analchem.9b01311", "publisher" : "American Chemical Society", "title" : "Quantification of Drug Molecules in Live Single Cells using the Single-probe Mass Spectrometry Technique", "type" : "article-journal" }, "uris" : [ "http://www.mendeley.com/documents/?uuid=96396243-c3ce-3429-9ff8-00071a562825" ] } ], "mendeley" : { "formattedCitation" : "&lt;sup&gt;178&lt;/sup&gt;", "plainTextFormattedCitation" : "178", "previouslyFormattedCitation" : "&lt;sup&gt;177&lt;/sup&gt;" }, "properties" : { "noteIndex" : 0 }, "schema" : "https://github.com/citation-style-language/schema/raw/master/csl-citation.json" }</w:instrText>
      </w:r>
      <w:r w:rsidRPr="007077AC">
        <w:rPr>
          <w:bCs/>
        </w:rPr>
        <w:fldChar w:fldCharType="separate"/>
      </w:r>
      <w:r w:rsidR="000849BF" w:rsidRPr="000849BF">
        <w:rPr>
          <w:bCs/>
          <w:noProof/>
          <w:vertAlign w:val="superscript"/>
        </w:rPr>
        <w:t>178</w:t>
      </w:r>
      <w:r w:rsidRPr="007077AC">
        <w:fldChar w:fldCharType="end"/>
      </w:r>
      <w:r w:rsidRPr="007077AC">
        <w:rPr>
          <w:bCs/>
        </w:rPr>
        <w:t xml:space="preserve"> To further extend the SCMS analytical methods to non-adherent suspended cells with minimal interferences from complex sampling matrices, we coupled the Single-probe device with an integrated cell manipulation platform (ICMP)</w:t>
      </w:r>
      <w:r w:rsidRPr="007077AC">
        <w:rPr>
          <w:b/>
          <w:bCs/>
        </w:rPr>
        <w:t xml:space="preserve"> </w:t>
      </w:r>
      <w:r w:rsidRPr="007077AC">
        <w:rPr>
          <w:bCs/>
        </w:rPr>
        <w:t>(</w:t>
      </w:r>
      <w:r w:rsidR="00242945">
        <w:rPr>
          <w:bCs/>
        </w:rPr>
        <w:fldChar w:fldCharType="begin"/>
      </w:r>
      <w:r w:rsidR="00242945">
        <w:rPr>
          <w:bCs/>
        </w:rPr>
        <w:instrText xml:space="preserve"> REF _Ref38388056 \h </w:instrText>
      </w:r>
      <w:r w:rsidR="00242945">
        <w:rPr>
          <w:bCs/>
        </w:rPr>
      </w:r>
      <w:r w:rsidR="00242945">
        <w:rPr>
          <w:bCs/>
        </w:rPr>
        <w:fldChar w:fldCharType="separate"/>
      </w:r>
      <w:r w:rsidR="00242945" w:rsidRPr="00E5747D">
        <w:rPr>
          <w:rFonts w:ascii="Times New Roman" w:hAnsi="Times New Roman"/>
        </w:rPr>
        <w:t xml:space="preserve">Figure </w:t>
      </w:r>
      <w:r w:rsidR="00242945">
        <w:rPr>
          <w:rFonts w:ascii="Times New Roman" w:hAnsi="Times New Roman"/>
          <w:noProof/>
        </w:rPr>
        <w:t>21</w:t>
      </w:r>
      <w:r w:rsidR="00242945">
        <w:rPr>
          <w:bCs/>
        </w:rPr>
        <w:fldChar w:fldCharType="end"/>
      </w:r>
      <w:r w:rsidRPr="007077AC">
        <w:rPr>
          <w:bCs/>
        </w:rPr>
        <w:t>).</w:t>
      </w:r>
      <w:r w:rsidRPr="007077AC">
        <w:rPr>
          <w:bCs/>
        </w:rPr>
        <w:fldChar w:fldCharType="begin" w:fldLock="1"/>
      </w:r>
      <w:r w:rsidR="000849BF">
        <w:rPr>
          <w:bCs/>
        </w:rPr>
        <w:instrText>ADDIN CSL_CITATION { "citationItems" : [ { "id" : "ITEM-1", "itemData" : { "DOI" : "10.1021/acs.analchem.8b05774", "ISSN" : "0003-2700", "abstract" : "Existing single cell mass spectrometry (SCMS) sampling platforms are largely designed to work only with immobilized cells and not the suspended cells isolated from patient samples. Here, we present a novel method that integrates a commercially available cell manipulation system commonly used for in vitro fertilization with the Single-probe SCMS sampling technology. The combined Single-probe SCMS/cell manipulating platform is capable of rapidly analyzing intracellular species in real time from a suspension leukemia cell line. A broad range of molecular species was detected, and species of interest were verified using tandem MS (MS/MS). Experimental results were analyzed utilizing statistical analyses such as principle component analysis (PCA) and\u00a0t-tests. The developed SCMS/cell manipulation system is a versatile tool to provide rapid single cell analysis of broad types of patient cell samples.", "author" : [ { "dropping-particle" : "", "family" : "Standke", "given" : "Shawna J.", "non-dropping-particle" : "", "parse-names" : false, "suffix" : "" }, { "dropping-particle" : "", "family" : "Colby", "given" : "Devon H.", "non-dropping-particle" : "", "parse-names" : false, "suffix" : "" }, { "dropping-particle" : "", "family" : "Bensen", "given" : "Ryan C.",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 : "3", "issued" : { "date-parts" : [ [ "2019", "2", "5" ] ] }, "page" : "1738-1742", "publisher" : "American Chemical Society", "title" : "Mass Spectrometry Measurement of Single Suspended Cells Using a Combined Cell Manipulation System and a Single-Probe Device", "type" : "article-journal", "volume" : "91" }, "uris" : [ "http://www.mendeley.com/documents/?uuid=221a1140-bd24-4a01-a3ac-11f78bf6ce99" ] } ], "mendeley" : { "formattedCitation" : "&lt;sup&gt;179&lt;/sup&gt;", "plainTextFormattedCitation" : "179", "previouslyFormattedCitation" : "&lt;sup&gt;178&lt;/sup&gt;" }, "properties" : { "noteIndex" : 0 }, "schema" : "https://github.com/citation-style-language/schema/raw/master/csl-citation.json" }</w:instrText>
      </w:r>
      <w:r w:rsidRPr="007077AC">
        <w:rPr>
          <w:bCs/>
        </w:rPr>
        <w:fldChar w:fldCharType="separate"/>
      </w:r>
      <w:r w:rsidR="000849BF" w:rsidRPr="000849BF">
        <w:rPr>
          <w:bCs/>
          <w:noProof/>
          <w:vertAlign w:val="superscript"/>
        </w:rPr>
        <w:t>179</w:t>
      </w:r>
      <w:r w:rsidRPr="007077AC">
        <w:fldChar w:fldCharType="end"/>
      </w:r>
      <w:r w:rsidRPr="007077AC">
        <w:rPr>
          <w:bCs/>
        </w:rPr>
        <w:t xml:space="preserve">  The ICMP, consisting of an inverted microscope, two cell manipulation systems, a microinjector, and a glass cell-selection probe, is capable of distinguishing cell types, morphologies, and sizes as well as capturing individual cells for analysis. </w:t>
      </w:r>
      <w:r w:rsidRPr="007077AC">
        <w:rPr>
          <w:bCs/>
        </w:rPr>
        <w:fldChar w:fldCharType="begin" w:fldLock="1"/>
      </w:r>
      <w:r w:rsidR="000849BF">
        <w:rPr>
          <w:bCs/>
        </w:rPr>
        <w:instrText>ADDIN CSL_CITATION { "citationItems" : [ { "id" : "ITEM-1", "itemData" : { "DOI" : "10.1021/acs.analchem.8b05774", "ISSN" : "0003-2700", "abstract" : "Existing single cell mass spectrometry (SCMS) sampling platforms are largely designed to work only with immobilized cells and not the suspended cells isolated from patient samples. Here, we present a novel method that integrates a commercially available cell manipulation system commonly used for in vitro fertilization with the Single-probe SCMS sampling technology. The combined Single-probe SCMS/cell manipulating platform is capable of rapidly analyzing intracellular species in real time from a suspension leukemia cell line. A broad range of molecular species was detected, and species of interest were verified using tandem MS (MS/MS). Experimental results were analyzed utilizing statistical analyses such as principle component analysis (PCA) and\u00a0t-tests. The developed SCMS/cell manipulation system is a versatile tool to provide rapid single cell analysis of broad types of patient cell samples.", "author" : [ { "dropping-particle" : "", "family" : "Standke", "given" : "Shawna J.", "non-dropping-particle" : "", "parse-names" : false, "suffix" : "" }, { "dropping-particle" : "", "family" : "Colby", "given" : "Devon H.", "non-dropping-particle" : "", "parse-names" : false, "suffix" : "" }, { "dropping-particle" : "", "family" : "Bensen", "given" : "Ryan C.", "non-dropping-particle" : "", "parse-names" : false, "suffix" : "" }, { "dropping-particle" : "", "family" : "Burgett", "given" : "Anthony W. G.", "non-dropping-particle" : "", "parse-names" : false, "suffix" : "" }, { "dropping-particle" : "", "family" : "Yang", "given" : "Zhibo", "non-dropping-particle" : "", "parse-names" : false, "suffix" : "" } ], "container-title" : "Analytical Chemistry", "id" : "ITEM-1", "issue" : "3", "issued" : { "date-parts" : [ [ "2019", "2", "5" ] ] }, "page" : "1738-1742", "publisher" : "American Chemical Society", "title" : "Mass Spectrometry Measurement of Single Suspended Cells Using a Combined Cell Manipulation System and a Single-Probe Device", "type" : "article-journal", "volume" : "91" }, "uris" : [ "http://www.mendeley.com/documents/?uuid=221a1140-bd24-4a01-a3ac-11f78bf6ce99" ] } ], "mendeley" : { "formattedCitation" : "&lt;sup&gt;179&lt;/sup&gt;", "plainTextFormattedCitation" : "179", "previouslyFormattedCitation" : "&lt;sup&gt;178&lt;/sup&gt;" }, "properties" : { "noteIndex" : 0 }, "schema" : "https://github.com/citation-style-language/schema/raw/master/csl-citation.json" }</w:instrText>
      </w:r>
      <w:r w:rsidRPr="007077AC">
        <w:rPr>
          <w:bCs/>
        </w:rPr>
        <w:fldChar w:fldCharType="separate"/>
      </w:r>
      <w:r w:rsidR="000849BF" w:rsidRPr="000849BF">
        <w:rPr>
          <w:bCs/>
          <w:noProof/>
          <w:vertAlign w:val="superscript"/>
        </w:rPr>
        <w:t>179</w:t>
      </w:r>
      <w:r w:rsidRPr="007077AC">
        <w:fldChar w:fldCharType="end"/>
      </w:r>
    </w:p>
    <w:p w14:paraId="327A8B29" w14:textId="46105ABA" w:rsidR="007077AC" w:rsidRPr="007077AC" w:rsidRDefault="007077AC" w:rsidP="000849BF">
      <w:pPr>
        <w:ind w:firstLine="720"/>
        <w:jc w:val="both"/>
      </w:pPr>
      <w:r w:rsidRPr="007077AC">
        <w:rPr>
          <w:bCs/>
        </w:rPr>
        <w:t>Here, we report the development and the application of the Single-probe/ICMP system to quantify the amount of standard-of-care cancer drug gemcitabine in single cancer cells. Using the Single-probe/ICMP system, we for the first time performed qSCMS measurement of the amount of an anticancer drug in bladder cancer cells isolated from patients undergoing intravenous chemotherapy.</w:t>
      </w:r>
    </w:p>
    <w:p w14:paraId="47E3A816" w14:textId="7C756E67" w:rsidR="009C7566" w:rsidRDefault="005339D3" w:rsidP="00C114CA">
      <w:pPr>
        <w:pStyle w:val="Heading2"/>
        <w:jc w:val="both"/>
      </w:pPr>
      <w:bookmarkStart w:id="165" w:name="_Toc39868191"/>
      <w:r>
        <w:lastRenderedPageBreak/>
        <w:t>4</w:t>
      </w:r>
      <w:r w:rsidR="009C7566">
        <w:t>.</w:t>
      </w:r>
      <w:r w:rsidR="00655CA3">
        <w:t>2</w:t>
      </w:r>
      <w:r w:rsidR="009C7566">
        <w:t xml:space="preserve"> Methods</w:t>
      </w:r>
      <w:bookmarkEnd w:id="165"/>
    </w:p>
    <w:p w14:paraId="03B42990" w14:textId="1CFEA1F6" w:rsidR="009C7566" w:rsidRDefault="005339D3" w:rsidP="00F01888">
      <w:pPr>
        <w:pStyle w:val="Heading3"/>
      </w:pPr>
      <w:bookmarkStart w:id="166" w:name="_Toc39868192"/>
      <w:r>
        <w:t>4</w:t>
      </w:r>
      <w:r w:rsidR="009C7566">
        <w:t>.</w:t>
      </w:r>
      <w:r w:rsidR="00655CA3">
        <w:t>2</w:t>
      </w:r>
      <w:r w:rsidR="006949A4">
        <w:t>.</w:t>
      </w:r>
      <w:r w:rsidR="009C7566">
        <w:t>1 Sample Preparation</w:t>
      </w:r>
      <w:bookmarkEnd w:id="166"/>
      <w:r w:rsidR="009C7566">
        <w:t xml:space="preserve"> </w:t>
      </w:r>
    </w:p>
    <w:p w14:paraId="31AB3D6C" w14:textId="77777777" w:rsidR="009C7566" w:rsidRDefault="009C7566" w:rsidP="00C114CA">
      <w:pPr>
        <w:ind w:firstLine="720"/>
        <w:jc w:val="both"/>
      </w:pPr>
      <w:r w:rsidRPr="00975FB0">
        <w:rPr>
          <w:u w:val="single"/>
        </w:rPr>
        <w:t>Adherent Cell Line:</w:t>
      </w:r>
      <w:r w:rsidRPr="001E3DAC">
        <w:rPr>
          <w:i/>
        </w:rPr>
        <w:t xml:space="preserve"> </w:t>
      </w:r>
      <w:r w:rsidRPr="001E3DAC">
        <w:t>For the adherent bladder cancer cell line model, T24, cells were plated (</w:t>
      </w:r>
      <w:r>
        <w:t>2</w:t>
      </w:r>
      <w:r w:rsidRPr="001E3DAC">
        <w:t>x10</w:t>
      </w:r>
      <w:r w:rsidRPr="001E3DAC">
        <w:rPr>
          <w:vertAlign w:val="superscript"/>
        </w:rPr>
        <w:t>5</w:t>
      </w:r>
      <w:r w:rsidRPr="001E3DAC">
        <w:t xml:space="preserve">) into each well of a 6-well plate containing a poly-D-lysine-coated glass microchip with chemically-etched microwells (25 µm x 55 µm) and McCoy’s Media 5a supplemented with 10% </w:t>
      </w:r>
      <w:r>
        <w:t>FBS</w:t>
      </w:r>
      <w:r w:rsidRPr="001E3DAC">
        <w:t xml:space="preserve"> and 1% penicillin-streptomycin. Approx</w:t>
      </w:r>
      <w:r>
        <w:t>.</w:t>
      </w:r>
      <w:r w:rsidRPr="001E3DAC">
        <w:t xml:space="preserve"> 36 h after initial seeding, the media in each well is replaced with Gemcitabine-containing media at the indicated concentrations and incubated at 37</w:t>
      </w:r>
      <w:r w:rsidRPr="001E3DAC">
        <w:sym w:font="Symbol" w:char="F0B0"/>
      </w:r>
      <w:r w:rsidRPr="001E3DAC">
        <w:t>C and 5% CO</w:t>
      </w:r>
      <w:r w:rsidRPr="001E3DAC">
        <w:rPr>
          <w:vertAlign w:val="subscript"/>
        </w:rPr>
        <w:t>2</w:t>
      </w:r>
      <w:r w:rsidRPr="001E3DAC">
        <w:t xml:space="preserve"> for the duration of the treatment time (1</w:t>
      </w:r>
      <w:r>
        <w:t xml:space="preserve"> h)</w:t>
      </w:r>
      <w:r w:rsidRPr="001E3DAC">
        <w:t>. Prior to analysis, each glass microchip is rinsed with FBS-free media (5 mL) to avoid the detection of Gemcitabine from extracellular species. Cells were tested using the traditional Single-probe setup, modified for quantification</w:t>
      </w:r>
    </w:p>
    <w:p w14:paraId="11603659" w14:textId="77777777" w:rsidR="009C7566" w:rsidRDefault="009C7566" w:rsidP="00C114CA">
      <w:pPr>
        <w:ind w:firstLine="720"/>
        <w:jc w:val="both"/>
      </w:pPr>
      <w:r w:rsidRPr="00E42539">
        <w:rPr>
          <w:u w:val="single"/>
        </w:rPr>
        <w:t>Suspended Cell Line:</w:t>
      </w:r>
      <w:r>
        <w:rPr>
          <w:u w:val="single"/>
        </w:rPr>
        <w:t xml:space="preserve"> </w:t>
      </w:r>
      <w:r w:rsidRPr="001E3DAC">
        <w:t>The human chronic myeloid leukemia cell line, K562, were grown in T25 flasks at 37</w:t>
      </w:r>
      <w:r w:rsidRPr="001E3DAC">
        <w:sym w:font="Symbol" w:char="F0B0"/>
      </w:r>
      <w:r w:rsidRPr="001E3DAC">
        <w:t>C and 5% CO</w:t>
      </w:r>
      <w:r w:rsidRPr="001E3DAC">
        <w:rPr>
          <w:vertAlign w:val="subscript"/>
        </w:rPr>
        <w:t>2</w:t>
      </w:r>
      <w:r w:rsidRPr="001E3DAC">
        <w:t xml:space="preserve"> in RPMI media supplemented with 10% FBS and 1% penicillin-streptomycin. Prior to treatment (</w:t>
      </w:r>
      <w:r>
        <w:t>24 h</w:t>
      </w:r>
      <w:r w:rsidRPr="001E3DAC">
        <w:t>), K562 cells (</w:t>
      </w:r>
      <w:r>
        <w:t>5</w:t>
      </w:r>
      <w:r w:rsidRPr="001E3DAC">
        <w:t>x10</w:t>
      </w:r>
      <w:r w:rsidRPr="001E3DAC">
        <w:rPr>
          <w:vertAlign w:val="superscript"/>
        </w:rPr>
        <w:t>5</w:t>
      </w:r>
      <w:r w:rsidRPr="001E3DAC">
        <w:t>) were seeded out in a T25 flask. The cells were spun at 1500 RPM for 5 min and treated with Gemcitabine at the indicated concentrations at a 4</w:t>
      </w:r>
      <w:r>
        <w:t xml:space="preserve"> </w:t>
      </w:r>
      <w:r w:rsidRPr="001E3DAC">
        <w:t>mL volume in a 15</w:t>
      </w:r>
      <w:r>
        <w:t xml:space="preserve"> </w:t>
      </w:r>
      <w:r w:rsidRPr="001E3DAC">
        <w:t>mL Falcon tube. After treatment, cells were pelleted at 1500 RPM for 5 min at 37</w:t>
      </w:r>
      <w:r w:rsidRPr="001E3DAC">
        <w:sym w:font="Symbol" w:char="F0B0"/>
      </w:r>
      <w:r w:rsidRPr="001E3DAC">
        <w:t>C and washed 3 times with PBS (10 mL). All tubes were resuspended in PBS (3 mL/tube) and were used for analysis in a 3</w:t>
      </w:r>
      <w:r>
        <w:t xml:space="preserve"> </w:t>
      </w:r>
      <w:r w:rsidRPr="001E3DAC">
        <w:t>mL petri dish. K562 cells were analyzed using the integrated cell manipulation platform (ICMP) in conjunction with quantitative single cell mass spectrometry using the Single-probe mass spectrometry technique.</w:t>
      </w:r>
    </w:p>
    <w:p w14:paraId="3311AD34" w14:textId="06454EE1" w:rsidR="009C7566" w:rsidRDefault="009C7566" w:rsidP="00746D32">
      <w:pPr>
        <w:ind w:firstLine="720"/>
        <w:jc w:val="both"/>
      </w:pPr>
      <w:r w:rsidRPr="00F042BC">
        <w:rPr>
          <w:u w:val="single"/>
        </w:rPr>
        <w:t>Patient Samples:</w:t>
      </w:r>
      <w:r w:rsidRPr="00180E2C">
        <w:t xml:space="preserve"> T</w:t>
      </w:r>
      <w:r w:rsidRPr="001E3DAC">
        <w:t xml:space="preserve">wo separate groups of bladder cancer patients’ urinary cells were analyzed in this study. One group (n=2) was not subjected to gemcitabine, while the </w:t>
      </w:r>
      <w:r w:rsidRPr="001E3DAC">
        <w:lastRenderedPageBreak/>
        <w:t>other (n=2) received 1000 mg/m</w:t>
      </w:r>
      <w:r w:rsidRPr="001E3DAC">
        <w:rPr>
          <w:vertAlign w:val="superscript"/>
        </w:rPr>
        <w:t xml:space="preserve">2 </w:t>
      </w:r>
      <w:r w:rsidRPr="001E3DAC">
        <w:t xml:space="preserve">infusion of gemcitabine. The urine was collected in a specimen jar for the analysis of the non-treated patients and collected </w:t>
      </w:r>
      <w:r>
        <w:t>1 h</w:t>
      </w:r>
      <w:r w:rsidRPr="001E3DAC">
        <w:t xml:space="preserve"> after infusion for the treated patients. The urinary sample was processed and analyzed within 3 h</w:t>
      </w:r>
      <w:r>
        <w:t xml:space="preserve"> </w:t>
      </w:r>
      <w:r w:rsidRPr="001E3DAC">
        <w:t>after collecting. Each sample was processed as followed:  sample was spun at 1500 RPM for 5 minutes at 37</w:t>
      </w:r>
      <w:r w:rsidRPr="001E3DAC">
        <w:sym w:font="Symbol" w:char="F0B0"/>
      </w:r>
      <w:r w:rsidRPr="001E3DAC">
        <w:t>C, followed by washing with pre-warmed PBS (20 mL) 3 times. The cells were resuspended in PBS (2 mL), and the cell solution was placed into a 3-mL petri dish for analysis using the ICMP.</w:t>
      </w:r>
    </w:p>
    <w:p w14:paraId="2BEFCE07" w14:textId="77777777" w:rsidR="00817FD7" w:rsidRPr="00F042BC" w:rsidRDefault="00817FD7" w:rsidP="00C114CA">
      <w:pPr>
        <w:jc w:val="both"/>
        <w:rPr>
          <w:u w:val="single"/>
        </w:rPr>
      </w:pPr>
    </w:p>
    <w:p w14:paraId="482E788F" w14:textId="22AFCE29" w:rsidR="009C7566" w:rsidRDefault="005339D3" w:rsidP="00F01888">
      <w:pPr>
        <w:pStyle w:val="Heading3"/>
      </w:pPr>
      <w:bookmarkStart w:id="167" w:name="_Toc39868193"/>
      <w:r>
        <w:t>4</w:t>
      </w:r>
      <w:r w:rsidR="009C7566">
        <w:t>.</w:t>
      </w:r>
      <w:r w:rsidR="00655CA3">
        <w:t>2</w:t>
      </w:r>
      <w:r w:rsidR="006949A4">
        <w:t>.</w:t>
      </w:r>
      <w:r w:rsidR="009C7566">
        <w:t>2 Single Probe Fabrication</w:t>
      </w:r>
      <w:bookmarkEnd w:id="167"/>
      <w:r w:rsidR="009C7566">
        <w:t xml:space="preserve"> </w:t>
      </w:r>
    </w:p>
    <w:p w14:paraId="39D3E988" w14:textId="77777777" w:rsidR="009C7566" w:rsidRPr="00B03ED6" w:rsidRDefault="009C7566" w:rsidP="00C114CA">
      <w:pPr>
        <w:ind w:firstLine="720"/>
        <w:jc w:val="both"/>
        <w:rPr>
          <w:b/>
        </w:rPr>
      </w:pPr>
      <w:r>
        <w:t>D</w:t>
      </w:r>
      <w:r w:rsidRPr="00B03ED6">
        <w:t>ual-bore quartz tubing (OD: 500 µm; ID: 127 µm) was pulled into a sharp needle (OD: ~5 µm) using a micropipette laser puller. Fused silica capillary (OD: 110 µm, ID: 40 µm) was placed into one bore as a solvent-providing capillary. The same diameter capillary was flame-pulled and placed into the other channel of the dual-bore quartz needle as a nano-ESI emitter. The probe was sealed using UV resin and secured on a glass slide with Epoxy glue for easy coupling to the flexible arm clamp of either the X, Y, Z-translational stage (adherent cells) or TransferMan manipulation system (</w:t>
      </w:r>
      <w:r>
        <w:t xml:space="preserve">suspended </w:t>
      </w:r>
      <w:r w:rsidRPr="00B03ED6">
        <w:t>cells).</w:t>
      </w:r>
    </w:p>
    <w:p w14:paraId="11B2C93F" w14:textId="77777777" w:rsidR="009C7566" w:rsidRPr="00D6360D" w:rsidRDefault="009C7566" w:rsidP="00C114CA">
      <w:pPr>
        <w:jc w:val="both"/>
      </w:pPr>
    </w:p>
    <w:p w14:paraId="12DF2A44" w14:textId="23D762F4" w:rsidR="009C7566" w:rsidRDefault="005339D3" w:rsidP="00F01888">
      <w:pPr>
        <w:pStyle w:val="Heading3"/>
      </w:pPr>
      <w:bookmarkStart w:id="168" w:name="_Toc39868194"/>
      <w:r>
        <w:t>4</w:t>
      </w:r>
      <w:r w:rsidR="009C7566">
        <w:t>.</w:t>
      </w:r>
      <w:r w:rsidR="00655CA3">
        <w:t>2</w:t>
      </w:r>
      <w:r w:rsidR="006949A4">
        <w:t>.</w:t>
      </w:r>
      <w:r w:rsidR="009C7566">
        <w:t>3 Glass Cell-Selection Probe Fabrication</w:t>
      </w:r>
      <w:bookmarkEnd w:id="168"/>
      <w:r w:rsidR="009C7566">
        <w:t xml:space="preserve"> </w:t>
      </w:r>
    </w:p>
    <w:p w14:paraId="2BF9BA8D" w14:textId="5E7E17CA" w:rsidR="00845F77" w:rsidRDefault="009C7566" w:rsidP="00845F77">
      <w:pPr>
        <w:ind w:firstLine="720"/>
        <w:jc w:val="both"/>
      </w:pPr>
      <w:r w:rsidRPr="00925811">
        <w:t>Single-bore glass tubing (ID: 0.3 mm, OD: 1.1 mm) was transformed into a glass cell-selection device using a vertical pipette puller. Briefly, the glass was heated to create a tapered tip (~15 µm in diameter) to encompass an individual cell. Once the probe was pulled apart, it was placed in a Microforge MF-9 and bent ~45</w:t>
      </w:r>
      <w:r w:rsidRPr="00925811">
        <w:sym w:font="Symbol" w:char="F0B0"/>
      </w:r>
      <w:r w:rsidRPr="00925811">
        <w:t xml:space="preserve"> from its original position. </w:t>
      </w:r>
    </w:p>
    <w:p w14:paraId="266386F6" w14:textId="77777777" w:rsidR="006949A4" w:rsidRDefault="006949A4" w:rsidP="00845F77">
      <w:pPr>
        <w:ind w:firstLine="720"/>
        <w:jc w:val="both"/>
      </w:pPr>
    </w:p>
    <w:p w14:paraId="4145A695" w14:textId="40494C2D" w:rsidR="009C7566" w:rsidRPr="00845F77" w:rsidRDefault="005339D3" w:rsidP="00845F77">
      <w:pPr>
        <w:jc w:val="both"/>
        <w:rPr>
          <w:i/>
          <w:iCs/>
        </w:rPr>
      </w:pPr>
      <w:r w:rsidRPr="00845F77">
        <w:rPr>
          <w:i/>
          <w:iCs/>
        </w:rPr>
        <w:t>4</w:t>
      </w:r>
      <w:r w:rsidR="009C7566" w:rsidRPr="00845F77">
        <w:rPr>
          <w:i/>
          <w:iCs/>
        </w:rPr>
        <w:t>.</w:t>
      </w:r>
      <w:r w:rsidR="00655CA3">
        <w:rPr>
          <w:i/>
          <w:iCs/>
        </w:rPr>
        <w:t>2</w:t>
      </w:r>
      <w:r w:rsidR="006949A4">
        <w:rPr>
          <w:i/>
          <w:iCs/>
        </w:rPr>
        <w:t>.</w:t>
      </w:r>
      <w:r w:rsidR="009C7566" w:rsidRPr="00845F77">
        <w:rPr>
          <w:i/>
          <w:iCs/>
        </w:rPr>
        <w:t xml:space="preserve">4 Integrated Cell Manipulation Platform </w:t>
      </w:r>
    </w:p>
    <w:p w14:paraId="281474DA" w14:textId="3B128F97" w:rsidR="009C7566" w:rsidRDefault="009C7566" w:rsidP="00C114CA">
      <w:pPr>
        <w:ind w:firstLine="720"/>
        <w:jc w:val="both"/>
      </w:pPr>
      <w:r w:rsidRPr="0044373C">
        <w:t xml:space="preserve">The Single-probe setup has been modified to accommodate an Eppendorf cell manipulation system, which utilizes both a Single-probe and a cell-selection device that allows the analysis of samples from a complex matrix with minimal sample preparation. The system is composed of an Eppendorf TransferMan cell manipulation system, Nikon inverted microscope, a Tokai Hit ThermoPlate, and a glass cell-selection device. The cell-selection device was held in place and controlled through an Eppendorf TransferMan cell manipulation system. The Single-Probe was controlled through a second TransferMan system and stabilized with a flexible arm clamp. This system was constructed on a motorized table for convenient coupling to the Thermo LTQ Orbitrap XL mass spectrometer. </w:t>
      </w:r>
    </w:p>
    <w:p w14:paraId="2F4B2725" w14:textId="77777777" w:rsidR="002F284E" w:rsidRPr="0044373C" w:rsidRDefault="002F284E" w:rsidP="00C114CA">
      <w:pPr>
        <w:ind w:firstLine="720"/>
        <w:jc w:val="both"/>
      </w:pPr>
    </w:p>
    <w:p w14:paraId="33D3970D" w14:textId="56FC3037" w:rsidR="009C7566" w:rsidRDefault="005339D3" w:rsidP="00F01888">
      <w:pPr>
        <w:pStyle w:val="Heading3"/>
      </w:pPr>
      <w:bookmarkStart w:id="169" w:name="_Toc39868195"/>
      <w:r>
        <w:t>4</w:t>
      </w:r>
      <w:r w:rsidR="009C7566">
        <w:t>.</w:t>
      </w:r>
      <w:r w:rsidR="00655CA3">
        <w:t>2</w:t>
      </w:r>
      <w:r w:rsidR="006949A4">
        <w:t>.</w:t>
      </w:r>
      <w:r w:rsidR="009C7566">
        <w:t>5 Single-Cell Mass Spectrometry Analysis</w:t>
      </w:r>
      <w:bookmarkEnd w:id="169"/>
      <w:r w:rsidR="009C7566">
        <w:t xml:space="preserve"> </w:t>
      </w:r>
    </w:p>
    <w:p w14:paraId="5756AEFA" w14:textId="77777777" w:rsidR="009C7566" w:rsidRPr="004C4CFC" w:rsidRDefault="009C7566" w:rsidP="00C114CA">
      <w:pPr>
        <w:ind w:firstLine="720"/>
        <w:jc w:val="both"/>
        <w:rPr>
          <w:b/>
          <w:bCs/>
        </w:rPr>
      </w:pPr>
      <w:r w:rsidRPr="004C4CFC">
        <w:t>The Single-probe’s nano-ESI emitter was aligned with the extended ion transfer tube’s inlet. The solvent-providing capillary of the Single-probe was programmed to deliver solvent (internal standard dissolved in acetonitrile with 0.1% formic acid) at a flow rate of ~100 nL/min. Analysis was performed using a Thermo LTQ Orbitrap XL mass spectrometer. Positive ionization mode was used with a voltage of ~4.5 kV applied to the conductive union during analysis. (The flow rate and ionization voltage were optimized for each experiment due to varying tip size, emitter length, and emitter distance from the mass spectrometer’s inlet). A resolution of 60,000 and 1 scan/100 ms maximum injection time were used.</w:t>
      </w:r>
    </w:p>
    <w:p w14:paraId="3383A42F" w14:textId="77777777" w:rsidR="009C7566" w:rsidRPr="004C4CFC" w:rsidRDefault="009C7566" w:rsidP="00C114CA">
      <w:pPr>
        <w:ind w:firstLine="720"/>
        <w:jc w:val="both"/>
      </w:pPr>
      <w:r w:rsidRPr="004C4CFC">
        <w:rPr>
          <w:u w:val="single"/>
        </w:rPr>
        <w:lastRenderedPageBreak/>
        <w:t>Adherent Cell Line</w:t>
      </w:r>
      <w:r>
        <w:rPr>
          <w:u w:val="single"/>
        </w:rPr>
        <w:t>:</w:t>
      </w:r>
      <w:r w:rsidRPr="004C4CFC">
        <w:t xml:space="preserve"> The glass microchip was placed on an X, Y, Z-translational stage controlled through the LabView software package, which allows controlled movements in 0.1 µm increments. Cells are monitored using a top-view digital stereomicroscope. Once an individual cell is selected, the stage is lifted in the z-direction for insertion. Microscale extraction of cellular content occurs and is introduced to the mass spectrometer after ionization using the nano-ESI emitter.</w:t>
      </w:r>
    </w:p>
    <w:p w14:paraId="5C3E601C" w14:textId="495FEE5E" w:rsidR="009C7566" w:rsidRDefault="009C7566" w:rsidP="00C114CA">
      <w:pPr>
        <w:ind w:firstLine="720"/>
        <w:jc w:val="both"/>
      </w:pPr>
      <w:r w:rsidRPr="003F40A8">
        <w:rPr>
          <w:u w:val="single"/>
        </w:rPr>
        <w:t>Suspended Cell Line:</w:t>
      </w:r>
      <w:r>
        <w:rPr>
          <w:i/>
        </w:rPr>
        <w:t xml:space="preserve"> </w:t>
      </w:r>
      <w:r w:rsidRPr="004C4CFC">
        <w:t>Cells are placed in the lid of an 18-mm petri dish placed on a ThermoPlate at 37</w:t>
      </w:r>
      <w:r w:rsidRPr="004C4CFC">
        <w:sym w:font="Symbol" w:char="F0B0"/>
      </w:r>
      <w:r w:rsidRPr="004C4CFC">
        <w:t>C to mimic the cellular environment. During analysis, cells are monitored using an inverted microscope. Once a cell is chosen, suction is gently applied to the glass cell-selection device by changing the mineral oil in the CellTram Vario microinjector to secure a cell, and the cell-selection device is lifted in the Z-direction until aligned with the Single-probe tip. Once a liquid junction is formed between the two probes, suction from the cell-selection device is released for cell transfer. The cell undergoes microscale lysis and extraction and is taken up through drag force and capillary action before being sprayed into the mass spectrometer for analysis.</w:t>
      </w:r>
    </w:p>
    <w:p w14:paraId="0048701B" w14:textId="77777777" w:rsidR="002F284E" w:rsidRPr="004C4CFC" w:rsidRDefault="002F284E" w:rsidP="00C114CA">
      <w:pPr>
        <w:ind w:firstLine="720"/>
        <w:jc w:val="both"/>
      </w:pPr>
    </w:p>
    <w:p w14:paraId="5FFA057C" w14:textId="58248367" w:rsidR="009C7566" w:rsidRDefault="005339D3" w:rsidP="00F01888">
      <w:pPr>
        <w:pStyle w:val="Heading3"/>
      </w:pPr>
      <w:bookmarkStart w:id="170" w:name="_Toc39868196"/>
      <w:r>
        <w:t>4</w:t>
      </w:r>
      <w:r w:rsidR="009C7566">
        <w:t>.</w:t>
      </w:r>
      <w:r w:rsidR="00655CA3">
        <w:t>2</w:t>
      </w:r>
      <w:r w:rsidR="006949A4">
        <w:t>.</w:t>
      </w:r>
      <w:r w:rsidR="009C7566">
        <w:t>6 Liquid-Chromatography Mass Spectrometry Analysis</w:t>
      </w:r>
      <w:bookmarkEnd w:id="170"/>
      <w:r w:rsidR="009C7566">
        <w:t xml:space="preserve"> </w:t>
      </w:r>
    </w:p>
    <w:p w14:paraId="15B154CB" w14:textId="76FD6333" w:rsidR="009C7566" w:rsidRDefault="009C7566" w:rsidP="00C114CA">
      <w:pPr>
        <w:ind w:firstLine="720"/>
        <w:jc w:val="both"/>
        <w:rPr>
          <w:rFonts w:ascii="Cambria" w:hAnsi="Cambria"/>
        </w:rPr>
      </w:pPr>
      <w:r>
        <w:t>K562 cells (5</w:t>
      </w:r>
      <w:r w:rsidRPr="001E3DAC">
        <w:t>x10</w:t>
      </w:r>
      <w:r w:rsidRPr="001E3DAC">
        <w:rPr>
          <w:vertAlign w:val="superscript"/>
        </w:rPr>
        <w:t>5</w:t>
      </w:r>
      <w:r>
        <w:t>) were seeded out in T25 flasks. After 24 h, cells were spun at 1500 RPM for 5 min and resuspended in 4 mL of RPMI media supplemented with Gemcitabine at the desired concentration. Following 1 h, cells were washed (X3) with PBS and resuspended to a total volume of 1 mL in PBS. Cells were counted using an automated cell counter (Bio-Rad TC20</w:t>
      </w:r>
      <w:r>
        <w:rPr>
          <w:vertAlign w:val="superscript"/>
        </w:rPr>
        <w:t>TM</w:t>
      </w:r>
      <w:r>
        <w:t xml:space="preserve">) and were lysed using 1 mL of cold acetonitrile spiked with 100 nM of isotopically-labeled gemcitabine for 10 min with brief vertexing. </w:t>
      </w:r>
      <w:r>
        <w:lastRenderedPageBreak/>
        <w:t xml:space="preserve">Cell lysate was spun at 15,000 RCF for 15 min at 4 </w:t>
      </w:r>
      <w:r w:rsidRPr="001E3DAC">
        <w:t>°C</w:t>
      </w:r>
      <w:r>
        <w:t xml:space="preserve">. Supernatant was transferred to a new tube and dried with a speed vacuum (Savant SPD11V, Thermo Scientific) at 70 </w:t>
      </w:r>
      <w:r w:rsidRPr="001E3DAC">
        <w:t>°C</w:t>
      </w:r>
      <w:r>
        <w:t xml:space="preserve"> for 1 h. Samples were resuspended in 150 </w:t>
      </w:r>
      <w:r>
        <w:rPr>
          <w:rFonts w:ascii="Cambria" w:hAnsi="Cambria"/>
        </w:rPr>
        <w:t>µ</w:t>
      </w:r>
      <w:r>
        <w:t xml:space="preserve">L 12: 88 Acetonitrile: water. Liquid chromatography was performed using a Waters nanoAQUITY BEH C-18 Column (100 </w:t>
      </w:r>
      <w:r>
        <w:rPr>
          <w:rFonts w:ascii="Cambria" w:hAnsi="Cambria"/>
        </w:rPr>
        <w:t xml:space="preserve">µm x 100 mm, 1.7 µm) at 30 </w:t>
      </w:r>
      <w:r w:rsidRPr="001E3DAC">
        <w:t>°C</w:t>
      </w:r>
      <w:r>
        <w:rPr>
          <w:rFonts w:ascii="Cambria" w:hAnsi="Cambria"/>
        </w:rPr>
        <w:t>, a flow rate of 0.4 µL/ min, and a voltage of 2 kV. Mobile phase A is acetonitrile with 0.1% formic acid, and mobile phase B is water. A 15 min isocratic gradient was used with an A: B composition consisting of 12:88. Data acquisition was performed on a biological triplicate. (n=3).</w:t>
      </w:r>
    </w:p>
    <w:p w14:paraId="71D39EA6" w14:textId="77777777" w:rsidR="00425DDB" w:rsidRDefault="00425DDB" w:rsidP="00C114CA">
      <w:pPr>
        <w:ind w:firstLine="720"/>
        <w:jc w:val="both"/>
        <w:rPr>
          <w:rFonts w:ascii="Cambria" w:hAnsi="Cambria"/>
        </w:rPr>
      </w:pPr>
    </w:p>
    <w:p w14:paraId="026857CD" w14:textId="61E3A16E" w:rsidR="0045322F" w:rsidRDefault="0045322F" w:rsidP="00F01888">
      <w:pPr>
        <w:pStyle w:val="Heading3"/>
      </w:pPr>
      <w:bookmarkStart w:id="171" w:name="_Toc39868197"/>
      <w:r>
        <w:t>4.</w:t>
      </w:r>
      <w:r w:rsidR="00655CA3">
        <w:t>2</w:t>
      </w:r>
      <w:r w:rsidR="006949A4">
        <w:t>.</w:t>
      </w:r>
      <w:r>
        <w:t xml:space="preserve">7 </w:t>
      </w:r>
      <w:r w:rsidR="00EF0925">
        <w:t>Isotopically-labeled Gemcitabine</w:t>
      </w:r>
      <w:bookmarkEnd w:id="171"/>
    </w:p>
    <w:p w14:paraId="0EB71F16" w14:textId="47FE9E46" w:rsidR="00EF0925" w:rsidRPr="00EF0925" w:rsidRDefault="00EF0925" w:rsidP="00E56A82">
      <w:pPr>
        <w:ind w:firstLine="720"/>
        <w:jc w:val="both"/>
      </w:pPr>
      <w:r w:rsidRPr="00EF0925">
        <w:t>Stable-isotopically labeled gemcitabine was accessed through a short sequence of reactions following the synthetic route that scientists at Eli Lily published in 1991.</w:t>
      </w:r>
      <w:r w:rsidRPr="00EF0925">
        <w:fldChar w:fldCharType="begin" w:fldLock="1"/>
      </w:r>
      <w:r w:rsidR="000849BF">
        <w:instrText>ADDIN CSL_CITATION { "citationItems" : [ { "id" : "ITEM-1", "itemData" : { "author" : [ { "dropping-particle" : "", "family" : "Chou", "given" : "T.S.", "non-dropping-particle" : "", "parse-names" : false, "suffix" : "" }, { "dropping-particle" : "", "family" : "Heath", "given" : "P.C.", "non-dropping-particle" : "", "parse-names" : false, "suffix" : "" }, { "dropping-particle" : "", "family" : "Patterson", "given" : "L.E.", "non-dropping-particle" : "", "parse-names" : false, "suffix" : "" }, { "dropping-particle" : "", "family" : "Poteet", "given" : "L.M.", "non-dropping-particle" : "", "parse-names" : false, "suffix" : "" }, { "dropping-particle" : "", "family" : "Lakin", "given" : "R.E.", "non-dropping-particle" : "", "parse-names" : false, "suffix" : "" }, { "dropping-particle" : "", "family" : "Hunt", "given" : "A.H.", "non-dropping-particle" : "", "parse-names" : false, "suffix" : "" } ], "container-title" : "Synthesis", "id" : "ITEM-1", "issued" : { "date-parts" : [ [ "1992" ] ] }, "page" : "565-570", "title" : "Stereospecific Synthesis of 2-Deoxy-2,2-difluororibonolactone and Its Use in the Preparation of 2\u2019-Deoxy-2\u2019,2\u2019-difluoro-\u03b2-D-ribofuranosyl Pyrimidine Nucleosides: The Key Role of Selective Crystallization", "type" : "article-journal" }, "uris" : [ "http://www.mendeley.com/documents/?uuid=4a07f971-70a1-41d6-bc13-8074ecb04cd8" ] } ], "mendeley" : { "formattedCitation" : "&lt;sup&gt;180&lt;/sup&gt;", "plainTextFormattedCitation" : "180", "previouslyFormattedCitation" : "&lt;sup&gt;179&lt;/sup&gt;" }, "properties" : { "noteIndex" : 0 }, "schema" : "https://github.com/citation-style-language/schema/raw/master/csl-citation.json" }</w:instrText>
      </w:r>
      <w:r w:rsidRPr="00EF0925">
        <w:fldChar w:fldCharType="separate"/>
      </w:r>
      <w:r w:rsidR="000849BF" w:rsidRPr="000849BF">
        <w:rPr>
          <w:noProof/>
          <w:vertAlign w:val="superscript"/>
        </w:rPr>
        <w:t>180</w:t>
      </w:r>
      <w:r w:rsidRPr="00EF0925">
        <w:fldChar w:fldCharType="end"/>
      </w:r>
      <w:r w:rsidRPr="00EF0925">
        <w:t xml:space="preserve"> The starting material 3,5-di-O-benzoate-2-deoxy-2,2-difluoro-D-ribofuranose 4.3 was purchased commercially as a mixture of both anomers. The hemiacetal mixture was then activated as glycosyl donor by conversion of the free hydroxyl group to a mesyl group in 4.4 with good yield (82%). The glycosyl acceptor was prepared from commercially available 2-13C, 1,3-15N2 cytosine 4.5. Glycosyl acceptor 4.6 was prepared in situ from heating the mixture of cytosine 4.5 and hexamethyldisilane to reflux in presence of ammonium sulfate for 45 minutes. Utilizing the Vorbrueggen glycosylation method, the mesylated glycosyl donor 4.4 was reacted with silylated glycosyl acceptor 4.6 and trimethylsilyl trifluoromethanesulfonate as the activator in refluxing 1,2-dichloroethane for 48 hours. This reaction produced a mixture of protected isotopically labeled gemcitabine 4.7 (76% yield). The glycosylation reaction was presumed to proceed </w:t>
      </w:r>
      <w:r w:rsidRPr="00EF0925">
        <w:lastRenderedPageBreak/>
        <w:t xml:space="preserve">through an SN1 pathway involving an oxonium ion intermediate, which resulted in a mixture of nucleoside anomers with the ratio of α : β being 1.3 : 1 as measured through 1H NMR. </w:t>
      </w:r>
    </w:p>
    <w:p w14:paraId="0719B5D7" w14:textId="306BB5AC" w:rsidR="0045322F" w:rsidRDefault="00EF0925" w:rsidP="00E56A82">
      <w:pPr>
        <w:ind w:firstLine="720"/>
        <w:jc w:val="both"/>
      </w:pPr>
      <w:r w:rsidRPr="00EF0925">
        <w:t>Treating the mixture 4.7 with ammonia in anhydrous methanol effectively removed both benzoyl protecting groups. The anomeric mixture of deprotected nucleoside were successfully separated through semi-preparative reverse-phase HPLC to afford desired β-anomer (4.8 in 34% yield) and α-anomer (4.9 in 4.0% yield). The desired β-nucleoside 4.8 was then converted to the hydrochloride salt of gemcitabine 4.10 in the presence of equimolar HCl in isopropanol. The molecular weight of the stable-isotopically labeled gemcitabine 4.10 was confirmed through high resolution mass spectrometry.</w:t>
      </w:r>
    </w:p>
    <w:p w14:paraId="38791A34" w14:textId="77777777" w:rsidR="000A0187" w:rsidRPr="003F40A8" w:rsidRDefault="000A0187" w:rsidP="00C114CA">
      <w:pPr>
        <w:jc w:val="both"/>
      </w:pPr>
    </w:p>
    <w:p w14:paraId="4F0EB50E" w14:textId="30134C0A" w:rsidR="009C7566" w:rsidRDefault="005339D3" w:rsidP="00F01888">
      <w:pPr>
        <w:pStyle w:val="Heading3"/>
      </w:pPr>
      <w:bookmarkStart w:id="172" w:name="_Toc39868198"/>
      <w:r>
        <w:t>4</w:t>
      </w:r>
      <w:r w:rsidR="009C7566">
        <w:t>.</w:t>
      </w:r>
      <w:r w:rsidR="00655CA3">
        <w:t>2</w:t>
      </w:r>
      <w:r w:rsidR="006949A4">
        <w:t>.</w:t>
      </w:r>
      <w:r w:rsidR="0045322F">
        <w:t>8</w:t>
      </w:r>
      <w:r w:rsidR="009C7566">
        <w:t xml:space="preserve"> Statistical Analysis</w:t>
      </w:r>
      <w:bookmarkEnd w:id="172"/>
      <w:r w:rsidR="009C7566">
        <w:t xml:space="preserve">  </w:t>
      </w:r>
    </w:p>
    <w:p w14:paraId="0244B49A" w14:textId="3D67240B" w:rsidR="009C7566" w:rsidRDefault="009C7566" w:rsidP="00C114CA">
      <w:pPr>
        <w:ind w:firstLine="720"/>
        <w:jc w:val="both"/>
      </w:pPr>
      <w:r w:rsidRPr="00452651">
        <w:t>All results are expressed as mean ± SD with a minimum of three biological replicates. All statistical tests were performed on Graph Pad Prism 8 using a Mann-Whitney Test. The P values reported are as followed: *p ≤ 0.05, **p ≤ 0.01 ***p ≤ 0.001, and ****p ≤ 0.0001.</w:t>
      </w:r>
    </w:p>
    <w:p w14:paraId="38DE9808" w14:textId="4E7B432C" w:rsidR="008757BF" w:rsidRDefault="008757BF" w:rsidP="008757BF">
      <w:pPr>
        <w:jc w:val="both"/>
      </w:pPr>
    </w:p>
    <w:p w14:paraId="69CCC7C6" w14:textId="1FCE9CF6" w:rsidR="008757BF" w:rsidRDefault="008757BF" w:rsidP="008757BF">
      <w:pPr>
        <w:jc w:val="both"/>
      </w:pPr>
    </w:p>
    <w:p w14:paraId="546840AA" w14:textId="59FB2629" w:rsidR="008757BF" w:rsidRDefault="008757BF" w:rsidP="008757BF">
      <w:pPr>
        <w:jc w:val="both"/>
      </w:pPr>
    </w:p>
    <w:p w14:paraId="12F3CADD" w14:textId="77777777" w:rsidR="008757BF" w:rsidRDefault="008757BF" w:rsidP="008757BF">
      <w:pPr>
        <w:jc w:val="both"/>
      </w:pPr>
    </w:p>
    <w:p w14:paraId="3475884E" w14:textId="6B3BAD50" w:rsidR="005339D3" w:rsidRDefault="005339D3" w:rsidP="00C114CA">
      <w:pPr>
        <w:pStyle w:val="Heading2"/>
        <w:jc w:val="both"/>
      </w:pPr>
      <w:bookmarkStart w:id="173" w:name="_Toc39868199"/>
      <w:r>
        <w:lastRenderedPageBreak/>
        <w:t>4.</w:t>
      </w:r>
      <w:r w:rsidR="00655CA3">
        <w:t>3</w:t>
      </w:r>
      <w:r>
        <w:t xml:space="preserve"> Results</w:t>
      </w:r>
      <w:bookmarkEnd w:id="173"/>
      <w:r>
        <w:t xml:space="preserve"> </w:t>
      </w:r>
    </w:p>
    <w:p w14:paraId="7711A3A3" w14:textId="597C1B19" w:rsidR="008757BF" w:rsidRPr="008757BF" w:rsidRDefault="008757BF" w:rsidP="008757BF">
      <w:pPr>
        <w:pStyle w:val="Heading3"/>
      </w:pPr>
      <w:bookmarkStart w:id="174" w:name="_Toc39868200"/>
      <w:r>
        <w:t>4.</w:t>
      </w:r>
      <w:r w:rsidR="00655CA3">
        <w:t>3</w:t>
      </w:r>
      <w:r>
        <w:t>.1 The Integrated Cell Manipulation System</w:t>
      </w:r>
      <w:bookmarkEnd w:id="174"/>
    </w:p>
    <w:p w14:paraId="4A90F773" w14:textId="5CFB0E9E" w:rsidR="000A41F9" w:rsidRPr="000A41F9" w:rsidRDefault="000A41F9" w:rsidP="000A41F9">
      <w:pPr>
        <w:ind w:firstLine="720"/>
        <w:jc w:val="both"/>
        <w:rPr>
          <w:bCs/>
        </w:rPr>
      </w:pPr>
      <w:r w:rsidRPr="000A41F9">
        <w:rPr>
          <w:bCs/>
          <w:noProof/>
        </w:rPr>
        <mc:AlternateContent>
          <mc:Choice Requires="wps">
            <w:drawing>
              <wp:anchor distT="0" distB="0" distL="114300" distR="114300" simplePos="0" relativeHeight="251612160" behindDoc="0" locked="0" layoutInCell="1" allowOverlap="1" wp14:anchorId="7719B3D6" wp14:editId="4A90A755">
                <wp:simplePos x="0" y="0"/>
                <wp:positionH relativeFrom="margin">
                  <wp:posOffset>2540</wp:posOffset>
                </wp:positionH>
                <wp:positionV relativeFrom="page">
                  <wp:posOffset>2858770</wp:posOffset>
                </wp:positionV>
                <wp:extent cx="5365115" cy="6262370"/>
                <wp:effectExtent l="0" t="0" r="2603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115" cy="6262370"/>
                        </a:xfrm>
                        <a:prstGeom prst="rect">
                          <a:avLst/>
                        </a:prstGeom>
                        <a:solidFill>
                          <a:srgbClr val="FFFFFF"/>
                        </a:solidFill>
                        <a:ln w="9525">
                          <a:solidFill>
                            <a:srgbClr val="000000"/>
                          </a:solidFill>
                          <a:miter lim="800000"/>
                          <a:headEnd/>
                          <a:tailEnd/>
                        </a:ln>
                      </wps:spPr>
                      <wps:txbx>
                        <w:txbxContent>
                          <w:p w14:paraId="0B1AF86B" w14:textId="77777777" w:rsidR="00730B8F" w:rsidRDefault="00730B8F" w:rsidP="000A41F9">
                            <w:pPr>
                              <w:keepNext/>
                            </w:pPr>
                            <w:bookmarkStart w:id="175" w:name="_Hlk31381345"/>
                            <w:bookmarkEnd w:id="175"/>
                            <w:r>
                              <w:rPr>
                                <w:noProof/>
                              </w:rPr>
                              <w:drawing>
                                <wp:inline distT="0" distB="0" distL="0" distR="0" wp14:anchorId="42D8CFB0" wp14:editId="12A477B8">
                                  <wp:extent cx="5290004" cy="5246914"/>
                                  <wp:effectExtent l="0" t="0" r="6350" b="0"/>
                                  <wp:docPr id="195" name="Picture 19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07215" cy="5263985"/>
                                          </a:xfrm>
                                          <a:prstGeom prst="rect">
                                            <a:avLst/>
                                          </a:prstGeom>
                                          <a:noFill/>
                                        </pic:spPr>
                                      </pic:pic>
                                    </a:graphicData>
                                  </a:graphic>
                                </wp:inline>
                              </w:drawing>
                            </w:r>
                          </w:p>
                          <w:p w14:paraId="24B8D21A" w14:textId="40118F6A" w:rsidR="00730B8F" w:rsidRPr="00DF10BA" w:rsidRDefault="00730B8F" w:rsidP="000A41F9">
                            <w:pPr>
                              <w:pStyle w:val="Caption"/>
                              <w:rPr>
                                <w:rFonts w:ascii="Times New Roman" w:hAnsi="Times New Roman"/>
                                <w:b w:val="0"/>
                                <w:bCs w:val="0"/>
                                <w:i/>
                                <w:iCs/>
                                <w:szCs w:val="24"/>
                              </w:rPr>
                            </w:pPr>
                            <w:bookmarkStart w:id="176" w:name="_Ref38388056"/>
                            <w:bookmarkStart w:id="177" w:name="_Toc39868234"/>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21</w:t>
                            </w:r>
                            <w:r w:rsidRPr="00E5747D">
                              <w:rPr>
                                <w:rFonts w:ascii="Times New Roman" w:hAnsi="Times New Roman"/>
                                <w:i/>
                                <w:iCs/>
                                <w:szCs w:val="24"/>
                              </w:rPr>
                              <w:fldChar w:fldCharType="end"/>
                            </w:r>
                            <w:bookmarkEnd w:id="176"/>
                            <w:r w:rsidRPr="00E5747D">
                              <w:rPr>
                                <w:rFonts w:ascii="Times New Roman" w:hAnsi="Times New Roman"/>
                                <w:szCs w:val="24"/>
                              </w:rPr>
                              <w:t>:</w:t>
                            </w:r>
                            <w:r w:rsidRPr="00DF10BA">
                              <w:rPr>
                                <w:rFonts w:ascii="Times New Roman" w:hAnsi="Times New Roman"/>
                                <w:b w:val="0"/>
                                <w:bCs w:val="0"/>
                                <w:szCs w:val="24"/>
                              </w:rPr>
                              <w:t xml:space="preserve"> The Single-Probe/ICMP Setup. A) The integrated cell manipulation platform (ICMP) Single-Probe coupled with the Mass Spectrometer. B) Schematic Representation of the Single-Probe coupled with the ICMP. C) 40X magnification of the cell-selection probe with K562 suspended cells.</w:t>
                            </w:r>
                            <w:bookmarkEnd w:id="177"/>
                            <w:r w:rsidRPr="00DF10BA">
                              <w:rPr>
                                <w:rFonts w:ascii="Times New Roman" w:hAnsi="Times New Roman"/>
                                <w:b w:val="0"/>
                                <w:bCs w:val="0"/>
                                <w:szCs w:val="24"/>
                              </w:rPr>
                              <w:t xml:space="preserve"> </w:t>
                            </w:r>
                          </w:p>
                          <w:p w14:paraId="6160EFE2" w14:textId="77777777" w:rsidR="00730B8F" w:rsidRDefault="00730B8F" w:rsidP="000A41F9"/>
                          <w:p w14:paraId="5EDF9308" w14:textId="77777777" w:rsidR="00730B8F" w:rsidRDefault="00730B8F"/>
                          <w:p w14:paraId="310B5500" w14:textId="42188341" w:rsidR="00730B8F" w:rsidRDefault="00730B8F" w:rsidP="000A41F9">
                            <w:pPr>
                              <w:keepNext/>
                            </w:pPr>
                            <w:r>
                              <w:rPr>
                                <w:noProof/>
                              </w:rPr>
                              <w:drawing>
                                <wp:inline distT="0" distB="0" distL="0" distR="0" wp14:anchorId="42D8CFB0" wp14:editId="12A477B8">
                                  <wp:extent cx="5290004" cy="5246914"/>
                                  <wp:effectExtent l="0" t="0" r="6350" b="0"/>
                                  <wp:docPr id="197" name="Picture 197"/>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07215" cy="5263985"/>
                                          </a:xfrm>
                                          <a:prstGeom prst="rect">
                                            <a:avLst/>
                                          </a:prstGeom>
                                          <a:noFill/>
                                        </pic:spPr>
                                      </pic:pic>
                                    </a:graphicData>
                                  </a:graphic>
                                </wp:inline>
                              </w:drawing>
                            </w:r>
                          </w:p>
                          <w:p w14:paraId="1AC8A856" w14:textId="6DE085BB" w:rsidR="00730B8F" w:rsidRPr="00DF10BA" w:rsidRDefault="00730B8F" w:rsidP="000A41F9">
                            <w:pPr>
                              <w:pStyle w:val="Caption"/>
                              <w:rPr>
                                <w:rFonts w:ascii="Times New Roman" w:hAnsi="Times New Roman"/>
                                <w:b w:val="0"/>
                                <w:bCs w:val="0"/>
                                <w:i/>
                                <w:iCs/>
                                <w:szCs w:val="24"/>
                              </w:rPr>
                            </w:pPr>
                            <w:bookmarkStart w:id="178" w:name="_Ref29823032"/>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30</w:t>
                            </w:r>
                            <w:r w:rsidRPr="00E5747D">
                              <w:rPr>
                                <w:rFonts w:ascii="Times New Roman" w:hAnsi="Times New Roman"/>
                                <w:i/>
                                <w:iCs/>
                                <w:szCs w:val="24"/>
                              </w:rPr>
                              <w:fldChar w:fldCharType="end"/>
                            </w:r>
                            <w:bookmarkEnd w:id="178"/>
                            <w:r w:rsidRPr="00E5747D">
                              <w:rPr>
                                <w:rFonts w:ascii="Times New Roman" w:hAnsi="Times New Roman"/>
                                <w:szCs w:val="24"/>
                              </w:rPr>
                              <w:t>:</w:t>
                            </w:r>
                            <w:r w:rsidRPr="00DF10BA">
                              <w:rPr>
                                <w:rFonts w:ascii="Times New Roman" w:hAnsi="Times New Roman"/>
                                <w:b w:val="0"/>
                                <w:bCs w:val="0"/>
                                <w:szCs w:val="24"/>
                              </w:rPr>
                              <w:t xml:space="preserve"> The Single-Probe/ICMP Setup. A) The integrated cell manipulation platform (ICMP) Single-Probe coupled with the Mass Spectrometer. B) Schematic Representation of the Single-Probe coupled with the ICMP. C) 40X magnification of the cell-selection probe with K562 suspended cells. </w:t>
                            </w:r>
                          </w:p>
                          <w:p w14:paraId="1EEE9BB9" w14:textId="77777777" w:rsidR="00730B8F" w:rsidRDefault="00730B8F" w:rsidP="000A41F9"/>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719B3D6" id="_x0000_s1046" type="#_x0000_t202" style="position:absolute;left:0;text-align:left;margin-left:.2pt;margin-top:225.1pt;width:422.45pt;height:493.1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">
                <v:textbox>
                  <w:txbxContent>
                    <w:p w14:paraId="0B1AF86B" w14:textId="77777777" w:rsidR="00730B8F" w:rsidRDefault="00730B8F" w:rsidP="000A41F9">
                      <w:pPr>
                        <w:keepNext/>
                      </w:pPr>
                      <w:bookmarkStart w:id="179" w:name="_Hlk31381345"/>
                      <w:bookmarkEnd w:id="179"/>
                      <w:r>
                        <w:rPr>
                          <w:noProof/>
                        </w:rPr>
                        <w:drawing>
                          <wp:inline distT="0" distB="0" distL="0" distR="0" wp14:anchorId="42D8CFB0" wp14:editId="12A477B8">
                            <wp:extent cx="5290004" cy="5246914"/>
                            <wp:effectExtent l="0" t="0" r="6350" b="0"/>
                            <wp:docPr id="195" name="Picture 19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07215" cy="5263985"/>
                                    </a:xfrm>
                                    <a:prstGeom prst="rect">
                                      <a:avLst/>
                                    </a:prstGeom>
                                    <a:noFill/>
                                  </pic:spPr>
                                </pic:pic>
                              </a:graphicData>
                            </a:graphic>
                          </wp:inline>
                        </w:drawing>
                      </w:r>
                    </w:p>
                    <w:p w14:paraId="24B8D21A" w14:textId="40118F6A" w:rsidR="00730B8F" w:rsidRPr="00DF10BA" w:rsidRDefault="00730B8F" w:rsidP="000A41F9">
                      <w:pPr>
                        <w:pStyle w:val="Caption"/>
                        <w:rPr>
                          <w:rFonts w:ascii="Times New Roman" w:hAnsi="Times New Roman"/>
                          <w:b w:val="0"/>
                          <w:bCs w:val="0"/>
                          <w:i/>
                          <w:iCs/>
                          <w:szCs w:val="24"/>
                        </w:rPr>
                      </w:pPr>
                      <w:bookmarkStart w:id="180" w:name="_Ref38388056"/>
                      <w:bookmarkStart w:id="181" w:name="_Toc39868234"/>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21</w:t>
                      </w:r>
                      <w:r w:rsidRPr="00E5747D">
                        <w:rPr>
                          <w:rFonts w:ascii="Times New Roman" w:hAnsi="Times New Roman"/>
                          <w:i/>
                          <w:iCs/>
                          <w:szCs w:val="24"/>
                        </w:rPr>
                        <w:fldChar w:fldCharType="end"/>
                      </w:r>
                      <w:bookmarkEnd w:id="180"/>
                      <w:r w:rsidRPr="00E5747D">
                        <w:rPr>
                          <w:rFonts w:ascii="Times New Roman" w:hAnsi="Times New Roman"/>
                          <w:szCs w:val="24"/>
                        </w:rPr>
                        <w:t>:</w:t>
                      </w:r>
                      <w:r w:rsidRPr="00DF10BA">
                        <w:rPr>
                          <w:rFonts w:ascii="Times New Roman" w:hAnsi="Times New Roman"/>
                          <w:b w:val="0"/>
                          <w:bCs w:val="0"/>
                          <w:szCs w:val="24"/>
                        </w:rPr>
                        <w:t xml:space="preserve"> The Single-Probe/ICMP Setup. A) The integrated cell manipulation platform (ICMP) Single-Probe coupled with the Mass Spectrometer. B) Schematic Representation of the Single-Probe coupled with the ICMP. C) 40X magnification of the cell-selection probe with K562 suspended cells.</w:t>
                      </w:r>
                      <w:bookmarkEnd w:id="181"/>
                      <w:r w:rsidRPr="00DF10BA">
                        <w:rPr>
                          <w:rFonts w:ascii="Times New Roman" w:hAnsi="Times New Roman"/>
                          <w:b w:val="0"/>
                          <w:bCs w:val="0"/>
                          <w:szCs w:val="24"/>
                        </w:rPr>
                        <w:t xml:space="preserve"> </w:t>
                      </w:r>
                    </w:p>
                    <w:p w14:paraId="6160EFE2" w14:textId="77777777" w:rsidR="00730B8F" w:rsidRDefault="00730B8F" w:rsidP="000A41F9"/>
                    <w:p w14:paraId="5EDF9308" w14:textId="77777777" w:rsidR="00730B8F" w:rsidRDefault="00730B8F"/>
                    <w:p w14:paraId="310B5500" w14:textId="42188341" w:rsidR="00730B8F" w:rsidRDefault="00730B8F" w:rsidP="000A41F9">
                      <w:pPr>
                        <w:keepNext/>
                      </w:pPr>
                      <w:r>
                        <w:rPr>
                          <w:noProof/>
                        </w:rPr>
                        <w:drawing>
                          <wp:inline distT="0" distB="0" distL="0" distR="0" wp14:anchorId="42D8CFB0" wp14:editId="12A477B8">
                            <wp:extent cx="5290004" cy="5246914"/>
                            <wp:effectExtent l="0" t="0" r="6350" b="0"/>
                            <wp:docPr id="197" name="Picture 197"/>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07215" cy="5263985"/>
                                    </a:xfrm>
                                    <a:prstGeom prst="rect">
                                      <a:avLst/>
                                    </a:prstGeom>
                                    <a:noFill/>
                                  </pic:spPr>
                                </pic:pic>
                              </a:graphicData>
                            </a:graphic>
                          </wp:inline>
                        </w:drawing>
                      </w:r>
                    </w:p>
                    <w:p w14:paraId="1AC8A856" w14:textId="6DE085BB" w:rsidR="00730B8F" w:rsidRPr="00DF10BA" w:rsidRDefault="00730B8F" w:rsidP="000A41F9">
                      <w:pPr>
                        <w:pStyle w:val="Caption"/>
                        <w:rPr>
                          <w:rFonts w:ascii="Times New Roman" w:hAnsi="Times New Roman"/>
                          <w:b w:val="0"/>
                          <w:bCs w:val="0"/>
                          <w:i/>
                          <w:iCs/>
                          <w:szCs w:val="24"/>
                        </w:rPr>
                      </w:pPr>
                      <w:bookmarkStart w:id="182" w:name="_Ref29823032"/>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30</w:t>
                      </w:r>
                      <w:r w:rsidRPr="00E5747D">
                        <w:rPr>
                          <w:rFonts w:ascii="Times New Roman" w:hAnsi="Times New Roman"/>
                          <w:i/>
                          <w:iCs/>
                          <w:szCs w:val="24"/>
                        </w:rPr>
                        <w:fldChar w:fldCharType="end"/>
                      </w:r>
                      <w:bookmarkEnd w:id="182"/>
                      <w:r w:rsidRPr="00E5747D">
                        <w:rPr>
                          <w:rFonts w:ascii="Times New Roman" w:hAnsi="Times New Roman"/>
                          <w:szCs w:val="24"/>
                        </w:rPr>
                        <w:t>:</w:t>
                      </w:r>
                      <w:r w:rsidRPr="00DF10BA">
                        <w:rPr>
                          <w:rFonts w:ascii="Times New Roman" w:hAnsi="Times New Roman"/>
                          <w:b w:val="0"/>
                          <w:bCs w:val="0"/>
                          <w:szCs w:val="24"/>
                        </w:rPr>
                        <w:t xml:space="preserve"> The Single-Probe/ICMP Setup. A) The integrated cell manipulation platform (ICMP) Single-Probe coupled with the Mass Spectrometer. B) Schematic Representation of the Single-Probe coupled with the ICMP. C) 40X magnification of the cell-selection probe with K562 suspended cells. </w:t>
                      </w:r>
                    </w:p>
                    <w:p w14:paraId="1EEE9BB9" w14:textId="77777777" w:rsidR="00730B8F" w:rsidRDefault="00730B8F" w:rsidP="000A41F9"/>
                  </w:txbxContent>
                </v:textbox>
                <w10:wrap type="square" anchorx="margin" anchory="page"/>
              </v:shape>
            </w:pict>
          </mc:Fallback>
        </mc:AlternateContent>
      </w:r>
      <w:r w:rsidRPr="000A41F9">
        <w:rPr>
          <w:bCs/>
        </w:rPr>
        <w:t>To analyze intracellular metabolites from single, suspended cells, the previously established Single-probe was coupled to an integrated cell manipulation platform (ICMP) (</w:t>
      </w:r>
      <w:r w:rsidR="00141CD1">
        <w:rPr>
          <w:b/>
          <w:bCs/>
        </w:rPr>
        <w:fldChar w:fldCharType="begin"/>
      </w:r>
      <w:r w:rsidR="00141CD1">
        <w:rPr>
          <w:bCs/>
        </w:rPr>
        <w:instrText xml:space="preserve"> REF _Ref29823032 \h </w:instrText>
      </w:r>
      <w:r w:rsidR="00141CD1">
        <w:rPr>
          <w:b/>
          <w:bCs/>
        </w:rPr>
      </w:r>
      <w:r w:rsidR="00141CD1">
        <w:rPr>
          <w:b/>
          <w:bCs/>
        </w:rPr>
        <w:fldChar w:fldCharType="separate"/>
      </w:r>
      <w:r w:rsidR="00141CD1" w:rsidRPr="00E5747D">
        <w:rPr>
          <w:rFonts w:ascii="Times New Roman" w:hAnsi="Times New Roman"/>
        </w:rPr>
        <w:t xml:space="preserve">Figure </w:t>
      </w:r>
      <w:r w:rsidR="00141CD1">
        <w:rPr>
          <w:rFonts w:ascii="Times New Roman" w:hAnsi="Times New Roman"/>
          <w:noProof/>
        </w:rPr>
        <w:t>21</w:t>
      </w:r>
      <w:r w:rsidR="00141CD1">
        <w:rPr>
          <w:b/>
          <w:bCs/>
        </w:rPr>
        <w:fldChar w:fldCharType="end"/>
      </w:r>
      <w:r w:rsidRPr="000A41F9">
        <w:rPr>
          <w:bCs/>
        </w:rPr>
        <w:t xml:space="preserve">). The ICMP system coupled to the Thermo LTQ Orbitrap XL mass spectrometer allowed the capability of selecting one individual suspended cell and </w:t>
      </w:r>
      <w:r w:rsidRPr="000A41F9">
        <w:rPr>
          <w:bCs/>
        </w:rPr>
        <w:lastRenderedPageBreak/>
        <w:t>analyzing its intracellular metabolites by forming a liquid junction with the Single-probe, which serves as both a sampling and ionization device. The ICMP system consists of two Eppendorf TransferMan micromanipulation devices used to control both the cell selection device (small glass tubing with a small tip size) and the Single-probe. The Single-Probe nano-ESI was centrally aligned with the inlet of the extended ion transfer tube in order to interface with the mass spectrometer. The cell culture is placed on a Thermo Plate system set to 37</w:t>
      </w:r>
      <w:r w:rsidRPr="000A41F9">
        <w:rPr>
          <w:bCs/>
        </w:rPr>
        <w:sym w:font="Symbol" w:char="F0B0"/>
      </w:r>
      <w:r w:rsidRPr="000A41F9">
        <w:rPr>
          <w:bCs/>
        </w:rPr>
        <w:t xml:space="preserve">C on top of an inverted Nikon Eclipse TE300 inverted microscope to visualize the cells. </w:t>
      </w:r>
    </w:p>
    <w:p w14:paraId="3671D9C2" w14:textId="58939F56" w:rsidR="000A41F9" w:rsidRDefault="00DF10BA" w:rsidP="000A41F9">
      <w:pPr>
        <w:ind w:firstLine="720"/>
        <w:jc w:val="both"/>
        <w:rPr>
          <w:bCs/>
        </w:rPr>
      </w:pPr>
      <w:r w:rsidRPr="000A41F9">
        <w:rPr>
          <w:bCs/>
          <w:noProof/>
        </w:rPr>
        <mc:AlternateContent>
          <mc:Choice Requires="wps">
            <w:drawing>
              <wp:anchor distT="0" distB="0" distL="114300" distR="114300" simplePos="0" relativeHeight="251615232" behindDoc="0" locked="0" layoutInCell="1" allowOverlap="1" wp14:anchorId="3103D4C6" wp14:editId="21B4429B">
                <wp:simplePos x="0" y="0"/>
                <wp:positionH relativeFrom="margin">
                  <wp:align>left</wp:align>
                </wp:positionH>
                <wp:positionV relativeFrom="paragraph">
                  <wp:posOffset>865002</wp:posOffset>
                </wp:positionV>
                <wp:extent cx="5368925" cy="4467860"/>
                <wp:effectExtent l="0" t="0" r="22225" b="2794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925" cy="4467860"/>
                        </a:xfrm>
                        <a:prstGeom prst="rect">
                          <a:avLst/>
                        </a:prstGeom>
                        <a:solidFill>
                          <a:srgbClr val="FFFFFF"/>
                        </a:solidFill>
                        <a:ln w="9525">
                          <a:solidFill>
                            <a:srgbClr val="000000"/>
                          </a:solidFill>
                          <a:miter lim="800000"/>
                          <a:headEnd/>
                          <a:tailEnd/>
                        </a:ln>
                      </wps:spPr>
                      <wps:txbx>
                        <w:txbxContent>
                          <w:p w14:paraId="7E5FDF75" w14:textId="77777777" w:rsidR="00730B8F" w:rsidRDefault="00730B8F" w:rsidP="000A41F9">
                            <w:pPr>
                              <w:keepNext/>
                            </w:pPr>
                            <w:r>
                              <w:rPr>
                                <w:noProof/>
                              </w:rPr>
                              <w:drawing>
                                <wp:inline distT="0" distB="0" distL="0" distR="0" wp14:anchorId="6C700209" wp14:editId="7DF8861A">
                                  <wp:extent cx="5228203" cy="2977979"/>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01877" cy="3019944"/>
                                          </a:xfrm>
                                          <a:prstGeom prst="rect">
                                            <a:avLst/>
                                          </a:prstGeom>
                                          <a:noFill/>
                                        </pic:spPr>
                                      </pic:pic>
                                    </a:graphicData>
                                  </a:graphic>
                                </wp:inline>
                              </w:drawing>
                            </w:r>
                          </w:p>
                          <w:p w14:paraId="3F0C881C" w14:textId="5977515D" w:rsidR="00730B8F" w:rsidRPr="00DF10BA" w:rsidRDefault="00730B8F" w:rsidP="000A41F9">
                            <w:pPr>
                              <w:pStyle w:val="Caption"/>
                              <w:rPr>
                                <w:rFonts w:ascii="Times New Roman" w:hAnsi="Times New Roman"/>
                                <w:b w:val="0"/>
                                <w:bCs w:val="0"/>
                                <w:i/>
                                <w:iCs/>
                                <w:szCs w:val="24"/>
                              </w:rPr>
                            </w:pPr>
                            <w:bookmarkStart w:id="183" w:name="_Toc39868235"/>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22</w:t>
                            </w:r>
                            <w:r w:rsidRPr="00E5747D">
                              <w:rPr>
                                <w:rFonts w:ascii="Times New Roman" w:hAnsi="Times New Roman"/>
                                <w:i/>
                                <w:iCs/>
                                <w:szCs w:val="24"/>
                              </w:rPr>
                              <w:fldChar w:fldCharType="end"/>
                            </w:r>
                            <w:r w:rsidRPr="00E5747D">
                              <w:rPr>
                                <w:rFonts w:ascii="Times New Roman" w:hAnsi="Times New Roman"/>
                                <w:szCs w:val="24"/>
                              </w:rPr>
                              <w:t>:</w:t>
                            </w:r>
                            <w:r w:rsidRPr="00DF10BA">
                              <w:rPr>
                                <w:rFonts w:ascii="Times New Roman" w:hAnsi="Times New Roman"/>
                                <w:b w:val="0"/>
                                <w:bCs w:val="0"/>
                                <w:szCs w:val="24"/>
                              </w:rPr>
                              <w:t xml:space="preserve"> Lipid composition of a single, suspended K562 cell.  Zoomed-in mass spectrum from a single cell showing the representative species (m/z 750–850). Structure confirmation of the labeled ions were performed through MS/MS analysis</w:t>
                            </w:r>
                            <w:bookmarkEnd w:id="183"/>
                          </w:p>
                          <w:p w14:paraId="5ECE76B5" w14:textId="77777777" w:rsidR="00730B8F" w:rsidRDefault="00730B8F" w:rsidP="000A41F9"/>
                          <w:p w14:paraId="31ACE41B" w14:textId="77777777" w:rsidR="00730B8F" w:rsidRDefault="00730B8F"/>
                          <w:p w14:paraId="4A918D15" w14:textId="50B7BE4B" w:rsidR="00730B8F" w:rsidRDefault="00730B8F" w:rsidP="000A41F9">
                            <w:pPr>
                              <w:keepNext/>
                            </w:pPr>
                            <w:r>
                              <w:rPr>
                                <w:noProof/>
                              </w:rPr>
                              <w:drawing>
                                <wp:inline distT="0" distB="0" distL="0" distR="0" wp14:anchorId="6C700209" wp14:editId="7DF8861A">
                                  <wp:extent cx="5228203" cy="2977979"/>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01877" cy="3019944"/>
                                          </a:xfrm>
                                          <a:prstGeom prst="rect">
                                            <a:avLst/>
                                          </a:prstGeom>
                                          <a:noFill/>
                                        </pic:spPr>
                                      </pic:pic>
                                    </a:graphicData>
                                  </a:graphic>
                                </wp:inline>
                              </w:drawing>
                            </w:r>
                          </w:p>
                          <w:p w14:paraId="4CDE4428" w14:textId="1404B4A9" w:rsidR="00730B8F" w:rsidRPr="00DF10BA" w:rsidRDefault="00730B8F" w:rsidP="000A41F9">
                            <w:pPr>
                              <w:pStyle w:val="Caption"/>
                              <w:rPr>
                                <w:rFonts w:ascii="Times New Roman" w:hAnsi="Times New Roman"/>
                                <w:b w:val="0"/>
                                <w:bCs w:val="0"/>
                                <w:i/>
                                <w:iCs/>
                                <w:szCs w:val="24"/>
                              </w:rPr>
                            </w:pPr>
                            <w:bookmarkStart w:id="184" w:name="_Ref29823114"/>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32</w:t>
                            </w:r>
                            <w:r w:rsidRPr="00E5747D">
                              <w:rPr>
                                <w:rFonts w:ascii="Times New Roman" w:hAnsi="Times New Roman"/>
                                <w:i/>
                                <w:iCs/>
                                <w:szCs w:val="24"/>
                              </w:rPr>
                              <w:fldChar w:fldCharType="end"/>
                            </w:r>
                            <w:bookmarkEnd w:id="184"/>
                            <w:r w:rsidRPr="00E5747D">
                              <w:rPr>
                                <w:rFonts w:ascii="Times New Roman" w:hAnsi="Times New Roman"/>
                                <w:szCs w:val="24"/>
                              </w:rPr>
                              <w:t>:</w:t>
                            </w:r>
                            <w:r w:rsidRPr="00DF10BA">
                              <w:rPr>
                                <w:rFonts w:ascii="Times New Roman" w:hAnsi="Times New Roman"/>
                                <w:b w:val="0"/>
                                <w:bCs w:val="0"/>
                                <w:szCs w:val="24"/>
                              </w:rPr>
                              <w:t xml:space="preserve"> Lipid composition of a single, suspended K562 cell.  Zoomed-in mass spectrum from a single cell showing the representative species (m/z 750–850). Structure confirmation of the labeled ions were performed through MS/MS analysis</w:t>
                            </w:r>
                          </w:p>
                          <w:p w14:paraId="05E99118" w14:textId="77777777" w:rsidR="00730B8F" w:rsidRDefault="00730B8F" w:rsidP="000A41F9"/>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103D4C6" id="_x0000_s1047" type="#_x0000_t202" style="position:absolute;left:0;text-align:left;margin-left:0;margin-top:68.1pt;width:422.75pt;height:351.8pt;z-index:251615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">
                <v:textbox>
                  <w:txbxContent>
                    <w:p w14:paraId="7E5FDF75" w14:textId="77777777" w:rsidR="00730B8F" w:rsidRDefault="00730B8F" w:rsidP="000A41F9">
                      <w:pPr>
                        <w:keepNext/>
                      </w:pPr>
                      <w:r>
                        <w:rPr>
                          <w:noProof/>
                        </w:rPr>
                        <w:drawing>
                          <wp:inline distT="0" distB="0" distL="0" distR="0" wp14:anchorId="6C700209" wp14:editId="7DF8861A">
                            <wp:extent cx="5228203" cy="2977979"/>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01877" cy="3019944"/>
                                    </a:xfrm>
                                    <a:prstGeom prst="rect">
                                      <a:avLst/>
                                    </a:prstGeom>
                                    <a:noFill/>
                                  </pic:spPr>
                                </pic:pic>
                              </a:graphicData>
                            </a:graphic>
                          </wp:inline>
                        </w:drawing>
                      </w:r>
                    </w:p>
                    <w:p w14:paraId="3F0C881C" w14:textId="5977515D" w:rsidR="00730B8F" w:rsidRPr="00DF10BA" w:rsidRDefault="00730B8F" w:rsidP="000A41F9">
                      <w:pPr>
                        <w:pStyle w:val="Caption"/>
                        <w:rPr>
                          <w:rFonts w:ascii="Times New Roman" w:hAnsi="Times New Roman"/>
                          <w:b w:val="0"/>
                          <w:bCs w:val="0"/>
                          <w:i/>
                          <w:iCs/>
                          <w:szCs w:val="24"/>
                        </w:rPr>
                      </w:pPr>
                      <w:bookmarkStart w:id="185" w:name="_Toc39868235"/>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22</w:t>
                      </w:r>
                      <w:r w:rsidRPr="00E5747D">
                        <w:rPr>
                          <w:rFonts w:ascii="Times New Roman" w:hAnsi="Times New Roman"/>
                          <w:i/>
                          <w:iCs/>
                          <w:szCs w:val="24"/>
                        </w:rPr>
                        <w:fldChar w:fldCharType="end"/>
                      </w:r>
                      <w:r w:rsidRPr="00E5747D">
                        <w:rPr>
                          <w:rFonts w:ascii="Times New Roman" w:hAnsi="Times New Roman"/>
                          <w:szCs w:val="24"/>
                        </w:rPr>
                        <w:t>:</w:t>
                      </w:r>
                      <w:r w:rsidRPr="00DF10BA">
                        <w:rPr>
                          <w:rFonts w:ascii="Times New Roman" w:hAnsi="Times New Roman"/>
                          <w:b w:val="0"/>
                          <w:bCs w:val="0"/>
                          <w:szCs w:val="24"/>
                        </w:rPr>
                        <w:t xml:space="preserve"> Lipid composition of a single, suspended K562 cell.  Zoomed-in mass spectrum from a single cell showing the representative species (m/z 750–850). Structure confirmation of the labeled ions were performed through MS/MS analysis</w:t>
                      </w:r>
                      <w:bookmarkEnd w:id="185"/>
                    </w:p>
                    <w:p w14:paraId="5ECE76B5" w14:textId="77777777" w:rsidR="00730B8F" w:rsidRDefault="00730B8F" w:rsidP="000A41F9"/>
                    <w:p w14:paraId="31ACE41B" w14:textId="77777777" w:rsidR="00730B8F" w:rsidRDefault="00730B8F"/>
                    <w:p w14:paraId="4A918D15" w14:textId="50B7BE4B" w:rsidR="00730B8F" w:rsidRDefault="00730B8F" w:rsidP="000A41F9">
                      <w:pPr>
                        <w:keepNext/>
                      </w:pPr>
                      <w:r>
                        <w:rPr>
                          <w:noProof/>
                        </w:rPr>
                        <w:drawing>
                          <wp:inline distT="0" distB="0" distL="0" distR="0" wp14:anchorId="6C700209" wp14:editId="7DF8861A">
                            <wp:extent cx="5228203" cy="2977979"/>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01877" cy="3019944"/>
                                    </a:xfrm>
                                    <a:prstGeom prst="rect">
                                      <a:avLst/>
                                    </a:prstGeom>
                                    <a:noFill/>
                                  </pic:spPr>
                                </pic:pic>
                              </a:graphicData>
                            </a:graphic>
                          </wp:inline>
                        </w:drawing>
                      </w:r>
                    </w:p>
                    <w:p w14:paraId="4CDE4428" w14:textId="1404B4A9" w:rsidR="00730B8F" w:rsidRPr="00DF10BA" w:rsidRDefault="00730B8F" w:rsidP="000A41F9">
                      <w:pPr>
                        <w:pStyle w:val="Caption"/>
                        <w:rPr>
                          <w:rFonts w:ascii="Times New Roman" w:hAnsi="Times New Roman"/>
                          <w:b w:val="0"/>
                          <w:bCs w:val="0"/>
                          <w:i/>
                          <w:iCs/>
                          <w:szCs w:val="24"/>
                        </w:rPr>
                      </w:pPr>
                      <w:bookmarkStart w:id="186" w:name="_Ref29823114"/>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32</w:t>
                      </w:r>
                      <w:r w:rsidRPr="00E5747D">
                        <w:rPr>
                          <w:rFonts w:ascii="Times New Roman" w:hAnsi="Times New Roman"/>
                          <w:i/>
                          <w:iCs/>
                          <w:szCs w:val="24"/>
                        </w:rPr>
                        <w:fldChar w:fldCharType="end"/>
                      </w:r>
                      <w:bookmarkEnd w:id="186"/>
                      <w:r w:rsidRPr="00E5747D">
                        <w:rPr>
                          <w:rFonts w:ascii="Times New Roman" w:hAnsi="Times New Roman"/>
                          <w:szCs w:val="24"/>
                        </w:rPr>
                        <w:t>:</w:t>
                      </w:r>
                      <w:r w:rsidRPr="00DF10BA">
                        <w:rPr>
                          <w:rFonts w:ascii="Times New Roman" w:hAnsi="Times New Roman"/>
                          <w:b w:val="0"/>
                          <w:bCs w:val="0"/>
                          <w:szCs w:val="24"/>
                        </w:rPr>
                        <w:t xml:space="preserve"> Lipid composition of a single, suspended K562 cell.  Zoomed-in mass spectrum from a single cell showing the representative species (m/z 750–850). Structure confirmation of the labeled ions were performed through MS/MS analysis</w:t>
                      </w:r>
                    </w:p>
                    <w:p w14:paraId="05E99118" w14:textId="77777777" w:rsidR="00730B8F" w:rsidRDefault="00730B8F" w:rsidP="000A41F9"/>
                  </w:txbxContent>
                </v:textbox>
                <w10:wrap type="square" anchorx="margin"/>
              </v:shape>
            </w:pict>
          </mc:Fallback>
        </mc:AlternateContent>
      </w:r>
      <w:r w:rsidR="000A41F9" w:rsidRPr="000A41F9">
        <w:rPr>
          <w:bCs/>
        </w:rPr>
        <w:t xml:space="preserve">To operate the Single-probe/ ICMP system, the suspended cell culture (3 mL) is placed in a lid of a 35x12-mm petri dish. Cells were evaluated using the inverted </w:t>
      </w:r>
      <w:r w:rsidRPr="000A41F9">
        <w:rPr>
          <w:bCs/>
          <w:noProof/>
        </w:rPr>
        <w:lastRenderedPageBreak/>
        <mc:AlternateContent>
          <mc:Choice Requires="wps">
            <w:drawing>
              <wp:anchor distT="0" distB="0" distL="114300" distR="114300" simplePos="0" relativeHeight="251618304" behindDoc="0" locked="0" layoutInCell="1" allowOverlap="1" wp14:anchorId="4236DAE4" wp14:editId="3F5F9FAD">
                <wp:simplePos x="0" y="0"/>
                <wp:positionH relativeFrom="margin">
                  <wp:posOffset>-11611</wp:posOffset>
                </wp:positionH>
                <wp:positionV relativeFrom="page">
                  <wp:posOffset>914400</wp:posOffset>
                </wp:positionV>
                <wp:extent cx="5382260" cy="6632575"/>
                <wp:effectExtent l="0" t="0" r="27940" b="158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260" cy="6633029"/>
                        </a:xfrm>
                        <a:prstGeom prst="rect">
                          <a:avLst/>
                        </a:prstGeom>
                        <a:solidFill>
                          <a:srgbClr val="FFFFFF"/>
                        </a:solidFill>
                        <a:ln w="9525">
                          <a:solidFill>
                            <a:srgbClr val="000000"/>
                          </a:solidFill>
                          <a:miter lim="800000"/>
                          <a:headEnd/>
                          <a:tailEnd/>
                        </a:ln>
                      </wps:spPr>
                      <wps:txbx>
                        <w:txbxContent>
                          <w:p w14:paraId="64A256A8" w14:textId="77777777" w:rsidR="00730B8F" w:rsidRDefault="00730B8F" w:rsidP="000A41F9">
                            <w:pPr>
                              <w:keepNext/>
                            </w:pPr>
                            <w:r>
                              <w:rPr>
                                <w:noProof/>
                              </w:rPr>
                              <w:drawing>
                                <wp:inline distT="0" distB="0" distL="0" distR="0" wp14:anchorId="47C5905B" wp14:editId="3B236A24">
                                  <wp:extent cx="5282183" cy="5301049"/>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28521" cy="5347553"/>
                                          </a:xfrm>
                                          <a:prstGeom prst="rect">
                                            <a:avLst/>
                                          </a:prstGeom>
                                          <a:noFill/>
                                        </pic:spPr>
                                      </pic:pic>
                                    </a:graphicData>
                                  </a:graphic>
                                </wp:inline>
                              </w:drawing>
                            </w:r>
                          </w:p>
                          <w:p w14:paraId="42E34E29" w14:textId="13937D61" w:rsidR="00730B8F" w:rsidRPr="00DF10BA" w:rsidRDefault="00730B8F" w:rsidP="000A41F9">
                            <w:pPr>
                              <w:pStyle w:val="Caption"/>
                              <w:rPr>
                                <w:rFonts w:ascii="Times New Roman" w:hAnsi="Times New Roman"/>
                                <w:b w:val="0"/>
                                <w:bCs w:val="0"/>
                                <w:i/>
                                <w:iCs/>
                                <w:szCs w:val="24"/>
                              </w:rPr>
                            </w:pPr>
                            <w:bookmarkStart w:id="187" w:name="_Toc39868236"/>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23</w:t>
                            </w:r>
                            <w:r w:rsidRPr="00E5747D">
                              <w:rPr>
                                <w:rFonts w:ascii="Times New Roman" w:hAnsi="Times New Roman"/>
                                <w:i/>
                                <w:iCs/>
                                <w:szCs w:val="24"/>
                              </w:rPr>
                              <w:fldChar w:fldCharType="end"/>
                            </w:r>
                            <w:r w:rsidRPr="00E5747D">
                              <w:rPr>
                                <w:rFonts w:ascii="Times New Roman" w:hAnsi="Times New Roman"/>
                                <w:szCs w:val="24"/>
                              </w:rPr>
                              <w:t>:</w:t>
                            </w:r>
                            <w:r w:rsidRPr="00DF10BA">
                              <w:rPr>
                                <w:rFonts w:ascii="Times New Roman" w:hAnsi="Times New Roman"/>
                                <w:b w:val="0"/>
                                <w:bCs w:val="0"/>
                                <w:szCs w:val="24"/>
                              </w:rPr>
                              <w:t xml:space="preserve"> Mass Spectrum of Taxol from a single K562 cell. Zoomed-in mass spectra showing molecular profiles (m/z 800─900) for (A) untreated and (B) treated (100 nM Taxol for 24 hours) single K562 cells.</w:t>
                            </w:r>
                            <w:bookmarkEnd w:id="187"/>
                          </w:p>
                          <w:p w14:paraId="253A60A6" w14:textId="77777777" w:rsidR="00730B8F" w:rsidRDefault="00730B8F" w:rsidP="000A41F9"/>
                          <w:p w14:paraId="4B9A8D68" w14:textId="77777777" w:rsidR="00730B8F" w:rsidRDefault="00730B8F" w:rsidP="000A41F9"/>
                          <w:p w14:paraId="032FA51A" w14:textId="77777777" w:rsidR="00730B8F" w:rsidRDefault="00730B8F"/>
                          <w:p w14:paraId="5F7BEE3A" w14:textId="55DD9383" w:rsidR="00730B8F" w:rsidRDefault="00730B8F" w:rsidP="000A41F9">
                            <w:pPr>
                              <w:keepNext/>
                            </w:pPr>
                            <w:r>
                              <w:rPr>
                                <w:noProof/>
                              </w:rPr>
                              <w:drawing>
                                <wp:inline distT="0" distB="0" distL="0" distR="0" wp14:anchorId="47C5905B" wp14:editId="3B236A24">
                                  <wp:extent cx="5282183" cy="5301049"/>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28521" cy="5347553"/>
                                          </a:xfrm>
                                          <a:prstGeom prst="rect">
                                            <a:avLst/>
                                          </a:prstGeom>
                                          <a:noFill/>
                                        </pic:spPr>
                                      </pic:pic>
                                    </a:graphicData>
                                  </a:graphic>
                                </wp:inline>
                              </w:drawing>
                            </w:r>
                          </w:p>
                          <w:p w14:paraId="306F2181" w14:textId="56EE0E2C" w:rsidR="00730B8F" w:rsidRPr="00DF10BA" w:rsidRDefault="00730B8F" w:rsidP="000A41F9">
                            <w:pPr>
                              <w:pStyle w:val="Caption"/>
                              <w:rPr>
                                <w:rFonts w:ascii="Times New Roman" w:hAnsi="Times New Roman"/>
                                <w:b w:val="0"/>
                                <w:bCs w:val="0"/>
                                <w:i/>
                                <w:iCs/>
                                <w:szCs w:val="24"/>
                              </w:rPr>
                            </w:pPr>
                            <w:bookmarkStart w:id="188" w:name="_Ref30078901"/>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34</w:t>
                            </w:r>
                            <w:r w:rsidRPr="00E5747D">
                              <w:rPr>
                                <w:rFonts w:ascii="Times New Roman" w:hAnsi="Times New Roman"/>
                                <w:i/>
                                <w:iCs/>
                                <w:szCs w:val="24"/>
                              </w:rPr>
                              <w:fldChar w:fldCharType="end"/>
                            </w:r>
                            <w:bookmarkEnd w:id="188"/>
                            <w:r w:rsidRPr="00E5747D">
                              <w:rPr>
                                <w:rFonts w:ascii="Times New Roman" w:hAnsi="Times New Roman"/>
                                <w:szCs w:val="24"/>
                              </w:rPr>
                              <w:t>:</w:t>
                            </w:r>
                            <w:r w:rsidRPr="00DF10BA">
                              <w:rPr>
                                <w:rFonts w:ascii="Times New Roman" w:hAnsi="Times New Roman"/>
                                <w:b w:val="0"/>
                                <w:bCs w:val="0"/>
                                <w:szCs w:val="24"/>
                              </w:rPr>
                              <w:t xml:space="preserve"> Mass Spectrum of Taxol from a single K562 cell. Zoomed-in mass spectra showing molecular profiles (m/z 800─900) for (A) untreated and (B) treated (100 nM Taxol for 24 hours) single K562 cells.</w:t>
                            </w:r>
                          </w:p>
                          <w:p w14:paraId="32652410" w14:textId="77777777" w:rsidR="00730B8F" w:rsidRDefault="00730B8F" w:rsidP="000A41F9"/>
                          <w:p w14:paraId="6D253740" w14:textId="77777777" w:rsidR="00730B8F" w:rsidRDefault="00730B8F" w:rsidP="000A41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6DAE4" id="_x0000_s1048" type="#_x0000_t202" style="position:absolute;left:0;text-align:left;margin-left:-.9pt;margin-top:1in;width:423.8pt;height:522.2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">
                <v:textbox>
                  <w:txbxContent>
                    <w:p w14:paraId="64A256A8" w14:textId="77777777" w:rsidR="00730B8F" w:rsidRDefault="00730B8F" w:rsidP="000A41F9">
                      <w:pPr>
                        <w:keepNext/>
                      </w:pPr>
                      <w:r>
                        <w:rPr>
                          <w:noProof/>
                        </w:rPr>
                        <w:drawing>
                          <wp:inline distT="0" distB="0" distL="0" distR="0" wp14:anchorId="47C5905B" wp14:editId="3B236A24">
                            <wp:extent cx="5282183" cy="5301049"/>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28521" cy="5347553"/>
                                    </a:xfrm>
                                    <a:prstGeom prst="rect">
                                      <a:avLst/>
                                    </a:prstGeom>
                                    <a:noFill/>
                                  </pic:spPr>
                                </pic:pic>
                              </a:graphicData>
                            </a:graphic>
                          </wp:inline>
                        </w:drawing>
                      </w:r>
                    </w:p>
                    <w:p w14:paraId="42E34E29" w14:textId="13937D61" w:rsidR="00730B8F" w:rsidRPr="00DF10BA" w:rsidRDefault="00730B8F" w:rsidP="000A41F9">
                      <w:pPr>
                        <w:pStyle w:val="Caption"/>
                        <w:rPr>
                          <w:rFonts w:ascii="Times New Roman" w:hAnsi="Times New Roman"/>
                          <w:b w:val="0"/>
                          <w:bCs w:val="0"/>
                          <w:i/>
                          <w:iCs/>
                          <w:szCs w:val="24"/>
                        </w:rPr>
                      </w:pPr>
                      <w:bookmarkStart w:id="189" w:name="_Toc39868236"/>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23</w:t>
                      </w:r>
                      <w:r w:rsidRPr="00E5747D">
                        <w:rPr>
                          <w:rFonts w:ascii="Times New Roman" w:hAnsi="Times New Roman"/>
                          <w:i/>
                          <w:iCs/>
                          <w:szCs w:val="24"/>
                        </w:rPr>
                        <w:fldChar w:fldCharType="end"/>
                      </w:r>
                      <w:r w:rsidRPr="00E5747D">
                        <w:rPr>
                          <w:rFonts w:ascii="Times New Roman" w:hAnsi="Times New Roman"/>
                          <w:szCs w:val="24"/>
                        </w:rPr>
                        <w:t>:</w:t>
                      </w:r>
                      <w:r w:rsidRPr="00DF10BA">
                        <w:rPr>
                          <w:rFonts w:ascii="Times New Roman" w:hAnsi="Times New Roman"/>
                          <w:b w:val="0"/>
                          <w:bCs w:val="0"/>
                          <w:szCs w:val="24"/>
                        </w:rPr>
                        <w:t xml:space="preserve"> Mass Spectrum of Taxol from a single K562 cell. Zoomed-in mass spectra showing molecular profiles (m/z 800─900) for (A) untreated and (B) treated (100 nM Taxol for 24 hours) single K562 cells.</w:t>
                      </w:r>
                      <w:bookmarkEnd w:id="189"/>
                    </w:p>
                    <w:p w14:paraId="253A60A6" w14:textId="77777777" w:rsidR="00730B8F" w:rsidRDefault="00730B8F" w:rsidP="000A41F9"/>
                    <w:p w14:paraId="4B9A8D68" w14:textId="77777777" w:rsidR="00730B8F" w:rsidRDefault="00730B8F" w:rsidP="000A41F9"/>
                    <w:p w14:paraId="032FA51A" w14:textId="77777777" w:rsidR="00730B8F" w:rsidRDefault="00730B8F"/>
                    <w:p w14:paraId="5F7BEE3A" w14:textId="55DD9383" w:rsidR="00730B8F" w:rsidRDefault="00730B8F" w:rsidP="000A41F9">
                      <w:pPr>
                        <w:keepNext/>
                      </w:pPr>
                      <w:r>
                        <w:rPr>
                          <w:noProof/>
                        </w:rPr>
                        <w:drawing>
                          <wp:inline distT="0" distB="0" distL="0" distR="0" wp14:anchorId="47C5905B" wp14:editId="3B236A24">
                            <wp:extent cx="5282183" cy="5301049"/>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28521" cy="5347553"/>
                                    </a:xfrm>
                                    <a:prstGeom prst="rect">
                                      <a:avLst/>
                                    </a:prstGeom>
                                    <a:noFill/>
                                  </pic:spPr>
                                </pic:pic>
                              </a:graphicData>
                            </a:graphic>
                          </wp:inline>
                        </w:drawing>
                      </w:r>
                    </w:p>
                    <w:p w14:paraId="306F2181" w14:textId="56EE0E2C" w:rsidR="00730B8F" w:rsidRPr="00DF10BA" w:rsidRDefault="00730B8F" w:rsidP="000A41F9">
                      <w:pPr>
                        <w:pStyle w:val="Caption"/>
                        <w:rPr>
                          <w:rFonts w:ascii="Times New Roman" w:hAnsi="Times New Roman"/>
                          <w:b w:val="0"/>
                          <w:bCs w:val="0"/>
                          <w:i/>
                          <w:iCs/>
                          <w:szCs w:val="24"/>
                        </w:rPr>
                      </w:pPr>
                      <w:bookmarkStart w:id="190" w:name="_Ref30078901"/>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34</w:t>
                      </w:r>
                      <w:r w:rsidRPr="00E5747D">
                        <w:rPr>
                          <w:rFonts w:ascii="Times New Roman" w:hAnsi="Times New Roman"/>
                          <w:i/>
                          <w:iCs/>
                          <w:szCs w:val="24"/>
                        </w:rPr>
                        <w:fldChar w:fldCharType="end"/>
                      </w:r>
                      <w:bookmarkEnd w:id="190"/>
                      <w:r w:rsidRPr="00E5747D">
                        <w:rPr>
                          <w:rFonts w:ascii="Times New Roman" w:hAnsi="Times New Roman"/>
                          <w:szCs w:val="24"/>
                        </w:rPr>
                        <w:t>:</w:t>
                      </w:r>
                      <w:r w:rsidRPr="00DF10BA">
                        <w:rPr>
                          <w:rFonts w:ascii="Times New Roman" w:hAnsi="Times New Roman"/>
                          <w:b w:val="0"/>
                          <w:bCs w:val="0"/>
                          <w:szCs w:val="24"/>
                        </w:rPr>
                        <w:t xml:space="preserve"> Mass Spectrum of Taxol from a single K562 cell. Zoomed-in mass spectra showing molecular profiles (m/z 800─900) for (A) untreated and (B) treated (100 nM Taxol for 24 hours) single K562 cells.</w:t>
                      </w:r>
                    </w:p>
                    <w:p w14:paraId="32652410" w14:textId="77777777" w:rsidR="00730B8F" w:rsidRDefault="00730B8F" w:rsidP="000A41F9"/>
                    <w:p w14:paraId="6D253740" w14:textId="77777777" w:rsidR="00730B8F" w:rsidRDefault="00730B8F" w:rsidP="000A41F9"/>
                  </w:txbxContent>
                </v:textbox>
                <w10:wrap type="square" anchorx="margin" anchory="page"/>
              </v:shape>
            </w:pict>
          </mc:Fallback>
        </mc:AlternateContent>
      </w:r>
      <w:r w:rsidR="000A41F9" w:rsidRPr="000A41F9">
        <w:rPr>
          <w:bCs/>
        </w:rPr>
        <w:t>microscope. Using the TransferMan, the cell-selection probe was moved to a cell of interest. A gentle suction was applied using the CellTram Vario filled with mineral oil. A digital stereomicroscope was used to visualize the transfer of the cell from this culture to the Single-Probe. Once a junction was formed, the cell undergoes a micro-lysis and the cellular contents were carried by a continuous flow of acetonitrile solvent in the Single-</w:t>
      </w:r>
      <w:r w:rsidR="000C4204" w:rsidRPr="000A41F9">
        <w:rPr>
          <w:bCs/>
          <w:noProof/>
        </w:rPr>
        <w:lastRenderedPageBreak/>
        <mc:AlternateContent>
          <mc:Choice Requires="wps">
            <w:drawing>
              <wp:anchor distT="0" distB="0" distL="114300" distR="114300" simplePos="0" relativeHeight="251624448" behindDoc="0" locked="0" layoutInCell="1" allowOverlap="1" wp14:anchorId="14AB7444" wp14:editId="29F1A578">
                <wp:simplePos x="0" y="0"/>
                <wp:positionH relativeFrom="margin">
                  <wp:align>left</wp:align>
                </wp:positionH>
                <wp:positionV relativeFrom="page">
                  <wp:posOffset>957580</wp:posOffset>
                </wp:positionV>
                <wp:extent cx="5369560" cy="7459980"/>
                <wp:effectExtent l="0" t="0" r="21590" b="2667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9560" cy="7460343"/>
                        </a:xfrm>
                        <a:prstGeom prst="rect">
                          <a:avLst/>
                        </a:prstGeom>
                        <a:solidFill>
                          <a:srgbClr val="FFFFFF"/>
                        </a:solidFill>
                        <a:ln w="9525">
                          <a:solidFill>
                            <a:srgbClr val="000000"/>
                          </a:solidFill>
                          <a:miter lim="800000"/>
                          <a:headEnd/>
                          <a:tailEnd/>
                        </a:ln>
                      </wps:spPr>
                      <wps:txbx>
                        <w:txbxContent>
                          <w:p w14:paraId="673A2B7D" w14:textId="77777777" w:rsidR="00730B8F" w:rsidRDefault="00730B8F" w:rsidP="000A41F9">
                            <w:pPr>
                              <w:keepNext/>
                            </w:pPr>
                            <w:r>
                              <w:rPr>
                                <w:noProof/>
                              </w:rPr>
                              <w:drawing>
                                <wp:inline distT="0" distB="0" distL="0" distR="0" wp14:anchorId="25D6D1B7" wp14:editId="3F3457ED">
                                  <wp:extent cx="5143500" cy="647953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62374" cy="6503306"/>
                                          </a:xfrm>
                                          <a:prstGeom prst="rect">
                                            <a:avLst/>
                                          </a:prstGeom>
                                          <a:noFill/>
                                        </pic:spPr>
                                      </pic:pic>
                                    </a:graphicData>
                                  </a:graphic>
                                </wp:inline>
                              </w:drawing>
                            </w:r>
                          </w:p>
                          <w:p w14:paraId="3DA33825" w14:textId="05A29AB6" w:rsidR="00730B8F" w:rsidRPr="00DF10BA" w:rsidRDefault="00730B8F" w:rsidP="000A41F9">
                            <w:pPr>
                              <w:pStyle w:val="Caption"/>
                              <w:rPr>
                                <w:rFonts w:ascii="Times New Roman" w:hAnsi="Times New Roman"/>
                                <w:b w:val="0"/>
                                <w:bCs w:val="0"/>
                                <w:i/>
                                <w:iCs/>
                                <w:szCs w:val="24"/>
                              </w:rPr>
                            </w:pPr>
                            <w:bookmarkStart w:id="191" w:name="_Toc39868237"/>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24</w:t>
                            </w:r>
                            <w:r w:rsidRPr="00E5747D">
                              <w:rPr>
                                <w:rFonts w:ascii="Times New Roman" w:hAnsi="Times New Roman"/>
                                <w:i/>
                                <w:iCs/>
                                <w:szCs w:val="24"/>
                              </w:rPr>
                              <w:fldChar w:fldCharType="end"/>
                            </w:r>
                            <w:r w:rsidRPr="00DF10BA">
                              <w:rPr>
                                <w:rFonts w:ascii="Times New Roman" w:hAnsi="Times New Roman"/>
                                <w:b w:val="0"/>
                                <w:bCs w:val="0"/>
                                <w:szCs w:val="24"/>
                              </w:rPr>
                              <w:t>: Mass spectra obtained from individual K562 cells. (A) Spectrum from a single cell treated with 1 µM gemcitabine for 1 hr. (B) Spectrum for a cell exposed to 1 µM Taxol for 1 hr. (C) An individual cell treated with 100 nM OSW-1 for 4 hr.</w:t>
                            </w:r>
                            <w:bookmarkEnd w:id="191"/>
                          </w:p>
                          <w:p w14:paraId="39ADC633" w14:textId="77777777" w:rsidR="00730B8F" w:rsidRDefault="00730B8F" w:rsidP="000A41F9">
                            <w:pPr>
                              <w:keepNext/>
                            </w:pPr>
                          </w:p>
                          <w:p w14:paraId="5A995570" w14:textId="77777777" w:rsidR="00730B8F" w:rsidRDefault="00730B8F" w:rsidP="000A41F9"/>
                          <w:p w14:paraId="476F8B65" w14:textId="77777777" w:rsidR="00730B8F" w:rsidRDefault="00730B8F"/>
                          <w:p w14:paraId="05EF78E3" w14:textId="1D437623" w:rsidR="00730B8F" w:rsidRDefault="00730B8F" w:rsidP="000A41F9">
                            <w:pPr>
                              <w:keepNext/>
                            </w:pPr>
                            <w:r>
                              <w:rPr>
                                <w:noProof/>
                              </w:rPr>
                              <w:drawing>
                                <wp:inline distT="0" distB="0" distL="0" distR="0" wp14:anchorId="25D6D1B7" wp14:editId="3F3457ED">
                                  <wp:extent cx="5143500" cy="647953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62374" cy="6503306"/>
                                          </a:xfrm>
                                          <a:prstGeom prst="rect">
                                            <a:avLst/>
                                          </a:prstGeom>
                                          <a:noFill/>
                                        </pic:spPr>
                                      </pic:pic>
                                    </a:graphicData>
                                  </a:graphic>
                                </wp:inline>
                              </w:drawing>
                            </w:r>
                          </w:p>
                          <w:p w14:paraId="4EFD5C14" w14:textId="2419F9C7" w:rsidR="00730B8F" w:rsidRPr="00DF10BA" w:rsidRDefault="00730B8F" w:rsidP="000A41F9">
                            <w:pPr>
                              <w:pStyle w:val="Caption"/>
                              <w:rPr>
                                <w:rFonts w:ascii="Times New Roman" w:hAnsi="Times New Roman"/>
                                <w:b w:val="0"/>
                                <w:bCs w:val="0"/>
                                <w:i/>
                                <w:iCs/>
                                <w:szCs w:val="24"/>
                              </w:rPr>
                            </w:pPr>
                            <w:bookmarkStart w:id="192" w:name="_Ref30078925"/>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36</w:t>
                            </w:r>
                            <w:r w:rsidRPr="00E5747D">
                              <w:rPr>
                                <w:rFonts w:ascii="Times New Roman" w:hAnsi="Times New Roman"/>
                                <w:i/>
                                <w:iCs/>
                                <w:szCs w:val="24"/>
                              </w:rPr>
                              <w:fldChar w:fldCharType="end"/>
                            </w:r>
                            <w:bookmarkEnd w:id="192"/>
                            <w:r w:rsidRPr="00DF10BA">
                              <w:rPr>
                                <w:rFonts w:ascii="Times New Roman" w:hAnsi="Times New Roman"/>
                                <w:b w:val="0"/>
                                <w:bCs w:val="0"/>
                                <w:szCs w:val="24"/>
                              </w:rPr>
                              <w:t>: Mass spectra obtained from individual K562 cells. (A) Spectrum from a single cell treated with 1 µM gemcitabine for 1 hr. (B) Spectrum for a cell exposed to 1 µM Taxol for 1 hr. (C) An individual cell treated with 100 nM OSW-1 for 4 hr.</w:t>
                            </w:r>
                          </w:p>
                          <w:p w14:paraId="68C258C4" w14:textId="77777777" w:rsidR="00730B8F" w:rsidRDefault="00730B8F" w:rsidP="000A41F9">
                            <w:pPr>
                              <w:keepNext/>
                            </w:pPr>
                          </w:p>
                          <w:p w14:paraId="02D44E91" w14:textId="77777777" w:rsidR="00730B8F" w:rsidRDefault="00730B8F" w:rsidP="000A41F9"/>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4AB7444" id="_x0000_s1049" type="#_x0000_t202" style="position:absolute;left:0;text-align:left;margin-left:0;margin-top:75.4pt;width:422.8pt;height:587.4pt;z-index:2516244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">
                <v:textbox>
                  <w:txbxContent>
                    <w:p w14:paraId="673A2B7D" w14:textId="77777777" w:rsidR="00730B8F" w:rsidRDefault="00730B8F" w:rsidP="000A41F9">
                      <w:pPr>
                        <w:keepNext/>
                      </w:pPr>
                      <w:r>
                        <w:rPr>
                          <w:noProof/>
                        </w:rPr>
                        <w:drawing>
                          <wp:inline distT="0" distB="0" distL="0" distR="0" wp14:anchorId="25D6D1B7" wp14:editId="3F3457ED">
                            <wp:extent cx="5143500" cy="647953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62374" cy="6503306"/>
                                    </a:xfrm>
                                    <a:prstGeom prst="rect">
                                      <a:avLst/>
                                    </a:prstGeom>
                                    <a:noFill/>
                                  </pic:spPr>
                                </pic:pic>
                              </a:graphicData>
                            </a:graphic>
                          </wp:inline>
                        </w:drawing>
                      </w:r>
                    </w:p>
                    <w:p w14:paraId="3DA33825" w14:textId="05A29AB6" w:rsidR="00730B8F" w:rsidRPr="00DF10BA" w:rsidRDefault="00730B8F" w:rsidP="000A41F9">
                      <w:pPr>
                        <w:pStyle w:val="Caption"/>
                        <w:rPr>
                          <w:rFonts w:ascii="Times New Roman" w:hAnsi="Times New Roman"/>
                          <w:b w:val="0"/>
                          <w:bCs w:val="0"/>
                          <w:i/>
                          <w:iCs/>
                          <w:szCs w:val="24"/>
                        </w:rPr>
                      </w:pPr>
                      <w:bookmarkStart w:id="193" w:name="_Toc39868237"/>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24</w:t>
                      </w:r>
                      <w:r w:rsidRPr="00E5747D">
                        <w:rPr>
                          <w:rFonts w:ascii="Times New Roman" w:hAnsi="Times New Roman"/>
                          <w:i/>
                          <w:iCs/>
                          <w:szCs w:val="24"/>
                        </w:rPr>
                        <w:fldChar w:fldCharType="end"/>
                      </w:r>
                      <w:r w:rsidRPr="00DF10BA">
                        <w:rPr>
                          <w:rFonts w:ascii="Times New Roman" w:hAnsi="Times New Roman"/>
                          <w:b w:val="0"/>
                          <w:bCs w:val="0"/>
                          <w:szCs w:val="24"/>
                        </w:rPr>
                        <w:t>: Mass spectra obtained from individual K562 cells. (A) Spectrum from a single cell treated with 1 µM gemcitabine for 1 hr. (B) Spectrum for a cell exposed to 1 µM Taxol for 1 hr. (C) An individual cell treated with 100 nM OSW-1 for 4 hr.</w:t>
                      </w:r>
                      <w:bookmarkEnd w:id="193"/>
                    </w:p>
                    <w:p w14:paraId="39ADC633" w14:textId="77777777" w:rsidR="00730B8F" w:rsidRDefault="00730B8F" w:rsidP="000A41F9">
                      <w:pPr>
                        <w:keepNext/>
                      </w:pPr>
                    </w:p>
                    <w:p w14:paraId="5A995570" w14:textId="77777777" w:rsidR="00730B8F" w:rsidRDefault="00730B8F" w:rsidP="000A41F9"/>
                    <w:p w14:paraId="476F8B65" w14:textId="77777777" w:rsidR="00730B8F" w:rsidRDefault="00730B8F"/>
                    <w:p w14:paraId="05EF78E3" w14:textId="1D437623" w:rsidR="00730B8F" w:rsidRDefault="00730B8F" w:rsidP="000A41F9">
                      <w:pPr>
                        <w:keepNext/>
                      </w:pPr>
                      <w:r>
                        <w:rPr>
                          <w:noProof/>
                        </w:rPr>
                        <w:drawing>
                          <wp:inline distT="0" distB="0" distL="0" distR="0" wp14:anchorId="25D6D1B7" wp14:editId="3F3457ED">
                            <wp:extent cx="5143500" cy="647953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62374" cy="6503306"/>
                                    </a:xfrm>
                                    <a:prstGeom prst="rect">
                                      <a:avLst/>
                                    </a:prstGeom>
                                    <a:noFill/>
                                  </pic:spPr>
                                </pic:pic>
                              </a:graphicData>
                            </a:graphic>
                          </wp:inline>
                        </w:drawing>
                      </w:r>
                    </w:p>
                    <w:p w14:paraId="4EFD5C14" w14:textId="2419F9C7" w:rsidR="00730B8F" w:rsidRPr="00DF10BA" w:rsidRDefault="00730B8F" w:rsidP="000A41F9">
                      <w:pPr>
                        <w:pStyle w:val="Caption"/>
                        <w:rPr>
                          <w:rFonts w:ascii="Times New Roman" w:hAnsi="Times New Roman"/>
                          <w:b w:val="0"/>
                          <w:bCs w:val="0"/>
                          <w:i/>
                          <w:iCs/>
                          <w:szCs w:val="24"/>
                        </w:rPr>
                      </w:pPr>
                      <w:bookmarkStart w:id="194" w:name="_Ref30078925"/>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36</w:t>
                      </w:r>
                      <w:r w:rsidRPr="00E5747D">
                        <w:rPr>
                          <w:rFonts w:ascii="Times New Roman" w:hAnsi="Times New Roman"/>
                          <w:i/>
                          <w:iCs/>
                          <w:szCs w:val="24"/>
                        </w:rPr>
                        <w:fldChar w:fldCharType="end"/>
                      </w:r>
                      <w:bookmarkEnd w:id="194"/>
                      <w:r w:rsidRPr="00DF10BA">
                        <w:rPr>
                          <w:rFonts w:ascii="Times New Roman" w:hAnsi="Times New Roman"/>
                          <w:b w:val="0"/>
                          <w:bCs w:val="0"/>
                          <w:szCs w:val="24"/>
                        </w:rPr>
                        <w:t>: Mass spectra obtained from individual K562 cells. (A) Spectrum from a single cell treated with 1 µM gemcitabine for 1 hr. (B) Spectrum for a cell exposed to 1 µM Taxol for 1 hr. (C) An individual cell treated with 100 nM OSW-1 for 4 hr.</w:t>
                      </w:r>
                    </w:p>
                    <w:p w14:paraId="68C258C4" w14:textId="77777777" w:rsidR="00730B8F" w:rsidRDefault="00730B8F" w:rsidP="000A41F9">
                      <w:pPr>
                        <w:keepNext/>
                      </w:pPr>
                    </w:p>
                    <w:p w14:paraId="02D44E91" w14:textId="77777777" w:rsidR="00730B8F" w:rsidRDefault="00730B8F" w:rsidP="000A41F9"/>
                  </w:txbxContent>
                </v:textbox>
                <w10:wrap type="square" anchorx="margin" anchory="page"/>
              </v:shape>
            </w:pict>
          </mc:Fallback>
        </mc:AlternateContent>
      </w:r>
      <w:r w:rsidR="000A41F9" w:rsidRPr="000A41F9">
        <w:rPr>
          <w:bCs/>
        </w:rPr>
        <w:t xml:space="preserve">Probe, ionized, and sprayed in the mass spectrometer. The mass spectrometry parameters consisted of a 60,000 mass resolution at m/z 400, mass range of 100-1000, ionization </w:t>
      </w:r>
      <w:r w:rsidR="000A41F9" w:rsidRPr="000A41F9">
        <w:rPr>
          <w:bCs/>
        </w:rPr>
        <w:lastRenderedPageBreak/>
        <w:t xml:space="preserve">voltage of +4.5kV, 1 microscan, 100ms max injection time, and automatic gain control. </w:t>
      </w:r>
    </w:p>
    <w:p w14:paraId="4A3A296E" w14:textId="77777777" w:rsidR="008757BF" w:rsidRDefault="008757BF" w:rsidP="000A41F9">
      <w:pPr>
        <w:ind w:firstLine="720"/>
        <w:jc w:val="both"/>
        <w:rPr>
          <w:bCs/>
        </w:rPr>
      </w:pPr>
    </w:p>
    <w:p w14:paraId="499619C0" w14:textId="0CFAA0D8" w:rsidR="008757BF" w:rsidRPr="008757BF" w:rsidRDefault="008757BF" w:rsidP="008757BF">
      <w:pPr>
        <w:pStyle w:val="Heading3"/>
      </w:pPr>
      <w:bookmarkStart w:id="195" w:name="_Toc39868201"/>
      <w:r>
        <w:t>4.</w:t>
      </w:r>
      <w:r w:rsidR="00655CA3">
        <w:t>3</w:t>
      </w:r>
      <w:r>
        <w:t>.</w:t>
      </w:r>
      <w:r w:rsidR="00A4382B">
        <w:t>2</w:t>
      </w:r>
      <w:r>
        <w:t xml:space="preserve"> </w:t>
      </w:r>
      <w:r w:rsidR="000C4204">
        <w:t xml:space="preserve">Adherent Cell </w:t>
      </w:r>
      <w:r>
        <w:t xml:space="preserve">Drug </w:t>
      </w:r>
      <w:r w:rsidR="000C4204">
        <w:t>Identification</w:t>
      </w:r>
      <w:bookmarkEnd w:id="195"/>
      <w:r w:rsidR="000C4204">
        <w:t xml:space="preserve"> </w:t>
      </w:r>
    </w:p>
    <w:p w14:paraId="48BBBF4B" w14:textId="03CC6A73" w:rsidR="000A41F9" w:rsidRDefault="00DF10BA" w:rsidP="000A41F9">
      <w:pPr>
        <w:ind w:firstLine="720"/>
        <w:jc w:val="both"/>
        <w:rPr>
          <w:bCs/>
        </w:rPr>
      </w:pPr>
      <w:r w:rsidRPr="000A41F9">
        <w:rPr>
          <w:bCs/>
          <w:noProof/>
        </w:rPr>
        <mc:AlternateContent>
          <mc:Choice Requires="wps">
            <w:drawing>
              <wp:anchor distT="0" distB="0" distL="114300" distR="114300" simplePos="0" relativeHeight="251621376" behindDoc="0" locked="0" layoutInCell="1" allowOverlap="1" wp14:anchorId="351C8BC3" wp14:editId="3B07E2AB">
                <wp:simplePos x="0" y="0"/>
                <wp:positionH relativeFrom="margin">
                  <wp:posOffset>-11611</wp:posOffset>
                </wp:positionH>
                <wp:positionV relativeFrom="page">
                  <wp:posOffset>3541486</wp:posOffset>
                </wp:positionV>
                <wp:extent cx="5385435" cy="5588000"/>
                <wp:effectExtent l="0" t="0" r="24765" b="1270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5435" cy="5588000"/>
                        </a:xfrm>
                        <a:prstGeom prst="rect">
                          <a:avLst/>
                        </a:prstGeom>
                        <a:solidFill>
                          <a:srgbClr val="FFFFFF"/>
                        </a:solidFill>
                        <a:ln w="9525">
                          <a:solidFill>
                            <a:srgbClr val="000000"/>
                          </a:solidFill>
                          <a:miter lim="800000"/>
                          <a:headEnd/>
                          <a:tailEnd/>
                        </a:ln>
                      </wps:spPr>
                      <wps:txbx>
                        <w:txbxContent>
                          <w:p w14:paraId="3C16BBBE" w14:textId="77777777" w:rsidR="00730B8F" w:rsidRDefault="00730B8F" w:rsidP="000A41F9">
                            <w:pPr>
                              <w:keepNext/>
                            </w:pPr>
                            <w:r>
                              <w:rPr>
                                <w:noProof/>
                              </w:rPr>
                              <w:drawing>
                                <wp:inline distT="0" distB="0" distL="0" distR="0" wp14:anchorId="7B8FAD6C" wp14:editId="51FD024B">
                                  <wp:extent cx="4744529" cy="4744529"/>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74412" cy="4774412"/>
                                          </a:xfrm>
                                          <a:prstGeom prst="rect">
                                            <a:avLst/>
                                          </a:prstGeom>
                                          <a:noFill/>
                                        </pic:spPr>
                                      </pic:pic>
                                    </a:graphicData>
                                  </a:graphic>
                                </wp:inline>
                              </w:drawing>
                            </w:r>
                          </w:p>
                          <w:p w14:paraId="4F2D3499" w14:textId="13901FA3" w:rsidR="00730B8F" w:rsidRPr="00DF10BA" w:rsidRDefault="00730B8F" w:rsidP="000A41F9">
                            <w:pPr>
                              <w:pStyle w:val="Caption"/>
                              <w:rPr>
                                <w:rFonts w:ascii="Times New Roman" w:hAnsi="Times New Roman"/>
                                <w:b w:val="0"/>
                                <w:bCs w:val="0"/>
                                <w:i/>
                                <w:iCs/>
                                <w:szCs w:val="24"/>
                              </w:rPr>
                            </w:pPr>
                            <w:bookmarkStart w:id="196" w:name="_Toc39868238"/>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25</w:t>
                            </w:r>
                            <w:r w:rsidRPr="00E5747D">
                              <w:rPr>
                                <w:rFonts w:ascii="Times New Roman" w:hAnsi="Times New Roman"/>
                                <w:i/>
                                <w:iCs/>
                                <w:szCs w:val="24"/>
                              </w:rPr>
                              <w:fldChar w:fldCharType="end"/>
                            </w:r>
                            <w:r w:rsidRPr="00E5747D">
                              <w:rPr>
                                <w:rFonts w:ascii="Times New Roman" w:hAnsi="Times New Roman"/>
                                <w:szCs w:val="24"/>
                              </w:rPr>
                              <w:t>:</w:t>
                            </w:r>
                            <w:r w:rsidRPr="00DF10BA">
                              <w:rPr>
                                <w:rFonts w:ascii="Times New Roman" w:hAnsi="Times New Roman"/>
                                <w:b w:val="0"/>
                                <w:bCs w:val="0"/>
                                <w:szCs w:val="24"/>
                              </w:rPr>
                              <w:t xml:space="preserve"> Metabolomic Anlalysis of individual K562 cells. PCA showing the overall difference of metabolomic compositions of single K562 cells in the control and drug treatment (100 nM Taxol for 24 h) groups.</w:t>
                            </w:r>
                            <w:bookmarkEnd w:id="196"/>
                          </w:p>
                          <w:p w14:paraId="1447C3DA" w14:textId="77777777" w:rsidR="00730B8F" w:rsidRDefault="00730B8F" w:rsidP="000A41F9"/>
                          <w:p w14:paraId="203135C0" w14:textId="77777777" w:rsidR="00730B8F" w:rsidRDefault="00730B8F"/>
                          <w:p w14:paraId="2E274FB6" w14:textId="1AE7B908" w:rsidR="00730B8F" w:rsidRDefault="00730B8F" w:rsidP="000A41F9">
                            <w:pPr>
                              <w:keepNext/>
                            </w:pPr>
                            <w:r>
                              <w:rPr>
                                <w:noProof/>
                              </w:rPr>
                              <w:drawing>
                                <wp:inline distT="0" distB="0" distL="0" distR="0" wp14:anchorId="7B8FAD6C" wp14:editId="51FD024B">
                                  <wp:extent cx="4744529" cy="4744529"/>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74412" cy="4774412"/>
                                          </a:xfrm>
                                          <a:prstGeom prst="rect">
                                            <a:avLst/>
                                          </a:prstGeom>
                                          <a:noFill/>
                                        </pic:spPr>
                                      </pic:pic>
                                    </a:graphicData>
                                  </a:graphic>
                                </wp:inline>
                              </w:drawing>
                            </w:r>
                          </w:p>
                          <w:p w14:paraId="3529B55C" w14:textId="60DFC16C" w:rsidR="00730B8F" w:rsidRPr="00DF10BA" w:rsidRDefault="00730B8F" w:rsidP="000A41F9">
                            <w:pPr>
                              <w:pStyle w:val="Caption"/>
                              <w:rPr>
                                <w:rFonts w:ascii="Times New Roman" w:hAnsi="Times New Roman"/>
                                <w:b w:val="0"/>
                                <w:bCs w:val="0"/>
                                <w:i/>
                                <w:iCs/>
                                <w:szCs w:val="24"/>
                              </w:rPr>
                            </w:pPr>
                            <w:bookmarkStart w:id="197" w:name="_Ref30079011"/>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38</w:t>
                            </w:r>
                            <w:r w:rsidRPr="00E5747D">
                              <w:rPr>
                                <w:rFonts w:ascii="Times New Roman" w:hAnsi="Times New Roman"/>
                                <w:i/>
                                <w:iCs/>
                                <w:szCs w:val="24"/>
                              </w:rPr>
                              <w:fldChar w:fldCharType="end"/>
                            </w:r>
                            <w:bookmarkEnd w:id="197"/>
                            <w:r w:rsidRPr="00E5747D">
                              <w:rPr>
                                <w:rFonts w:ascii="Times New Roman" w:hAnsi="Times New Roman"/>
                                <w:szCs w:val="24"/>
                              </w:rPr>
                              <w:t>:</w:t>
                            </w:r>
                            <w:r w:rsidRPr="00DF10BA">
                              <w:rPr>
                                <w:rFonts w:ascii="Times New Roman" w:hAnsi="Times New Roman"/>
                                <w:b w:val="0"/>
                                <w:bCs w:val="0"/>
                                <w:szCs w:val="24"/>
                              </w:rPr>
                              <w:t xml:space="preserve"> Metabolomic Anlalysis of individual K562 cells. PCA showing the overall difference of metabolomic compositions of single K562 cells in the control and drug treatment (100 nM Taxol for 24 h) groups.</w:t>
                            </w:r>
                          </w:p>
                          <w:p w14:paraId="1C1F65C3" w14:textId="77777777" w:rsidR="00730B8F" w:rsidRDefault="00730B8F" w:rsidP="000A41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C8BC3" id="_x0000_s1050" type="#_x0000_t202" style="position:absolute;left:0;text-align:left;margin-left:-.9pt;margin-top:278.85pt;width:424.05pt;height:440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">
                <v:textbox>
                  <w:txbxContent>
                    <w:p w14:paraId="3C16BBBE" w14:textId="77777777" w:rsidR="00730B8F" w:rsidRDefault="00730B8F" w:rsidP="000A41F9">
                      <w:pPr>
                        <w:keepNext/>
                      </w:pPr>
                      <w:r>
                        <w:rPr>
                          <w:noProof/>
                        </w:rPr>
                        <w:drawing>
                          <wp:inline distT="0" distB="0" distL="0" distR="0" wp14:anchorId="7B8FAD6C" wp14:editId="51FD024B">
                            <wp:extent cx="4744529" cy="4744529"/>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74412" cy="4774412"/>
                                    </a:xfrm>
                                    <a:prstGeom prst="rect">
                                      <a:avLst/>
                                    </a:prstGeom>
                                    <a:noFill/>
                                  </pic:spPr>
                                </pic:pic>
                              </a:graphicData>
                            </a:graphic>
                          </wp:inline>
                        </w:drawing>
                      </w:r>
                    </w:p>
                    <w:p w14:paraId="4F2D3499" w14:textId="13901FA3" w:rsidR="00730B8F" w:rsidRPr="00DF10BA" w:rsidRDefault="00730B8F" w:rsidP="000A41F9">
                      <w:pPr>
                        <w:pStyle w:val="Caption"/>
                        <w:rPr>
                          <w:rFonts w:ascii="Times New Roman" w:hAnsi="Times New Roman"/>
                          <w:b w:val="0"/>
                          <w:bCs w:val="0"/>
                          <w:i/>
                          <w:iCs/>
                          <w:szCs w:val="24"/>
                        </w:rPr>
                      </w:pPr>
                      <w:bookmarkStart w:id="198" w:name="_Toc39868238"/>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25</w:t>
                      </w:r>
                      <w:r w:rsidRPr="00E5747D">
                        <w:rPr>
                          <w:rFonts w:ascii="Times New Roman" w:hAnsi="Times New Roman"/>
                          <w:i/>
                          <w:iCs/>
                          <w:szCs w:val="24"/>
                        </w:rPr>
                        <w:fldChar w:fldCharType="end"/>
                      </w:r>
                      <w:r w:rsidRPr="00E5747D">
                        <w:rPr>
                          <w:rFonts w:ascii="Times New Roman" w:hAnsi="Times New Roman"/>
                          <w:szCs w:val="24"/>
                        </w:rPr>
                        <w:t>:</w:t>
                      </w:r>
                      <w:r w:rsidRPr="00DF10BA">
                        <w:rPr>
                          <w:rFonts w:ascii="Times New Roman" w:hAnsi="Times New Roman"/>
                          <w:b w:val="0"/>
                          <w:bCs w:val="0"/>
                          <w:szCs w:val="24"/>
                        </w:rPr>
                        <w:t xml:space="preserve"> Metabolomic Anlalysis of individual K562 cells. PCA showing the overall difference of metabolomic compositions of single K562 cells in the control and drug treatment (100 nM Taxol for 24 h) groups.</w:t>
                      </w:r>
                      <w:bookmarkEnd w:id="198"/>
                    </w:p>
                    <w:p w14:paraId="1447C3DA" w14:textId="77777777" w:rsidR="00730B8F" w:rsidRDefault="00730B8F" w:rsidP="000A41F9"/>
                    <w:p w14:paraId="203135C0" w14:textId="77777777" w:rsidR="00730B8F" w:rsidRDefault="00730B8F"/>
                    <w:p w14:paraId="2E274FB6" w14:textId="1AE7B908" w:rsidR="00730B8F" w:rsidRDefault="00730B8F" w:rsidP="000A41F9">
                      <w:pPr>
                        <w:keepNext/>
                      </w:pPr>
                      <w:r>
                        <w:rPr>
                          <w:noProof/>
                        </w:rPr>
                        <w:drawing>
                          <wp:inline distT="0" distB="0" distL="0" distR="0" wp14:anchorId="7B8FAD6C" wp14:editId="51FD024B">
                            <wp:extent cx="4744529" cy="4744529"/>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74412" cy="4774412"/>
                                    </a:xfrm>
                                    <a:prstGeom prst="rect">
                                      <a:avLst/>
                                    </a:prstGeom>
                                    <a:noFill/>
                                  </pic:spPr>
                                </pic:pic>
                              </a:graphicData>
                            </a:graphic>
                          </wp:inline>
                        </w:drawing>
                      </w:r>
                    </w:p>
                    <w:p w14:paraId="3529B55C" w14:textId="60DFC16C" w:rsidR="00730B8F" w:rsidRPr="00DF10BA" w:rsidRDefault="00730B8F" w:rsidP="000A41F9">
                      <w:pPr>
                        <w:pStyle w:val="Caption"/>
                        <w:rPr>
                          <w:rFonts w:ascii="Times New Roman" w:hAnsi="Times New Roman"/>
                          <w:b w:val="0"/>
                          <w:bCs w:val="0"/>
                          <w:i/>
                          <w:iCs/>
                          <w:szCs w:val="24"/>
                        </w:rPr>
                      </w:pPr>
                      <w:bookmarkStart w:id="199" w:name="_Ref30079011"/>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38</w:t>
                      </w:r>
                      <w:r w:rsidRPr="00E5747D">
                        <w:rPr>
                          <w:rFonts w:ascii="Times New Roman" w:hAnsi="Times New Roman"/>
                          <w:i/>
                          <w:iCs/>
                          <w:szCs w:val="24"/>
                        </w:rPr>
                        <w:fldChar w:fldCharType="end"/>
                      </w:r>
                      <w:bookmarkEnd w:id="199"/>
                      <w:r w:rsidRPr="00E5747D">
                        <w:rPr>
                          <w:rFonts w:ascii="Times New Roman" w:hAnsi="Times New Roman"/>
                          <w:szCs w:val="24"/>
                        </w:rPr>
                        <w:t>:</w:t>
                      </w:r>
                      <w:r w:rsidRPr="00DF10BA">
                        <w:rPr>
                          <w:rFonts w:ascii="Times New Roman" w:hAnsi="Times New Roman"/>
                          <w:b w:val="0"/>
                          <w:bCs w:val="0"/>
                          <w:szCs w:val="24"/>
                        </w:rPr>
                        <w:t xml:space="preserve"> Metabolomic Anlalysis of individual K562 cells. PCA showing the overall difference of metabolomic compositions of single K562 cells in the control and drug treatment (100 nM Taxol for 24 h) groups.</w:t>
                      </w:r>
                    </w:p>
                    <w:p w14:paraId="1C1F65C3" w14:textId="77777777" w:rsidR="00730B8F" w:rsidRDefault="00730B8F" w:rsidP="000A41F9"/>
                  </w:txbxContent>
                </v:textbox>
                <w10:wrap type="square" anchorx="margin" anchory="page"/>
              </v:shape>
            </w:pict>
          </mc:Fallback>
        </mc:AlternateContent>
      </w:r>
      <w:r w:rsidR="000A41F9" w:rsidRPr="000A41F9">
        <w:rPr>
          <w:bCs/>
        </w:rPr>
        <w:t xml:space="preserve">The Single-probe/ICMP system was used to detect the accumulation of different drug compounds (Gemcitabine, Taxol, and OSW-1) inside single chronic myeloid leukemia cells (K562 cell line). Cells were subjected to either Gemcitabine (1µM) or Taxol (1 µM) for 1 h, or OSW-1 (1 µM/ 100 nM) for 2 h/ 4h, respectively.  The </w:t>
      </w:r>
      <w:r w:rsidR="000A41F9" w:rsidRPr="000A41F9">
        <w:rPr>
          <w:bCs/>
        </w:rPr>
        <w:lastRenderedPageBreak/>
        <w:t xml:space="preserve">Phosphatidyl Choline (PC) lipid peaks PC(34:4), PC(36:4), and PC(38:5) at m/z 754.536, 782.567, and 808.583, respectively, were highly ionizable and produced a reproducible signal depicting the analysis of cellular content in addition to numerous other PC identities </w:t>
      </w:r>
      <w:r w:rsidR="00A4382B" w:rsidRPr="00A2584C">
        <w:rPr>
          <w:b/>
        </w:rPr>
        <w:t>(</w:t>
      </w:r>
      <w:r w:rsidR="00A4382B" w:rsidRPr="00A2584C">
        <w:rPr>
          <w:b/>
        </w:rPr>
        <w:fldChar w:fldCharType="begin"/>
      </w:r>
      <w:r w:rsidR="00A4382B" w:rsidRPr="00A2584C">
        <w:rPr>
          <w:b/>
        </w:rPr>
        <w:instrText xml:space="preserve"> REF _Ref29823114 \h </w:instrText>
      </w:r>
      <w:r w:rsidR="009822E9">
        <w:rPr>
          <w:b/>
        </w:rPr>
        <w:instrText xml:space="preserve"> \* MERGEFORMAT </w:instrText>
      </w:r>
      <w:r w:rsidR="00A4382B" w:rsidRPr="00A2584C">
        <w:rPr>
          <w:b/>
        </w:rPr>
      </w:r>
      <w:r w:rsidR="00A4382B" w:rsidRPr="00A2584C">
        <w:rPr>
          <w:b/>
        </w:rPr>
        <w:fldChar w:fldCharType="separate"/>
      </w:r>
      <w:r w:rsidR="00A4382B" w:rsidRPr="00A2584C">
        <w:rPr>
          <w:rFonts w:ascii="Times New Roman" w:hAnsi="Times New Roman"/>
          <w:b/>
        </w:rPr>
        <w:t xml:space="preserve">Figure </w:t>
      </w:r>
      <w:r w:rsidR="00A4382B" w:rsidRPr="00A2584C">
        <w:rPr>
          <w:rFonts w:ascii="Times New Roman" w:hAnsi="Times New Roman"/>
          <w:b/>
          <w:noProof/>
        </w:rPr>
        <w:t>22</w:t>
      </w:r>
      <w:r w:rsidR="00A4382B" w:rsidRPr="00A2584C">
        <w:rPr>
          <w:b/>
        </w:rPr>
        <w:fldChar w:fldCharType="end"/>
      </w:r>
      <w:r w:rsidR="000A41F9" w:rsidRPr="000A41F9">
        <w:rPr>
          <w:bCs/>
        </w:rPr>
        <w:t xml:space="preserve">). All PC peaks were subjected to MS/MS fragmentation to confirm the structures.  In addition to these peaks, among many other detectable molecular signatures, all three compounds were detected in individual K562 cells, but were not detected in the extracellular PBS solvent, indicating the compounds were released from </w:t>
      </w:r>
      <w:r w:rsidRPr="000A41F9">
        <w:rPr>
          <w:bCs/>
          <w:noProof/>
          <w:vertAlign w:val="superscript"/>
        </w:rPr>
        <mc:AlternateContent>
          <mc:Choice Requires="wps">
            <w:drawing>
              <wp:anchor distT="0" distB="0" distL="114300" distR="114300" simplePos="0" relativeHeight="251627520" behindDoc="0" locked="0" layoutInCell="1" allowOverlap="1" wp14:anchorId="306071B3" wp14:editId="6F2E6C1D">
                <wp:simplePos x="0" y="0"/>
                <wp:positionH relativeFrom="margin">
                  <wp:align>right</wp:align>
                </wp:positionH>
                <wp:positionV relativeFrom="paragraph">
                  <wp:posOffset>1639842</wp:posOffset>
                </wp:positionV>
                <wp:extent cx="5384800" cy="3787775"/>
                <wp:effectExtent l="0" t="0" r="25400" b="2222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3787775"/>
                        </a:xfrm>
                        <a:prstGeom prst="rect">
                          <a:avLst/>
                        </a:prstGeom>
                        <a:solidFill>
                          <a:srgbClr val="FFFFFF"/>
                        </a:solidFill>
                        <a:ln w="9525">
                          <a:solidFill>
                            <a:srgbClr val="000000"/>
                          </a:solidFill>
                          <a:miter lim="800000"/>
                          <a:headEnd/>
                          <a:tailEnd/>
                        </a:ln>
                      </wps:spPr>
                      <wps:txbx>
                        <w:txbxContent>
                          <w:p w14:paraId="55FCAF05" w14:textId="77777777" w:rsidR="00730B8F" w:rsidRDefault="00730B8F" w:rsidP="000A41F9">
                            <w:pPr>
                              <w:keepNext/>
                            </w:pPr>
                            <w:r>
                              <w:rPr>
                                <w:noProof/>
                              </w:rPr>
                              <w:drawing>
                                <wp:inline distT="0" distB="0" distL="0" distR="0" wp14:anchorId="08149616" wp14:editId="18CE6DBC">
                                  <wp:extent cx="5196205" cy="2663825"/>
                                  <wp:effectExtent l="0" t="0" r="4445" b="0"/>
                                  <wp:docPr id="212" name="Picture 212"/>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96205" cy="2663825"/>
                                          </a:xfrm>
                                          <a:prstGeom prst="rect">
                                            <a:avLst/>
                                          </a:prstGeom>
                                          <a:noFill/>
                                        </pic:spPr>
                                      </pic:pic>
                                    </a:graphicData>
                                  </a:graphic>
                                </wp:inline>
                              </w:drawing>
                            </w:r>
                          </w:p>
                          <w:p w14:paraId="59D337D2" w14:textId="030C2A80" w:rsidR="00730B8F" w:rsidRPr="00DF10BA" w:rsidRDefault="00730B8F" w:rsidP="000A41F9">
                            <w:pPr>
                              <w:pStyle w:val="Caption"/>
                              <w:rPr>
                                <w:rFonts w:ascii="Times New Roman" w:hAnsi="Times New Roman"/>
                                <w:b w:val="0"/>
                                <w:bCs w:val="0"/>
                                <w:i/>
                                <w:iCs/>
                                <w:szCs w:val="24"/>
                              </w:rPr>
                            </w:pPr>
                            <w:bookmarkStart w:id="200" w:name="_Toc39868239"/>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26</w:t>
                            </w:r>
                            <w:r w:rsidRPr="00E5747D">
                              <w:rPr>
                                <w:rFonts w:ascii="Times New Roman" w:hAnsi="Times New Roman"/>
                                <w:i/>
                                <w:iCs/>
                                <w:szCs w:val="24"/>
                              </w:rPr>
                              <w:fldChar w:fldCharType="end"/>
                            </w:r>
                            <w:r w:rsidRPr="00E5747D">
                              <w:rPr>
                                <w:rFonts w:ascii="Times New Roman" w:hAnsi="Times New Roman"/>
                                <w:szCs w:val="24"/>
                              </w:rPr>
                              <w:t>:</w:t>
                            </w:r>
                            <w:r w:rsidRPr="00DF10BA">
                              <w:rPr>
                                <w:rFonts w:ascii="Times New Roman" w:hAnsi="Times New Roman"/>
                                <w:b w:val="0"/>
                                <w:bCs w:val="0"/>
                                <w:szCs w:val="24"/>
                              </w:rPr>
                              <w:t xml:space="preserve"> Quantification of intracellular gemcitabine. Scatter plot depicting the amount of drug (attomoles) measured at each treatment concentration for each gemcitabine-treated (1-h) cell. (A) T24 cells using the Single-probe method and (B) K562 cells using the Single-probe/ICMP method.</w:t>
                            </w:r>
                            <w:bookmarkEnd w:id="200"/>
                          </w:p>
                          <w:p w14:paraId="17114770" w14:textId="77777777" w:rsidR="00730B8F" w:rsidRDefault="00730B8F" w:rsidP="000A41F9"/>
                          <w:p w14:paraId="0CEE467E" w14:textId="77777777" w:rsidR="00730B8F" w:rsidRDefault="00730B8F"/>
                          <w:p w14:paraId="724DCD09" w14:textId="2C130918" w:rsidR="00730B8F" w:rsidRDefault="00730B8F" w:rsidP="000A41F9">
                            <w:pPr>
                              <w:keepNext/>
                            </w:pPr>
                            <w:r>
                              <w:rPr>
                                <w:noProof/>
                              </w:rPr>
                              <w:drawing>
                                <wp:inline distT="0" distB="0" distL="0" distR="0" wp14:anchorId="08149616" wp14:editId="18CE6DBC">
                                  <wp:extent cx="5196205" cy="2663825"/>
                                  <wp:effectExtent l="0" t="0" r="4445" b="0"/>
                                  <wp:docPr id="214" name="Picture 214"/>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96205" cy="2663825"/>
                                          </a:xfrm>
                                          <a:prstGeom prst="rect">
                                            <a:avLst/>
                                          </a:prstGeom>
                                          <a:noFill/>
                                        </pic:spPr>
                                      </pic:pic>
                                    </a:graphicData>
                                  </a:graphic>
                                </wp:inline>
                              </w:drawing>
                            </w:r>
                          </w:p>
                          <w:p w14:paraId="2DBFD1A6" w14:textId="1B5C959A" w:rsidR="00730B8F" w:rsidRPr="00DF10BA" w:rsidRDefault="00730B8F" w:rsidP="000A41F9">
                            <w:pPr>
                              <w:pStyle w:val="Caption"/>
                              <w:rPr>
                                <w:rFonts w:ascii="Times New Roman" w:hAnsi="Times New Roman"/>
                                <w:b w:val="0"/>
                                <w:bCs w:val="0"/>
                                <w:i/>
                                <w:iCs/>
                                <w:szCs w:val="24"/>
                              </w:rPr>
                            </w:pPr>
                            <w:bookmarkStart w:id="201" w:name="_Ref30080787"/>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40</w:t>
                            </w:r>
                            <w:r w:rsidRPr="00E5747D">
                              <w:rPr>
                                <w:rFonts w:ascii="Times New Roman" w:hAnsi="Times New Roman"/>
                                <w:i/>
                                <w:iCs/>
                                <w:szCs w:val="24"/>
                              </w:rPr>
                              <w:fldChar w:fldCharType="end"/>
                            </w:r>
                            <w:bookmarkEnd w:id="201"/>
                            <w:r w:rsidRPr="00E5747D">
                              <w:rPr>
                                <w:rFonts w:ascii="Times New Roman" w:hAnsi="Times New Roman"/>
                                <w:szCs w:val="24"/>
                              </w:rPr>
                              <w:t>:</w:t>
                            </w:r>
                            <w:r w:rsidRPr="00DF10BA">
                              <w:rPr>
                                <w:rFonts w:ascii="Times New Roman" w:hAnsi="Times New Roman"/>
                                <w:b w:val="0"/>
                                <w:bCs w:val="0"/>
                                <w:szCs w:val="24"/>
                              </w:rPr>
                              <w:t xml:space="preserve"> Quantification of intracellular gemcitabine. Scatter plot depicting the amount of drug (attomoles) measured at each treatment concentration for each gemcitabine-treated (1-h) cell. (A) T24 cells using the Single-probe method and (B) K562 cells using the Single-probe/ICMP method.</w:t>
                            </w:r>
                          </w:p>
                          <w:p w14:paraId="32DA9F0D" w14:textId="77777777" w:rsidR="00730B8F" w:rsidRDefault="00730B8F" w:rsidP="000A41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071B3" id="_x0000_s1051" type="#_x0000_t202" style="position:absolute;left:0;text-align:left;margin-left:372.8pt;margin-top:129.1pt;width:424pt;height:298.25pt;z-index:251627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">
                <v:textbox>
                  <w:txbxContent>
                    <w:p w14:paraId="55FCAF05" w14:textId="77777777" w:rsidR="00730B8F" w:rsidRDefault="00730B8F" w:rsidP="000A41F9">
                      <w:pPr>
                        <w:keepNext/>
                      </w:pPr>
                      <w:r>
                        <w:rPr>
                          <w:noProof/>
                        </w:rPr>
                        <w:drawing>
                          <wp:inline distT="0" distB="0" distL="0" distR="0" wp14:anchorId="08149616" wp14:editId="18CE6DBC">
                            <wp:extent cx="5196205" cy="2663825"/>
                            <wp:effectExtent l="0" t="0" r="4445" b="0"/>
                            <wp:docPr id="212" name="Picture 212"/>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96205" cy="2663825"/>
                                    </a:xfrm>
                                    <a:prstGeom prst="rect">
                                      <a:avLst/>
                                    </a:prstGeom>
                                    <a:noFill/>
                                  </pic:spPr>
                                </pic:pic>
                              </a:graphicData>
                            </a:graphic>
                          </wp:inline>
                        </w:drawing>
                      </w:r>
                    </w:p>
                    <w:p w14:paraId="59D337D2" w14:textId="030C2A80" w:rsidR="00730B8F" w:rsidRPr="00DF10BA" w:rsidRDefault="00730B8F" w:rsidP="000A41F9">
                      <w:pPr>
                        <w:pStyle w:val="Caption"/>
                        <w:rPr>
                          <w:rFonts w:ascii="Times New Roman" w:hAnsi="Times New Roman"/>
                          <w:b w:val="0"/>
                          <w:bCs w:val="0"/>
                          <w:i/>
                          <w:iCs/>
                          <w:szCs w:val="24"/>
                        </w:rPr>
                      </w:pPr>
                      <w:bookmarkStart w:id="202" w:name="_Toc39868239"/>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26</w:t>
                      </w:r>
                      <w:r w:rsidRPr="00E5747D">
                        <w:rPr>
                          <w:rFonts w:ascii="Times New Roman" w:hAnsi="Times New Roman"/>
                          <w:i/>
                          <w:iCs/>
                          <w:szCs w:val="24"/>
                        </w:rPr>
                        <w:fldChar w:fldCharType="end"/>
                      </w:r>
                      <w:r w:rsidRPr="00E5747D">
                        <w:rPr>
                          <w:rFonts w:ascii="Times New Roman" w:hAnsi="Times New Roman"/>
                          <w:szCs w:val="24"/>
                        </w:rPr>
                        <w:t>:</w:t>
                      </w:r>
                      <w:r w:rsidRPr="00DF10BA">
                        <w:rPr>
                          <w:rFonts w:ascii="Times New Roman" w:hAnsi="Times New Roman"/>
                          <w:b w:val="0"/>
                          <w:bCs w:val="0"/>
                          <w:szCs w:val="24"/>
                        </w:rPr>
                        <w:t xml:space="preserve"> Quantification of intracellular gemcitabine. Scatter plot depicting the amount of drug (attomoles) measured at each treatment concentration for each gemcitabine-treated (1-h) cell. (A) T24 cells using the Single-probe method and (B) K562 cells using the Single-probe/ICMP method.</w:t>
                      </w:r>
                      <w:bookmarkEnd w:id="202"/>
                    </w:p>
                    <w:p w14:paraId="17114770" w14:textId="77777777" w:rsidR="00730B8F" w:rsidRDefault="00730B8F" w:rsidP="000A41F9"/>
                    <w:p w14:paraId="0CEE467E" w14:textId="77777777" w:rsidR="00730B8F" w:rsidRDefault="00730B8F"/>
                    <w:p w14:paraId="724DCD09" w14:textId="2C130918" w:rsidR="00730B8F" w:rsidRDefault="00730B8F" w:rsidP="000A41F9">
                      <w:pPr>
                        <w:keepNext/>
                      </w:pPr>
                      <w:r>
                        <w:rPr>
                          <w:noProof/>
                        </w:rPr>
                        <w:drawing>
                          <wp:inline distT="0" distB="0" distL="0" distR="0" wp14:anchorId="08149616" wp14:editId="18CE6DBC">
                            <wp:extent cx="5196205" cy="2663825"/>
                            <wp:effectExtent l="0" t="0" r="4445" b="0"/>
                            <wp:docPr id="214" name="Picture 214"/>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96205" cy="2663825"/>
                                    </a:xfrm>
                                    <a:prstGeom prst="rect">
                                      <a:avLst/>
                                    </a:prstGeom>
                                    <a:noFill/>
                                  </pic:spPr>
                                </pic:pic>
                              </a:graphicData>
                            </a:graphic>
                          </wp:inline>
                        </w:drawing>
                      </w:r>
                    </w:p>
                    <w:p w14:paraId="2DBFD1A6" w14:textId="1B5C959A" w:rsidR="00730B8F" w:rsidRPr="00DF10BA" w:rsidRDefault="00730B8F" w:rsidP="000A41F9">
                      <w:pPr>
                        <w:pStyle w:val="Caption"/>
                        <w:rPr>
                          <w:rFonts w:ascii="Times New Roman" w:hAnsi="Times New Roman"/>
                          <w:b w:val="0"/>
                          <w:bCs w:val="0"/>
                          <w:i/>
                          <w:iCs/>
                          <w:szCs w:val="24"/>
                        </w:rPr>
                      </w:pPr>
                      <w:bookmarkStart w:id="203" w:name="_Ref30080787"/>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40</w:t>
                      </w:r>
                      <w:r w:rsidRPr="00E5747D">
                        <w:rPr>
                          <w:rFonts w:ascii="Times New Roman" w:hAnsi="Times New Roman"/>
                          <w:i/>
                          <w:iCs/>
                          <w:szCs w:val="24"/>
                        </w:rPr>
                        <w:fldChar w:fldCharType="end"/>
                      </w:r>
                      <w:bookmarkEnd w:id="203"/>
                      <w:r w:rsidRPr="00E5747D">
                        <w:rPr>
                          <w:rFonts w:ascii="Times New Roman" w:hAnsi="Times New Roman"/>
                          <w:szCs w:val="24"/>
                        </w:rPr>
                        <w:t>:</w:t>
                      </w:r>
                      <w:r w:rsidRPr="00DF10BA">
                        <w:rPr>
                          <w:rFonts w:ascii="Times New Roman" w:hAnsi="Times New Roman"/>
                          <w:b w:val="0"/>
                          <w:bCs w:val="0"/>
                          <w:szCs w:val="24"/>
                        </w:rPr>
                        <w:t xml:space="preserve"> Quantification of intracellular gemcitabine. Scatter plot depicting the amount of drug (attomoles) measured at each treatment concentration for each gemcitabine-treated (1-h) cell. (A) T24 cells using the Single-probe method and (B) K562 cells using the Single-probe/ICMP method.</w:t>
                      </w:r>
                    </w:p>
                    <w:p w14:paraId="32DA9F0D" w14:textId="77777777" w:rsidR="00730B8F" w:rsidRDefault="00730B8F" w:rsidP="000A41F9"/>
                  </w:txbxContent>
                </v:textbox>
                <w10:wrap type="square" anchorx="margin"/>
              </v:shape>
            </w:pict>
          </mc:Fallback>
        </mc:AlternateContent>
      </w:r>
      <w:r w:rsidR="000A41F9" w:rsidRPr="000A41F9">
        <w:rPr>
          <w:bCs/>
        </w:rPr>
        <w:t xml:space="preserve">the cell upon microlysis at the Single-Probe junction </w:t>
      </w:r>
      <w:r w:rsidR="00A4382B">
        <w:rPr>
          <w:bCs/>
        </w:rPr>
        <w:t>(</w:t>
      </w:r>
      <w:r w:rsidR="00A4382B" w:rsidRPr="00A2584C">
        <w:rPr>
          <w:b/>
        </w:rPr>
        <w:fldChar w:fldCharType="begin"/>
      </w:r>
      <w:r w:rsidR="00A4382B" w:rsidRPr="00A2584C">
        <w:rPr>
          <w:b/>
        </w:rPr>
        <w:instrText xml:space="preserve"> REF _Ref30078901 \h </w:instrText>
      </w:r>
      <w:r w:rsidR="009822E9" w:rsidRPr="00A2584C">
        <w:rPr>
          <w:b/>
        </w:rPr>
        <w:instrText xml:space="preserve"> \* MERGEFORMAT </w:instrText>
      </w:r>
      <w:r w:rsidR="00A4382B" w:rsidRPr="00A2584C">
        <w:rPr>
          <w:b/>
        </w:rPr>
      </w:r>
      <w:r w:rsidR="00A4382B" w:rsidRPr="00A2584C">
        <w:rPr>
          <w:b/>
        </w:rPr>
        <w:fldChar w:fldCharType="separate"/>
      </w:r>
      <w:r w:rsidR="00A4382B" w:rsidRPr="00A2584C">
        <w:rPr>
          <w:rFonts w:ascii="Times New Roman" w:hAnsi="Times New Roman"/>
          <w:b/>
        </w:rPr>
        <w:t xml:space="preserve">Figure </w:t>
      </w:r>
      <w:r w:rsidR="00A4382B" w:rsidRPr="00A2584C">
        <w:rPr>
          <w:rFonts w:ascii="Times New Roman" w:hAnsi="Times New Roman"/>
          <w:b/>
          <w:noProof/>
        </w:rPr>
        <w:t>23</w:t>
      </w:r>
      <w:r w:rsidR="00A4382B" w:rsidRPr="00A2584C">
        <w:rPr>
          <w:b/>
        </w:rPr>
        <w:fldChar w:fldCharType="end"/>
      </w:r>
      <w:r w:rsidR="00C34A8C" w:rsidRPr="00C34A8C">
        <w:rPr>
          <w:b/>
        </w:rPr>
        <w:t>,</w:t>
      </w:r>
      <w:r w:rsidR="00C34A8C">
        <w:rPr>
          <w:b/>
        </w:rPr>
        <w:t xml:space="preserve"> </w:t>
      </w:r>
      <w:r w:rsidR="00A4382B" w:rsidRPr="00A2584C">
        <w:rPr>
          <w:b/>
        </w:rPr>
        <w:fldChar w:fldCharType="begin"/>
      </w:r>
      <w:r w:rsidR="00A4382B" w:rsidRPr="00A2584C">
        <w:rPr>
          <w:b/>
        </w:rPr>
        <w:instrText xml:space="preserve"> REF _Ref30078925 \h </w:instrText>
      </w:r>
      <w:r w:rsidR="009822E9" w:rsidRPr="00A2584C">
        <w:rPr>
          <w:b/>
        </w:rPr>
        <w:instrText xml:space="preserve"> \* MERGEFORMAT </w:instrText>
      </w:r>
      <w:r w:rsidR="00A4382B" w:rsidRPr="00A2584C">
        <w:rPr>
          <w:b/>
        </w:rPr>
      </w:r>
      <w:r w:rsidR="00A4382B" w:rsidRPr="00A2584C">
        <w:rPr>
          <w:b/>
        </w:rPr>
        <w:fldChar w:fldCharType="separate"/>
      </w:r>
      <w:r w:rsidR="00A4382B" w:rsidRPr="00A2584C">
        <w:rPr>
          <w:rFonts w:ascii="Times New Roman" w:hAnsi="Times New Roman"/>
          <w:b/>
        </w:rPr>
        <w:t xml:space="preserve">Figure </w:t>
      </w:r>
      <w:r w:rsidR="00A4382B" w:rsidRPr="00A2584C">
        <w:rPr>
          <w:rFonts w:ascii="Times New Roman" w:hAnsi="Times New Roman"/>
          <w:b/>
          <w:noProof/>
        </w:rPr>
        <w:t>24</w:t>
      </w:r>
      <w:r w:rsidR="00A4382B" w:rsidRPr="00A2584C">
        <w:rPr>
          <w:b/>
        </w:rPr>
        <w:fldChar w:fldCharType="end"/>
      </w:r>
      <w:r w:rsidR="000A41F9" w:rsidRPr="000A41F9">
        <w:rPr>
          <w:bCs/>
        </w:rPr>
        <w:t xml:space="preserve">).  </w:t>
      </w:r>
    </w:p>
    <w:p w14:paraId="3DAE723A" w14:textId="77777777" w:rsidR="008757BF" w:rsidRDefault="008757BF" w:rsidP="000A41F9">
      <w:pPr>
        <w:ind w:firstLine="720"/>
        <w:jc w:val="both"/>
        <w:rPr>
          <w:bCs/>
        </w:rPr>
      </w:pPr>
    </w:p>
    <w:p w14:paraId="74A8656F" w14:textId="4E2E0090" w:rsidR="008757BF" w:rsidRPr="008757BF" w:rsidRDefault="008757BF" w:rsidP="008757BF">
      <w:pPr>
        <w:pStyle w:val="Heading3"/>
      </w:pPr>
      <w:bookmarkStart w:id="204" w:name="_Toc39868202"/>
      <w:r>
        <w:t>4.</w:t>
      </w:r>
      <w:r w:rsidR="00655CA3">
        <w:t>3</w:t>
      </w:r>
      <w:r>
        <w:t>.</w:t>
      </w:r>
      <w:r w:rsidR="00A4382B">
        <w:t>3</w:t>
      </w:r>
      <w:r>
        <w:t xml:space="preserve"> Metabolomic Analysis</w:t>
      </w:r>
      <w:bookmarkEnd w:id="204"/>
      <w:r>
        <w:t xml:space="preserve"> </w:t>
      </w:r>
    </w:p>
    <w:p w14:paraId="65A67596" w14:textId="62807E38" w:rsidR="000A41F9" w:rsidRPr="000A41F9" w:rsidRDefault="000A41F9" w:rsidP="000A41F9">
      <w:pPr>
        <w:ind w:firstLine="720"/>
        <w:jc w:val="both"/>
        <w:rPr>
          <w:bCs/>
        </w:rPr>
      </w:pPr>
      <w:r w:rsidRPr="000A41F9">
        <w:rPr>
          <w:bCs/>
        </w:rPr>
        <w:t xml:space="preserve">In addition to identifying drug compound accumulation, the Single-probe/ICMP system was used to detect global metabolomic changes in individual K562 cells. K562 cells were subjected to either 100 nM Taxol or vehicle (DMSO) for 24 h. A minimum of </w:t>
      </w:r>
      <w:r w:rsidRPr="000A41F9">
        <w:rPr>
          <w:bCs/>
        </w:rPr>
        <w:lastRenderedPageBreak/>
        <w:t xml:space="preserve">20 cells for each treatment condition was analyzed using the Single-Probe/ICMP setup. Following the 24 h treatment, the morphology of the cells did not change, however, the Taxol treated group had a significant change in the metabolomic composition of the cells </w:t>
      </w:r>
      <w:r w:rsidR="00A4382B">
        <w:rPr>
          <w:bCs/>
        </w:rPr>
        <w:t>(</w:t>
      </w:r>
      <w:r w:rsidR="00A4382B" w:rsidRPr="00A2584C">
        <w:rPr>
          <w:b/>
        </w:rPr>
        <w:fldChar w:fldCharType="begin"/>
      </w:r>
      <w:r w:rsidR="00A4382B" w:rsidRPr="00A2584C">
        <w:rPr>
          <w:b/>
        </w:rPr>
        <w:instrText xml:space="preserve"> REF _Ref30079011 \h </w:instrText>
      </w:r>
      <w:r w:rsidR="009822E9">
        <w:rPr>
          <w:b/>
        </w:rPr>
        <w:instrText xml:space="preserve"> \* MERGEFORMAT </w:instrText>
      </w:r>
      <w:r w:rsidR="00A4382B" w:rsidRPr="00A2584C">
        <w:rPr>
          <w:b/>
        </w:rPr>
      </w:r>
      <w:r w:rsidR="00A4382B" w:rsidRPr="00A2584C">
        <w:rPr>
          <w:b/>
        </w:rPr>
        <w:fldChar w:fldCharType="separate"/>
      </w:r>
      <w:r w:rsidR="00A4382B" w:rsidRPr="00A2584C">
        <w:rPr>
          <w:rFonts w:ascii="Times New Roman" w:hAnsi="Times New Roman"/>
          <w:b/>
        </w:rPr>
        <w:t xml:space="preserve">Figure </w:t>
      </w:r>
      <w:r w:rsidR="00A4382B" w:rsidRPr="00A2584C">
        <w:rPr>
          <w:rFonts w:ascii="Times New Roman" w:hAnsi="Times New Roman"/>
          <w:b/>
          <w:noProof/>
        </w:rPr>
        <w:t>25</w:t>
      </w:r>
      <w:r w:rsidR="00A4382B" w:rsidRPr="00A2584C">
        <w:rPr>
          <w:b/>
        </w:rPr>
        <w:fldChar w:fldCharType="end"/>
      </w:r>
      <w:r w:rsidRPr="000A41F9">
        <w:rPr>
          <w:bCs/>
        </w:rPr>
        <w:t xml:space="preserve">). A principle component analysis (PCA) was formed through taking the single cell mass spec (SCMS) data and subjecting it to a background removal, noise reduction, peak alignment, and normalization using Geena2 prior to analysis with MetaboAnalyst. 73 metabolites were significantly changed (p &lt; 0.05) upon drug treatment. To identify compounds of interest, a liquid chromatography mass spectrometry (LCMS) analysis of K562 lysate was performed and molecular identity was confirmed through MS/MS analysis. Monoglycerides (MG) and diglycerides (DG) comprised many of the significantly changed molecules. This data represents the capability of this method to both detect the amount of exogenously treated compound within the cell and perform a global analysis on the intracellular metabolites on a single-cell level. </w:t>
      </w:r>
    </w:p>
    <w:p w14:paraId="3DF9F76D" w14:textId="77777777" w:rsidR="000A41F9" w:rsidRPr="000A41F9" w:rsidRDefault="000A41F9" w:rsidP="000A41F9">
      <w:pPr>
        <w:ind w:firstLine="720"/>
        <w:jc w:val="both"/>
        <w:rPr>
          <w:bCs/>
        </w:rPr>
      </w:pPr>
    </w:p>
    <w:p w14:paraId="3995D4B5" w14:textId="77777777" w:rsidR="000A41F9" w:rsidRPr="000A41F9" w:rsidRDefault="000A41F9" w:rsidP="000A41F9">
      <w:pPr>
        <w:jc w:val="both"/>
        <w:rPr>
          <w:bCs/>
        </w:rPr>
      </w:pPr>
      <w:bookmarkStart w:id="205" w:name="_Ref32400446"/>
      <w:bookmarkStart w:id="206" w:name="_Ref32483712"/>
      <w:bookmarkStart w:id="207" w:name="_Toc39868212"/>
      <w:r w:rsidRPr="00E5747D">
        <w:rPr>
          <w:b/>
        </w:rPr>
        <w:t xml:space="preserve">Table </w:t>
      </w:r>
      <w:r w:rsidRPr="00E5747D">
        <w:rPr>
          <w:b/>
        </w:rPr>
        <w:fldChar w:fldCharType="begin"/>
      </w:r>
      <w:r w:rsidRPr="00E5747D">
        <w:rPr>
          <w:b/>
        </w:rPr>
        <w:instrText xml:space="preserve"> SEQ Table \* ARABIC </w:instrText>
      </w:r>
      <w:r w:rsidRPr="00E5747D">
        <w:rPr>
          <w:b/>
        </w:rPr>
        <w:fldChar w:fldCharType="separate"/>
      </w:r>
      <w:r w:rsidRPr="00E5747D">
        <w:rPr>
          <w:b/>
        </w:rPr>
        <w:t>1</w:t>
      </w:r>
      <w:r w:rsidRPr="00E5747D">
        <w:rPr>
          <w:b/>
        </w:rPr>
        <w:fldChar w:fldCharType="end"/>
      </w:r>
      <w:bookmarkEnd w:id="205"/>
      <w:r w:rsidRPr="000A41F9">
        <w:rPr>
          <w:bCs/>
        </w:rPr>
        <w:t>: Quantification of intracellular gemcitabine in T24 and K562 cells using the Single-Probe (T24) or Single-probe/ICMP (K562) method</w:t>
      </w:r>
      <w:bookmarkEnd w:id="206"/>
      <w:bookmarkEnd w:id="207"/>
      <w:r w:rsidRPr="000A41F9">
        <w:rPr>
          <w:bCs/>
        </w:rPr>
        <w:t xml:space="preserve"> </w:t>
      </w:r>
    </w:p>
    <w:tbl>
      <w:tblPr>
        <w:tblW w:w="8453" w:type="dxa"/>
        <w:tblCellMar>
          <w:left w:w="0" w:type="dxa"/>
          <w:right w:w="0" w:type="dxa"/>
        </w:tblCellMar>
        <w:tblLook w:val="04A0" w:firstRow="1" w:lastRow="0" w:firstColumn="1" w:lastColumn="0" w:noHBand="0" w:noVBand="1"/>
      </w:tblPr>
      <w:tblGrid>
        <w:gridCol w:w="2971"/>
        <w:gridCol w:w="2658"/>
        <w:gridCol w:w="2824"/>
      </w:tblGrid>
      <w:tr w:rsidR="000A41F9" w:rsidRPr="000A41F9" w14:paraId="78D7CB20" w14:textId="77777777" w:rsidTr="000A41F9">
        <w:trPr>
          <w:trHeight w:val="99"/>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440E01DD" w14:textId="77777777" w:rsidR="000A41F9" w:rsidRPr="000A41F9" w:rsidRDefault="000A41F9" w:rsidP="000A41F9">
            <w:pPr>
              <w:ind w:firstLine="720"/>
              <w:jc w:val="both"/>
              <w:rPr>
                <w:bCs/>
              </w:rPr>
            </w:pPr>
            <w:r w:rsidRPr="000A41F9">
              <w:rPr>
                <w:b/>
                <w:bCs/>
              </w:rPr>
              <w:t>Treatment Conc.</w:t>
            </w:r>
          </w:p>
        </w:tc>
        <w:tc>
          <w:tcPr>
            <w:tcW w:w="265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686A5A84" w14:textId="77777777" w:rsidR="000A41F9" w:rsidRPr="000A41F9" w:rsidRDefault="000A41F9" w:rsidP="000A41F9">
            <w:pPr>
              <w:ind w:firstLine="720"/>
              <w:jc w:val="both"/>
              <w:rPr>
                <w:bCs/>
              </w:rPr>
            </w:pPr>
            <w:r w:rsidRPr="000A41F9">
              <w:rPr>
                <w:b/>
                <w:bCs/>
              </w:rPr>
              <w:t>T24 (Attomole)</w:t>
            </w:r>
          </w:p>
        </w:tc>
        <w:tc>
          <w:tcPr>
            <w:tcW w:w="28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531F74FC" w14:textId="77777777" w:rsidR="000A41F9" w:rsidRPr="000A41F9" w:rsidRDefault="000A41F9" w:rsidP="000A41F9">
            <w:pPr>
              <w:ind w:firstLine="720"/>
              <w:jc w:val="both"/>
              <w:rPr>
                <w:bCs/>
              </w:rPr>
            </w:pPr>
            <w:r w:rsidRPr="000A41F9">
              <w:rPr>
                <w:b/>
                <w:bCs/>
              </w:rPr>
              <w:t>K562 (Attomole)</w:t>
            </w:r>
          </w:p>
        </w:tc>
      </w:tr>
      <w:tr w:rsidR="000A41F9" w:rsidRPr="000A41F9" w14:paraId="1AD5637E" w14:textId="77777777" w:rsidTr="000A41F9">
        <w:trPr>
          <w:trHeight w:val="47"/>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099873D4" w14:textId="77777777" w:rsidR="000A41F9" w:rsidRPr="000A41F9" w:rsidRDefault="000A41F9" w:rsidP="000A41F9">
            <w:pPr>
              <w:ind w:firstLine="720"/>
              <w:jc w:val="both"/>
              <w:rPr>
                <w:bCs/>
              </w:rPr>
            </w:pPr>
            <w:r w:rsidRPr="000A41F9">
              <w:rPr>
                <w:bCs/>
              </w:rPr>
              <w:t>0.1 µM</w:t>
            </w:r>
          </w:p>
        </w:tc>
        <w:tc>
          <w:tcPr>
            <w:tcW w:w="265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38A04064" w14:textId="77777777" w:rsidR="000A41F9" w:rsidRPr="000A41F9" w:rsidRDefault="000A41F9" w:rsidP="000A41F9">
            <w:pPr>
              <w:ind w:firstLine="720"/>
              <w:jc w:val="both"/>
              <w:rPr>
                <w:bCs/>
              </w:rPr>
            </w:pPr>
            <w:r w:rsidRPr="000A41F9">
              <w:rPr>
                <w:bCs/>
              </w:rPr>
              <w:t xml:space="preserve">13.9 </w:t>
            </w:r>
            <w:r w:rsidRPr="000A41F9">
              <w:rPr>
                <w:bCs/>
              </w:rPr>
              <w:sym w:font="Symbol" w:char="F0B1"/>
            </w:r>
            <w:r w:rsidRPr="000A41F9">
              <w:rPr>
                <w:bCs/>
              </w:rPr>
              <w:t xml:space="preserve"> 10.6</w:t>
            </w:r>
          </w:p>
        </w:tc>
        <w:tc>
          <w:tcPr>
            <w:tcW w:w="28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76D314E4" w14:textId="77777777" w:rsidR="000A41F9" w:rsidRPr="000A41F9" w:rsidRDefault="000A41F9" w:rsidP="000A41F9">
            <w:pPr>
              <w:ind w:firstLine="720"/>
              <w:jc w:val="both"/>
              <w:rPr>
                <w:bCs/>
              </w:rPr>
            </w:pPr>
            <w:r w:rsidRPr="000A41F9">
              <w:rPr>
                <w:bCs/>
              </w:rPr>
              <w:t xml:space="preserve">41.3 </w:t>
            </w:r>
            <w:r w:rsidRPr="000A41F9">
              <w:rPr>
                <w:bCs/>
              </w:rPr>
              <w:sym w:font="Symbol" w:char="F0B1"/>
            </w:r>
            <w:r w:rsidRPr="000A41F9">
              <w:rPr>
                <w:bCs/>
              </w:rPr>
              <w:t xml:space="preserve"> 23.5</w:t>
            </w:r>
          </w:p>
        </w:tc>
      </w:tr>
      <w:tr w:rsidR="000A41F9" w:rsidRPr="000A41F9" w14:paraId="13CAED9C" w14:textId="77777777" w:rsidTr="000A41F9">
        <w:trPr>
          <w:trHeight w:val="47"/>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0756AB93" w14:textId="77777777" w:rsidR="000A41F9" w:rsidRPr="000A41F9" w:rsidRDefault="000A41F9" w:rsidP="000A41F9">
            <w:pPr>
              <w:ind w:firstLine="720"/>
              <w:jc w:val="both"/>
              <w:rPr>
                <w:bCs/>
              </w:rPr>
            </w:pPr>
            <w:r w:rsidRPr="000A41F9">
              <w:rPr>
                <w:bCs/>
              </w:rPr>
              <w:t>1 µM</w:t>
            </w:r>
          </w:p>
        </w:tc>
        <w:tc>
          <w:tcPr>
            <w:tcW w:w="265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2300CEDE" w14:textId="77777777" w:rsidR="000A41F9" w:rsidRPr="000A41F9" w:rsidRDefault="000A41F9" w:rsidP="000A41F9">
            <w:pPr>
              <w:ind w:firstLine="720"/>
              <w:jc w:val="both"/>
              <w:rPr>
                <w:bCs/>
              </w:rPr>
            </w:pPr>
            <w:r w:rsidRPr="000A41F9">
              <w:rPr>
                <w:bCs/>
              </w:rPr>
              <w:t xml:space="preserve">27.0 </w:t>
            </w:r>
            <w:r w:rsidRPr="000A41F9">
              <w:rPr>
                <w:bCs/>
              </w:rPr>
              <w:sym w:font="Symbol" w:char="F0B1"/>
            </w:r>
            <w:r w:rsidRPr="000A41F9">
              <w:rPr>
                <w:bCs/>
              </w:rPr>
              <w:t xml:space="preserve"> 22.6</w:t>
            </w:r>
          </w:p>
        </w:tc>
        <w:tc>
          <w:tcPr>
            <w:tcW w:w="28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710CD16B" w14:textId="77777777" w:rsidR="000A41F9" w:rsidRPr="000A41F9" w:rsidRDefault="000A41F9" w:rsidP="000A41F9">
            <w:pPr>
              <w:ind w:firstLine="720"/>
              <w:jc w:val="both"/>
              <w:rPr>
                <w:bCs/>
              </w:rPr>
            </w:pPr>
            <w:r w:rsidRPr="000A41F9">
              <w:rPr>
                <w:bCs/>
              </w:rPr>
              <w:t xml:space="preserve">46.7 </w:t>
            </w:r>
            <w:r w:rsidRPr="000A41F9">
              <w:rPr>
                <w:bCs/>
              </w:rPr>
              <w:sym w:font="Symbol" w:char="F0B1"/>
            </w:r>
            <w:r w:rsidRPr="000A41F9">
              <w:rPr>
                <w:bCs/>
              </w:rPr>
              <w:t xml:space="preserve"> 28.2</w:t>
            </w:r>
          </w:p>
        </w:tc>
      </w:tr>
      <w:tr w:rsidR="000A41F9" w:rsidRPr="000A41F9" w14:paraId="1F8828AA" w14:textId="77777777" w:rsidTr="000A41F9">
        <w:trPr>
          <w:trHeight w:val="47"/>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6B0A3756" w14:textId="77777777" w:rsidR="000A41F9" w:rsidRPr="000A41F9" w:rsidRDefault="000A41F9" w:rsidP="000A41F9">
            <w:pPr>
              <w:ind w:firstLine="720"/>
              <w:jc w:val="both"/>
              <w:rPr>
                <w:bCs/>
              </w:rPr>
            </w:pPr>
            <w:r w:rsidRPr="000A41F9">
              <w:rPr>
                <w:bCs/>
              </w:rPr>
              <w:t>10 µM</w:t>
            </w:r>
          </w:p>
        </w:tc>
        <w:tc>
          <w:tcPr>
            <w:tcW w:w="2658"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01F9CAE4" w14:textId="77777777" w:rsidR="000A41F9" w:rsidRPr="000A41F9" w:rsidRDefault="000A41F9" w:rsidP="000A41F9">
            <w:pPr>
              <w:ind w:firstLine="720"/>
              <w:jc w:val="both"/>
              <w:rPr>
                <w:bCs/>
              </w:rPr>
            </w:pPr>
            <w:r w:rsidRPr="000A41F9">
              <w:rPr>
                <w:bCs/>
              </w:rPr>
              <w:t xml:space="preserve">42.8 </w:t>
            </w:r>
            <w:r w:rsidRPr="000A41F9">
              <w:rPr>
                <w:bCs/>
              </w:rPr>
              <w:sym w:font="Symbol" w:char="F0B1"/>
            </w:r>
            <w:r w:rsidRPr="000A41F9">
              <w:rPr>
                <w:bCs/>
              </w:rPr>
              <w:t xml:space="preserve"> 37.7</w:t>
            </w:r>
          </w:p>
        </w:tc>
        <w:tc>
          <w:tcPr>
            <w:tcW w:w="2824"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66E94EFD" w14:textId="77777777" w:rsidR="000A41F9" w:rsidRPr="000A41F9" w:rsidRDefault="000A41F9" w:rsidP="000A41F9">
            <w:pPr>
              <w:ind w:firstLine="720"/>
              <w:jc w:val="both"/>
              <w:rPr>
                <w:bCs/>
              </w:rPr>
            </w:pPr>
            <w:r w:rsidRPr="000A41F9">
              <w:rPr>
                <w:bCs/>
              </w:rPr>
              <w:t>72.0 </w:t>
            </w:r>
            <w:r w:rsidRPr="000A41F9">
              <w:rPr>
                <w:bCs/>
              </w:rPr>
              <w:sym w:font="Symbol" w:char="F0B1"/>
            </w:r>
            <w:r w:rsidRPr="000A41F9">
              <w:rPr>
                <w:bCs/>
              </w:rPr>
              <w:t xml:space="preserve"> 59.5</w:t>
            </w:r>
          </w:p>
        </w:tc>
      </w:tr>
    </w:tbl>
    <w:p w14:paraId="458CC9B0" w14:textId="77777777" w:rsidR="000A41F9" w:rsidRPr="000A41F9" w:rsidRDefault="000A41F9" w:rsidP="000A41F9">
      <w:pPr>
        <w:ind w:firstLine="720"/>
        <w:jc w:val="both"/>
        <w:rPr>
          <w:bCs/>
        </w:rPr>
      </w:pPr>
    </w:p>
    <w:p w14:paraId="3BB2C659" w14:textId="72FAEE5F" w:rsidR="008757BF" w:rsidRPr="008757BF" w:rsidRDefault="008757BF" w:rsidP="008757BF">
      <w:pPr>
        <w:pStyle w:val="Heading3"/>
      </w:pPr>
      <w:bookmarkStart w:id="208" w:name="_Toc39868203"/>
      <w:r>
        <w:lastRenderedPageBreak/>
        <w:t>4.</w:t>
      </w:r>
      <w:r w:rsidR="00655CA3">
        <w:t>3</w:t>
      </w:r>
      <w:r>
        <w:t>.</w:t>
      </w:r>
      <w:r w:rsidR="00A4382B">
        <w:t>4</w:t>
      </w:r>
      <w:r>
        <w:t xml:space="preserve"> </w:t>
      </w:r>
      <w:r w:rsidR="000C4204">
        <w:t>Single-Cell Drug Quantification</w:t>
      </w:r>
      <w:bookmarkEnd w:id="208"/>
    </w:p>
    <w:p w14:paraId="45224D2A" w14:textId="3D2228B5" w:rsidR="000A41F9" w:rsidRPr="000A41F9" w:rsidRDefault="000A41F9" w:rsidP="000A41F9">
      <w:pPr>
        <w:ind w:firstLine="720"/>
        <w:jc w:val="both"/>
        <w:rPr>
          <w:bCs/>
        </w:rPr>
      </w:pPr>
      <w:r w:rsidRPr="000A41F9">
        <w:rPr>
          <w:bCs/>
        </w:rPr>
        <w:t>Following the development of this methodology for the detection of drug compounds and changes in intracellular metabolites upon drug treatment, we developed this technology to quantify the amount of drug compound accumulated inside single suspended cells. To begin this analysis, we utilized the established Single-Probe to quantify drug compound from the adherent bladder cancer cell line, T24. Cells were treated with the standard of care chemotherapeutic, gemcitabine, at either 0.1 µM, 1.0 µM, or 10 µM for 1 h and quantified using the Single-probe  (</w:t>
      </w:r>
      <w:r w:rsidR="00A4382B" w:rsidRPr="00A2584C">
        <w:rPr>
          <w:b/>
          <w:bCs/>
        </w:rPr>
        <w:fldChar w:fldCharType="begin"/>
      </w:r>
      <w:r w:rsidR="00A4382B" w:rsidRPr="00A2584C">
        <w:rPr>
          <w:b/>
          <w:bCs/>
        </w:rPr>
        <w:instrText xml:space="preserve"> REF _Ref30080787 \h </w:instrText>
      </w:r>
      <w:r w:rsidR="009822E9" w:rsidRPr="00A2584C">
        <w:rPr>
          <w:b/>
          <w:bCs/>
        </w:rPr>
        <w:instrText xml:space="preserve"> \* MERGEFORMAT </w:instrText>
      </w:r>
      <w:r w:rsidR="00A4382B" w:rsidRPr="00A2584C">
        <w:rPr>
          <w:b/>
          <w:bCs/>
        </w:rPr>
      </w:r>
      <w:r w:rsidR="00A4382B" w:rsidRPr="00A2584C">
        <w:rPr>
          <w:b/>
          <w:bCs/>
        </w:rPr>
        <w:fldChar w:fldCharType="separate"/>
      </w:r>
      <w:r w:rsidR="00A4382B" w:rsidRPr="00A2584C">
        <w:rPr>
          <w:rFonts w:ascii="Times New Roman" w:hAnsi="Times New Roman"/>
          <w:b/>
          <w:bCs/>
        </w:rPr>
        <w:t xml:space="preserve">Figure </w:t>
      </w:r>
      <w:r w:rsidR="00A4382B" w:rsidRPr="00A2584C">
        <w:rPr>
          <w:rFonts w:ascii="Times New Roman" w:hAnsi="Times New Roman"/>
          <w:b/>
          <w:bCs/>
          <w:noProof/>
        </w:rPr>
        <w:t>26</w:t>
      </w:r>
      <w:r w:rsidR="00A4382B" w:rsidRPr="00A2584C">
        <w:rPr>
          <w:b/>
          <w:bCs/>
        </w:rPr>
        <w:fldChar w:fldCharType="end"/>
      </w:r>
      <w:r w:rsidRPr="000A41F9">
        <w:rPr>
          <w:b/>
          <w:bCs/>
        </w:rPr>
        <w:t>,</w:t>
      </w:r>
      <w:r w:rsidR="00C34A8C">
        <w:rPr>
          <w:b/>
          <w:bCs/>
        </w:rPr>
        <w:t xml:space="preserve"> </w:t>
      </w:r>
      <w:r w:rsidR="00A4382B" w:rsidRPr="00A2584C">
        <w:rPr>
          <w:b/>
        </w:rPr>
        <w:fldChar w:fldCharType="begin"/>
      </w:r>
      <w:r w:rsidR="00A4382B" w:rsidRPr="00A2584C">
        <w:rPr>
          <w:b/>
        </w:rPr>
        <w:instrText xml:space="preserve"> REF _Ref32400446 \h  \* MERGEFORMAT </w:instrText>
      </w:r>
      <w:r w:rsidR="00A4382B" w:rsidRPr="00A2584C">
        <w:rPr>
          <w:b/>
        </w:rPr>
      </w:r>
      <w:r w:rsidR="00A4382B" w:rsidRPr="00A2584C">
        <w:rPr>
          <w:b/>
        </w:rPr>
        <w:fldChar w:fldCharType="separate"/>
      </w:r>
      <w:r w:rsidR="00A4382B" w:rsidRPr="00A2584C">
        <w:rPr>
          <w:b/>
        </w:rPr>
        <w:t>Table 1</w:t>
      </w:r>
      <w:r w:rsidR="00A4382B" w:rsidRPr="00A2584C">
        <w:rPr>
          <w:b/>
        </w:rPr>
        <w:fldChar w:fldCharType="end"/>
      </w:r>
      <w:r w:rsidRPr="00A4382B">
        <w:rPr>
          <w:bCs/>
        </w:rPr>
        <w:t>)</w:t>
      </w:r>
      <w:r w:rsidRPr="000A41F9">
        <w:rPr>
          <w:bCs/>
        </w:rPr>
        <w:t>. An internal standard of (</w:t>
      </w:r>
      <w:r w:rsidRPr="000A41F9">
        <w:rPr>
          <w:bCs/>
          <w:vertAlign w:val="superscript"/>
        </w:rPr>
        <w:t>13</w:t>
      </w:r>
      <w:r w:rsidRPr="000A41F9">
        <w:rPr>
          <w:bCs/>
        </w:rPr>
        <w:t>C,</w:t>
      </w:r>
      <w:r w:rsidRPr="000A41F9">
        <w:rPr>
          <w:bCs/>
          <w:vertAlign w:val="superscript"/>
        </w:rPr>
        <w:t xml:space="preserve"> 15</w:t>
      </w:r>
      <w:r w:rsidRPr="000A41F9">
        <w:rPr>
          <w:bCs/>
        </w:rPr>
        <w:t>N-labeled) gemcitabine we prepared ([</w:t>
      </w:r>
      <w:r w:rsidRPr="000A41F9">
        <w:rPr>
          <w:bCs/>
          <w:vertAlign w:val="superscript"/>
        </w:rPr>
        <w:t>13</w:t>
      </w:r>
      <w:r w:rsidRPr="000A41F9">
        <w:rPr>
          <w:bCs/>
        </w:rPr>
        <w:t>CC</w:t>
      </w:r>
      <w:r w:rsidRPr="000A41F9">
        <w:rPr>
          <w:bCs/>
          <w:vertAlign w:val="subscript"/>
        </w:rPr>
        <w:t>8</w:t>
      </w:r>
      <w:r w:rsidRPr="000A41F9">
        <w:rPr>
          <w:bCs/>
        </w:rPr>
        <w:t>H</w:t>
      </w:r>
      <w:r w:rsidRPr="000A41F9">
        <w:rPr>
          <w:bCs/>
          <w:vertAlign w:val="subscript"/>
        </w:rPr>
        <w:t>11</w:t>
      </w:r>
      <w:r w:rsidRPr="000A41F9">
        <w:rPr>
          <w:bCs/>
        </w:rPr>
        <w:t>F</w:t>
      </w:r>
      <w:r w:rsidRPr="000A41F9">
        <w:rPr>
          <w:bCs/>
          <w:vertAlign w:val="subscript"/>
        </w:rPr>
        <w:t>2</w:t>
      </w:r>
      <w:r w:rsidRPr="000A41F9">
        <w:rPr>
          <w:bCs/>
          <w:vertAlign w:val="superscript"/>
        </w:rPr>
        <w:t>15</w:t>
      </w:r>
      <w:r w:rsidRPr="000A41F9">
        <w:rPr>
          <w:bCs/>
        </w:rPr>
        <w:t>N</w:t>
      </w:r>
      <w:r w:rsidRPr="000A41F9">
        <w:rPr>
          <w:bCs/>
          <w:vertAlign w:val="subscript"/>
        </w:rPr>
        <w:t>2</w:t>
      </w:r>
      <w:r w:rsidRPr="000A41F9">
        <w:rPr>
          <w:bCs/>
        </w:rPr>
        <w:t>NO</w:t>
      </w:r>
      <w:r w:rsidRPr="000A41F9">
        <w:rPr>
          <w:bCs/>
          <w:vertAlign w:val="subscript"/>
        </w:rPr>
        <w:t>4</w:t>
      </w:r>
      <w:r w:rsidRPr="000A41F9">
        <w:rPr>
          <w:bCs/>
        </w:rPr>
        <w:t xml:space="preserve"> + H]</w:t>
      </w:r>
      <w:r w:rsidRPr="000A41F9">
        <w:rPr>
          <w:bCs/>
          <w:vertAlign w:val="superscript"/>
        </w:rPr>
        <w:t>+</w:t>
      </w:r>
      <w:r w:rsidRPr="000A41F9">
        <w:rPr>
          <w:bCs/>
        </w:rPr>
        <w:t xml:space="preserve">, </w:t>
      </w:r>
      <w:r w:rsidRPr="000A41F9">
        <w:rPr>
          <w:bCs/>
          <w:i/>
          <w:iCs/>
        </w:rPr>
        <w:t xml:space="preserve">m/z </w:t>
      </w:r>
      <w:r w:rsidRPr="000A41F9">
        <w:rPr>
          <w:bCs/>
        </w:rPr>
        <w:t>267.0703)</w:t>
      </w:r>
      <w:r w:rsidRPr="000A41F9">
        <w:rPr>
          <w:b/>
          <w:bCs/>
        </w:rPr>
        <w:t xml:space="preserve"> </w:t>
      </w:r>
      <w:r w:rsidRPr="000A41F9">
        <w:rPr>
          <w:bCs/>
        </w:rPr>
        <w:t xml:space="preserve">was added into the sampling solvent (acetonitrile with 0.1% formic acid). The resulting continuous flow and detection of the known concentration of internal standard allowed the ability to quantify the amount of detected intracellular gemcitabine in the cell utilizing the following equation: </w:t>
      </w:r>
    </w:p>
    <w:p w14:paraId="4FF71122" w14:textId="281C1F80" w:rsidR="000A41F9" w:rsidRPr="000A41F9" w:rsidRDefault="000A41F9" w:rsidP="000A41F9">
      <w:pPr>
        <w:ind w:firstLine="720"/>
        <w:jc w:val="both"/>
        <w:rPr>
          <w:bCs/>
        </w:rPr>
      </w:pPr>
    </w:p>
    <w:p w14:paraId="54592D20" w14:textId="155C56D2" w:rsidR="000A41F9" w:rsidRDefault="009425BE" w:rsidP="000A41F9">
      <w:pPr>
        <w:ind w:firstLine="720"/>
        <w:jc w:val="both"/>
        <w:rPr>
          <w:bCs/>
        </w:rPr>
      </w:pPr>
      <m:oMath>
        <m:f>
          <m:fPr>
            <m:ctrlPr>
              <w:rPr>
                <w:rFonts w:ascii="Cambria Math" w:hAnsi="Cambria Math" w:cstheme="minorHAnsi"/>
                <w:bCs/>
                <w:sz w:val="40"/>
                <w:szCs w:val="40"/>
              </w:rPr>
            </m:ctrlPr>
          </m:fPr>
          <m:num>
            <m:r>
              <m:rPr>
                <m:sty m:val="p"/>
              </m:rPr>
              <w:rPr>
                <w:rFonts w:ascii="Cambria Math" w:hAnsi="Cambria Math" w:cstheme="minorHAnsi"/>
                <w:sz w:val="40"/>
                <w:szCs w:val="40"/>
              </w:rPr>
              <m:t>ΣA</m:t>
            </m:r>
          </m:num>
          <m:den>
            <m:r>
              <m:rPr>
                <m:sty m:val="p"/>
              </m:rPr>
              <w:rPr>
                <w:rFonts w:ascii="Cambria Math" w:hAnsi="Cambria Math" w:cstheme="minorHAnsi"/>
                <w:bCs/>
                <w:sz w:val="40"/>
                <w:szCs w:val="40"/>
              </w:rPr>
              <w:sym w:font="Symbol" w:char="F053"/>
            </m:r>
            <m:r>
              <m:rPr>
                <m:sty m:val="p"/>
              </m:rPr>
              <w:rPr>
                <w:rFonts w:ascii="Cambria Math" w:hAnsi="Cambria Math" w:cstheme="minorHAnsi"/>
                <w:sz w:val="40"/>
                <w:szCs w:val="40"/>
              </w:rPr>
              <m:t xml:space="preserve">B </m:t>
            </m:r>
          </m:den>
        </m:f>
        <m:r>
          <w:rPr>
            <w:rFonts w:ascii="Cambria Math" w:hAnsi="Cambria Math" w:cstheme="minorHAnsi"/>
            <w:sz w:val="40"/>
            <w:szCs w:val="40"/>
          </w:rPr>
          <m:t>=</m:t>
        </m:r>
        <m:f>
          <m:fPr>
            <m:ctrlPr>
              <w:rPr>
                <w:rFonts w:ascii="Cambria Math" w:hAnsi="Cambria Math" w:cstheme="minorHAnsi"/>
                <w:bCs/>
                <w:sz w:val="40"/>
                <w:szCs w:val="40"/>
              </w:rPr>
            </m:ctrlPr>
          </m:fPr>
          <m:num>
            <m:r>
              <m:rPr>
                <m:sty m:val="p"/>
              </m:rPr>
              <w:rPr>
                <w:rFonts w:ascii="Cambria Math" w:hAnsi="Cambria Math" w:cstheme="minorHAnsi"/>
                <w:sz w:val="40"/>
                <w:szCs w:val="40"/>
              </w:rPr>
              <m:t>x</m:t>
            </m:r>
            <m:ctrlPr>
              <w:rPr>
                <w:rFonts w:ascii="Cambria Math" w:hAnsi="Cambria Math" w:cstheme="minorHAnsi"/>
                <w:bCs/>
                <w:i/>
                <w:sz w:val="40"/>
                <w:szCs w:val="40"/>
              </w:rPr>
            </m:ctrlPr>
          </m:num>
          <m:den>
            <m:r>
              <w:rPr>
                <w:rFonts w:ascii="Cambria Math" w:hAnsi="Cambria Math" w:cstheme="minorHAnsi"/>
                <w:sz w:val="40"/>
                <w:szCs w:val="40"/>
              </w:rPr>
              <m:t>c*t*v</m:t>
            </m:r>
          </m:den>
        </m:f>
        <m:r>
          <w:rPr>
            <w:rFonts w:ascii="Cambria Math" w:hAnsi="Cambria Math" w:cstheme="minorHAnsi"/>
            <w:sz w:val="40"/>
            <w:szCs w:val="40"/>
          </w:rPr>
          <m:t xml:space="preserve"> </m:t>
        </m:r>
      </m:oMath>
      <w:r w:rsidR="000A41F9" w:rsidRPr="00B94610">
        <w:rPr>
          <w:rFonts w:cstheme="minorHAnsi"/>
          <w:bCs/>
          <w:sz w:val="40"/>
          <w:szCs w:val="40"/>
        </w:rPr>
        <w:t xml:space="preserve"> </w:t>
      </w:r>
      <w:r w:rsidR="000A41F9" w:rsidRPr="000A41F9">
        <w:rPr>
          <w:bCs/>
        </w:rPr>
        <w:t xml:space="preserve">   (</w:t>
      </w:r>
      <w:r w:rsidR="000A41F9" w:rsidRPr="000A41F9">
        <w:rPr>
          <w:b/>
          <w:bCs/>
        </w:rPr>
        <w:t>Equation 4.1)</w:t>
      </w:r>
      <w:r w:rsidR="000A41F9" w:rsidRPr="000A41F9">
        <w:rPr>
          <w:bCs/>
        </w:rPr>
        <w:t xml:space="preserve"> </w:t>
      </w:r>
    </w:p>
    <w:p w14:paraId="127B69B1" w14:textId="77777777" w:rsidR="00B94610" w:rsidRPr="000A41F9" w:rsidRDefault="00B94610" w:rsidP="000A41F9">
      <w:pPr>
        <w:ind w:firstLine="720"/>
        <w:jc w:val="both"/>
        <w:rPr>
          <w:bCs/>
        </w:rPr>
      </w:pPr>
    </w:p>
    <w:p w14:paraId="7C25146A" w14:textId="6E9D1BD9" w:rsidR="000A41F9" w:rsidRPr="000A41F9" w:rsidRDefault="000A41F9" w:rsidP="000A41F9">
      <w:pPr>
        <w:ind w:firstLine="720"/>
        <w:jc w:val="both"/>
        <w:rPr>
          <w:bCs/>
          <w:i/>
        </w:rPr>
      </w:pPr>
      <w:r w:rsidRPr="000A41F9">
        <w:rPr>
          <w:bCs/>
        </w:rPr>
        <w:t>A and B are the integration of the ion intensities for the target compound and standard, respectively, considering the internal standard concentration (c), time (t), and flow rate (</w:t>
      </w:r>
      <w:r w:rsidRPr="000A41F9">
        <w:rPr>
          <w:bCs/>
          <w:i/>
          <w:iCs/>
        </w:rPr>
        <w:t>v</w:t>
      </w:r>
      <w:r w:rsidRPr="000A41F9">
        <w:rPr>
          <w:bCs/>
        </w:rPr>
        <w:t>). This illustrated the ability to quantify the amount of gemcitabine inside single, adherent bladder cancer cells</w:t>
      </w:r>
      <w:r w:rsidRPr="000A41F9">
        <w:rPr>
          <w:bCs/>
          <w:i/>
        </w:rPr>
        <w:t xml:space="preserve"> in vitro. </w:t>
      </w:r>
    </w:p>
    <w:p w14:paraId="358D2703" w14:textId="378D549C" w:rsidR="000A41F9" w:rsidRPr="000A41F9" w:rsidRDefault="000A41F9" w:rsidP="000A41F9">
      <w:pPr>
        <w:ind w:firstLine="720"/>
        <w:jc w:val="both"/>
        <w:rPr>
          <w:bCs/>
          <w:i/>
        </w:rPr>
      </w:pPr>
    </w:p>
    <w:p w14:paraId="16495F51" w14:textId="3B3DF7CF" w:rsidR="009822E9" w:rsidRPr="000A41F9" w:rsidRDefault="000C4204" w:rsidP="000A41F9">
      <w:pPr>
        <w:ind w:firstLine="720"/>
        <w:jc w:val="both"/>
        <w:rPr>
          <w:bCs/>
        </w:rPr>
      </w:pPr>
      <w:r w:rsidRPr="000A41F9">
        <w:rPr>
          <w:bCs/>
          <w:noProof/>
        </w:rPr>
        <w:lastRenderedPageBreak/>
        <mc:AlternateContent>
          <mc:Choice Requires="wps">
            <w:drawing>
              <wp:anchor distT="45720" distB="45720" distL="114300" distR="114300" simplePos="0" relativeHeight="251602944" behindDoc="0" locked="0" layoutInCell="1" allowOverlap="1" wp14:anchorId="56E6F21E" wp14:editId="5A8A9990">
                <wp:simplePos x="0" y="0"/>
                <wp:positionH relativeFrom="margin">
                  <wp:align>left</wp:align>
                </wp:positionH>
                <wp:positionV relativeFrom="paragraph">
                  <wp:posOffset>1421584</wp:posOffset>
                </wp:positionV>
                <wp:extent cx="5373370" cy="3729990"/>
                <wp:effectExtent l="0" t="0" r="17780" b="2286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3729990"/>
                        </a:xfrm>
                        <a:prstGeom prst="rect">
                          <a:avLst/>
                        </a:prstGeom>
                        <a:solidFill>
                          <a:srgbClr val="FFFFFF"/>
                        </a:solidFill>
                        <a:ln w="9525">
                          <a:solidFill>
                            <a:srgbClr val="000000"/>
                          </a:solidFill>
                          <a:miter lim="800000"/>
                          <a:headEnd/>
                          <a:tailEnd/>
                        </a:ln>
                      </wps:spPr>
                      <wps:txbx>
                        <w:txbxContent>
                          <w:p w14:paraId="05866DF6" w14:textId="77777777" w:rsidR="00730B8F" w:rsidRDefault="00730B8F" w:rsidP="000A41F9">
                            <w:pPr>
                              <w:keepNext/>
                            </w:pPr>
                            <w:bookmarkStart w:id="209" w:name="_Hlk31019545"/>
                            <w:bookmarkEnd w:id="209"/>
                            <w:r>
                              <w:rPr>
                                <w:noProof/>
                              </w:rPr>
                              <w:drawing>
                                <wp:inline distT="0" distB="0" distL="0" distR="0" wp14:anchorId="30735A2E" wp14:editId="54575AD2">
                                  <wp:extent cx="5173345" cy="2513965"/>
                                  <wp:effectExtent l="0" t="0" r="0" b="0"/>
                                  <wp:docPr id="216" name="Picture 21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73345" cy="2513965"/>
                                          </a:xfrm>
                                          <a:prstGeom prst="rect">
                                            <a:avLst/>
                                          </a:prstGeom>
                                          <a:noFill/>
                                        </pic:spPr>
                                      </pic:pic>
                                    </a:graphicData>
                                  </a:graphic>
                                </wp:inline>
                              </w:drawing>
                            </w:r>
                          </w:p>
                          <w:p w14:paraId="113531F0" w14:textId="49E3FB9A" w:rsidR="00730B8F" w:rsidRPr="00DF10BA" w:rsidRDefault="00730B8F" w:rsidP="000A41F9">
                            <w:pPr>
                              <w:pStyle w:val="Caption"/>
                              <w:rPr>
                                <w:rFonts w:ascii="Times New Roman" w:hAnsi="Times New Roman"/>
                                <w:b w:val="0"/>
                                <w:bCs w:val="0"/>
                                <w:i/>
                                <w:iCs/>
                                <w:szCs w:val="24"/>
                              </w:rPr>
                            </w:pPr>
                            <w:bookmarkStart w:id="210" w:name="_Toc39868240"/>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27</w:t>
                            </w:r>
                            <w:r w:rsidRPr="00E5747D">
                              <w:rPr>
                                <w:rFonts w:ascii="Times New Roman" w:hAnsi="Times New Roman"/>
                                <w:i/>
                                <w:iCs/>
                                <w:szCs w:val="24"/>
                              </w:rPr>
                              <w:fldChar w:fldCharType="end"/>
                            </w:r>
                            <w:r w:rsidRPr="00DF10BA">
                              <w:rPr>
                                <w:rFonts w:ascii="Times New Roman" w:hAnsi="Times New Roman"/>
                                <w:b w:val="0"/>
                                <w:bCs w:val="0"/>
                                <w:szCs w:val="24"/>
                              </w:rPr>
                              <w:t>: Gemcitabine spectra from patient isolated bladder cancer cell. Mass spectrum of gemcitabine and the inactive metabolite, dFdU, with 1 µM</w:t>
                            </w:r>
                            <w:r w:rsidRPr="00DF10BA">
                              <w:rPr>
                                <w:rFonts w:ascii="Times New Roman" w:hAnsi="Times New Roman"/>
                                <w:b w:val="0"/>
                                <w:bCs w:val="0"/>
                                <w:szCs w:val="24"/>
                                <w:vertAlign w:val="superscript"/>
                              </w:rPr>
                              <w:t>15</w:t>
                            </w:r>
                            <w:r w:rsidRPr="00DF10BA">
                              <w:rPr>
                                <w:rFonts w:ascii="Times New Roman" w:hAnsi="Times New Roman"/>
                                <w:b w:val="0"/>
                                <w:bCs w:val="0"/>
                                <w:szCs w:val="24"/>
                              </w:rPr>
                              <w:t>N</w:t>
                            </w:r>
                            <w:r w:rsidRPr="00DF10BA">
                              <w:rPr>
                                <w:rFonts w:ascii="Times New Roman" w:hAnsi="Times New Roman"/>
                                <w:b w:val="0"/>
                                <w:bCs w:val="0"/>
                                <w:szCs w:val="24"/>
                                <w:vertAlign w:val="subscript"/>
                              </w:rPr>
                              <w:t>3</w:t>
                            </w:r>
                            <w:r w:rsidRPr="00DF10BA">
                              <w:rPr>
                                <w:rFonts w:ascii="Times New Roman" w:hAnsi="Times New Roman"/>
                                <w:b w:val="0"/>
                                <w:bCs w:val="0"/>
                                <w:szCs w:val="24"/>
                              </w:rPr>
                              <w:t>-gemcitabine from an individual cell isolated from the urine of a bladder cancer patient one hour after a 1000 mg/m</w:t>
                            </w:r>
                            <w:r w:rsidRPr="00DF10BA">
                              <w:rPr>
                                <w:rFonts w:ascii="Times New Roman" w:hAnsi="Times New Roman"/>
                                <w:b w:val="0"/>
                                <w:bCs w:val="0"/>
                                <w:szCs w:val="24"/>
                                <w:vertAlign w:val="superscript"/>
                              </w:rPr>
                              <w:t xml:space="preserve">2 </w:t>
                            </w:r>
                            <w:r w:rsidRPr="00DF10BA">
                              <w:rPr>
                                <w:rFonts w:ascii="Times New Roman" w:hAnsi="Times New Roman"/>
                                <w:b w:val="0"/>
                                <w:bCs w:val="0"/>
                                <w:szCs w:val="24"/>
                              </w:rPr>
                              <w:t>infusion of gemcitabine.</w:t>
                            </w:r>
                            <w:bookmarkEnd w:id="210"/>
                          </w:p>
                          <w:p w14:paraId="40C9872C" w14:textId="77777777" w:rsidR="00730B8F" w:rsidRDefault="00730B8F" w:rsidP="000A41F9"/>
                          <w:p w14:paraId="0E538BAA" w14:textId="77777777" w:rsidR="00730B8F" w:rsidRDefault="00730B8F"/>
                          <w:p w14:paraId="4254916D" w14:textId="3621A2B8" w:rsidR="00730B8F" w:rsidRDefault="00730B8F" w:rsidP="000A41F9">
                            <w:pPr>
                              <w:keepNext/>
                            </w:pPr>
                            <w:r>
                              <w:rPr>
                                <w:noProof/>
                              </w:rPr>
                              <w:drawing>
                                <wp:inline distT="0" distB="0" distL="0" distR="0" wp14:anchorId="30735A2E" wp14:editId="54575AD2">
                                  <wp:extent cx="5173345" cy="2513965"/>
                                  <wp:effectExtent l="0" t="0" r="0" b="0"/>
                                  <wp:docPr id="219" name="Picture 219"/>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73345" cy="2513965"/>
                                          </a:xfrm>
                                          <a:prstGeom prst="rect">
                                            <a:avLst/>
                                          </a:prstGeom>
                                          <a:noFill/>
                                        </pic:spPr>
                                      </pic:pic>
                                    </a:graphicData>
                                  </a:graphic>
                                </wp:inline>
                              </w:drawing>
                            </w:r>
                          </w:p>
                          <w:p w14:paraId="415BCB0E" w14:textId="74C8A255" w:rsidR="00730B8F" w:rsidRPr="00DF10BA" w:rsidRDefault="00730B8F" w:rsidP="000A41F9">
                            <w:pPr>
                              <w:pStyle w:val="Caption"/>
                              <w:rPr>
                                <w:rFonts w:ascii="Times New Roman" w:hAnsi="Times New Roman"/>
                                <w:b w:val="0"/>
                                <w:bCs w:val="0"/>
                                <w:i/>
                                <w:iCs/>
                                <w:szCs w:val="24"/>
                              </w:rPr>
                            </w:pPr>
                            <w:bookmarkStart w:id="211" w:name="_Ref33191166"/>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42</w:t>
                            </w:r>
                            <w:r w:rsidRPr="00E5747D">
                              <w:rPr>
                                <w:rFonts w:ascii="Times New Roman" w:hAnsi="Times New Roman"/>
                                <w:i/>
                                <w:iCs/>
                                <w:szCs w:val="24"/>
                              </w:rPr>
                              <w:fldChar w:fldCharType="end"/>
                            </w:r>
                            <w:bookmarkEnd w:id="211"/>
                            <w:r w:rsidRPr="00DF10BA">
                              <w:rPr>
                                <w:rFonts w:ascii="Times New Roman" w:hAnsi="Times New Roman"/>
                                <w:b w:val="0"/>
                                <w:bCs w:val="0"/>
                                <w:szCs w:val="24"/>
                              </w:rPr>
                              <w:t>: Gemcitabine spectra from patient isolated bladder cancer cell. Mass spectrum of gemcitabine and the inactive metabolite, dFdU, with 1 µM</w:t>
                            </w:r>
                            <w:r w:rsidRPr="00DF10BA">
                              <w:rPr>
                                <w:rFonts w:ascii="Times New Roman" w:hAnsi="Times New Roman"/>
                                <w:b w:val="0"/>
                                <w:bCs w:val="0"/>
                                <w:szCs w:val="24"/>
                                <w:vertAlign w:val="superscript"/>
                              </w:rPr>
                              <w:t>15</w:t>
                            </w:r>
                            <w:r w:rsidRPr="00DF10BA">
                              <w:rPr>
                                <w:rFonts w:ascii="Times New Roman" w:hAnsi="Times New Roman"/>
                                <w:b w:val="0"/>
                                <w:bCs w:val="0"/>
                                <w:szCs w:val="24"/>
                              </w:rPr>
                              <w:t>N</w:t>
                            </w:r>
                            <w:r w:rsidRPr="00DF10BA">
                              <w:rPr>
                                <w:rFonts w:ascii="Times New Roman" w:hAnsi="Times New Roman"/>
                                <w:b w:val="0"/>
                                <w:bCs w:val="0"/>
                                <w:szCs w:val="24"/>
                                <w:vertAlign w:val="subscript"/>
                              </w:rPr>
                              <w:t>3</w:t>
                            </w:r>
                            <w:r w:rsidRPr="00DF10BA">
                              <w:rPr>
                                <w:rFonts w:ascii="Times New Roman" w:hAnsi="Times New Roman"/>
                                <w:b w:val="0"/>
                                <w:bCs w:val="0"/>
                                <w:szCs w:val="24"/>
                              </w:rPr>
                              <w:t>-gemcitabine from an individual cell isolated from the urine of a bladder cancer patient one hour after a 1000 mg/m</w:t>
                            </w:r>
                            <w:r w:rsidRPr="00DF10BA">
                              <w:rPr>
                                <w:rFonts w:ascii="Times New Roman" w:hAnsi="Times New Roman"/>
                                <w:b w:val="0"/>
                                <w:bCs w:val="0"/>
                                <w:szCs w:val="24"/>
                                <w:vertAlign w:val="superscript"/>
                              </w:rPr>
                              <w:t xml:space="preserve">2 </w:t>
                            </w:r>
                            <w:r w:rsidRPr="00DF10BA">
                              <w:rPr>
                                <w:rFonts w:ascii="Times New Roman" w:hAnsi="Times New Roman"/>
                                <w:b w:val="0"/>
                                <w:bCs w:val="0"/>
                                <w:szCs w:val="24"/>
                              </w:rPr>
                              <w:t>infusion of gemcitabine.</w:t>
                            </w:r>
                          </w:p>
                          <w:p w14:paraId="7989A45C" w14:textId="77777777" w:rsidR="00730B8F" w:rsidRDefault="00730B8F" w:rsidP="000A41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6F21E" id="_x0000_s1052" type="#_x0000_t202" style="position:absolute;left:0;text-align:left;margin-left:0;margin-top:111.95pt;width:423.1pt;height:293.7pt;z-index:251602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">
                <v:textbox>
                  <w:txbxContent>
                    <w:p w14:paraId="05866DF6" w14:textId="77777777" w:rsidR="00730B8F" w:rsidRDefault="00730B8F" w:rsidP="000A41F9">
                      <w:pPr>
                        <w:keepNext/>
                      </w:pPr>
                      <w:bookmarkStart w:id="212" w:name="_Hlk31019545"/>
                      <w:bookmarkEnd w:id="212"/>
                      <w:r>
                        <w:rPr>
                          <w:noProof/>
                        </w:rPr>
                        <w:drawing>
                          <wp:inline distT="0" distB="0" distL="0" distR="0" wp14:anchorId="30735A2E" wp14:editId="54575AD2">
                            <wp:extent cx="5173345" cy="2513965"/>
                            <wp:effectExtent l="0" t="0" r="0" b="0"/>
                            <wp:docPr id="216" name="Picture 21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73345" cy="2513965"/>
                                    </a:xfrm>
                                    <a:prstGeom prst="rect">
                                      <a:avLst/>
                                    </a:prstGeom>
                                    <a:noFill/>
                                  </pic:spPr>
                                </pic:pic>
                              </a:graphicData>
                            </a:graphic>
                          </wp:inline>
                        </w:drawing>
                      </w:r>
                    </w:p>
                    <w:p w14:paraId="113531F0" w14:textId="49E3FB9A" w:rsidR="00730B8F" w:rsidRPr="00DF10BA" w:rsidRDefault="00730B8F" w:rsidP="000A41F9">
                      <w:pPr>
                        <w:pStyle w:val="Caption"/>
                        <w:rPr>
                          <w:rFonts w:ascii="Times New Roman" w:hAnsi="Times New Roman"/>
                          <w:b w:val="0"/>
                          <w:bCs w:val="0"/>
                          <w:i/>
                          <w:iCs/>
                          <w:szCs w:val="24"/>
                        </w:rPr>
                      </w:pPr>
                      <w:bookmarkStart w:id="213" w:name="_Toc39868240"/>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SEQ Figure \* ARABIC </w:instrText>
                      </w:r>
                      <w:r w:rsidRPr="00E5747D">
                        <w:rPr>
                          <w:rFonts w:ascii="Times New Roman" w:hAnsi="Times New Roman"/>
                          <w:i/>
                          <w:iCs/>
                          <w:szCs w:val="24"/>
                        </w:rPr>
                        <w:fldChar w:fldCharType="separate"/>
                      </w:r>
                      <w:r>
                        <w:rPr>
                          <w:rFonts w:ascii="Times New Roman" w:hAnsi="Times New Roman"/>
                          <w:noProof/>
                          <w:szCs w:val="24"/>
                        </w:rPr>
                        <w:t>27</w:t>
                      </w:r>
                      <w:r w:rsidRPr="00E5747D">
                        <w:rPr>
                          <w:rFonts w:ascii="Times New Roman" w:hAnsi="Times New Roman"/>
                          <w:i/>
                          <w:iCs/>
                          <w:szCs w:val="24"/>
                        </w:rPr>
                        <w:fldChar w:fldCharType="end"/>
                      </w:r>
                      <w:r w:rsidRPr="00DF10BA">
                        <w:rPr>
                          <w:rFonts w:ascii="Times New Roman" w:hAnsi="Times New Roman"/>
                          <w:b w:val="0"/>
                          <w:bCs w:val="0"/>
                          <w:szCs w:val="24"/>
                        </w:rPr>
                        <w:t>: Gemcitabine spectra from patient isolated bladder cancer cell. Mass spectrum of gemcitabine and the inactive metabolite, dFdU, with 1 µM</w:t>
                      </w:r>
                      <w:r w:rsidRPr="00DF10BA">
                        <w:rPr>
                          <w:rFonts w:ascii="Times New Roman" w:hAnsi="Times New Roman"/>
                          <w:b w:val="0"/>
                          <w:bCs w:val="0"/>
                          <w:szCs w:val="24"/>
                          <w:vertAlign w:val="superscript"/>
                        </w:rPr>
                        <w:t>15</w:t>
                      </w:r>
                      <w:r w:rsidRPr="00DF10BA">
                        <w:rPr>
                          <w:rFonts w:ascii="Times New Roman" w:hAnsi="Times New Roman"/>
                          <w:b w:val="0"/>
                          <w:bCs w:val="0"/>
                          <w:szCs w:val="24"/>
                        </w:rPr>
                        <w:t>N</w:t>
                      </w:r>
                      <w:r w:rsidRPr="00DF10BA">
                        <w:rPr>
                          <w:rFonts w:ascii="Times New Roman" w:hAnsi="Times New Roman"/>
                          <w:b w:val="0"/>
                          <w:bCs w:val="0"/>
                          <w:szCs w:val="24"/>
                          <w:vertAlign w:val="subscript"/>
                        </w:rPr>
                        <w:t>3</w:t>
                      </w:r>
                      <w:r w:rsidRPr="00DF10BA">
                        <w:rPr>
                          <w:rFonts w:ascii="Times New Roman" w:hAnsi="Times New Roman"/>
                          <w:b w:val="0"/>
                          <w:bCs w:val="0"/>
                          <w:szCs w:val="24"/>
                        </w:rPr>
                        <w:t>-gemcitabine from an individual cell isolated from the urine of a bladder cancer patient one hour after a 1000 mg/m</w:t>
                      </w:r>
                      <w:r w:rsidRPr="00DF10BA">
                        <w:rPr>
                          <w:rFonts w:ascii="Times New Roman" w:hAnsi="Times New Roman"/>
                          <w:b w:val="0"/>
                          <w:bCs w:val="0"/>
                          <w:szCs w:val="24"/>
                          <w:vertAlign w:val="superscript"/>
                        </w:rPr>
                        <w:t xml:space="preserve">2 </w:t>
                      </w:r>
                      <w:r w:rsidRPr="00DF10BA">
                        <w:rPr>
                          <w:rFonts w:ascii="Times New Roman" w:hAnsi="Times New Roman"/>
                          <w:b w:val="0"/>
                          <w:bCs w:val="0"/>
                          <w:szCs w:val="24"/>
                        </w:rPr>
                        <w:t>infusion of gemcitabine.</w:t>
                      </w:r>
                      <w:bookmarkEnd w:id="213"/>
                    </w:p>
                    <w:p w14:paraId="40C9872C" w14:textId="77777777" w:rsidR="00730B8F" w:rsidRDefault="00730B8F" w:rsidP="000A41F9"/>
                    <w:p w14:paraId="0E538BAA" w14:textId="77777777" w:rsidR="00730B8F" w:rsidRDefault="00730B8F"/>
                    <w:p w14:paraId="4254916D" w14:textId="3621A2B8" w:rsidR="00730B8F" w:rsidRDefault="00730B8F" w:rsidP="000A41F9">
                      <w:pPr>
                        <w:keepNext/>
                      </w:pPr>
                      <w:r>
                        <w:rPr>
                          <w:noProof/>
                        </w:rPr>
                        <w:drawing>
                          <wp:inline distT="0" distB="0" distL="0" distR="0" wp14:anchorId="30735A2E" wp14:editId="54575AD2">
                            <wp:extent cx="5173345" cy="2513965"/>
                            <wp:effectExtent l="0" t="0" r="0" b="0"/>
                            <wp:docPr id="219" name="Picture 219"/>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73345" cy="2513965"/>
                                    </a:xfrm>
                                    <a:prstGeom prst="rect">
                                      <a:avLst/>
                                    </a:prstGeom>
                                    <a:noFill/>
                                  </pic:spPr>
                                </pic:pic>
                              </a:graphicData>
                            </a:graphic>
                          </wp:inline>
                        </w:drawing>
                      </w:r>
                    </w:p>
                    <w:p w14:paraId="415BCB0E" w14:textId="74C8A255" w:rsidR="00730B8F" w:rsidRPr="00DF10BA" w:rsidRDefault="00730B8F" w:rsidP="000A41F9">
                      <w:pPr>
                        <w:pStyle w:val="Caption"/>
                        <w:rPr>
                          <w:rFonts w:ascii="Times New Roman" w:hAnsi="Times New Roman"/>
                          <w:b w:val="0"/>
                          <w:bCs w:val="0"/>
                          <w:i/>
                          <w:iCs/>
                          <w:szCs w:val="24"/>
                        </w:rPr>
                      </w:pPr>
                      <w:bookmarkStart w:id="214" w:name="_Ref33191166"/>
                      <w:r w:rsidRPr="00E5747D">
                        <w:rPr>
                          <w:rFonts w:ascii="Times New Roman" w:hAnsi="Times New Roman"/>
                          <w:szCs w:val="24"/>
                        </w:rPr>
                        <w:t xml:space="preserve">Figure </w:t>
                      </w:r>
                      <w:r w:rsidRPr="00E5747D">
                        <w:rPr>
                          <w:rFonts w:ascii="Times New Roman" w:hAnsi="Times New Roman"/>
                          <w:i/>
                          <w:iCs/>
                          <w:szCs w:val="24"/>
                        </w:rPr>
                        <w:fldChar w:fldCharType="begin"/>
                      </w:r>
                      <w:r w:rsidRPr="00E5747D">
                        <w:rPr>
                          <w:rFonts w:ascii="Times New Roman" w:hAnsi="Times New Roman"/>
                          <w:szCs w:val="24"/>
                        </w:rPr>
                        <w:instrText xml:space="preserve">  \* ARABIC </w:instrText>
                      </w:r>
                      <w:r w:rsidRPr="00E5747D">
                        <w:rPr>
                          <w:rFonts w:ascii="Times New Roman" w:hAnsi="Times New Roman"/>
                          <w:i/>
                          <w:iCs/>
                          <w:szCs w:val="24"/>
                        </w:rPr>
                        <w:fldChar w:fldCharType="separate"/>
                      </w:r>
                      <w:r>
                        <w:rPr>
                          <w:rFonts w:ascii="Times New Roman" w:hAnsi="Times New Roman"/>
                          <w:noProof/>
                          <w:szCs w:val="24"/>
                        </w:rPr>
                        <w:t>42</w:t>
                      </w:r>
                      <w:r w:rsidRPr="00E5747D">
                        <w:rPr>
                          <w:rFonts w:ascii="Times New Roman" w:hAnsi="Times New Roman"/>
                          <w:i/>
                          <w:iCs/>
                          <w:szCs w:val="24"/>
                        </w:rPr>
                        <w:fldChar w:fldCharType="end"/>
                      </w:r>
                      <w:bookmarkEnd w:id="214"/>
                      <w:r w:rsidRPr="00DF10BA">
                        <w:rPr>
                          <w:rFonts w:ascii="Times New Roman" w:hAnsi="Times New Roman"/>
                          <w:b w:val="0"/>
                          <w:bCs w:val="0"/>
                          <w:szCs w:val="24"/>
                        </w:rPr>
                        <w:t>: Gemcitabine spectra from patient isolated bladder cancer cell. Mass spectrum of gemcitabine and the inactive metabolite, dFdU, with 1 µM</w:t>
                      </w:r>
                      <w:r w:rsidRPr="00DF10BA">
                        <w:rPr>
                          <w:rFonts w:ascii="Times New Roman" w:hAnsi="Times New Roman"/>
                          <w:b w:val="0"/>
                          <w:bCs w:val="0"/>
                          <w:szCs w:val="24"/>
                          <w:vertAlign w:val="superscript"/>
                        </w:rPr>
                        <w:t>15</w:t>
                      </w:r>
                      <w:r w:rsidRPr="00DF10BA">
                        <w:rPr>
                          <w:rFonts w:ascii="Times New Roman" w:hAnsi="Times New Roman"/>
                          <w:b w:val="0"/>
                          <w:bCs w:val="0"/>
                          <w:szCs w:val="24"/>
                        </w:rPr>
                        <w:t>N</w:t>
                      </w:r>
                      <w:r w:rsidRPr="00DF10BA">
                        <w:rPr>
                          <w:rFonts w:ascii="Times New Roman" w:hAnsi="Times New Roman"/>
                          <w:b w:val="0"/>
                          <w:bCs w:val="0"/>
                          <w:szCs w:val="24"/>
                          <w:vertAlign w:val="subscript"/>
                        </w:rPr>
                        <w:t>3</w:t>
                      </w:r>
                      <w:r w:rsidRPr="00DF10BA">
                        <w:rPr>
                          <w:rFonts w:ascii="Times New Roman" w:hAnsi="Times New Roman"/>
                          <w:b w:val="0"/>
                          <w:bCs w:val="0"/>
                          <w:szCs w:val="24"/>
                        </w:rPr>
                        <w:t>-gemcitabine from an individual cell isolated from the urine of a bladder cancer patient one hour after a 1000 mg/m</w:t>
                      </w:r>
                      <w:r w:rsidRPr="00DF10BA">
                        <w:rPr>
                          <w:rFonts w:ascii="Times New Roman" w:hAnsi="Times New Roman"/>
                          <w:b w:val="0"/>
                          <w:bCs w:val="0"/>
                          <w:szCs w:val="24"/>
                          <w:vertAlign w:val="superscript"/>
                        </w:rPr>
                        <w:t xml:space="preserve">2 </w:t>
                      </w:r>
                      <w:r w:rsidRPr="00DF10BA">
                        <w:rPr>
                          <w:rFonts w:ascii="Times New Roman" w:hAnsi="Times New Roman"/>
                          <w:b w:val="0"/>
                          <w:bCs w:val="0"/>
                          <w:szCs w:val="24"/>
                        </w:rPr>
                        <w:t>infusion of gemcitabine.</w:t>
                      </w:r>
                    </w:p>
                    <w:p w14:paraId="7989A45C" w14:textId="77777777" w:rsidR="00730B8F" w:rsidRDefault="00730B8F" w:rsidP="000A41F9"/>
                  </w:txbxContent>
                </v:textbox>
                <w10:wrap type="square" anchorx="margin"/>
              </v:shape>
            </w:pict>
          </mc:Fallback>
        </mc:AlternateContent>
      </w:r>
      <w:r w:rsidR="000A41F9" w:rsidRPr="000A41F9">
        <w:rPr>
          <w:bCs/>
        </w:rPr>
        <w:t xml:space="preserve">T24 cells were treated for 1 h with 1 µM gemcitabine and trypsinized to release from the solid support. The resulting suspended cells were captured and quantified for intracellular gemcitabine using the Single-probe/IMCP system. The intracellular amount of gemcitabine in 20 suspended cells was determined as 37.2 </w:t>
      </w:r>
      <w:r w:rsidR="000A41F9" w:rsidRPr="000A41F9">
        <w:rPr>
          <w:bCs/>
        </w:rPr>
        <w:sym w:font="Symbol" w:char="F0B1"/>
      </w:r>
      <w:r w:rsidR="000A41F9" w:rsidRPr="000A41F9">
        <w:rPr>
          <w:bCs/>
        </w:rPr>
        <w:t xml:space="preserve"> 9.2 attomole, which is not significantly different (P &gt; 0.05) to the intracellular gemcitabine calculated in the T24 cells while adherent using the Single probe. This result demonstrated the reproducibility and viability of the Single-probe/ICMP in suspension cells versus the Single-probe in adherent cells. Further, K562 suspension leukemia cells were treated with 0.1, 1.0, or 10 µM gemcitabine for 1 h and subjected to the qSCMS measurement using the Single-probe/ICMP setup </w:t>
      </w:r>
      <w:r w:rsidR="000A41F9" w:rsidRPr="00A2584C">
        <w:rPr>
          <w:b/>
        </w:rPr>
        <w:t>(</w:t>
      </w:r>
      <w:r w:rsidR="00A4382B" w:rsidRPr="00A2584C">
        <w:rPr>
          <w:b/>
        </w:rPr>
        <w:fldChar w:fldCharType="begin"/>
      </w:r>
      <w:r w:rsidR="00A4382B" w:rsidRPr="00A2584C">
        <w:rPr>
          <w:b/>
        </w:rPr>
        <w:instrText xml:space="preserve"> REF _Ref30080787 \h </w:instrText>
      </w:r>
      <w:r w:rsidR="009822E9">
        <w:rPr>
          <w:b/>
        </w:rPr>
        <w:instrText xml:space="preserve"> \* MERGEFORMAT </w:instrText>
      </w:r>
      <w:r w:rsidR="00A4382B" w:rsidRPr="00A2584C">
        <w:rPr>
          <w:b/>
        </w:rPr>
      </w:r>
      <w:r w:rsidR="00A4382B" w:rsidRPr="00A2584C">
        <w:rPr>
          <w:b/>
        </w:rPr>
        <w:fldChar w:fldCharType="separate"/>
      </w:r>
      <w:r w:rsidR="00A4382B" w:rsidRPr="00A2584C">
        <w:rPr>
          <w:rFonts w:ascii="Times New Roman" w:hAnsi="Times New Roman"/>
          <w:b/>
        </w:rPr>
        <w:t xml:space="preserve">Figure </w:t>
      </w:r>
      <w:r w:rsidR="00A4382B" w:rsidRPr="00A2584C">
        <w:rPr>
          <w:rFonts w:ascii="Times New Roman" w:hAnsi="Times New Roman"/>
          <w:b/>
          <w:noProof/>
        </w:rPr>
        <w:t>26</w:t>
      </w:r>
      <w:r w:rsidR="00A4382B" w:rsidRPr="00A2584C">
        <w:rPr>
          <w:b/>
        </w:rPr>
        <w:fldChar w:fldCharType="end"/>
      </w:r>
      <w:r w:rsidR="000A41F9" w:rsidRPr="00A4382B">
        <w:t xml:space="preserve">, </w:t>
      </w:r>
      <w:r w:rsidR="000A41F9" w:rsidRPr="00A2584C">
        <w:rPr>
          <w:b/>
          <w:bCs/>
        </w:rPr>
        <w:fldChar w:fldCharType="begin"/>
      </w:r>
      <w:r w:rsidR="000A41F9" w:rsidRPr="00A2584C">
        <w:rPr>
          <w:b/>
          <w:bCs/>
        </w:rPr>
        <w:instrText xml:space="preserve"> REF _Ref32400446 \h  \* MERGEFORMAT </w:instrText>
      </w:r>
      <w:r w:rsidR="000A41F9" w:rsidRPr="00A2584C">
        <w:rPr>
          <w:b/>
          <w:bCs/>
        </w:rPr>
      </w:r>
      <w:r w:rsidR="000A41F9" w:rsidRPr="00A2584C">
        <w:rPr>
          <w:b/>
          <w:bCs/>
        </w:rPr>
        <w:fldChar w:fldCharType="separate"/>
      </w:r>
      <w:r w:rsidR="000A41F9" w:rsidRPr="00A2584C">
        <w:rPr>
          <w:b/>
          <w:bCs/>
        </w:rPr>
        <w:t>Table 1</w:t>
      </w:r>
      <w:r w:rsidR="000A41F9" w:rsidRPr="00A2584C">
        <w:rPr>
          <w:b/>
          <w:bCs/>
        </w:rPr>
        <w:fldChar w:fldCharType="end"/>
      </w:r>
      <w:r w:rsidR="000A41F9" w:rsidRPr="000A41F9">
        <w:rPr>
          <w:bCs/>
        </w:rPr>
        <w:t>). The intracellular gemcitabine in individual K562 cells followed a similar trend to T24 cells.</w:t>
      </w:r>
      <w:r w:rsidR="009822E9">
        <w:rPr>
          <w:bCs/>
        </w:rPr>
        <w:t xml:space="preserve"> </w:t>
      </w:r>
      <w:r w:rsidR="00236623">
        <w:rPr>
          <w:bCs/>
        </w:rPr>
        <w:t>T</w:t>
      </w:r>
      <w:r w:rsidR="000A41F9" w:rsidRPr="000A41F9">
        <w:rPr>
          <w:bCs/>
        </w:rPr>
        <w:t xml:space="preserve">here is an increase of intracellular </w:t>
      </w:r>
      <w:r w:rsidR="000A41F9" w:rsidRPr="000A41F9">
        <w:rPr>
          <w:bCs/>
        </w:rPr>
        <w:lastRenderedPageBreak/>
        <w:t xml:space="preserve">gemcitabine in both the adherent T24 cells, </w:t>
      </w:r>
      <w:r w:rsidRPr="000A41F9">
        <w:rPr>
          <w:bCs/>
          <w:noProof/>
        </w:rPr>
        <mc:AlternateContent>
          <mc:Choice Requires="wps">
            <w:drawing>
              <wp:anchor distT="45720" distB="45720" distL="114300" distR="114300" simplePos="0" relativeHeight="251609088" behindDoc="0" locked="0" layoutInCell="1" allowOverlap="1" wp14:anchorId="4EC60FD9" wp14:editId="6D0BCEEB">
                <wp:simplePos x="0" y="0"/>
                <wp:positionH relativeFrom="margin">
                  <wp:align>center</wp:align>
                </wp:positionH>
                <wp:positionV relativeFrom="paragraph">
                  <wp:posOffset>545</wp:posOffset>
                </wp:positionV>
                <wp:extent cx="5354955" cy="4411980"/>
                <wp:effectExtent l="0" t="0" r="17145" b="266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4955" cy="4411980"/>
                        </a:xfrm>
                        <a:prstGeom prst="rect">
                          <a:avLst/>
                        </a:prstGeom>
                        <a:solidFill>
                          <a:srgbClr val="FFFFFF"/>
                        </a:solidFill>
                        <a:ln w="9525">
                          <a:solidFill>
                            <a:srgbClr val="000000"/>
                          </a:solidFill>
                          <a:miter lim="800000"/>
                          <a:headEnd/>
                          <a:tailEnd/>
                        </a:ln>
                      </wps:spPr>
                      <wps:txbx>
                        <w:txbxContent>
                          <w:p w14:paraId="294D8F27" w14:textId="77777777" w:rsidR="00730B8F" w:rsidRDefault="00730B8F" w:rsidP="000A41F9">
                            <w:pPr>
                              <w:keepNext/>
                            </w:pPr>
                            <w:r>
                              <w:rPr>
                                <w:rFonts w:ascii="Arno Pro" w:eastAsia="Arial" w:hAnsi="Arno Pro" w:cs="Arial"/>
                                <w:b/>
                                <w:noProof/>
                                <w:sz w:val="19"/>
                                <w:szCs w:val="19"/>
                              </w:rPr>
                              <w:drawing>
                                <wp:inline distT="0" distB="0" distL="0" distR="0" wp14:anchorId="381E9CE0" wp14:editId="6F289780">
                                  <wp:extent cx="5189838" cy="3071107"/>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22987" cy="3090723"/>
                                          </a:xfrm>
                                          <a:prstGeom prst="rect">
                                            <a:avLst/>
                                          </a:prstGeom>
                                          <a:noFill/>
                                        </pic:spPr>
                                      </pic:pic>
                                    </a:graphicData>
                                  </a:graphic>
                                </wp:inline>
                              </w:drawing>
                            </w:r>
                          </w:p>
                          <w:p w14:paraId="1F79913B" w14:textId="50087EA7" w:rsidR="00730B8F" w:rsidRPr="00BD5F63" w:rsidRDefault="00730B8F" w:rsidP="000A41F9">
                            <w:pPr>
                              <w:rPr>
                                <w:rFonts w:ascii="Times New Roman" w:hAnsi="Times New Roman"/>
                                <w:b/>
                              </w:rPr>
                            </w:pPr>
                            <w:bookmarkStart w:id="215" w:name="_Toc39868241"/>
                            <w:r w:rsidRPr="00E5747D">
                              <w:rPr>
                                <w:rFonts w:ascii="Times New Roman" w:hAnsi="Times New Roman"/>
                                <w:b/>
                                <w:bCs/>
                              </w:rPr>
                              <w:t xml:space="preserve">Figure </w:t>
                            </w:r>
                            <w:r w:rsidRPr="00E5747D">
                              <w:rPr>
                                <w:rFonts w:ascii="Times New Roman" w:hAnsi="Times New Roman"/>
                                <w:b/>
                                <w:bCs/>
                              </w:rPr>
                              <w:fldChar w:fldCharType="begin"/>
                            </w:r>
                            <w:r w:rsidRPr="00E5747D">
                              <w:rPr>
                                <w:rFonts w:ascii="Times New Roman" w:hAnsi="Times New Roman"/>
                                <w:b/>
                                <w:bCs/>
                              </w:rPr>
                              <w:instrText xml:space="preserve"> SEQ Figure \* ARABIC </w:instrText>
                            </w:r>
                            <w:r w:rsidRPr="00E5747D">
                              <w:rPr>
                                <w:rFonts w:ascii="Times New Roman" w:hAnsi="Times New Roman"/>
                                <w:b/>
                                <w:bCs/>
                              </w:rPr>
                              <w:fldChar w:fldCharType="separate"/>
                            </w:r>
                            <w:r>
                              <w:rPr>
                                <w:rFonts w:ascii="Times New Roman" w:hAnsi="Times New Roman"/>
                                <w:b/>
                                <w:bCs/>
                                <w:noProof/>
                              </w:rPr>
                              <w:t>28</w:t>
                            </w:r>
                            <w:r w:rsidRPr="00E5747D">
                              <w:rPr>
                                <w:rFonts w:ascii="Times New Roman" w:hAnsi="Times New Roman"/>
                                <w:b/>
                                <w:bCs/>
                              </w:rPr>
                              <w:fldChar w:fldCharType="end"/>
                            </w:r>
                            <w:r w:rsidRPr="00E5747D">
                              <w:rPr>
                                <w:rFonts w:ascii="Times New Roman" w:hAnsi="Times New Roman"/>
                                <w:b/>
                                <w:bCs/>
                              </w:rPr>
                              <w:t>:</w:t>
                            </w:r>
                            <w:r w:rsidRPr="00BD5F63">
                              <w:rPr>
                                <w:rFonts w:ascii="Times New Roman" w:hAnsi="Times New Roman"/>
                              </w:rPr>
                              <w:t xml:space="preserve"> Mass spectrum of a single cell isolated from a bladder cancer patient qualitatively detecting phospholipids.</w:t>
                            </w:r>
                            <w:bookmarkEnd w:id="215"/>
                            <w:r w:rsidRPr="00BD5F63">
                              <w:rPr>
                                <w:rFonts w:ascii="Times New Roman" w:hAnsi="Times New Roman"/>
                              </w:rPr>
                              <w:t xml:space="preserve"> </w:t>
                            </w:r>
                          </w:p>
                          <w:p w14:paraId="15C53D0B" w14:textId="77777777" w:rsidR="00730B8F" w:rsidRDefault="00730B8F" w:rsidP="000A41F9">
                            <w:pPr>
                              <w:rPr>
                                <w:rFonts w:ascii="Arno Pro" w:eastAsia="Arial" w:hAnsi="Arno Pro" w:cs="Arial"/>
                                <w:b/>
                                <w:sz w:val="19"/>
                                <w:szCs w:val="19"/>
                              </w:rPr>
                            </w:pPr>
                          </w:p>
                          <w:p w14:paraId="4AC39E75" w14:textId="77777777" w:rsidR="00730B8F" w:rsidRDefault="00730B8F" w:rsidP="000A41F9">
                            <w:pPr>
                              <w:pStyle w:val="Caption"/>
                            </w:pPr>
                          </w:p>
                          <w:p w14:paraId="4DA2CD53" w14:textId="77777777" w:rsidR="00730B8F" w:rsidRDefault="00730B8F" w:rsidP="000A41F9"/>
                          <w:p w14:paraId="79ABD100" w14:textId="77777777" w:rsidR="00730B8F" w:rsidRDefault="00730B8F"/>
                          <w:p w14:paraId="36440866" w14:textId="4F7DE3C3" w:rsidR="00730B8F" w:rsidRDefault="00730B8F" w:rsidP="000A41F9">
                            <w:pPr>
                              <w:keepNext/>
                            </w:pPr>
                            <w:r>
                              <w:rPr>
                                <w:rFonts w:ascii="Arno Pro" w:eastAsia="Arial" w:hAnsi="Arno Pro" w:cs="Arial"/>
                                <w:b/>
                                <w:noProof/>
                                <w:sz w:val="19"/>
                                <w:szCs w:val="19"/>
                              </w:rPr>
                              <w:drawing>
                                <wp:inline distT="0" distB="0" distL="0" distR="0" wp14:anchorId="381E9CE0" wp14:editId="6F289780">
                                  <wp:extent cx="5189838" cy="3071107"/>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22987" cy="3090723"/>
                                          </a:xfrm>
                                          <a:prstGeom prst="rect">
                                            <a:avLst/>
                                          </a:prstGeom>
                                          <a:noFill/>
                                        </pic:spPr>
                                      </pic:pic>
                                    </a:graphicData>
                                  </a:graphic>
                                </wp:inline>
                              </w:drawing>
                            </w:r>
                          </w:p>
                          <w:p w14:paraId="6B031049" w14:textId="3D4D69DA" w:rsidR="00730B8F" w:rsidRPr="00BD5F63" w:rsidRDefault="00730B8F" w:rsidP="000A41F9">
                            <w:pPr>
                              <w:rPr>
                                <w:rFonts w:ascii="Times New Roman" w:hAnsi="Times New Roman"/>
                                <w:b/>
                              </w:rPr>
                            </w:pPr>
                            <w:bookmarkStart w:id="216" w:name="_Ref31632710"/>
                            <w:r w:rsidRPr="00E5747D">
                              <w:rPr>
                                <w:rFonts w:ascii="Times New Roman" w:hAnsi="Times New Roman"/>
                                <w:b/>
                                <w:bCs/>
                              </w:rPr>
                              <w:t xml:space="preserve">Figure </w:t>
                            </w:r>
                            <w:r w:rsidRPr="00E5747D">
                              <w:rPr>
                                <w:rFonts w:ascii="Times New Roman" w:hAnsi="Times New Roman"/>
                                <w:b/>
                                <w:bCs/>
                              </w:rPr>
                              <w:fldChar w:fldCharType="begin"/>
                            </w:r>
                            <w:r w:rsidRPr="00E5747D">
                              <w:rPr>
                                <w:rFonts w:ascii="Times New Roman" w:hAnsi="Times New Roman"/>
                                <w:b/>
                                <w:bCs/>
                              </w:rPr>
                              <w:instrText xml:space="preserve">  \* ARABIC </w:instrText>
                            </w:r>
                            <w:r w:rsidRPr="00E5747D">
                              <w:rPr>
                                <w:rFonts w:ascii="Times New Roman" w:hAnsi="Times New Roman"/>
                                <w:b/>
                                <w:bCs/>
                              </w:rPr>
                              <w:fldChar w:fldCharType="separate"/>
                            </w:r>
                            <w:r>
                              <w:rPr>
                                <w:rFonts w:ascii="Times New Roman" w:hAnsi="Times New Roman"/>
                                <w:b/>
                                <w:bCs/>
                                <w:noProof/>
                              </w:rPr>
                              <w:t>44</w:t>
                            </w:r>
                            <w:r w:rsidRPr="00E5747D">
                              <w:rPr>
                                <w:rFonts w:ascii="Times New Roman" w:hAnsi="Times New Roman"/>
                                <w:b/>
                                <w:bCs/>
                              </w:rPr>
                              <w:fldChar w:fldCharType="end"/>
                            </w:r>
                            <w:bookmarkEnd w:id="216"/>
                            <w:r w:rsidRPr="00E5747D">
                              <w:rPr>
                                <w:rFonts w:ascii="Times New Roman" w:hAnsi="Times New Roman"/>
                                <w:b/>
                                <w:bCs/>
                              </w:rPr>
                              <w:t>:</w:t>
                            </w:r>
                            <w:r w:rsidRPr="00BD5F63">
                              <w:rPr>
                                <w:rFonts w:ascii="Times New Roman" w:hAnsi="Times New Roman"/>
                              </w:rPr>
                              <w:t xml:space="preserve"> Mass spectrum of a single cell isolated from a bladder cancer patient qualitatively detecting phospholipids. </w:t>
                            </w:r>
                          </w:p>
                          <w:p w14:paraId="6F94BB8D" w14:textId="77777777" w:rsidR="00730B8F" w:rsidRDefault="00730B8F" w:rsidP="000A41F9">
                            <w:pPr>
                              <w:rPr>
                                <w:rFonts w:ascii="Arno Pro" w:eastAsia="Arial" w:hAnsi="Arno Pro" w:cs="Arial"/>
                                <w:b/>
                                <w:sz w:val="19"/>
                                <w:szCs w:val="19"/>
                              </w:rPr>
                            </w:pPr>
                          </w:p>
                          <w:p w14:paraId="37EBF3F4" w14:textId="77777777" w:rsidR="00730B8F" w:rsidRDefault="00730B8F" w:rsidP="000A41F9">
                            <w:pPr>
                              <w:pStyle w:val="Caption"/>
                            </w:pPr>
                          </w:p>
                          <w:p w14:paraId="71FAA87C" w14:textId="77777777" w:rsidR="00730B8F" w:rsidRDefault="00730B8F" w:rsidP="000A41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60FD9" id="_x0000_s1053" type="#_x0000_t202" style="position:absolute;left:0;text-align:left;margin-left:0;margin-top:.05pt;width:421.65pt;height:347.4pt;z-index:2516090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">
                <v:textbox>
                  <w:txbxContent>
                    <w:p w14:paraId="294D8F27" w14:textId="77777777" w:rsidR="00730B8F" w:rsidRDefault="00730B8F" w:rsidP="000A41F9">
                      <w:pPr>
                        <w:keepNext/>
                      </w:pPr>
                      <w:r>
                        <w:rPr>
                          <w:rFonts w:ascii="Arno Pro" w:eastAsia="Arial" w:hAnsi="Arno Pro" w:cs="Arial"/>
                          <w:b/>
                          <w:noProof/>
                          <w:sz w:val="19"/>
                          <w:szCs w:val="19"/>
                        </w:rPr>
                        <w:drawing>
                          <wp:inline distT="0" distB="0" distL="0" distR="0" wp14:anchorId="381E9CE0" wp14:editId="6F289780">
                            <wp:extent cx="5189838" cy="3071107"/>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22987" cy="3090723"/>
                                    </a:xfrm>
                                    <a:prstGeom prst="rect">
                                      <a:avLst/>
                                    </a:prstGeom>
                                    <a:noFill/>
                                  </pic:spPr>
                                </pic:pic>
                              </a:graphicData>
                            </a:graphic>
                          </wp:inline>
                        </w:drawing>
                      </w:r>
                    </w:p>
                    <w:p w14:paraId="1F79913B" w14:textId="50087EA7" w:rsidR="00730B8F" w:rsidRPr="00BD5F63" w:rsidRDefault="00730B8F" w:rsidP="000A41F9">
                      <w:pPr>
                        <w:rPr>
                          <w:rFonts w:ascii="Times New Roman" w:hAnsi="Times New Roman"/>
                          <w:b/>
                        </w:rPr>
                      </w:pPr>
                      <w:bookmarkStart w:id="217" w:name="_Toc39868241"/>
                      <w:r w:rsidRPr="00E5747D">
                        <w:rPr>
                          <w:rFonts w:ascii="Times New Roman" w:hAnsi="Times New Roman"/>
                          <w:b/>
                          <w:bCs/>
                        </w:rPr>
                        <w:t xml:space="preserve">Figure </w:t>
                      </w:r>
                      <w:r w:rsidRPr="00E5747D">
                        <w:rPr>
                          <w:rFonts w:ascii="Times New Roman" w:hAnsi="Times New Roman"/>
                          <w:b/>
                          <w:bCs/>
                        </w:rPr>
                        <w:fldChar w:fldCharType="begin"/>
                      </w:r>
                      <w:r w:rsidRPr="00E5747D">
                        <w:rPr>
                          <w:rFonts w:ascii="Times New Roman" w:hAnsi="Times New Roman"/>
                          <w:b/>
                          <w:bCs/>
                        </w:rPr>
                        <w:instrText xml:space="preserve"> SEQ Figure \* ARABIC </w:instrText>
                      </w:r>
                      <w:r w:rsidRPr="00E5747D">
                        <w:rPr>
                          <w:rFonts w:ascii="Times New Roman" w:hAnsi="Times New Roman"/>
                          <w:b/>
                          <w:bCs/>
                        </w:rPr>
                        <w:fldChar w:fldCharType="separate"/>
                      </w:r>
                      <w:r>
                        <w:rPr>
                          <w:rFonts w:ascii="Times New Roman" w:hAnsi="Times New Roman"/>
                          <w:b/>
                          <w:bCs/>
                          <w:noProof/>
                        </w:rPr>
                        <w:t>28</w:t>
                      </w:r>
                      <w:r w:rsidRPr="00E5747D">
                        <w:rPr>
                          <w:rFonts w:ascii="Times New Roman" w:hAnsi="Times New Roman"/>
                          <w:b/>
                          <w:bCs/>
                        </w:rPr>
                        <w:fldChar w:fldCharType="end"/>
                      </w:r>
                      <w:r w:rsidRPr="00E5747D">
                        <w:rPr>
                          <w:rFonts w:ascii="Times New Roman" w:hAnsi="Times New Roman"/>
                          <w:b/>
                          <w:bCs/>
                        </w:rPr>
                        <w:t>:</w:t>
                      </w:r>
                      <w:r w:rsidRPr="00BD5F63">
                        <w:rPr>
                          <w:rFonts w:ascii="Times New Roman" w:hAnsi="Times New Roman"/>
                        </w:rPr>
                        <w:t xml:space="preserve"> Mass spectrum of a single cell isolated from a bladder cancer patient qualitatively detecting phospholipids.</w:t>
                      </w:r>
                      <w:bookmarkEnd w:id="217"/>
                      <w:r w:rsidRPr="00BD5F63">
                        <w:rPr>
                          <w:rFonts w:ascii="Times New Roman" w:hAnsi="Times New Roman"/>
                        </w:rPr>
                        <w:t xml:space="preserve"> </w:t>
                      </w:r>
                    </w:p>
                    <w:p w14:paraId="15C53D0B" w14:textId="77777777" w:rsidR="00730B8F" w:rsidRDefault="00730B8F" w:rsidP="000A41F9">
                      <w:pPr>
                        <w:rPr>
                          <w:rFonts w:ascii="Arno Pro" w:eastAsia="Arial" w:hAnsi="Arno Pro" w:cs="Arial"/>
                          <w:b/>
                          <w:sz w:val="19"/>
                          <w:szCs w:val="19"/>
                        </w:rPr>
                      </w:pPr>
                    </w:p>
                    <w:p w14:paraId="4AC39E75" w14:textId="77777777" w:rsidR="00730B8F" w:rsidRDefault="00730B8F" w:rsidP="000A41F9">
                      <w:pPr>
                        <w:pStyle w:val="Caption"/>
                      </w:pPr>
                    </w:p>
                    <w:p w14:paraId="4DA2CD53" w14:textId="77777777" w:rsidR="00730B8F" w:rsidRDefault="00730B8F" w:rsidP="000A41F9"/>
                    <w:p w14:paraId="79ABD100" w14:textId="77777777" w:rsidR="00730B8F" w:rsidRDefault="00730B8F"/>
                    <w:p w14:paraId="36440866" w14:textId="4F7DE3C3" w:rsidR="00730B8F" w:rsidRDefault="00730B8F" w:rsidP="000A41F9">
                      <w:pPr>
                        <w:keepNext/>
                      </w:pPr>
                      <w:r>
                        <w:rPr>
                          <w:rFonts w:ascii="Arno Pro" w:eastAsia="Arial" w:hAnsi="Arno Pro" w:cs="Arial"/>
                          <w:b/>
                          <w:noProof/>
                          <w:sz w:val="19"/>
                          <w:szCs w:val="19"/>
                        </w:rPr>
                        <w:drawing>
                          <wp:inline distT="0" distB="0" distL="0" distR="0" wp14:anchorId="381E9CE0" wp14:editId="6F289780">
                            <wp:extent cx="5189838" cy="3071107"/>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22987" cy="3090723"/>
                                    </a:xfrm>
                                    <a:prstGeom prst="rect">
                                      <a:avLst/>
                                    </a:prstGeom>
                                    <a:noFill/>
                                  </pic:spPr>
                                </pic:pic>
                              </a:graphicData>
                            </a:graphic>
                          </wp:inline>
                        </w:drawing>
                      </w:r>
                    </w:p>
                    <w:p w14:paraId="6B031049" w14:textId="3D4D69DA" w:rsidR="00730B8F" w:rsidRPr="00BD5F63" w:rsidRDefault="00730B8F" w:rsidP="000A41F9">
                      <w:pPr>
                        <w:rPr>
                          <w:rFonts w:ascii="Times New Roman" w:hAnsi="Times New Roman"/>
                          <w:b/>
                        </w:rPr>
                      </w:pPr>
                      <w:bookmarkStart w:id="218" w:name="_Ref31632710"/>
                      <w:r w:rsidRPr="00E5747D">
                        <w:rPr>
                          <w:rFonts w:ascii="Times New Roman" w:hAnsi="Times New Roman"/>
                          <w:b/>
                          <w:bCs/>
                        </w:rPr>
                        <w:t xml:space="preserve">Figure </w:t>
                      </w:r>
                      <w:r w:rsidRPr="00E5747D">
                        <w:rPr>
                          <w:rFonts w:ascii="Times New Roman" w:hAnsi="Times New Roman"/>
                          <w:b/>
                          <w:bCs/>
                        </w:rPr>
                        <w:fldChar w:fldCharType="begin"/>
                      </w:r>
                      <w:r w:rsidRPr="00E5747D">
                        <w:rPr>
                          <w:rFonts w:ascii="Times New Roman" w:hAnsi="Times New Roman"/>
                          <w:b/>
                          <w:bCs/>
                        </w:rPr>
                        <w:instrText xml:space="preserve">  \* ARABIC </w:instrText>
                      </w:r>
                      <w:r w:rsidRPr="00E5747D">
                        <w:rPr>
                          <w:rFonts w:ascii="Times New Roman" w:hAnsi="Times New Roman"/>
                          <w:b/>
                          <w:bCs/>
                        </w:rPr>
                        <w:fldChar w:fldCharType="separate"/>
                      </w:r>
                      <w:r>
                        <w:rPr>
                          <w:rFonts w:ascii="Times New Roman" w:hAnsi="Times New Roman"/>
                          <w:b/>
                          <w:bCs/>
                          <w:noProof/>
                        </w:rPr>
                        <w:t>44</w:t>
                      </w:r>
                      <w:r w:rsidRPr="00E5747D">
                        <w:rPr>
                          <w:rFonts w:ascii="Times New Roman" w:hAnsi="Times New Roman"/>
                          <w:b/>
                          <w:bCs/>
                        </w:rPr>
                        <w:fldChar w:fldCharType="end"/>
                      </w:r>
                      <w:bookmarkEnd w:id="218"/>
                      <w:r w:rsidRPr="00E5747D">
                        <w:rPr>
                          <w:rFonts w:ascii="Times New Roman" w:hAnsi="Times New Roman"/>
                          <w:b/>
                          <w:bCs/>
                        </w:rPr>
                        <w:t>:</w:t>
                      </w:r>
                      <w:r w:rsidRPr="00BD5F63">
                        <w:rPr>
                          <w:rFonts w:ascii="Times New Roman" w:hAnsi="Times New Roman"/>
                        </w:rPr>
                        <w:t xml:space="preserve"> Mass spectrum of a single cell isolated from a bladder cancer patient qualitatively detecting phospholipids. </w:t>
                      </w:r>
                    </w:p>
                    <w:p w14:paraId="6F94BB8D" w14:textId="77777777" w:rsidR="00730B8F" w:rsidRDefault="00730B8F" w:rsidP="000A41F9">
                      <w:pPr>
                        <w:rPr>
                          <w:rFonts w:ascii="Arno Pro" w:eastAsia="Arial" w:hAnsi="Arno Pro" w:cs="Arial"/>
                          <w:b/>
                          <w:sz w:val="19"/>
                          <w:szCs w:val="19"/>
                        </w:rPr>
                      </w:pPr>
                    </w:p>
                    <w:p w14:paraId="37EBF3F4" w14:textId="77777777" w:rsidR="00730B8F" w:rsidRDefault="00730B8F" w:rsidP="000A41F9">
                      <w:pPr>
                        <w:pStyle w:val="Caption"/>
                      </w:pPr>
                    </w:p>
                    <w:p w14:paraId="71FAA87C" w14:textId="77777777" w:rsidR="00730B8F" w:rsidRDefault="00730B8F" w:rsidP="000A41F9"/>
                  </w:txbxContent>
                </v:textbox>
                <w10:wrap type="square" anchorx="margin"/>
              </v:shape>
            </w:pict>
          </mc:Fallback>
        </mc:AlternateContent>
      </w:r>
      <w:r w:rsidR="000A41F9" w:rsidRPr="000A41F9">
        <w:rPr>
          <w:bCs/>
        </w:rPr>
        <w:t>measured with the Single-probe system, and the suspension K562 cells, measured with the Single-Probe/ICMP system</w:t>
      </w:r>
      <w:r w:rsidR="00236623">
        <w:rPr>
          <w:bCs/>
        </w:rPr>
        <w:t xml:space="preserve"> c</w:t>
      </w:r>
      <w:r w:rsidR="00236623" w:rsidRPr="000A41F9">
        <w:rPr>
          <w:bCs/>
        </w:rPr>
        <w:t>orresponding to an increase in cellular dose</w:t>
      </w:r>
      <w:r w:rsidR="000A41F9" w:rsidRPr="000A41F9">
        <w:rPr>
          <w:bCs/>
        </w:rPr>
        <w:t xml:space="preserve">. </w:t>
      </w:r>
    </w:p>
    <w:p w14:paraId="7A3D1F4D" w14:textId="0518716B" w:rsidR="000C4204" w:rsidRPr="000A41F9" w:rsidRDefault="000A41F9" w:rsidP="00A2584C">
      <w:pPr>
        <w:ind w:firstLine="720"/>
        <w:jc w:val="both"/>
        <w:rPr>
          <w:bCs/>
        </w:rPr>
      </w:pPr>
      <w:r w:rsidRPr="000A41F9">
        <w:rPr>
          <w:bCs/>
        </w:rPr>
        <w:t xml:space="preserve">However, the increase in intracellular gemcitabine was not proportional with the increase in treatment condition (i.e., a 10 fold increase in treatment did not correlate with a 10 fold increase in intracellular amount). The 10 µM treatment correlated with a significant increase in intracellular gemcitabine compared to the 1 µM treatment in both treatments and methodologies. </w:t>
      </w:r>
    </w:p>
    <w:p w14:paraId="13A6D7DD" w14:textId="53589E75" w:rsidR="000A41F9" w:rsidRPr="000A41F9" w:rsidRDefault="000C4204" w:rsidP="000A41F9">
      <w:pPr>
        <w:ind w:firstLine="720"/>
        <w:jc w:val="both"/>
        <w:rPr>
          <w:bCs/>
        </w:rPr>
      </w:pPr>
      <w:r w:rsidRPr="000A41F9">
        <w:rPr>
          <w:bCs/>
          <w:noProof/>
        </w:rPr>
        <w:lastRenderedPageBreak/>
        <mc:AlternateContent>
          <mc:Choice Requires="wps">
            <w:drawing>
              <wp:anchor distT="45720" distB="45720" distL="114300" distR="114300" simplePos="0" relativeHeight="251606016" behindDoc="0" locked="0" layoutInCell="1" allowOverlap="1" wp14:anchorId="79F107BD" wp14:editId="62AF0A77">
                <wp:simplePos x="0" y="0"/>
                <wp:positionH relativeFrom="margin">
                  <wp:align>left</wp:align>
                </wp:positionH>
                <wp:positionV relativeFrom="paragraph">
                  <wp:posOffset>91</wp:posOffset>
                </wp:positionV>
                <wp:extent cx="5369560" cy="5660390"/>
                <wp:effectExtent l="0" t="0" r="21590" b="16510"/>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9560" cy="5660390"/>
                        </a:xfrm>
                        <a:prstGeom prst="rect">
                          <a:avLst/>
                        </a:prstGeom>
                        <a:solidFill>
                          <a:srgbClr val="FFFFFF"/>
                        </a:solidFill>
                        <a:ln w="9525">
                          <a:solidFill>
                            <a:srgbClr val="000000"/>
                          </a:solidFill>
                          <a:miter lim="800000"/>
                          <a:headEnd/>
                          <a:tailEnd/>
                        </a:ln>
                      </wps:spPr>
                      <wps:txbx>
                        <w:txbxContent>
                          <w:p w14:paraId="544712F2" w14:textId="77777777" w:rsidR="00730B8F" w:rsidRPr="003D0C7F" w:rsidRDefault="00730B8F" w:rsidP="000A41F9">
                            <w:pPr>
                              <w:keepNext/>
                              <w:rPr>
                                <w:rFonts w:ascii="Times New Roman" w:hAnsi="Times New Roman"/>
                              </w:rPr>
                            </w:pPr>
                            <w:r w:rsidRPr="003D0C7F">
                              <w:rPr>
                                <w:rFonts w:ascii="Times New Roman" w:hAnsi="Times New Roman"/>
                                <w:noProof/>
                              </w:rPr>
                              <w:drawing>
                                <wp:inline distT="0" distB="0" distL="0" distR="0" wp14:anchorId="4921438D" wp14:editId="6679F756">
                                  <wp:extent cx="5214371" cy="404066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43911" cy="4063551"/>
                                          </a:xfrm>
                                          <a:prstGeom prst="rect">
                                            <a:avLst/>
                                          </a:prstGeom>
                                          <a:noFill/>
                                          <a:ln>
                                            <a:noFill/>
                                          </a:ln>
                                        </pic:spPr>
                                      </pic:pic>
                                    </a:graphicData>
                                  </a:graphic>
                                </wp:inline>
                              </w:drawing>
                            </w:r>
                          </w:p>
                          <w:p w14:paraId="45AEB0AB" w14:textId="5DE2985A" w:rsidR="00730B8F" w:rsidRPr="003D0C7F" w:rsidRDefault="00730B8F" w:rsidP="000A41F9">
                            <w:pPr>
                              <w:rPr>
                                <w:rFonts w:ascii="Times New Roman" w:hAnsi="Times New Roman"/>
                              </w:rPr>
                            </w:pPr>
                            <w:bookmarkStart w:id="219" w:name="_Toc39868242"/>
                            <w:r w:rsidRPr="00E5747D">
                              <w:rPr>
                                <w:rFonts w:ascii="Times New Roman" w:hAnsi="Times New Roman"/>
                                <w:b/>
                                <w:bCs/>
                              </w:rPr>
                              <w:t xml:space="preserve">Figure </w:t>
                            </w:r>
                            <w:r w:rsidRPr="00E5747D">
                              <w:rPr>
                                <w:rFonts w:ascii="Times New Roman" w:hAnsi="Times New Roman"/>
                                <w:b/>
                                <w:bCs/>
                              </w:rPr>
                              <w:fldChar w:fldCharType="begin"/>
                            </w:r>
                            <w:r w:rsidRPr="00E5747D">
                              <w:rPr>
                                <w:rFonts w:ascii="Times New Roman" w:hAnsi="Times New Roman"/>
                                <w:b/>
                                <w:bCs/>
                              </w:rPr>
                              <w:instrText xml:space="preserve"> SEQ Figure \* ARABIC </w:instrText>
                            </w:r>
                            <w:r w:rsidRPr="00E5747D">
                              <w:rPr>
                                <w:rFonts w:ascii="Times New Roman" w:hAnsi="Times New Roman"/>
                                <w:b/>
                                <w:bCs/>
                              </w:rPr>
                              <w:fldChar w:fldCharType="separate"/>
                            </w:r>
                            <w:r>
                              <w:rPr>
                                <w:rFonts w:ascii="Times New Roman" w:hAnsi="Times New Roman"/>
                                <w:b/>
                                <w:bCs/>
                                <w:noProof/>
                              </w:rPr>
                              <w:t>29</w:t>
                            </w:r>
                            <w:r w:rsidRPr="00E5747D">
                              <w:rPr>
                                <w:rFonts w:ascii="Times New Roman" w:hAnsi="Times New Roman"/>
                                <w:b/>
                                <w:bCs/>
                              </w:rPr>
                              <w:fldChar w:fldCharType="end"/>
                            </w:r>
                            <w:r w:rsidRPr="003D0C7F">
                              <w:rPr>
                                <w:rFonts w:ascii="Times New Roman" w:hAnsi="Times New Roman"/>
                              </w:rPr>
                              <w:t>: MS/MS spectra of Gemcitabine. A) MS/MS spectra of gemcitabine analyzed from a single cell isolated from bladder cancer patient 1. B) MS/MS of gemcitabine from a spiked solution.</w:t>
                            </w:r>
                            <w:bookmarkEnd w:id="219"/>
                            <w:r w:rsidRPr="003D0C7F">
                              <w:rPr>
                                <w:rFonts w:ascii="Times New Roman" w:hAnsi="Times New Roman"/>
                              </w:rPr>
                              <w:t xml:space="preserve"> </w:t>
                            </w:r>
                          </w:p>
                          <w:p w14:paraId="59BC7965" w14:textId="77777777" w:rsidR="00730B8F" w:rsidRPr="003D0C7F" w:rsidRDefault="00730B8F" w:rsidP="000A41F9">
                            <w:pPr>
                              <w:rPr>
                                <w:rFonts w:ascii="Times New Roman" w:hAnsi="Times New Roman"/>
                              </w:rPr>
                            </w:pPr>
                          </w:p>
                          <w:p w14:paraId="2E89F966" w14:textId="77777777" w:rsidR="00730B8F" w:rsidRPr="003D0C7F" w:rsidRDefault="00730B8F" w:rsidP="000A41F9">
                            <w:pPr>
                              <w:pStyle w:val="Caption"/>
                              <w:rPr>
                                <w:rFonts w:ascii="Times New Roman" w:hAnsi="Times New Roman"/>
                                <w:szCs w:val="24"/>
                              </w:rPr>
                            </w:pPr>
                          </w:p>
                          <w:p w14:paraId="7E31927F" w14:textId="77777777" w:rsidR="00730B8F" w:rsidRPr="003D0C7F" w:rsidRDefault="00730B8F" w:rsidP="000A41F9">
                            <w:pPr>
                              <w:rPr>
                                <w:rFonts w:ascii="Times New Roman" w:hAnsi="Times New Roman"/>
                              </w:rPr>
                            </w:pPr>
                          </w:p>
                          <w:p w14:paraId="4ECE072D" w14:textId="77777777" w:rsidR="00730B8F" w:rsidRDefault="00730B8F"/>
                          <w:p w14:paraId="6B5BF269" w14:textId="50F618B2" w:rsidR="00730B8F" w:rsidRPr="003D0C7F" w:rsidRDefault="00730B8F" w:rsidP="000A41F9">
                            <w:pPr>
                              <w:keepNext/>
                              <w:rPr>
                                <w:rFonts w:ascii="Times New Roman" w:hAnsi="Times New Roman"/>
                              </w:rPr>
                            </w:pPr>
                            <w:r w:rsidRPr="003D0C7F">
                              <w:rPr>
                                <w:rFonts w:ascii="Times New Roman" w:hAnsi="Times New Roman"/>
                                <w:noProof/>
                              </w:rPr>
                              <w:drawing>
                                <wp:inline distT="0" distB="0" distL="0" distR="0" wp14:anchorId="4921438D" wp14:editId="6679F756">
                                  <wp:extent cx="5214371" cy="4040660"/>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43911" cy="4063551"/>
                                          </a:xfrm>
                                          <a:prstGeom prst="rect">
                                            <a:avLst/>
                                          </a:prstGeom>
                                          <a:noFill/>
                                          <a:ln>
                                            <a:noFill/>
                                          </a:ln>
                                        </pic:spPr>
                                      </pic:pic>
                                    </a:graphicData>
                                  </a:graphic>
                                </wp:inline>
                              </w:drawing>
                            </w:r>
                          </w:p>
                          <w:p w14:paraId="416F909E" w14:textId="0CA8CED3" w:rsidR="00730B8F" w:rsidRPr="003D0C7F" w:rsidRDefault="00730B8F" w:rsidP="000A41F9">
                            <w:pPr>
                              <w:rPr>
                                <w:rFonts w:ascii="Times New Roman" w:hAnsi="Times New Roman"/>
                              </w:rPr>
                            </w:pPr>
                            <w:bookmarkStart w:id="220" w:name="_Ref31380955"/>
                            <w:r w:rsidRPr="00E5747D">
                              <w:rPr>
                                <w:rFonts w:ascii="Times New Roman" w:hAnsi="Times New Roman"/>
                                <w:b/>
                                <w:bCs/>
                              </w:rPr>
                              <w:t xml:space="preserve">Figure </w:t>
                            </w:r>
                            <w:r w:rsidRPr="00E5747D">
                              <w:rPr>
                                <w:rFonts w:ascii="Times New Roman" w:hAnsi="Times New Roman"/>
                                <w:b/>
                                <w:bCs/>
                              </w:rPr>
                              <w:fldChar w:fldCharType="begin"/>
                            </w:r>
                            <w:r w:rsidRPr="00E5747D">
                              <w:rPr>
                                <w:rFonts w:ascii="Times New Roman" w:hAnsi="Times New Roman"/>
                                <w:b/>
                                <w:bCs/>
                              </w:rPr>
                              <w:instrText xml:space="preserve">  \* ARABIC </w:instrText>
                            </w:r>
                            <w:r w:rsidRPr="00E5747D">
                              <w:rPr>
                                <w:rFonts w:ascii="Times New Roman" w:hAnsi="Times New Roman"/>
                                <w:b/>
                                <w:bCs/>
                              </w:rPr>
                              <w:fldChar w:fldCharType="separate"/>
                            </w:r>
                            <w:r>
                              <w:rPr>
                                <w:rFonts w:ascii="Times New Roman" w:hAnsi="Times New Roman"/>
                                <w:b/>
                                <w:bCs/>
                                <w:noProof/>
                              </w:rPr>
                              <w:t>46</w:t>
                            </w:r>
                            <w:r w:rsidRPr="00E5747D">
                              <w:rPr>
                                <w:rFonts w:ascii="Times New Roman" w:hAnsi="Times New Roman"/>
                                <w:b/>
                                <w:bCs/>
                              </w:rPr>
                              <w:fldChar w:fldCharType="end"/>
                            </w:r>
                            <w:bookmarkEnd w:id="220"/>
                            <w:r w:rsidRPr="003D0C7F">
                              <w:rPr>
                                <w:rFonts w:ascii="Times New Roman" w:hAnsi="Times New Roman"/>
                              </w:rPr>
                              <w:t xml:space="preserve">: MS/MS spectra of Gemcitabine. A) MS/MS spectra of gemcitabine analyzed from a single cell isolated from bladder cancer patient 1. B) MS/MS of gemcitabine from a spiked solution. </w:t>
                            </w:r>
                          </w:p>
                          <w:p w14:paraId="700BDB95" w14:textId="77777777" w:rsidR="00730B8F" w:rsidRPr="003D0C7F" w:rsidRDefault="00730B8F" w:rsidP="000A41F9">
                            <w:pPr>
                              <w:rPr>
                                <w:rFonts w:ascii="Times New Roman" w:hAnsi="Times New Roman"/>
                              </w:rPr>
                            </w:pPr>
                          </w:p>
                          <w:p w14:paraId="11F3C956" w14:textId="77777777" w:rsidR="00730B8F" w:rsidRPr="003D0C7F" w:rsidRDefault="00730B8F" w:rsidP="000A41F9">
                            <w:pPr>
                              <w:pStyle w:val="Caption"/>
                              <w:rPr>
                                <w:rFonts w:ascii="Times New Roman" w:hAnsi="Times New Roman"/>
                                <w:szCs w:val="24"/>
                              </w:rPr>
                            </w:pPr>
                          </w:p>
                          <w:p w14:paraId="507F926D" w14:textId="77777777" w:rsidR="00730B8F" w:rsidRPr="003D0C7F" w:rsidRDefault="00730B8F" w:rsidP="000A41F9">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107BD" id="_x0000_s1054" type="#_x0000_t202" style="position:absolute;left:0;text-align:left;margin-left:0;margin-top:0;width:422.8pt;height:445.7pt;z-index:251606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">
                <v:textbox>
                  <w:txbxContent>
                    <w:p w14:paraId="544712F2" w14:textId="77777777" w:rsidR="00730B8F" w:rsidRPr="003D0C7F" w:rsidRDefault="00730B8F" w:rsidP="000A41F9">
                      <w:pPr>
                        <w:keepNext/>
                        <w:rPr>
                          <w:rFonts w:ascii="Times New Roman" w:hAnsi="Times New Roman"/>
                        </w:rPr>
                      </w:pPr>
                      <w:r w:rsidRPr="003D0C7F">
                        <w:rPr>
                          <w:rFonts w:ascii="Times New Roman" w:hAnsi="Times New Roman"/>
                          <w:noProof/>
                        </w:rPr>
                        <w:drawing>
                          <wp:inline distT="0" distB="0" distL="0" distR="0" wp14:anchorId="4921438D" wp14:editId="6679F756">
                            <wp:extent cx="5214371" cy="404066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43911" cy="4063551"/>
                                    </a:xfrm>
                                    <a:prstGeom prst="rect">
                                      <a:avLst/>
                                    </a:prstGeom>
                                    <a:noFill/>
                                    <a:ln>
                                      <a:noFill/>
                                    </a:ln>
                                  </pic:spPr>
                                </pic:pic>
                              </a:graphicData>
                            </a:graphic>
                          </wp:inline>
                        </w:drawing>
                      </w:r>
                    </w:p>
                    <w:p w14:paraId="45AEB0AB" w14:textId="5DE2985A" w:rsidR="00730B8F" w:rsidRPr="003D0C7F" w:rsidRDefault="00730B8F" w:rsidP="000A41F9">
                      <w:pPr>
                        <w:rPr>
                          <w:rFonts w:ascii="Times New Roman" w:hAnsi="Times New Roman"/>
                        </w:rPr>
                      </w:pPr>
                      <w:bookmarkStart w:id="221" w:name="_Toc39868242"/>
                      <w:r w:rsidRPr="00E5747D">
                        <w:rPr>
                          <w:rFonts w:ascii="Times New Roman" w:hAnsi="Times New Roman"/>
                          <w:b/>
                          <w:bCs/>
                        </w:rPr>
                        <w:t xml:space="preserve">Figure </w:t>
                      </w:r>
                      <w:r w:rsidRPr="00E5747D">
                        <w:rPr>
                          <w:rFonts w:ascii="Times New Roman" w:hAnsi="Times New Roman"/>
                          <w:b/>
                          <w:bCs/>
                        </w:rPr>
                        <w:fldChar w:fldCharType="begin"/>
                      </w:r>
                      <w:r w:rsidRPr="00E5747D">
                        <w:rPr>
                          <w:rFonts w:ascii="Times New Roman" w:hAnsi="Times New Roman"/>
                          <w:b/>
                          <w:bCs/>
                        </w:rPr>
                        <w:instrText xml:space="preserve"> SEQ Figure \* ARABIC </w:instrText>
                      </w:r>
                      <w:r w:rsidRPr="00E5747D">
                        <w:rPr>
                          <w:rFonts w:ascii="Times New Roman" w:hAnsi="Times New Roman"/>
                          <w:b/>
                          <w:bCs/>
                        </w:rPr>
                        <w:fldChar w:fldCharType="separate"/>
                      </w:r>
                      <w:r>
                        <w:rPr>
                          <w:rFonts w:ascii="Times New Roman" w:hAnsi="Times New Roman"/>
                          <w:b/>
                          <w:bCs/>
                          <w:noProof/>
                        </w:rPr>
                        <w:t>29</w:t>
                      </w:r>
                      <w:r w:rsidRPr="00E5747D">
                        <w:rPr>
                          <w:rFonts w:ascii="Times New Roman" w:hAnsi="Times New Roman"/>
                          <w:b/>
                          <w:bCs/>
                        </w:rPr>
                        <w:fldChar w:fldCharType="end"/>
                      </w:r>
                      <w:r w:rsidRPr="003D0C7F">
                        <w:rPr>
                          <w:rFonts w:ascii="Times New Roman" w:hAnsi="Times New Roman"/>
                        </w:rPr>
                        <w:t>: MS/MS spectra of Gemcitabine. A) MS/MS spectra of gemcitabine analyzed from a single cell isolated from bladder cancer patient 1. B) MS/MS of gemcitabine from a spiked solution.</w:t>
                      </w:r>
                      <w:bookmarkEnd w:id="221"/>
                      <w:r w:rsidRPr="003D0C7F">
                        <w:rPr>
                          <w:rFonts w:ascii="Times New Roman" w:hAnsi="Times New Roman"/>
                        </w:rPr>
                        <w:t xml:space="preserve"> </w:t>
                      </w:r>
                    </w:p>
                    <w:p w14:paraId="59BC7965" w14:textId="77777777" w:rsidR="00730B8F" w:rsidRPr="003D0C7F" w:rsidRDefault="00730B8F" w:rsidP="000A41F9">
                      <w:pPr>
                        <w:rPr>
                          <w:rFonts w:ascii="Times New Roman" w:hAnsi="Times New Roman"/>
                        </w:rPr>
                      </w:pPr>
                    </w:p>
                    <w:p w14:paraId="2E89F966" w14:textId="77777777" w:rsidR="00730B8F" w:rsidRPr="003D0C7F" w:rsidRDefault="00730B8F" w:rsidP="000A41F9">
                      <w:pPr>
                        <w:pStyle w:val="Caption"/>
                        <w:rPr>
                          <w:rFonts w:ascii="Times New Roman" w:hAnsi="Times New Roman"/>
                          <w:szCs w:val="24"/>
                        </w:rPr>
                      </w:pPr>
                    </w:p>
                    <w:p w14:paraId="7E31927F" w14:textId="77777777" w:rsidR="00730B8F" w:rsidRPr="003D0C7F" w:rsidRDefault="00730B8F" w:rsidP="000A41F9">
                      <w:pPr>
                        <w:rPr>
                          <w:rFonts w:ascii="Times New Roman" w:hAnsi="Times New Roman"/>
                        </w:rPr>
                      </w:pPr>
                    </w:p>
                    <w:p w14:paraId="4ECE072D" w14:textId="77777777" w:rsidR="00730B8F" w:rsidRDefault="00730B8F"/>
                    <w:p w14:paraId="6B5BF269" w14:textId="50F618B2" w:rsidR="00730B8F" w:rsidRPr="003D0C7F" w:rsidRDefault="00730B8F" w:rsidP="000A41F9">
                      <w:pPr>
                        <w:keepNext/>
                        <w:rPr>
                          <w:rFonts w:ascii="Times New Roman" w:hAnsi="Times New Roman"/>
                        </w:rPr>
                      </w:pPr>
                      <w:r w:rsidRPr="003D0C7F">
                        <w:rPr>
                          <w:rFonts w:ascii="Times New Roman" w:hAnsi="Times New Roman"/>
                          <w:noProof/>
                        </w:rPr>
                        <w:drawing>
                          <wp:inline distT="0" distB="0" distL="0" distR="0" wp14:anchorId="4921438D" wp14:editId="6679F756">
                            <wp:extent cx="5214371" cy="4040660"/>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43911" cy="4063551"/>
                                    </a:xfrm>
                                    <a:prstGeom prst="rect">
                                      <a:avLst/>
                                    </a:prstGeom>
                                    <a:noFill/>
                                    <a:ln>
                                      <a:noFill/>
                                    </a:ln>
                                  </pic:spPr>
                                </pic:pic>
                              </a:graphicData>
                            </a:graphic>
                          </wp:inline>
                        </w:drawing>
                      </w:r>
                    </w:p>
                    <w:p w14:paraId="416F909E" w14:textId="0CA8CED3" w:rsidR="00730B8F" w:rsidRPr="003D0C7F" w:rsidRDefault="00730B8F" w:rsidP="000A41F9">
                      <w:pPr>
                        <w:rPr>
                          <w:rFonts w:ascii="Times New Roman" w:hAnsi="Times New Roman"/>
                        </w:rPr>
                      </w:pPr>
                      <w:bookmarkStart w:id="222" w:name="_Ref31380955"/>
                      <w:r w:rsidRPr="00E5747D">
                        <w:rPr>
                          <w:rFonts w:ascii="Times New Roman" w:hAnsi="Times New Roman"/>
                          <w:b/>
                          <w:bCs/>
                        </w:rPr>
                        <w:t xml:space="preserve">Figure </w:t>
                      </w:r>
                      <w:r w:rsidRPr="00E5747D">
                        <w:rPr>
                          <w:rFonts w:ascii="Times New Roman" w:hAnsi="Times New Roman"/>
                          <w:b/>
                          <w:bCs/>
                        </w:rPr>
                        <w:fldChar w:fldCharType="begin"/>
                      </w:r>
                      <w:r w:rsidRPr="00E5747D">
                        <w:rPr>
                          <w:rFonts w:ascii="Times New Roman" w:hAnsi="Times New Roman"/>
                          <w:b/>
                          <w:bCs/>
                        </w:rPr>
                        <w:instrText xml:space="preserve">  \* ARABIC </w:instrText>
                      </w:r>
                      <w:r w:rsidRPr="00E5747D">
                        <w:rPr>
                          <w:rFonts w:ascii="Times New Roman" w:hAnsi="Times New Roman"/>
                          <w:b/>
                          <w:bCs/>
                        </w:rPr>
                        <w:fldChar w:fldCharType="separate"/>
                      </w:r>
                      <w:r>
                        <w:rPr>
                          <w:rFonts w:ascii="Times New Roman" w:hAnsi="Times New Roman"/>
                          <w:b/>
                          <w:bCs/>
                          <w:noProof/>
                        </w:rPr>
                        <w:t>46</w:t>
                      </w:r>
                      <w:r w:rsidRPr="00E5747D">
                        <w:rPr>
                          <w:rFonts w:ascii="Times New Roman" w:hAnsi="Times New Roman"/>
                          <w:b/>
                          <w:bCs/>
                        </w:rPr>
                        <w:fldChar w:fldCharType="end"/>
                      </w:r>
                      <w:bookmarkEnd w:id="222"/>
                      <w:r w:rsidRPr="003D0C7F">
                        <w:rPr>
                          <w:rFonts w:ascii="Times New Roman" w:hAnsi="Times New Roman"/>
                        </w:rPr>
                        <w:t xml:space="preserve">: MS/MS spectra of Gemcitabine. A) MS/MS spectra of gemcitabine analyzed from a single cell isolated from bladder cancer patient 1. B) MS/MS of gemcitabine from a spiked solution. </w:t>
                      </w:r>
                    </w:p>
                    <w:p w14:paraId="700BDB95" w14:textId="77777777" w:rsidR="00730B8F" w:rsidRPr="003D0C7F" w:rsidRDefault="00730B8F" w:rsidP="000A41F9">
                      <w:pPr>
                        <w:rPr>
                          <w:rFonts w:ascii="Times New Roman" w:hAnsi="Times New Roman"/>
                        </w:rPr>
                      </w:pPr>
                    </w:p>
                    <w:p w14:paraId="11F3C956" w14:textId="77777777" w:rsidR="00730B8F" w:rsidRPr="003D0C7F" w:rsidRDefault="00730B8F" w:rsidP="000A41F9">
                      <w:pPr>
                        <w:pStyle w:val="Caption"/>
                        <w:rPr>
                          <w:rFonts w:ascii="Times New Roman" w:hAnsi="Times New Roman"/>
                          <w:szCs w:val="24"/>
                        </w:rPr>
                      </w:pPr>
                    </w:p>
                    <w:p w14:paraId="507F926D" w14:textId="77777777" w:rsidR="00730B8F" w:rsidRPr="003D0C7F" w:rsidRDefault="00730B8F" w:rsidP="000A41F9">
                      <w:pPr>
                        <w:rPr>
                          <w:rFonts w:ascii="Times New Roman" w:hAnsi="Times New Roman"/>
                        </w:rPr>
                      </w:pPr>
                    </w:p>
                  </w:txbxContent>
                </v:textbox>
                <w10:wrap type="square" anchorx="margin"/>
              </v:shape>
            </w:pict>
          </mc:Fallback>
        </mc:AlternateContent>
      </w:r>
      <w:r w:rsidR="000A41F9" w:rsidRPr="000A41F9">
        <w:rPr>
          <w:bCs/>
        </w:rPr>
        <w:t>The spherical, suspended K562 cell line was also used to quantify the absolute concentration of intracellular gemcitabine inside each individual cell. Each cell’s diameter was measured by measuring the inner diameter of the cell selection probe. With a calculated cell volume, the concentration of gemcitabine in the K562 cells was determined. The intracellular concentrations of gemcitabine are significantly increased in a concentration dependent pattern (p</w:t>
      </w:r>
      <w:r w:rsidR="009822E9">
        <w:rPr>
          <w:bCs/>
        </w:rPr>
        <w:t xml:space="preserve"> &lt; </w:t>
      </w:r>
      <w:r w:rsidR="000A41F9" w:rsidRPr="000A41F9">
        <w:rPr>
          <w:bCs/>
        </w:rPr>
        <w:t>0.05) (</w:t>
      </w:r>
      <w:r w:rsidR="000A41F9" w:rsidRPr="00A2584C">
        <w:rPr>
          <w:b/>
          <w:bCs/>
        </w:rPr>
        <w:fldChar w:fldCharType="begin"/>
      </w:r>
      <w:r w:rsidR="000A41F9" w:rsidRPr="00A2584C">
        <w:rPr>
          <w:b/>
          <w:bCs/>
        </w:rPr>
        <w:instrText xml:space="preserve"> REF _Ref32400676 \h  \* MERGEFORMAT </w:instrText>
      </w:r>
      <w:r w:rsidR="000A41F9" w:rsidRPr="00A2584C">
        <w:rPr>
          <w:b/>
          <w:bCs/>
        </w:rPr>
      </w:r>
      <w:r w:rsidR="000A41F9" w:rsidRPr="00A2584C">
        <w:rPr>
          <w:b/>
          <w:bCs/>
        </w:rPr>
        <w:fldChar w:fldCharType="separate"/>
      </w:r>
      <w:r w:rsidR="000A41F9" w:rsidRPr="00A2584C">
        <w:rPr>
          <w:b/>
          <w:bCs/>
        </w:rPr>
        <w:t>Table 2</w:t>
      </w:r>
      <w:r w:rsidR="000A41F9" w:rsidRPr="00A2584C">
        <w:rPr>
          <w:b/>
          <w:bCs/>
        </w:rPr>
        <w:fldChar w:fldCharType="end"/>
      </w:r>
      <w:r w:rsidR="000A41F9" w:rsidRPr="00A4382B">
        <w:t>)</w:t>
      </w:r>
      <w:r w:rsidR="000A41F9" w:rsidRPr="000A41F9">
        <w:rPr>
          <w:bCs/>
        </w:rPr>
        <w:t xml:space="preserve">. </w:t>
      </w:r>
    </w:p>
    <w:p w14:paraId="02B3E7F8" w14:textId="0E3B4209" w:rsidR="000A41F9" w:rsidRPr="000A41F9" w:rsidRDefault="000A41F9" w:rsidP="000A41F9">
      <w:pPr>
        <w:ind w:firstLine="720"/>
        <w:jc w:val="both"/>
        <w:rPr>
          <w:bCs/>
        </w:rPr>
      </w:pPr>
      <w:r w:rsidRPr="000A41F9">
        <w:rPr>
          <w:bCs/>
        </w:rPr>
        <w:lastRenderedPageBreak/>
        <w:t xml:space="preserve">A further level of validation was taken by comparing the SCMS calculated concentration levels of gemcitabine in K562 cells to a LCMS quantification of gemcitabine. LCMS is the gold standard for determining intracellular drug concentration by considering both the total cell count in the lysate and the estimated cellular volume (2.8 pL). The calculated LCMS results are the average intracellular drug concentration in single cells. The LCMS results showed similar comparison to the SCMS results using the Single-probe/ICMP setup. This further signifies the potential of this methodology for quantifying drug accumulation in single cells. </w:t>
      </w:r>
    </w:p>
    <w:p w14:paraId="4AD6CECA" w14:textId="77777777" w:rsidR="000A41F9" w:rsidRPr="000A41F9" w:rsidRDefault="000A41F9" w:rsidP="000A41F9">
      <w:pPr>
        <w:ind w:firstLine="720"/>
        <w:jc w:val="both"/>
        <w:rPr>
          <w:bCs/>
        </w:rPr>
      </w:pPr>
    </w:p>
    <w:p w14:paraId="2DC7EFFB" w14:textId="77777777" w:rsidR="000A41F9" w:rsidRPr="000A41F9" w:rsidRDefault="000A41F9" w:rsidP="000A41F9">
      <w:pPr>
        <w:jc w:val="both"/>
      </w:pPr>
      <w:bookmarkStart w:id="223" w:name="_Ref32400676"/>
      <w:bookmarkStart w:id="224" w:name="_Toc39868213"/>
      <w:r w:rsidRPr="00E5747D">
        <w:rPr>
          <w:b/>
          <w:bCs/>
        </w:rPr>
        <w:t xml:space="preserve">Table </w:t>
      </w:r>
      <w:r w:rsidR="005E5C88" w:rsidRPr="00E5747D">
        <w:rPr>
          <w:b/>
          <w:bCs/>
        </w:rPr>
        <w:fldChar w:fldCharType="begin"/>
      </w:r>
      <w:r w:rsidR="005E5C88" w:rsidRPr="00E5747D">
        <w:rPr>
          <w:b/>
          <w:bCs/>
        </w:rPr>
        <w:instrText xml:space="preserve"> SEQ Table \* ARABIC </w:instrText>
      </w:r>
      <w:r w:rsidR="005E5C88" w:rsidRPr="00E5747D">
        <w:rPr>
          <w:b/>
          <w:bCs/>
        </w:rPr>
        <w:fldChar w:fldCharType="separate"/>
      </w:r>
      <w:r w:rsidRPr="00E5747D">
        <w:rPr>
          <w:b/>
          <w:bCs/>
        </w:rPr>
        <w:t>2</w:t>
      </w:r>
      <w:r w:rsidR="005E5C88" w:rsidRPr="00E5747D">
        <w:rPr>
          <w:b/>
          <w:bCs/>
        </w:rPr>
        <w:fldChar w:fldCharType="end"/>
      </w:r>
      <w:bookmarkEnd w:id="223"/>
      <w:r w:rsidRPr="00E5747D">
        <w:rPr>
          <w:b/>
          <w:bCs/>
        </w:rPr>
        <w:t>:</w:t>
      </w:r>
      <w:r w:rsidRPr="000A41F9">
        <w:t xml:space="preserve"> Concentration of intracellular gemcitabine in K562 cells using SCMS and LCMS.</w:t>
      </w:r>
      <w:bookmarkEnd w:id="224"/>
    </w:p>
    <w:tbl>
      <w:tblPr>
        <w:tblW w:w="8469" w:type="dxa"/>
        <w:tblCellMar>
          <w:left w:w="0" w:type="dxa"/>
          <w:right w:w="0" w:type="dxa"/>
        </w:tblCellMar>
        <w:tblLook w:val="04A0" w:firstRow="1" w:lastRow="0" w:firstColumn="1" w:lastColumn="0" w:noHBand="0" w:noVBand="1"/>
      </w:tblPr>
      <w:tblGrid>
        <w:gridCol w:w="2977"/>
        <w:gridCol w:w="2663"/>
        <w:gridCol w:w="2829"/>
      </w:tblGrid>
      <w:tr w:rsidR="000A41F9" w:rsidRPr="000A41F9" w14:paraId="3466BBA7" w14:textId="77777777" w:rsidTr="000A41F9">
        <w:trPr>
          <w:trHeight w:val="116"/>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6A4E3D6F" w14:textId="77777777" w:rsidR="000A41F9" w:rsidRPr="000A41F9" w:rsidRDefault="000A41F9" w:rsidP="000A41F9">
            <w:pPr>
              <w:ind w:firstLine="720"/>
              <w:jc w:val="both"/>
              <w:rPr>
                <w:bCs/>
              </w:rPr>
            </w:pPr>
            <w:r w:rsidRPr="000A41F9">
              <w:rPr>
                <w:b/>
                <w:bCs/>
              </w:rPr>
              <w:t>Treatment Conc.</w:t>
            </w:r>
          </w:p>
        </w:tc>
        <w:tc>
          <w:tcPr>
            <w:tcW w:w="2663"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5697AF94" w14:textId="77777777" w:rsidR="000A41F9" w:rsidRPr="000A41F9" w:rsidRDefault="000A41F9" w:rsidP="000A41F9">
            <w:pPr>
              <w:ind w:firstLine="720"/>
              <w:jc w:val="both"/>
              <w:rPr>
                <w:bCs/>
              </w:rPr>
            </w:pPr>
            <w:r w:rsidRPr="000A41F9">
              <w:rPr>
                <w:b/>
                <w:bCs/>
              </w:rPr>
              <w:t>SCMS (µM)</w:t>
            </w:r>
          </w:p>
        </w:tc>
        <w:tc>
          <w:tcPr>
            <w:tcW w:w="28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14379BF5" w14:textId="77777777" w:rsidR="000A41F9" w:rsidRPr="000A41F9" w:rsidRDefault="000A41F9" w:rsidP="000A41F9">
            <w:pPr>
              <w:ind w:firstLine="720"/>
              <w:jc w:val="both"/>
              <w:rPr>
                <w:bCs/>
              </w:rPr>
            </w:pPr>
            <w:r w:rsidRPr="000A41F9">
              <w:rPr>
                <w:b/>
                <w:bCs/>
              </w:rPr>
              <w:t>LCMS (µM)</w:t>
            </w:r>
          </w:p>
        </w:tc>
      </w:tr>
      <w:tr w:rsidR="000A41F9" w:rsidRPr="000A41F9" w14:paraId="71EA9ED0" w14:textId="77777777" w:rsidTr="000A41F9">
        <w:trPr>
          <w:trHeight w:val="55"/>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6439D19A" w14:textId="77777777" w:rsidR="000A41F9" w:rsidRPr="000A41F9" w:rsidRDefault="000A41F9" w:rsidP="000A41F9">
            <w:pPr>
              <w:ind w:firstLine="720"/>
              <w:jc w:val="both"/>
              <w:rPr>
                <w:bCs/>
              </w:rPr>
            </w:pPr>
            <w:r w:rsidRPr="000A41F9">
              <w:rPr>
                <w:bCs/>
              </w:rPr>
              <w:t>0.1 µM</w:t>
            </w:r>
          </w:p>
        </w:tc>
        <w:tc>
          <w:tcPr>
            <w:tcW w:w="2663"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192AFC48" w14:textId="77777777" w:rsidR="000A41F9" w:rsidRPr="000A41F9" w:rsidRDefault="000A41F9" w:rsidP="000A41F9">
            <w:pPr>
              <w:ind w:firstLine="720"/>
              <w:jc w:val="both"/>
              <w:rPr>
                <w:bCs/>
              </w:rPr>
            </w:pPr>
            <w:r w:rsidRPr="000A41F9">
              <w:rPr>
                <w:bCs/>
              </w:rPr>
              <w:t xml:space="preserve">10.9 </w:t>
            </w:r>
            <w:r w:rsidRPr="000A41F9">
              <w:rPr>
                <w:bCs/>
              </w:rPr>
              <w:sym w:font="Symbol" w:char="F0B1"/>
            </w:r>
            <w:r w:rsidRPr="000A41F9">
              <w:rPr>
                <w:bCs/>
              </w:rPr>
              <w:t xml:space="preserve"> 7.1</w:t>
            </w:r>
          </w:p>
        </w:tc>
        <w:tc>
          <w:tcPr>
            <w:tcW w:w="28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211D08E3" w14:textId="77777777" w:rsidR="000A41F9" w:rsidRPr="000A41F9" w:rsidRDefault="000A41F9" w:rsidP="000A41F9">
            <w:pPr>
              <w:ind w:firstLine="720"/>
              <w:jc w:val="both"/>
              <w:rPr>
                <w:bCs/>
              </w:rPr>
            </w:pPr>
            <w:r w:rsidRPr="000A41F9">
              <w:rPr>
                <w:bCs/>
              </w:rPr>
              <w:t xml:space="preserve">17.4 </w:t>
            </w:r>
            <w:r w:rsidRPr="000A41F9">
              <w:rPr>
                <w:bCs/>
              </w:rPr>
              <w:sym w:font="Symbol" w:char="F0B1"/>
            </w:r>
            <w:r w:rsidRPr="000A41F9">
              <w:rPr>
                <w:bCs/>
              </w:rPr>
              <w:t xml:space="preserve"> 5.0</w:t>
            </w:r>
          </w:p>
        </w:tc>
      </w:tr>
      <w:tr w:rsidR="000A41F9" w:rsidRPr="000A41F9" w14:paraId="20B4A4CF" w14:textId="77777777" w:rsidTr="000A41F9">
        <w:trPr>
          <w:trHeight w:val="55"/>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50DB9429" w14:textId="77777777" w:rsidR="000A41F9" w:rsidRPr="000A41F9" w:rsidRDefault="000A41F9" w:rsidP="000A41F9">
            <w:pPr>
              <w:ind w:firstLine="720"/>
              <w:jc w:val="both"/>
              <w:rPr>
                <w:bCs/>
              </w:rPr>
            </w:pPr>
            <w:r w:rsidRPr="000A41F9">
              <w:rPr>
                <w:bCs/>
              </w:rPr>
              <w:t>1 µM</w:t>
            </w:r>
          </w:p>
        </w:tc>
        <w:tc>
          <w:tcPr>
            <w:tcW w:w="2663"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12CFD9D1" w14:textId="77777777" w:rsidR="000A41F9" w:rsidRPr="000A41F9" w:rsidRDefault="000A41F9" w:rsidP="000A41F9">
            <w:pPr>
              <w:ind w:firstLine="720"/>
              <w:jc w:val="both"/>
              <w:rPr>
                <w:bCs/>
              </w:rPr>
            </w:pPr>
            <w:r w:rsidRPr="000A41F9">
              <w:rPr>
                <w:bCs/>
              </w:rPr>
              <w:t xml:space="preserve">17.9 </w:t>
            </w:r>
            <w:r w:rsidRPr="000A41F9">
              <w:rPr>
                <w:bCs/>
              </w:rPr>
              <w:sym w:font="Symbol" w:char="F0B1"/>
            </w:r>
            <w:r w:rsidRPr="000A41F9">
              <w:rPr>
                <w:bCs/>
              </w:rPr>
              <w:t xml:space="preserve"> 11.9</w:t>
            </w:r>
          </w:p>
        </w:tc>
        <w:tc>
          <w:tcPr>
            <w:tcW w:w="28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4AE3D023" w14:textId="77777777" w:rsidR="000A41F9" w:rsidRPr="000A41F9" w:rsidRDefault="000A41F9" w:rsidP="000A41F9">
            <w:pPr>
              <w:ind w:firstLine="720"/>
              <w:jc w:val="both"/>
              <w:rPr>
                <w:bCs/>
              </w:rPr>
            </w:pPr>
            <w:r w:rsidRPr="000A41F9">
              <w:rPr>
                <w:bCs/>
              </w:rPr>
              <w:t xml:space="preserve">18.1 </w:t>
            </w:r>
            <w:r w:rsidRPr="000A41F9">
              <w:rPr>
                <w:bCs/>
              </w:rPr>
              <w:sym w:font="Symbol" w:char="F0B1"/>
            </w:r>
            <w:r w:rsidRPr="000A41F9">
              <w:rPr>
                <w:bCs/>
              </w:rPr>
              <w:t xml:space="preserve"> 5.8</w:t>
            </w:r>
          </w:p>
        </w:tc>
      </w:tr>
      <w:tr w:rsidR="000A41F9" w:rsidRPr="000A41F9" w14:paraId="60F8FC2D" w14:textId="77777777" w:rsidTr="000A41F9">
        <w:trPr>
          <w:trHeight w:val="55"/>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4D2367B9" w14:textId="77777777" w:rsidR="000A41F9" w:rsidRPr="000A41F9" w:rsidRDefault="000A41F9" w:rsidP="000A41F9">
            <w:pPr>
              <w:ind w:firstLine="720"/>
              <w:jc w:val="both"/>
              <w:rPr>
                <w:bCs/>
              </w:rPr>
            </w:pPr>
            <w:r w:rsidRPr="000A41F9">
              <w:rPr>
                <w:bCs/>
              </w:rPr>
              <w:t>10 µM</w:t>
            </w:r>
          </w:p>
        </w:tc>
        <w:tc>
          <w:tcPr>
            <w:tcW w:w="2663"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624F0BD5" w14:textId="77777777" w:rsidR="000A41F9" w:rsidRPr="000A41F9" w:rsidRDefault="000A41F9" w:rsidP="000A41F9">
            <w:pPr>
              <w:ind w:firstLine="720"/>
              <w:jc w:val="both"/>
              <w:rPr>
                <w:bCs/>
              </w:rPr>
            </w:pPr>
            <w:r w:rsidRPr="000A41F9">
              <w:rPr>
                <w:bCs/>
              </w:rPr>
              <w:t xml:space="preserve">37.3 </w:t>
            </w:r>
            <w:r w:rsidRPr="000A41F9">
              <w:rPr>
                <w:bCs/>
              </w:rPr>
              <w:sym w:font="Symbol" w:char="F0B1"/>
            </w:r>
            <w:r w:rsidRPr="000A41F9">
              <w:rPr>
                <w:bCs/>
              </w:rPr>
              <w:t xml:space="preserve"> 26.1</w:t>
            </w:r>
          </w:p>
        </w:tc>
        <w:tc>
          <w:tcPr>
            <w:tcW w:w="2829" w:type="dxa"/>
            <w:tcBorders>
              <w:top w:val="single" w:sz="8" w:space="0" w:color="000000"/>
              <w:left w:val="single" w:sz="8" w:space="0" w:color="000000"/>
              <w:bottom w:val="single" w:sz="8" w:space="0" w:color="000000"/>
              <w:right w:val="single" w:sz="8" w:space="0" w:color="000000"/>
            </w:tcBorders>
            <w:shd w:val="clear" w:color="auto" w:fill="auto"/>
            <w:tcMar>
              <w:top w:w="15" w:type="dxa"/>
              <w:left w:w="65" w:type="dxa"/>
              <w:bottom w:w="0" w:type="dxa"/>
              <w:right w:w="65" w:type="dxa"/>
            </w:tcMar>
            <w:vAlign w:val="center"/>
            <w:hideMark/>
          </w:tcPr>
          <w:p w14:paraId="0D85CC3D" w14:textId="77777777" w:rsidR="000A41F9" w:rsidRPr="000A41F9" w:rsidRDefault="000A41F9" w:rsidP="000A41F9">
            <w:pPr>
              <w:ind w:firstLine="720"/>
              <w:jc w:val="both"/>
              <w:rPr>
                <w:bCs/>
              </w:rPr>
            </w:pPr>
            <w:r w:rsidRPr="000A41F9">
              <w:rPr>
                <w:bCs/>
              </w:rPr>
              <w:t xml:space="preserve">28.0 </w:t>
            </w:r>
            <w:r w:rsidRPr="000A41F9">
              <w:rPr>
                <w:bCs/>
              </w:rPr>
              <w:sym w:font="Symbol" w:char="F0B1"/>
            </w:r>
            <w:r w:rsidRPr="000A41F9">
              <w:rPr>
                <w:bCs/>
              </w:rPr>
              <w:t xml:space="preserve"> 12.6</w:t>
            </w:r>
          </w:p>
        </w:tc>
      </w:tr>
    </w:tbl>
    <w:p w14:paraId="56235664" w14:textId="77777777" w:rsidR="000A41F9" w:rsidRPr="000A41F9" w:rsidRDefault="000A41F9" w:rsidP="00DF10BA">
      <w:pPr>
        <w:jc w:val="both"/>
        <w:rPr>
          <w:bCs/>
        </w:rPr>
      </w:pPr>
    </w:p>
    <w:p w14:paraId="690C3B2B" w14:textId="65A4747D" w:rsidR="000C4204" w:rsidRPr="008757BF" w:rsidRDefault="000C4204" w:rsidP="000C4204">
      <w:pPr>
        <w:pStyle w:val="Heading3"/>
      </w:pPr>
      <w:bookmarkStart w:id="225" w:name="_Toc39868204"/>
      <w:r>
        <w:t>4.</w:t>
      </w:r>
      <w:r w:rsidR="00655CA3">
        <w:t>3</w:t>
      </w:r>
      <w:r>
        <w:t>.</w:t>
      </w:r>
      <w:r w:rsidR="00A4382B">
        <w:t>5</w:t>
      </w:r>
      <w:r>
        <w:t xml:space="preserve"> Clinical Single-Cell Patient Isolated Drug Quantification</w:t>
      </w:r>
      <w:bookmarkEnd w:id="225"/>
    </w:p>
    <w:p w14:paraId="1B4A41DE" w14:textId="09C3DBAE" w:rsidR="00E5747D" w:rsidRDefault="000A41F9" w:rsidP="00E5747D">
      <w:pPr>
        <w:ind w:firstLine="720"/>
        <w:jc w:val="both"/>
        <w:rPr>
          <w:bCs/>
        </w:rPr>
      </w:pPr>
      <w:r w:rsidRPr="000A41F9">
        <w:rPr>
          <w:bCs/>
        </w:rPr>
        <w:t>Following the validation</w:t>
      </w:r>
      <w:r w:rsidRPr="000A41F9">
        <w:rPr>
          <w:bCs/>
          <w:i/>
        </w:rPr>
        <w:t xml:space="preserve"> in vitro</w:t>
      </w:r>
      <w:r w:rsidRPr="000A41F9">
        <w:rPr>
          <w:bCs/>
        </w:rPr>
        <w:t>, the Single-probe/ICMP methodology was used to quantify the amount of gemcitabine from non-invasively isolated cells from the urine of bladder cancer patients. A total of four individual bladder cancer patients were analyzed</w:t>
      </w:r>
      <w:r w:rsidRPr="00A4382B">
        <w:rPr>
          <w:b/>
        </w:rPr>
        <w:t xml:space="preserve"> </w:t>
      </w:r>
      <w:r w:rsidRPr="00A4382B">
        <w:rPr>
          <w:bCs/>
        </w:rPr>
        <w:t>(</w:t>
      </w:r>
      <w:r w:rsidR="00A4382B" w:rsidRPr="00A2584C">
        <w:rPr>
          <w:b/>
        </w:rPr>
        <w:fldChar w:fldCharType="begin"/>
      </w:r>
      <w:r w:rsidR="00A4382B" w:rsidRPr="00A2584C">
        <w:rPr>
          <w:b/>
        </w:rPr>
        <w:instrText xml:space="preserve"> REF _Ref31632691 \h  \* MERGEFORMAT </w:instrText>
      </w:r>
      <w:r w:rsidR="00A4382B" w:rsidRPr="00A2584C">
        <w:rPr>
          <w:b/>
        </w:rPr>
      </w:r>
      <w:r w:rsidR="00A4382B" w:rsidRPr="00A2584C">
        <w:rPr>
          <w:b/>
        </w:rPr>
        <w:fldChar w:fldCharType="separate"/>
      </w:r>
      <w:r w:rsidR="00A4382B" w:rsidRPr="00A2584C">
        <w:rPr>
          <w:rFonts w:ascii="Times New Roman" w:hAnsi="Times New Roman"/>
          <w:b/>
        </w:rPr>
        <w:t xml:space="preserve">Figure </w:t>
      </w:r>
      <w:r w:rsidR="00A4382B" w:rsidRPr="00A2584C">
        <w:rPr>
          <w:rFonts w:ascii="Times New Roman" w:hAnsi="Times New Roman"/>
          <w:b/>
          <w:noProof/>
        </w:rPr>
        <w:t>30</w:t>
      </w:r>
      <w:r w:rsidR="00A4382B" w:rsidRPr="00A2584C">
        <w:rPr>
          <w:b/>
        </w:rPr>
        <w:fldChar w:fldCharType="end"/>
      </w:r>
      <w:r w:rsidRPr="000A41F9">
        <w:rPr>
          <w:bCs/>
        </w:rPr>
        <w:t xml:space="preserve">). Two of them comprised the control group (No treatment) and two comprised the experimental group (Gemcitabine treated). Urine was collected from the control group, and the cells were isolated and subjected to the Single-probe/ICMP. </w:t>
      </w:r>
      <w:r w:rsidRPr="000A41F9">
        <w:rPr>
          <w:bCs/>
        </w:rPr>
        <w:lastRenderedPageBreak/>
        <w:t>Numerous lipid peaks were identified and correlated with previously identified PC peaks, signifying the ability of the method to detect intracellular metabolites form individual cells</w:t>
      </w:r>
      <w:r w:rsidRPr="000A41F9">
        <w:rPr>
          <w:bCs/>
          <w:i/>
        </w:rPr>
        <w:t xml:space="preserve"> in vivo </w:t>
      </w:r>
      <w:r w:rsidRPr="008A1A17">
        <w:rPr>
          <w:b/>
          <w:iCs/>
        </w:rPr>
        <w:t>(</w:t>
      </w:r>
      <w:r w:rsidR="00A4382B" w:rsidRPr="00A2584C">
        <w:rPr>
          <w:b/>
          <w:iCs/>
        </w:rPr>
        <w:fldChar w:fldCharType="begin"/>
      </w:r>
      <w:r w:rsidR="00A4382B" w:rsidRPr="00A2584C">
        <w:rPr>
          <w:b/>
          <w:iCs/>
        </w:rPr>
        <w:instrText xml:space="preserve"> REF _Ref31632710 \h  \* MERGEFORMAT </w:instrText>
      </w:r>
      <w:r w:rsidR="00A4382B" w:rsidRPr="00A2584C">
        <w:rPr>
          <w:b/>
          <w:iCs/>
        </w:rPr>
      </w:r>
      <w:r w:rsidR="00A4382B" w:rsidRPr="00A2584C">
        <w:rPr>
          <w:b/>
          <w:iCs/>
        </w:rPr>
        <w:fldChar w:fldCharType="separate"/>
      </w:r>
      <w:r w:rsidR="00A4382B" w:rsidRPr="00A2584C">
        <w:rPr>
          <w:rFonts w:ascii="Times New Roman" w:hAnsi="Times New Roman"/>
          <w:b/>
        </w:rPr>
        <w:t xml:space="preserve">Figure </w:t>
      </w:r>
      <w:r w:rsidR="00A4382B" w:rsidRPr="00A2584C">
        <w:rPr>
          <w:rFonts w:ascii="Times New Roman" w:hAnsi="Times New Roman"/>
          <w:b/>
          <w:noProof/>
        </w:rPr>
        <w:t>28</w:t>
      </w:r>
      <w:r w:rsidR="00A4382B" w:rsidRPr="00A2584C">
        <w:rPr>
          <w:b/>
          <w:iCs/>
        </w:rPr>
        <w:fldChar w:fldCharType="end"/>
      </w:r>
      <w:r w:rsidRPr="000A41F9">
        <w:rPr>
          <w:b/>
          <w:bCs/>
          <w:iCs/>
        </w:rPr>
        <w:fldChar w:fldCharType="begin"/>
      </w:r>
      <w:r w:rsidRPr="000A41F9">
        <w:rPr>
          <w:b/>
          <w:bCs/>
          <w:iCs/>
        </w:rPr>
        <w:instrText xml:space="preserve"> REF _Ref31632710 \h  \* MERGEFORMAT </w:instrText>
      </w:r>
      <w:r w:rsidRPr="000A41F9">
        <w:rPr>
          <w:b/>
          <w:bCs/>
          <w:iCs/>
        </w:rPr>
      </w:r>
      <w:r w:rsidRPr="000A41F9">
        <w:rPr>
          <w:b/>
          <w:bCs/>
          <w:iCs/>
        </w:rPr>
        <w:fldChar w:fldCharType="end"/>
      </w:r>
      <w:r w:rsidRPr="000A41F9">
        <w:rPr>
          <w:bCs/>
          <w:iCs/>
        </w:rPr>
        <w:t>)</w:t>
      </w:r>
      <w:r w:rsidRPr="000A41F9">
        <w:rPr>
          <w:bCs/>
          <w:i/>
        </w:rPr>
        <w:t xml:space="preserve">. </w:t>
      </w:r>
      <w:r w:rsidRPr="000A41F9">
        <w:rPr>
          <w:bCs/>
        </w:rPr>
        <w:t>The experimental group was administered 1000 mg/ m</w:t>
      </w:r>
      <w:r w:rsidRPr="000A41F9">
        <w:rPr>
          <w:bCs/>
          <w:vertAlign w:val="superscript"/>
        </w:rPr>
        <w:t>2</w:t>
      </w:r>
      <w:r w:rsidRPr="000A41F9">
        <w:rPr>
          <w:bCs/>
        </w:rPr>
        <w:t xml:space="preserve"> of </w:t>
      </w:r>
      <w:r w:rsidR="000C4204" w:rsidRPr="000A41F9">
        <w:rPr>
          <w:bCs/>
          <w:noProof/>
        </w:rPr>
        <mc:AlternateContent>
          <mc:Choice Requires="wps">
            <w:drawing>
              <wp:anchor distT="45720" distB="45720" distL="114300" distR="114300" simplePos="0" relativeHeight="251629568" behindDoc="0" locked="0" layoutInCell="1" allowOverlap="1" wp14:anchorId="058F6FFC" wp14:editId="5CC4F31B">
                <wp:simplePos x="0" y="0"/>
                <wp:positionH relativeFrom="margin">
                  <wp:align>left</wp:align>
                </wp:positionH>
                <wp:positionV relativeFrom="paragraph">
                  <wp:posOffset>1553028</wp:posOffset>
                </wp:positionV>
                <wp:extent cx="5369560" cy="2815590"/>
                <wp:effectExtent l="0" t="0" r="21590" b="228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9560" cy="2815590"/>
                        </a:xfrm>
                        <a:prstGeom prst="rect">
                          <a:avLst/>
                        </a:prstGeom>
                        <a:solidFill>
                          <a:srgbClr val="FFFFFF"/>
                        </a:solidFill>
                        <a:ln w="9525">
                          <a:solidFill>
                            <a:srgbClr val="000000"/>
                          </a:solidFill>
                          <a:miter lim="800000"/>
                          <a:headEnd/>
                          <a:tailEnd/>
                        </a:ln>
                      </wps:spPr>
                      <wps:txbx>
                        <w:txbxContent>
                          <w:p w14:paraId="047DCA2A" w14:textId="77777777" w:rsidR="00730B8F" w:rsidRDefault="00730B8F" w:rsidP="000A41F9">
                            <w:pPr>
                              <w:keepNext/>
                            </w:pPr>
                            <w:bookmarkStart w:id="226" w:name="_Hlk32505870"/>
                            <w:bookmarkEnd w:id="226"/>
                            <w:r w:rsidRPr="001E3DAC">
                              <w:rPr>
                                <w:rFonts w:ascii="Arno Pro" w:hAnsi="Arno Pro" w:cs="Arial"/>
                                <w:noProof/>
                                <w:sz w:val="19"/>
                                <w:szCs w:val="19"/>
                              </w:rPr>
                              <w:drawing>
                                <wp:inline distT="0" distB="0" distL="0" distR="0" wp14:anchorId="5AF3F46A" wp14:editId="45799F00">
                                  <wp:extent cx="5202195" cy="1798465"/>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18814" cy="1804210"/>
                                          </a:xfrm>
                                          <a:prstGeom prst="rect">
                                            <a:avLst/>
                                          </a:prstGeom>
                                          <a:noFill/>
                                        </pic:spPr>
                                      </pic:pic>
                                    </a:graphicData>
                                  </a:graphic>
                                </wp:inline>
                              </w:drawing>
                            </w:r>
                          </w:p>
                          <w:p w14:paraId="68C1726A" w14:textId="43133D09" w:rsidR="00730B8F" w:rsidRPr="00D319FD" w:rsidRDefault="00730B8F" w:rsidP="000A41F9">
                            <w:pPr>
                              <w:rPr>
                                <w:rFonts w:ascii="Times New Roman" w:hAnsi="Times New Roman"/>
                                <w:b/>
                              </w:rPr>
                            </w:pPr>
                            <w:bookmarkStart w:id="227" w:name="_Toc39868243"/>
                            <w:r w:rsidRPr="00E5747D">
                              <w:rPr>
                                <w:rFonts w:ascii="Times New Roman" w:hAnsi="Times New Roman"/>
                                <w:b/>
                                <w:bCs/>
                              </w:rPr>
                              <w:t xml:space="preserve">Figure </w:t>
                            </w:r>
                            <w:r w:rsidRPr="00E5747D">
                              <w:rPr>
                                <w:rFonts w:ascii="Times New Roman" w:hAnsi="Times New Roman"/>
                                <w:b/>
                                <w:bCs/>
                              </w:rPr>
                              <w:fldChar w:fldCharType="begin"/>
                            </w:r>
                            <w:r w:rsidRPr="00E5747D">
                              <w:rPr>
                                <w:rFonts w:ascii="Times New Roman" w:hAnsi="Times New Roman"/>
                                <w:b/>
                                <w:bCs/>
                              </w:rPr>
                              <w:instrText xml:space="preserve"> SEQ Figure \* ARABIC </w:instrText>
                            </w:r>
                            <w:r w:rsidRPr="00E5747D">
                              <w:rPr>
                                <w:rFonts w:ascii="Times New Roman" w:hAnsi="Times New Roman"/>
                                <w:b/>
                                <w:bCs/>
                              </w:rPr>
                              <w:fldChar w:fldCharType="separate"/>
                            </w:r>
                            <w:r>
                              <w:rPr>
                                <w:rFonts w:ascii="Times New Roman" w:hAnsi="Times New Roman"/>
                                <w:b/>
                                <w:bCs/>
                                <w:noProof/>
                              </w:rPr>
                              <w:t>30</w:t>
                            </w:r>
                            <w:r w:rsidRPr="00E5747D">
                              <w:rPr>
                                <w:rFonts w:ascii="Times New Roman" w:hAnsi="Times New Roman"/>
                                <w:b/>
                                <w:bCs/>
                              </w:rPr>
                              <w:fldChar w:fldCharType="end"/>
                            </w:r>
                            <w:r w:rsidRPr="00D319FD">
                              <w:rPr>
                                <w:rFonts w:ascii="Times New Roman" w:hAnsi="Times New Roman"/>
                              </w:rPr>
                              <w:t>: 40X magnification of (A) K562 cells and (B) bladder cancer patient urinary cells.</w:t>
                            </w:r>
                            <w:bookmarkEnd w:id="227"/>
                          </w:p>
                          <w:p w14:paraId="604F3F72" w14:textId="77777777" w:rsidR="00730B8F" w:rsidRPr="001E3DAC" w:rsidRDefault="00730B8F" w:rsidP="000A41F9">
                            <w:pPr>
                              <w:rPr>
                                <w:rFonts w:ascii="Arno Pro" w:hAnsi="Arno Pro" w:cs="Arial"/>
                                <w:sz w:val="19"/>
                                <w:szCs w:val="19"/>
                              </w:rPr>
                            </w:pPr>
                          </w:p>
                          <w:p w14:paraId="5B41EAAE" w14:textId="77777777" w:rsidR="00730B8F" w:rsidRDefault="00730B8F" w:rsidP="000A41F9">
                            <w:pPr>
                              <w:pStyle w:val="Caption"/>
                            </w:pPr>
                          </w:p>
                          <w:p w14:paraId="0AD4EF21" w14:textId="77777777" w:rsidR="00730B8F" w:rsidRDefault="00730B8F" w:rsidP="000A41F9"/>
                          <w:p w14:paraId="25E67744" w14:textId="77777777" w:rsidR="00730B8F" w:rsidRDefault="00730B8F"/>
                          <w:p w14:paraId="7A042D0C" w14:textId="157A40F9" w:rsidR="00730B8F" w:rsidRDefault="00730B8F" w:rsidP="000A41F9">
                            <w:pPr>
                              <w:keepNext/>
                            </w:pPr>
                            <w:r w:rsidRPr="001E3DAC">
                              <w:rPr>
                                <w:rFonts w:ascii="Arno Pro" w:hAnsi="Arno Pro" w:cs="Arial"/>
                                <w:noProof/>
                                <w:sz w:val="19"/>
                                <w:szCs w:val="19"/>
                              </w:rPr>
                              <w:drawing>
                                <wp:inline distT="0" distB="0" distL="0" distR="0" wp14:anchorId="5AF3F46A" wp14:editId="45799F00">
                                  <wp:extent cx="5202195" cy="1798465"/>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18814" cy="1804210"/>
                                          </a:xfrm>
                                          <a:prstGeom prst="rect">
                                            <a:avLst/>
                                          </a:prstGeom>
                                          <a:noFill/>
                                        </pic:spPr>
                                      </pic:pic>
                                    </a:graphicData>
                                  </a:graphic>
                                </wp:inline>
                              </w:drawing>
                            </w:r>
                          </w:p>
                          <w:p w14:paraId="0D41262A" w14:textId="120F2EA4" w:rsidR="00730B8F" w:rsidRPr="00D319FD" w:rsidRDefault="00730B8F" w:rsidP="000A41F9">
                            <w:pPr>
                              <w:rPr>
                                <w:rFonts w:ascii="Times New Roman" w:hAnsi="Times New Roman"/>
                                <w:b/>
                              </w:rPr>
                            </w:pPr>
                            <w:bookmarkStart w:id="228" w:name="_Ref31632691"/>
                            <w:r w:rsidRPr="00E5747D">
                              <w:rPr>
                                <w:rFonts w:ascii="Times New Roman" w:hAnsi="Times New Roman"/>
                                <w:b/>
                                <w:bCs/>
                              </w:rPr>
                              <w:t xml:space="preserve">Figure </w:t>
                            </w:r>
                            <w:r w:rsidRPr="00E5747D">
                              <w:rPr>
                                <w:rFonts w:ascii="Times New Roman" w:hAnsi="Times New Roman"/>
                                <w:b/>
                                <w:bCs/>
                              </w:rPr>
                              <w:fldChar w:fldCharType="begin"/>
                            </w:r>
                            <w:r w:rsidRPr="00E5747D">
                              <w:rPr>
                                <w:rFonts w:ascii="Times New Roman" w:hAnsi="Times New Roman"/>
                                <w:b/>
                                <w:bCs/>
                              </w:rPr>
                              <w:instrText xml:space="preserve">  \* ARABIC </w:instrText>
                            </w:r>
                            <w:r w:rsidRPr="00E5747D">
                              <w:rPr>
                                <w:rFonts w:ascii="Times New Roman" w:hAnsi="Times New Roman"/>
                                <w:b/>
                                <w:bCs/>
                              </w:rPr>
                              <w:fldChar w:fldCharType="separate"/>
                            </w:r>
                            <w:r>
                              <w:rPr>
                                <w:rFonts w:ascii="Times New Roman" w:hAnsi="Times New Roman"/>
                                <w:b/>
                                <w:bCs/>
                                <w:noProof/>
                              </w:rPr>
                              <w:t>48</w:t>
                            </w:r>
                            <w:r w:rsidRPr="00E5747D">
                              <w:rPr>
                                <w:rFonts w:ascii="Times New Roman" w:hAnsi="Times New Roman"/>
                                <w:b/>
                                <w:bCs/>
                              </w:rPr>
                              <w:fldChar w:fldCharType="end"/>
                            </w:r>
                            <w:bookmarkEnd w:id="228"/>
                            <w:r w:rsidRPr="00D319FD">
                              <w:rPr>
                                <w:rFonts w:ascii="Times New Roman" w:hAnsi="Times New Roman"/>
                              </w:rPr>
                              <w:t>: 40X magnification of (A) K562 cells and (B) bladder cancer patient urinary cells.</w:t>
                            </w:r>
                          </w:p>
                          <w:p w14:paraId="1761D607" w14:textId="77777777" w:rsidR="00730B8F" w:rsidRPr="001E3DAC" w:rsidRDefault="00730B8F" w:rsidP="000A41F9">
                            <w:pPr>
                              <w:rPr>
                                <w:rFonts w:ascii="Arno Pro" w:hAnsi="Arno Pro" w:cs="Arial"/>
                                <w:sz w:val="19"/>
                                <w:szCs w:val="19"/>
                              </w:rPr>
                            </w:pPr>
                          </w:p>
                          <w:p w14:paraId="1F5C89EF" w14:textId="77777777" w:rsidR="00730B8F" w:rsidRDefault="00730B8F" w:rsidP="000A41F9">
                            <w:pPr>
                              <w:pStyle w:val="Caption"/>
                            </w:pPr>
                          </w:p>
                          <w:p w14:paraId="3C2462ED" w14:textId="77777777" w:rsidR="00730B8F" w:rsidRDefault="00730B8F" w:rsidP="000A41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F6FFC" id="_x0000_s1055" type="#_x0000_t202" style="position:absolute;left:0;text-align:left;margin-left:0;margin-top:122.3pt;width:422.8pt;height:221.7pt;z-index:2516295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">
                <v:textbox>
                  <w:txbxContent>
                    <w:p w14:paraId="047DCA2A" w14:textId="77777777" w:rsidR="00730B8F" w:rsidRDefault="00730B8F" w:rsidP="000A41F9">
                      <w:pPr>
                        <w:keepNext/>
                      </w:pPr>
                      <w:bookmarkStart w:id="229" w:name="_Hlk32505870"/>
                      <w:bookmarkEnd w:id="229"/>
                      <w:r w:rsidRPr="001E3DAC">
                        <w:rPr>
                          <w:rFonts w:ascii="Arno Pro" w:hAnsi="Arno Pro" w:cs="Arial"/>
                          <w:noProof/>
                          <w:sz w:val="19"/>
                          <w:szCs w:val="19"/>
                        </w:rPr>
                        <w:drawing>
                          <wp:inline distT="0" distB="0" distL="0" distR="0" wp14:anchorId="5AF3F46A" wp14:editId="45799F00">
                            <wp:extent cx="5202195" cy="1798465"/>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18814" cy="1804210"/>
                                    </a:xfrm>
                                    <a:prstGeom prst="rect">
                                      <a:avLst/>
                                    </a:prstGeom>
                                    <a:noFill/>
                                  </pic:spPr>
                                </pic:pic>
                              </a:graphicData>
                            </a:graphic>
                          </wp:inline>
                        </w:drawing>
                      </w:r>
                    </w:p>
                    <w:p w14:paraId="68C1726A" w14:textId="43133D09" w:rsidR="00730B8F" w:rsidRPr="00D319FD" w:rsidRDefault="00730B8F" w:rsidP="000A41F9">
                      <w:pPr>
                        <w:rPr>
                          <w:rFonts w:ascii="Times New Roman" w:hAnsi="Times New Roman"/>
                          <w:b/>
                        </w:rPr>
                      </w:pPr>
                      <w:bookmarkStart w:id="230" w:name="_Toc39868243"/>
                      <w:r w:rsidRPr="00E5747D">
                        <w:rPr>
                          <w:rFonts w:ascii="Times New Roman" w:hAnsi="Times New Roman"/>
                          <w:b/>
                          <w:bCs/>
                        </w:rPr>
                        <w:t xml:space="preserve">Figure </w:t>
                      </w:r>
                      <w:r w:rsidRPr="00E5747D">
                        <w:rPr>
                          <w:rFonts w:ascii="Times New Roman" w:hAnsi="Times New Roman"/>
                          <w:b/>
                          <w:bCs/>
                        </w:rPr>
                        <w:fldChar w:fldCharType="begin"/>
                      </w:r>
                      <w:r w:rsidRPr="00E5747D">
                        <w:rPr>
                          <w:rFonts w:ascii="Times New Roman" w:hAnsi="Times New Roman"/>
                          <w:b/>
                          <w:bCs/>
                        </w:rPr>
                        <w:instrText xml:space="preserve"> SEQ Figure \* ARABIC </w:instrText>
                      </w:r>
                      <w:r w:rsidRPr="00E5747D">
                        <w:rPr>
                          <w:rFonts w:ascii="Times New Roman" w:hAnsi="Times New Roman"/>
                          <w:b/>
                          <w:bCs/>
                        </w:rPr>
                        <w:fldChar w:fldCharType="separate"/>
                      </w:r>
                      <w:r>
                        <w:rPr>
                          <w:rFonts w:ascii="Times New Roman" w:hAnsi="Times New Roman"/>
                          <w:b/>
                          <w:bCs/>
                          <w:noProof/>
                        </w:rPr>
                        <w:t>30</w:t>
                      </w:r>
                      <w:r w:rsidRPr="00E5747D">
                        <w:rPr>
                          <w:rFonts w:ascii="Times New Roman" w:hAnsi="Times New Roman"/>
                          <w:b/>
                          <w:bCs/>
                        </w:rPr>
                        <w:fldChar w:fldCharType="end"/>
                      </w:r>
                      <w:r w:rsidRPr="00D319FD">
                        <w:rPr>
                          <w:rFonts w:ascii="Times New Roman" w:hAnsi="Times New Roman"/>
                        </w:rPr>
                        <w:t>: 40X magnification of (A) K562 cells and (B) bladder cancer patient urinary cells.</w:t>
                      </w:r>
                      <w:bookmarkEnd w:id="230"/>
                    </w:p>
                    <w:p w14:paraId="604F3F72" w14:textId="77777777" w:rsidR="00730B8F" w:rsidRPr="001E3DAC" w:rsidRDefault="00730B8F" w:rsidP="000A41F9">
                      <w:pPr>
                        <w:rPr>
                          <w:rFonts w:ascii="Arno Pro" w:hAnsi="Arno Pro" w:cs="Arial"/>
                          <w:sz w:val="19"/>
                          <w:szCs w:val="19"/>
                        </w:rPr>
                      </w:pPr>
                    </w:p>
                    <w:p w14:paraId="5B41EAAE" w14:textId="77777777" w:rsidR="00730B8F" w:rsidRDefault="00730B8F" w:rsidP="000A41F9">
                      <w:pPr>
                        <w:pStyle w:val="Caption"/>
                      </w:pPr>
                    </w:p>
                    <w:p w14:paraId="0AD4EF21" w14:textId="77777777" w:rsidR="00730B8F" w:rsidRDefault="00730B8F" w:rsidP="000A41F9"/>
                    <w:p w14:paraId="25E67744" w14:textId="77777777" w:rsidR="00730B8F" w:rsidRDefault="00730B8F"/>
                    <w:p w14:paraId="7A042D0C" w14:textId="157A40F9" w:rsidR="00730B8F" w:rsidRDefault="00730B8F" w:rsidP="000A41F9">
                      <w:pPr>
                        <w:keepNext/>
                      </w:pPr>
                      <w:r w:rsidRPr="001E3DAC">
                        <w:rPr>
                          <w:rFonts w:ascii="Arno Pro" w:hAnsi="Arno Pro" w:cs="Arial"/>
                          <w:noProof/>
                          <w:sz w:val="19"/>
                          <w:szCs w:val="19"/>
                        </w:rPr>
                        <w:drawing>
                          <wp:inline distT="0" distB="0" distL="0" distR="0" wp14:anchorId="5AF3F46A" wp14:editId="45799F00">
                            <wp:extent cx="5202195" cy="1798465"/>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18814" cy="1804210"/>
                                    </a:xfrm>
                                    <a:prstGeom prst="rect">
                                      <a:avLst/>
                                    </a:prstGeom>
                                    <a:noFill/>
                                  </pic:spPr>
                                </pic:pic>
                              </a:graphicData>
                            </a:graphic>
                          </wp:inline>
                        </w:drawing>
                      </w:r>
                    </w:p>
                    <w:p w14:paraId="0D41262A" w14:textId="120F2EA4" w:rsidR="00730B8F" w:rsidRPr="00D319FD" w:rsidRDefault="00730B8F" w:rsidP="000A41F9">
                      <w:pPr>
                        <w:rPr>
                          <w:rFonts w:ascii="Times New Roman" w:hAnsi="Times New Roman"/>
                          <w:b/>
                        </w:rPr>
                      </w:pPr>
                      <w:bookmarkStart w:id="231" w:name="_Ref31632691"/>
                      <w:r w:rsidRPr="00E5747D">
                        <w:rPr>
                          <w:rFonts w:ascii="Times New Roman" w:hAnsi="Times New Roman"/>
                          <w:b/>
                          <w:bCs/>
                        </w:rPr>
                        <w:t xml:space="preserve">Figure </w:t>
                      </w:r>
                      <w:r w:rsidRPr="00E5747D">
                        <w:rPr>
                          <w:rFonts w:ascii="Times New Roman" w:hAnsi="Times New Roman"/>
                          <w:b/>
                          <w:bCs/>
                        </w:rPr>
                        <w:fldChar w:fldCharType="begin"/>
                      </w:r>
                      <w:r w:rsidRPr="00E5747D">
                        <w:rPr>
                          <w:rFonts w:ascii="Times New Roman" w:hAnsi="Times New Roman"/>
                          <w:b/>
                          <w:bCs/>
                        </w:rPr>
                        <w:instrText xml:space="preserve">  \* ARABIC </w:instrText>
                      </w:r>
                      <w:r w:rsidRPr="00E5747D">
                        <w:rPr>
                          <w:rFonts w:ascii="Times New Roman" w:hAnsi="Times New Roman"/>
                          <w:b/>
                          <w:bCs/>
                        </w:rPr>
                        <w:fldChar w:fldCharType="separate"/>
                      </w:r>
                      <w:r>
                        <w:rPr>
                          <w:rFonts w:ascii="Times New Roman" w:hAnsi="Times New Roman"/>
                          <w:b/>
                          <w:bCs/>
                          <w:noProof/>
                        </w:rPr>
                        <w:t>48</w:t>
                      </w:r>
                      <w:r w:rsidRPr="00E5747D">
                        <w:rPr>
                          <w:rFonts w:ascii="Times New Roman" w:hAnsi="Times New Roman"/>
                          <w:b/>
                          <w:bCs/>
                        </w:rPr>
                        <w:fldChar w:fldCharType="end"/>
                      </w:r>
                      <w:bookmarkEnd w:id="231"/>
                      <w:r w:rsidRPr="00D319FD">
                        <w:rPr>
                          <w:rFonts w:ascii="Times New Roman" w:hAnsi="Times New Roman"/>
                        </w:rPr>
                        <w:t>: 40X magnification of (A) K562 cells and (B) bladder cancer patient urinary cells.</w:t>
                      </w:r>
                    </w:p>
                    <w:p w14:paraId="1761D607" w14:textId="77777777" w:rsidR="00730B8F" w:rsidRPr="001E3DAC" w:rsidRDefault="00730B8F" w:rsidP="000A41F9">
                      <w:pPr>
                        <w:rPr>
                          <w:rFonts w:ascii="Arno Pro" w:hAnsi="Arno Pro" w:cs="Arial"/>
                          <w:sz w:val="19"/>
                          <w:szCs w:val="19"/>
                        </w:rPr>
                      </w:pPr>
                    </w:p>
                    <w:p w14:paraId="1F5C89EF" w14:textId="77777777" w:rsidR="00730B8F" w:rsidRDefault="00730B8F" w:rsidP="000A41F9">
                      <w:pPr>
                        <w:pStyle w:val="Caption"/>
                      </w:pPr>
                    </w:p>
                    <w:p w14:paraId="3C2462ED" w14:textId="77777777" w:rsidR="00730B8F" w:rsidRDefault="00730B8F" w:rsidP="000A41F9"/>
                  </w:txbxContent>
                </v:textbox>
                <w10:wrap type="square" anchorx="margin"/>
              </v:shape>
            </w:pict>
          </mc:Fallback>
        </mc:AlternateContent>
      </w:r>
      <w:r w:rsidRPr="000A41F9">
        <w:rPr>
          <w:bCs/>
        </w:rPr>
        <w:t xml:space="preserve">gemcitabine. The urine from the treated patients were collected 1 h after the infusion. Gemcitabine was detected in both patients and validated though MS/MS fragmentation </w:t>
      </w:r>
      <w:r w:rsidR="009822E9">
        <w:rPr>
          <w:bCs/>
        </w:rPr>
        <w:t xml:space="preserve">as compared to the </w:t>
      </w:r>
      <w:r w:rsidRPr="000A41F9">
        <w:rPr>
          <w:bCs/>
        </w:rPr>
        <w:t>standard solution (</w:t>
      </w:r>
      <w:r w:rsidR="00A4382B" w:rsidRPr="00A2584C">
        <w:rPr>
          <w:b/>
          <w:bCs/>
        </w:rPr>
        <w:fldChar w:fldCharType="begin"/>
      </w:r>
      <w:r w:rsidR="00A4382B" w:rsidRPr="00A2584C">
        <w:rPr>
          <w:b/>
          <w:bCs/>
        </w:rPr>
        <w:instrText xml:space="preserve"> REF _Ref33191166 \h </w:instrText>
      </w:r>
      <w:r w:rsidR="009822E9" w:rsidRPr="00A2584C">
        <w:rPr>
          <w:b/>
          <w:bCs/>
        </w:rPr>
        <w:instrText xml:space="preserve"> \* MERGEFORMAT </w:instrText>
      </w:r>
      <w:r w:rsidR="00A4382B" w:rsidRPr="00A2584C">
        <w:rPr>
          <w:b/>
          <w:bCs/>
        </w:rPr>
      </w:r>
      <w:r w:rsidR="00A4382B" w:rsidRPr="00A2584C">
        <w:rPr>
          <w:b/>
          <w:bCs/>
        </w:rPr>
        <w:fldChar w:fldCharType="separate"/>
      </w:r>
      <w:r w:rsidR="00A4382B" w:rsidRPr="00A2584C">
        <w:rPr>
          <w:rFonts w:ascii="Times New Roman" w:hAnsi="Times New Roman"/>
          <w:b/>
          <w:bCs/>
        </w:rPr>
        <w:t xml:space="preserve">Figure </w:t>
      </w:r>
      <w:r w:rsidR="00A4382B" w:rsidRPr="00A2584C">
        <w:rPr>
          <w:rFonts w:ascii="Times New Roman" w:hAnsi="Times New Roman"/>
          <w:b/>
          <w:bCs/>
          <w:noProof/>
        </w:rPr>
        <w:t>27</w:t>
      </w:r>
      <w:r w:rsidR="00A4382B" w:rsidRPr="00A2584C">
        <w:rPr>
          <w:b/>
          <w:bCs/>
        </w:rPr>
        <w:fldChar w:fldCharType="end"/>
      </w:r>
      <w:r w:rsidR="00CC602D" w:rsidRPr="00A4382B">
        <w:t xml:space="preserve">, </w:t>
      </w:r>
      <w:r w:rsidR="00A4382B" w:rsidRPr="00A2584C">
        <w:rPr>
          <w:b/>
          <w:bCs/>
        </w:rPr>
        <w:fldChar w:fldCharType="begin"/>
      </w:r>
      <w:r w:rsidR="00A4382B" w:rsidRPr="00A2584C">
        <w:rPr>
          <w:b/>
          <w:bCs/>
        </w:rPr>
        <w:instrText xml:space="preserve"> REF _Ref31380955 \h  \* MERGEFORMAT </w:instrText>
      </w:r>
      <w:r w:rsidR="00A4382B" w:rsidRPr="00A2584C">
        <w:rPr>
          <w:b/>
          <w:bCs/>
        </w:rPr>
      </w:r>
      <w:r w:rsidR="00A4382B" w:rsidRPr="00A2584C">
        <w:rPr>
          <w:b/>
          <w:bCs/>
        </w:rPr>
        <w:fldChar w:fldCharType="separate"/>
      </w:r>
      <w:r w:rsidR="00A4382B" w:rsidRPr="00A2584C">
        <w:rPr>
          <w:rFonts w:ascii="Times New Roman" w:hAnsi="Times New Roman"/>
          <w:b/>
          <w:bCs/>
        </w:rPr>
        <w:t xml:space="preserve">Figure </w:t>
      </w:r>
      <w:r w:rsidR="00A4382B" w:rsidRPr="00A2584C">
        <w:rPr>
          <w:rFonts w:ascii="Times New Roman" w:hAnsi="Times New Roman"/>
          <w:b/>
          <w:bCs/>
          <w:noProof/>
        </w:rPr>
        <w:t>29</w:t>
      </w:r>
      <w:r w:rsidR="00A4382B" w:rsidRPr="00A2584C">
        <w:rPr>
          <w:b/>
          <w:bCs/>
        </w:rPr>
        <w:fldChar w:fldCharType="end"/>
      </w:r>
      <w:r w:rsidRPr="000A41F9">
        <w:rPr>
          <w:bCs/>
        </w:rPr>
        <w:t xml:space="preserve">). Gemcitabine was detected only from the patients who underwent chemotherapy but was not present in cells from the untreated patients. A limited gemcitabine quantification data set was compiled consisting of no more than 15 cells quantified per infusion. The amount of intracellular drug measured from individual cells from Patient 1 was 473 ± 188 and 1,557 ± 1004 attomole following the second and fourth infusions, respectively. Patient 2 had a significantly lower amount of drug uptake than Patient 1, having 45.8 </w:t>
      </w:r>
      <w:r w:rsidRPr="000A41F9">
        <w:rPr>
          <w:bCs/>
        </w:rPr>
        <w:sym w:font="Symbol" w:char="F0B1"/>
      </w:r>
      <w:r w:rsidRPr="000A41F9">
        <w:rPr>
          <w:bCs/>
        </w:rPr>
        <w:t xml:space="preserve"> 39.4 and 79.4 </w:t>
      </w:r>
      <w:r w:rsidRPr="000A41F9">
        <w:rPr>
          <w:bCs/>
        </w:rPr>
        <w:sym w:font="Symbol" w:char="F0B1"/>
      </w:r>
      <w:r w:rsidRPr="000A41F9">
        <w:rPr>
          <w:bCs/>
        </w:rPr>
        <w:t xml:space="preserve"> 50.9 attomole of intracellular gemcitabine following the first and second infusions, respectively. The measurement of intracellular drug concentration was not conducted due to the inability to accurately measure the dimensions of irregularly shaped patient cells.</w:t>
      </w:r>
    </w:p>
    <w:p w14:paraId="5A7B7AC9" w14:textId="56D05D03" w:rsidR="00E5747D" w:rsidRPr="00E5747D" w:rsidRDefault="00AD2692" w:rsidP="00E5747D">
      <w:pPr>
        <w:pStyle w:val="Heading2"/>
        <w:jc w:val="both"/>
        <w:rPr>
          <w:szCs w:val="24"/>
        </w:rPr>
      </w:pPr>
      <w:bookmarkStart w:id="232" w:name="_Toc39868205"/>
      <w:r w:rsidRPr="000A41F9">
        <w:rPr>
          <w:szCs w:val="24"/>
        </w:rPr>
        <w:lastRenderedPageBreak/>
        <w:t>4.</w:t>
      </w:r>
      <w:r w:rsidR="00655CA3">
        <w:rPr>
          <w:szCs w:val="24"/>
        </w:rPr>
        <w:t>4</w:t>
      </w:r>
      <w:r w:rsidRPr="000A41F9">
        <w:rPr>
          <w:szCs w:val="24"/>
        </w:rPr>
        <w:t xml:space="preserve"> Discussion</w:t>
      </w:r>
      <w:bookmarkEnd w:id="232"/>
      <w:r w:rsidRPr="000A41F9">
        <w:rPr>
          <w:szCs w:val="24"/>
        </w:rPr>
        <w:t xml:space="preserve"> </w:t>
      </w:r>
    </w:p>
    <w:p w14:paraId="3CCEC7E6" w14:textId="39CF4846" w:rsidR="000A41F9" w:rsidRPr="000A41F9" w:rsidRDefault="000A41F9" w:rsidP="000A41F9">
      <w:pPr>
        <w:ind w:firstLine="720"/>
        <w:jc w:val="both"/>
        <w:rPr>
          <w:bCs/>
        </w:rPr>
      </w:pPr>
      <w:r w:rsidRPr="000A41F9">
        <w:rPr>
          <w:bCs/>
        </w:rPr>
        <w:t xml:space="preserve">We’ve developed a bio-analytical method capable of quantifying the amount of drug accumulation inside live, single cultured cells and </w:t>
      </w:r>
      <w:r w:rsidR="009822E9">
        <w:rPr>
          <w:bCs/>
        </w:rPr>
        <w:t xml:space="preserve">cells isolated from </w:t>
      </w:r>
      <w:r w:rsidRPr="000A41F9">
        <w:rPr>
          <w:bCs/>
        </w:rPr>
        <w:t>bladder cancer patient</w:t>
      </w:r>
      <w:r w:rsidR="009822E9">
        <w:rPr>
          <w:bCs/>
        </w:rPr>
        <w:t>s</w:t>
      </w:r>
      <w:r w:rsidRPr="000A41F9">
        <w:rPr>
          <w:bCs/>
        </w:rPr>
        <w:t>. The spherical physiology of the suspended cells allowed for the quantification of intracellular drug concentration in real time on a cell to cell basis, providing an ideal measurement of drug accumulation inside individual cancer cells. The Single-Probe/ICMP system was comparable to an LCMS analysis on cellular lysate, validating the capability of this method on the single-cell level</w:t>
      </w:r>
      <w:r w:rsidR="002A3B57">
        <w:rPr>
          <w:bCs/>
        </w:rPr>
        <w:t xml:space="preserve"> (</w:t>
      </w:r>
      <w:r w:rsidR="002A3B57">
        <w:rPr>
          <w:bCs/>
        </w:rPr>
        <w:fldChar w:fldCharType="begin"/>
      </w:r>
      <w:r w:rsidR="002A3B57">
        <w:rPr>
          <w:bCs/>
        </w:rPr>
        <w:instrText xml:space="preserve"> REF _Ref32400676 \h </w:instrText>
      </w:r>
      <w:r w:rsidR="002A3B57">
        <w:rPr>
          <w:bCs/>
        </w:rPr>
      </w:r>
      <w:r w:rsidR="002A3B57">
        <w:rPr>
          <w:bCs/>
        </w:rPr>
        <w:fldChar w:fldCharType="separate"/>
      </w:r>
      <w:r w:rsidR="002A3B57" w:rsidRPr="00E5747D">
        <w:rPr>
          <w:b/>
          <w:bCs/>
        </w:rPr>
        <w:t>Table 2</w:t>
      </w:r>
      <w:r w:rsidR="002A3B57">
        <w:rPr>
          <w:bCs/>
        </w:rPr>
        <w:fldChar w:fldCharType="end"/>
      </w:r>
      <w:r w:rsidR="002A3B57">
        <w:rPr>
          <w:bCs/>
        </w:rPr>
        <w:t>)</w:t>
      </w:r>
      <w:r w:rsidRPr="000A41F9">
        <w:rPr>
          <w:bCs/>
        </w:rPr>
        <w:t xml:space="preserve">. </w:t>
      </w:r>
    </w:p>
    <w:p w14:paraId="63D7859D" w14:textId="0EF5B9A3" w:rsidR="000A41F9" w:rsidRPr="000A41F9" w:rsidRDefault="009822E9" w:rsidP="000A41F9">
      <w:pPr>
        <w:ind w:firstLine="720"/>
        <w:jc w:val="both"/>
        <w:rPr>
          <w:bCs/>
        </w:rPr>
      </w:pPr>
      <w:r>
        <w:rPr>
          <w:bCs/>
        </w:rPr>
        <w:t>Single cell g</w:t>
      </w:r>
      <w:r w:rsidR="000A41F9" w:rsidRPr="000A41F9">
        <w:rPr>
          <w:bCs/>
        </w:rPr>
        <w:t xml:space="preserve">emcitabine drug quantification was performed </w:t>
      </w:r>
      <w:r>
        <w:rPr>
          <w:bCs/>
        </w:rPr>
        <w:t>from</w:t>
      </w:r>
      <w:r w:rsidR="000A41F9" w:rsidRPr="000A41F9">
        <w:rPr>
          <w:bCs/>
        </w:rPr>
        <w:t xml:space="preserve"> two different bladder cancer patients following two infusions of gemcitabine, respectively. Gemcitabine is a standard of care chemotherapeutic compound for bladder cancer and is easily ionizable in positive ion mode making it an ideal compound for mass spectrometry identification. Gemcitabine (dFdC) is pro-drug, which either gets deaminated into its inactive metabolite, dFdU, or phosphorylated into its active metabolites dFdCMP/ dFdCDP/ dfFdCTP.</w:t>
      </w:r>
      <w:r w:rsidR="000A41F9" w:rsidRPr="000A41F9">
        <w:rPr>
          <w:bCs/>
        </w:rPr>
        <w:fldChar w:fldCharType="begin" w:fldLock="1"/>
      </w:r>
      <w:r w:rsidR="000849BF">
        <w:rPr>
          <w:bCs/>
        </w:rPr>
        <w:instrText>ADDIN CSL_CITATION { "citationItems" : [ { "id" : "ITEM-1", "itemData" : { "DOI" : "10.1016/j.ejphar.2014.07.041", "ISSN" : "18790712", "PMID" : "25084222", "abstract" : "Gemcitabine is the first-line treatment for pancreatic adenocarcinoma, but is increasingly used to treat breast, bladder, and non-small cell lung cancers. Despite such broad use, intrinsic and acquired chemoresistance is common. In general, the underlying mechanisms of chemoresistance are poorly understood. Here, current knowledge of gemcitabine metabolism, mechanisms of action, sensitivity and chemoresistance reported over the past two decades are reviewed; and we also offer new perspectives to improve gemcitabine efficacy with particular reference to the treatment of pancreatic cancer.", "author" : [ { "dropping-particle" : "", "family" : "Sousa Cavalcante", "given" : "Lucas", "non-dropping-particle" : "De", "parse-names" : false, "suffix" : "" }, { "dropping-particle" : "", "family" : "Monteiro", "given" : "Gisele", "non-dropping-particle" : "", "parse-names" : false, "suffix" : "" } ], "container-title" : "European Journal of Pharmacology", "id" : "ITEM-1", "issued" : { "date-parts" : [ [ "2014", "10", "15" ] ] }, "page" : "8-16", "publisher" : "Elsevier", "title" : "Gemcitabine: Metabolism and molecular mechanisms of action, sensitivity and chemoresistance in pancreatic cancer", "type" : "article", "volume" : "741" }, "uris" : [ "http://www.mendeley.com/documents/?uuid=0f2c5059-b1f8-4a2c-aa5a-cb5d625a3e6a" ] } ], "mendeley" : { "formattedCitation" : "&lt;sup&gt;181&lt;/sup&gt;", "plainTextFormattedCitation" : "181", "previouslyFormattedCitation" : "&lt;sup&gt;180&lt;/sup&gt;" }, "properties" : { "noteIndex" : 0 }, "schema" : "https://github.com/citation-style-language/schema/raw/master/csl-citation.json" }</w:instrText>
      </w:r>
      <w:r w:rsidR="000A41F9" w:rsidRPr="000A41F9">
        <w:rPr>
          <w:bCs/>
        </w:rPr>
        <w:fldChar w:fldCharType="separate"/>
      </w:r>
      <w:r w:rsidR="000849BF" w:rsidRPr="000849BF">
        <w:rPr>
          <w:bCs/>
          <w:noProof/>
          <w:vertAlign w:val="superscript"/>
        </w:rPr>
        <w:t>181</w:t>
      </w:r>
      <w:r w:rsidR="000A41F9" w:rsidRPr="000A41F9">
        <w:rPr>
          <w:bCs/>
        </w:rPr>
        <w:fldChar w:fldCharType="end"/>
      </w:r>
      <w:r w:rsidR="000A41F9" w:rsidRPr="000A41F9">
        <w:rPr>
          <w:bCs/>
        </w:rPr>
        <w:t xml:space="preserve"> dFdU was able to be identified through our Single-Probe/ICMP method providing another molecule to monitor for cellular accumilation, however, we were unable to identify any of the active phosphorylated metabolites (dFdCMP/ dFdCDP/ dfFdCTP), possibly due to their incorporation into DNA, ultimately leading to cellular toxicity. </w:t>
      </w:r>
    </w:p>
    <w:p w14:paraId="5E2DC7AD" w14:textId="03DF53BF" w:rsidR="000A41F9" w:rsidRPr="000A41F9" w:rsidRDefault="000A41F9" w:rsidP="000A41F9">
      <w:pPr>
        <w:ind w:firstLine="720"/>
        <w:jc w:val="both"/>
        <w:rPr>
          <w:bCs/>
        </w:rPr>
      </w:pPr>
      <w:r w:rsidRPr="000A41F9">
        <w:rPr>
          <w:bCs/>
        </w:rPr>
        <w:t xml:space="preserve">The Single-Probe/ICMP system is capable of detecting many different metabolites isolated from cells from a variety of different solutions and bodily fluids with little sample preparation. This technique could potentially be applied to hematological cancers (e.g., Leukemias/ Lymphomas) in addition to bladder cancer. Upon isolating </w:t>
      </w:r>
      <w:r w:rsidRPr="000A41F9">
        <w:rPr>
          <w:bCs/>
        </w:rPr>
        <w:lastRenderedPageBreak/>
        <w:t xml:space="preserve">blood samples, the Single-Probe/ICMP system could quantify the amount of cancer therapeutics accumulating inside individual cancer cells in a real time readout, resulting in an optimal personalized drug monitoring method with </w:t>
      </w:r>
      <w:r w:rsidR="009822E9">
        <w:rPr>
          <w:bCs/>
        </w:rPr>
        <w:t>minimal</w:t>
      </w:r>
      <w:r w:rsidRPr="000A41F9">
        <w:rPr>
          <w:bCs/>
        </w:rPr>
        <w:t xml:space="preserve"> invasiveness. </w:t>
      </w:r>
    </w:p>
    <w:p w14:paraId="1D522A6A" w14:textId="12C7F607" w:rsidR="000A41F9" w:rsidRDefault="000A41F9" w:rsidP="000A41F9">
      <w:pPr>
        <w:ind w:firstLine="720"/>
        <w:jc w:val="both"/>
        <w:rPr>
          <w:bCs/>
        </w:rPr>
      </w:pPr>
      <w:r w:rsidRPr="000A41F9">
        <w:rPr>
          <w:bCs/>
        </w:rPr>
        <w:t>In addition to quantitative drug accumulation, the Single-Probe/ICMP system is able to qualitatively measure a vast degree of small molecules. This capability could be applied and developed for metabolomic analysis of clinically isolated cells, potentially following drug treatment, to identify drug cellular physiology and dynamics i</w:t>
      </w:r>
      <w:r w:rsidRPr="000A41F9">
        <w:rPr>
          <w:bCs/>
          <w:i/>
        </w:rPr>
        <w:t>n situ</w:t>
      </w:r>
      <w:r w:rsidRPr="000A41F9">
        <w:rPr>
          <w:bCs/>
        </w:rPr>
        <w:t xml:space="preserve">. Furthermore, this technique could be used to identify certain biomarkers (i.e., intracellular molecules that are significantly changed upon a drug treatment) to produce another level of detecting compound efficacy on the single-cell level. </w:t>
      </w:r>
    </w:p>
    <w:p w14:paraId="1C363240" w14:textId="77777777" w:rsidR="002A3B57" w:rsidRDefault="002A3B57" w:rsidP="000A41F9">
      <w:pPr>
        <w:ind w:firstLine="720"/>
        <w:jc w:val="both"/>
        <w:rPr>
          <w:bCs/>
        </w:rPr>
      </w:pPr>
    </w:p>
    <w:p w14:paraId="2173BC8A" w14:textId="532A33FF" w:rsidR="002A3B57" w:rsidRPr="000849BF" w:rsidRDefault="002A3B57" w:rsidP="000849BF">
      <w:pPr>
        <w:pStyle w:val="Heading2"/>
        <w:jc w:val="both"/>
        <w:rPr>
          <w:szCs w:val="24"/>
        </w:rPr>
      </w:pPr>
      <w:bookmarkStart w:id="233" w:name="_Toc39868206"/>
      <w:r w:rsidRPr="000A41F9">
        <w:rPr>
          <w:szCs w:val="24"/>
        </w:rPr>
        <w:t>4.</w:t>
      </w:r>
      <w:r>
        <w:rPr>
          <w:szCs w:val="24"/>
        </w:rPr>
        <w:t>5</w:t>
      </w:r>
      <w:r w:rsidRPr="000A41F9">
        <w:rPr>
          <w:szCs w:val="24"/>
        </w:rPr>
        <w:t xml:space="preserve"> </w:t>
      </w:r>
      <w:r>
        <w:rPr>
          <w:szCs w:val="24"/>
        </w:rPr>
        <w:t>Conclusions</w:t>
      </w:r>
      <w:bookmarkEnd w:id="233"/>
    </w:p>
    <w:p w14:paraId="0F3AB245" w14:textId="299C7C56" w:rsidR="007739FB" w:rsidRDefault="000A41F9" w:rsidP="00FD568A">
      <w:pPr>
        <w:ind w:firstLine="720"/>
        <w:jc w:val="both"/>
        <w:rPr>
          <w:bCs/>
        </w:rPr>
      </w:pPr>
      <w:r w:rsidRPr="000A41F9">
        <w:rPr>
          <w:bCs/>
        </w:rPr>
        <w:t>Altogether, the Single-Probe/ICMP system was developed</w:t>
      </w:r>
      <w:r w:rsidR="009822E9">
        <w:rPr>
          <w:bCs/>
        </w:rPr>
        <w:t xml:space="preserve"> and applied</w:t>
      </w:r>
      <w:r w:rsidRPr="000A41F9">
        <w:rPr>
          <w:bCs/>
        </w:rPr>
        <w:t xml:space="preserve"> for the quantification of the chemotherapeutic, gemcitabine, inside individual clinically isolated bladder cancer cells</w:t>
      </w:r>
      <w:r w:rsidR="002A3B57">
        <w:rPr>
          <w:bCs/>
        </w:rPr>
        <w:t>. This methodology</w:t>
      </w:r>
      <w:r w:rsidRPr="000A41F9">
        <w:rPr>
          <w:bCs/>
        </w:rPr>
        <w:t xml:space="preserve"> could be further </w:t>
      </w:r>
      <w:r w:rsidR="009822E9">
        <w:rPr>
          <w:bCs/>
        </w:rPr>
        <w:t xml:space="preserve">applied </w:t>
      </w:r>
      <w:r w:rsidRPr="000A41F9">
        <w:rPr>
          <w:bCs/>
        </w:rPr>
        <w:t>for the quantification of other drug compounds in addition to qualitatively analyzing numerous other metabolites from various different cancers</w:t>
      </w:r>
      <w:r w:rsidR="002A3B57">
        <w:rPr>
          <w:bCs/>
        </w:rPr>
        <w:t xml:space="preserve">. </w:t>
      </w:r>
    </w:p>
    <w:p w14:paraId="0EF9CED7" w14:textId="0DA6B847" w:rsidR="00E5747D" w:rsidRDefault="00E5747D" w:rsidP="00FD568A">
      <w:pPr>
        <w:ind w:firstLine="720"/>
        <w:jc w:val="both"/>
        <w:rPr>
          <w:bCs/>
        </w:rPr>
      </w:pPr>
    </w:p>
    <w:p w14:paraId="4FF83A6A" w14:textId="476B6214" w:rsidR="0059228B" w:rsidRDefault="0059228B" w:rsidP="00FD568A">
      <w:pPr>
        <w:ind w:firstLine="720"/>
        <w:jc w:val="both"/>
        <w:rPr>
          <w:bCs/>
        </w:rPr>
      </w:pPr>
    </w:p>
    <w:p w14:paraId="7D9E7324" w14:textId="42B41461" w:rsidR="0059228B" w:rsidRDefault="0059228B" w:rsidP="00FD568A">
      <w:pPr>
        <w:ind w:firstLine="720"/>
        <w:jc w:val="both"/>
        <w:rPr>
          <w:bCs/>
        </w:rPr>
      </w:pPr>
    </w:p>
    <w:p w14:paraId="117EA116" w14:textId="41F68649" w:rsidR="0059228B" w:rsidRDefault="0059228B" w:rsidP="00FD568A">
      <w:pPr>
        <w:ind w:firstLine="720"/>
        <w:jc w:val="both"/>
        <w:rPr>
          <w:bCs/>
        </w:rPr>
      </w:pPr>
    </w:p>
    <w:p w14:paraId="298A6853" w14:textId="3DD10EC5" w:rsidR="0059228B" w:rsidRDefault="0059228B" w:rsidP="00FD568A">
      <w:pPr>
        <w:ind w:firstLine="720"/>
        <w:jc w:val="both"/>
        <w:rPr>
          <w:bCs/>
        </w:rPr>
      </w:pPr>
    </w:p>
    <w:p w14:paraId="18307482" w14:textId="15F26A02" w:rsidR="0059228B" w:rsidRDefault="0059228B" w:rsidP="00FD568A">
      <w:pPr>
        <w:ind w:firstLine="720"/>
        <w:jc w:val="both"/>
        <w:rPr>
          <w:bCs/>
        </w:rPr>
      </w:pPr>
    </w:p>
    <w:p w14:paraId="0201FD8D" w14:textId="2168CBDD" w:rsidR="0059228B" w:rsidRDefault="0059228B" w:rsidP="000849BF">
      <w:pPr>
        <w:jc w:val="both"/>
        <w:rPr>
          <w:bCs/>
        </w:rPr>
      </w:pPr>
    </w:p>
    <w:p w14:paraId="0E0E30EE" w14:textId="20E79BDF" w:rsidR="0059228B" w:rsidRDefault="0059228B" w:rsidP="00012F48">
      <w:pPr>
        <w:pStyle w:val="Heading1"/>
      </w:pPr>
      <w:bookmarkStart w:id="234" w:name="_Toc39868207"/>
      <w:r>
        <w:t xml:space="preserve">Chapter 5: Conclusions </w:t>
      </w:r>
      <w:r w:rsidR="006B02E5">
        <w:t xml:space="preserve">and </w:t>
      </w:r>
      <w:r w:rsidR="00012F48">
        <w:t>F</w:t>
      </w:r>
      <w:r w:rsidR="006B02E5">
        <w:t>uture Outlook</w:t>
      </w:r>
      <w:bookmarkEnd w:id="234"/>
    </w:p>
    <w:p w14:paraId="2FFF2B9D" w14:textId="4AFD3A1E" w:rsidR="003A1F9B" w:rsidRDefault="005035E8" w:rsidP="00EB0F22">
      <w:pPr>
        <w:jc w:val="both"/>
      </w:pPr>
      <w:r>
        <w:tab/>
        <w:t>My dissertation</w:t>
      </w:r>
      <w:r>
        <w:rPr>
          <w:iCs/>
        </w:rPr>
        <w:t xml:space="preserve"> research </w:t>
      </w:r>
      <w:r w:rsidR="00AE4FA0">
        <w:rPr>
          <w:iCs/>
        </w:rPr>
        <w:t xml:space="preserve">was focused on </w:t>
      </w:r>
      <w:r w:rsidR="009822E9">
        <w:rPr>
          <w:iCs/>
        </w:rPr>
        <w:t xml:space="preserve">identifying and characterizing </w:t>
      </w:r>
      <w:r w:rsidR="00AE4FA0">
        <w:rPr>
          <w:iCs/>
        </w:rPr>
        <w:t xml:space="preserve">druggable targets and </w:t>
      </w:r>
      <w:r w:rsidR="009822E9">
        <w:rPr>
          <w:iCs/>
        </w:rPr>
        <w:t xml:space="preserve">developing </w:t>
      </w:r>
      <w:r w:rsidR="00AE4FA0">
        <w:rPr>
          <w:iCs/>
        </w:rPr>
        <w:t xml:space="preserve">new bioanalytical methods translatable for use in the emerging era of </w:t>
      </w:r>
      <w:r w:rsidR="00AE4FA0" w:rsidRPr="00E43969">
        <w:rPr>
          <w:iCs/>
        </w:rPr>
        <w:t xml:space="preserve">personalized </w:t>
      </w:r>
      <w:r w:rsidR="00AE4FA0" w:rsidRPr="00A2584C">
        <w:t>m</w:t>
      </w:r>
      <w:r w:rsidR="00AE4FA0" w:rsidRPr="00E43969">
        <w:rPr>
          <w:iCs/>
        </w:rPr>
        <w:t>edicine.</w:t>
      </w:r>
      <w:r w:rsidR="00AE4FA0">
        <w:rPr>
          <w:iCs/>
        </w:rPr>
        <w:t xml:space="preserve"> </w:t>
      </w:r>
      <w:r w:rsidR="00F27B1B">
        <w:t xml:space="preserve">The work </w:t>
      </w:r>
      <w:r w:rsidR="00E43969">
        <w:t>presented</w:t>
      </w:r>
      <w:r w:rsidR="00F27B1B">
        <w:t xml:space="preserve"> in </w:t>
      </w:r>
      <w:r w:rsidRPr="000849BF">
        <w:rPr>
          <w:b/>
          <w:bCs/>
        </w:rPr>
        <w:t>C</w:t>
      </w:r>
      <w:r w:rsidR="00F27B1B" w:rsidRPr="000849BF">
        <w:rPr>
          <w:b/>
          <w:bCs/>
        </w:rPr>
        <w:t>hapter 2</w:t>
      </w:r>
      <w:r w:rsidR="00F27B1B">
        <w:t xml:space="preserve"> </w:t>
      </w:r>
      <w:r w:rsidR="00E43969">
        <w:t xml:space="preserve">detailed my contribution to the </w:t>
      </w:r>
      <w:r w:rsidR="00F27B1B">
        <w:t>discover</w:t>
      </w:r>
      <w:r w:rsidR="00E43969">
        <w:t>y of</w:t>
      </w:r>
      <w:r w:rsidR="00F27B1B">
        <w:t xml:space="preserve"> a potential route for broad spectrum antiviral replication inhibition through </w:t>
      </w:r>
      <w:r w:rsidR="00E43969">
        <w:t xml:space="preserve">a </w:t>
      </w:r>
      <w:r w:rsidR="00F27B1B">
        <w:t xml:space="preserve">unique </w:t>
      </w:r>
      <w:r w:rsidR="009913E8">
        <w:t xml:space="preserve">mechanism of targeting a host protein, rather than a viral associated molecule target. </w:t>
      </w:r>
      <w:r w:rsidR="00E43969">
        <w:t>The discovery of that OSW-1 represses OSBP</w:t>
      </w:r>
      <w:r w:rsidR="009822E9">
        <w:t xml:space="preserve"> protein levels</w:t>
      </w:r>
      <w:r w:rsidR="00E43969">
        <w:t xml:space="preserve">, leading to a </w:t>
      </w:r>
      <w:r w:rsidR="00CF4422">
        <w:t xml:space="preserve">prophylactic </w:t>
      </w:r>
      <w:r w:rsidR="00E43969">
        <w:t>antiviral response</w:t>
      </w:r>
      <w:r w:rsidR="00CF4422">
        <w:t xml:space="preserve">, could lead to a </w:t>
      </w:r>
      <w:r w:rsidR="009822E9">
        <w:t>broad-spectrum</w:t>
      </w:r>
      <w:r w:rsidR="00CF4422">
        <w:t xml:space="preserve"> treatment of pathogenic viral infections. </w:t>
      </w:r>
      <w:r w:rsidR="00DA12BC">
        <w:t xml:space="preserve">Although the mechanism of </w:t>
      </w:r>
      <w:r w:rsidR="00802447">
        <w:t>long-term</w:t>
      </w:r>
      <w:r w:rsidR="00DA12BC">
        <w:t xml:space="preserve"> repression was not identified, </w:t>
      </w:r>
      <w:r w:rsidR="00550188">
        <w:t xml:space="preserve">the OSW-1-induced </w:t>
      </w:r>
      <w:r w:rsidR="009822E9">
        <w:t xml:space="preserve">repression </w:t>
      </w:r>
      <w:r w:rsidR="00550188">
        <w:t xml:space="preserve">of OSBP is not due to the obvious potential cellular mechanisms such as </w:t>
      </w:r>
      <w:r w:rsidR="00DA12BC">
        <w:t xml:space="preserve">residual OSW-1 compound, </w:t>
      </w:r>
      <w:r w:rsidR="009B5A3E">
        <w:t>calpain activity, proteasome degradation, autophagy, or transcription inhibition.</w:t>
      </w:r>
      <w:r w:rsidR="002A3B57">
        <w:fldChar w:fldCharType="begin" w:fldLock="1"/>
      </w:r>
      <w:r w:rsidR="000849BF">
        <w:instrText>ADDIN CSL_CITATION { "citationItems" : [ { "id" : "ITEM-1", "itemData" : { "DOI" : "10.1021/acschembio.8b00984", "ISSN" : "1554-8929", "abstract" : "Oxysterol-binding protein (OSBP) is a lipid transport and regulatory protein required for the replication of Enterovirus genus viruses, which includes many significant human pathogens. Short-term exposure (i.e., 1\u20136 h) to a low dose (i.e., 1 nM) of the natural product compound OSW-1 induces a reduction of cellular OSBP levels by \u223c90% in multiple different cell lines with no measurable cytotoxicity, defect in cellular proliferation, or global proteome reduction. Interestingly, the reduction of OSBP levels persists multiple days after the low-dose, transient OSW-1 compound treatment is ended and the intracellular OSW-1 compound levels drop to undetectable levels. The reduction in OSBP levels is inherited in multiple generations of cells that are propagated after the OSW-1 compound treatment is stopped. The enduring multiday, multigenerational reduction of OSBP levels triggered by the OSW-1 compound is not due to proteasome degradation of OSBP or due to a reduction in OSBP mRNA levels. OSW-1 compound treatme...",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 "given" : "Anh T.", "non-dropping-particle" : "", "parse-names" : false, "suffix" : "" }, { "dropping-particle" : "", "family" : "Kothapalli", "given" : "Naga Rama", "non-dropping-particle" : "", "parse-names" : false, "suffix" : "" }, { "dropping-particle" : "", "family" : "Nu\u00f1ez", "given" : "Juan I.", "non-dropping-particle" : "", "parse-names" : false, "suffix" : "" }, { "dropping-particle" : "", "family" : "Ma", "given" : "Hongyan", "non-dropping-particle" : "", "parse-names" : false, "suffix" : "" }, { "dropping-particle" : "", "family" : "Wu", "given" : "Si", "non-dropping-particle" : "", "parse-names" : false, "suffix" : "" }, { "dropping-particle" : "", "family" : "Standke", "given" : "Shawna J.", "non-dropping-particle" : "", "parse-names" : false, "suffix" : "" }, { "dropping-particle" : "", "family" : "Yang", "given" : "Zhibo",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 G.", "non-dropping-particle" : "", "parse-names" : false, "suffix" : "" } ], "container-title" : "ACS Chemical Biology", "id" : "ITEM-1", "issue" : "2", "issued" : { "date-parts" : [ [ "2019", "2", "15" ] ] }, "page" : "276-287", "publisher" : "American Chemical Society", "title" : "Transient Compound Treatment Induces a Multigenerational Reduction of Oxysterol-Binding Protein (OSBP) Levels and Prophylactic Antiviral Activity", "type" : "article-journal", "volume" : "14" }, "uris" : [ "http://www.mendeley.com/documents/?uuid=86761fc6-fd7d-3306-b7c0-e151b6235980" ] } ], "mendeley" : { "formattedCitation" : "&lt;sup&gt;107&lt;/sup&gt;", "plainTextFormattedCitation" : "107", "previouslyFormattedCitation" : "&lt;sup&gt;107&lt;/sup&gt;" }, "properties" : { "noteIndex" : 0 }, "schema" : "https://github.com/citation-style-language/schema/raw/master/csl-citation.json" }</w:instrText>
      </w:r>
      <w:r w:rsidR="002A3B57">
        <w:fldChar w:fldCharType="separate"/>
      </w:r>
      <w:r w:rsidR="000849BF" w:rsidRPr="000849BF">
        <w:rPr>
          <w:noProof/>
          <w:vertAlign w:val="superscript"/>
        </w:rPr>
        <w:t>107</w:t>
      </w:r>
      <w:r w:rsidR="002A3B57">
        <w:fldChar w:fldCharType="end"/>
      </w:r>
      <w:r w:rsidR="00550188">
        <w:t xml:space="preserve"> </w:t>
      </w:r>
      <w:r w:rsidR="00EC6065">
        <w:t xml:space="preserve">Furthermore, the </w:t>
      </w:r>
      <w:r w:rsidR="00550188">
        <w:t xml:space="preserve">OSW-1-induced reduction of </w:t>
      </w:r>
      <w:r w:rsidR="00EC6065">
        <w:t xml:space="preserve">OSBP </w:t>
      </w:r>
      <w:r w:rsidR="00550188">
        <w:t xml:space="preserve">is </w:t>
      </w:r>
      <w:r w:rsidR="00EC6065">
        <w:t>specific to OSBP</w:t>
      </w:r>
      <w:r w:rsidR="00550188">
        <w:t>.</w:t>
      </w:r>
      <w:r w:rsidR="002A3B57">
        <w:fldChar w:fldCharType="begin" w:fldLock="1"/>
      </w:r>
      <w:r w:rsidR="000849BF">
        <w:instrText>ADDIN CSL_CITATION { "citationItems" : [ { "id" : "ITEM-1", "itemData" : { "DOI" : "10.1016/J.ANTIVIRAL.2019.104548", "ISSN" : "0166-3542", "abstract" : "Oxysterol-binding Protein (OSBP) is a human lipid-transport protein required for the cellular replication of many types of viruses, including several human pathogens. The structurally-diverse small molecule compounds OSW-1, itraconazole (ITZ), T-00127-HEV2 (THEV) and TTP-8307 (TTP) inhibit viral replication through interaction with the OSBP protein. The OSW-1 compound reduces intracellular OSBP, and the reduction of OSBP protein levels persists multiple days after the OSW-1-compound treatment is stopped. The OSW-1-induced reduction of OSBP levels inhibited Enterovirus replication prophylactically in cells. In this report, the OSBP-interacting compounds ITZ, THEV, and TTP are shown not to reduce OSBP levels in cells, unlike the OSW-1-compound, and the OSW-1 compound is the only compound capable of providing prophylactic anti-viral activity in cells. Furthermore, OSW-1 and THEV inhibit the binding of 25-hydroxycholesterol (25-OHC) to OSBP indicating that these compounds bind at the conserved ligand binding site. The ITZ and TTP compounds do not inhibit 25-hydroxycholesterol binding to OSBP, and therefore ITZ and TTP interact with OSBP through other, unidentified binding sites. Co-administration of the THEV compound partially blocks the cellular activity of OSW-1, including the reduction of cellular OSBP protein levels; Co-administration of the ITZ and TTP compounds have minimal effect on OSW-1 cellular activity further supporting different modes of interaction with these compounds to OSBP. OSW-1, ITZ, THEV, and TTP treatment alter OSBP cellular localization and levels, but in four distinct ways. Co-administration of OSW-1 and ITZ induced OSBP cellular localization patterns with features similar to ITZ and OSW-1 treatment alone. Based on these results, OSBP is capable of interacting with multiple structural classes of small molecule compounds at different binding sites, and the different compounds have distinct effects on OSBP cellular activity.", "author" : [ { "dropping-particle" : "", "family" : "Roberts", "given" : "Brett L.", "non-dropping-particle" : "", "parse-names" : false, "suffix" : "" }, { "dropping-particle" : "", "family" : "Severance", "given" : "Zachary C.", "non-dropping-particle" : "", "parse-names" : false, "suffix" : "" }, { "dropping-particle" : "", "family" : "Bensen", "given" : "Ryan C.", "non-dropping-particle" : "", "parse-names" : false, "suffix" : "" }, { "dropping-particle" : "", "family" : "Le", "given" : "Anh T.", "non-dropping-particle" : "", "parse-names" : false, "suffix" : "" }, { "dropping-particle" : "", "family" : "Malinky", "given" : "Cori A.", "non-dropping-particle" : "", "parse-names" : false, "suffix" : "" }, { "dropping-particle" : "", "family" : "Mettenbrink", "given" : "Evan M.", "non-dropping-particle" : "", "parse-names" : false, "suffix" : "" }, { "dropping-particle" : "", "family" : "Nu\u00f1ez", "given" : "Juan I.", "non-dropping-particle" : "", "parse-names" : false, "suffix" : "" }, { "dropping-particle" : "", "family" : "Reddig", "given" : "William J.", "non-dropping-particle" : "", "parse-names" : false, "suffix" : "" }, { "dropping-particle" : "", "family" : "Blewett", "given" : "Earl L.", "non-dropping-particle" : "", "parse-names" : false, "suffix" : "" }, { "dropping-particle" : "", "family" : "Burgett", "given" : "Anthony W.G.", "non-dropping-particle" : "", "parse-names" : false, "suffix" : "" } ], "container-title" : "Antiviral Research", "id" : "ITEM-1", "issued" : { "date-parts" : [ [ "2019", "7", "2" ] ] }, "page" : "104548", "publisher" : "Elsevier", "title" : "Differing activities of oxysterol-binding protein (OSBP) targeting anti-viral compounds", "type" : "article-journal" }, "uris" : [ "http://www.mendeley.com/documents/?uuid=a3aed990-1007-3a88-84ad-8fbd8cb0c09a" ] } ], "mendeley" : { "formattedCitation" : "&lt;sup&gt;108&lt;/sup&gt;", "plainTextFormattedCitation" : "108", "previouslyFormattedCitation" : "&lt;sup&gt;181&lt;/sup&gt;" }, "properties" : { "noteIndex" : 0 }, "schema" : "https://github.com/citation-style-language/schema/raw/master/csl-citation.json" }</w:instrText>
      </w:r>
      <w:r w:rsidR="002A3B57">
        <w:fldChar w:fldCharType="separate"/>
      </w:r>
      <w:r w:rsidR="000849BF" w:rsidRPr="000849BF">
        <w:rPr>
          <w:noProof/>
          <w:vertAlign w:val="superscript"/>
        </w:rPr>
        <w:t>108</w:t>
      </w:r>
      <w:r w:rsidR="002A3B57">
        <w:fldChar w:fldCharType="end"/>
      </w:r>
    </w:p>
    <w:p w14:paraId="3E13B399" w14:textId="6FAB662A" w:rsidR="00F762D9" w:rsidRDefault="00030AD9" w:rsidP="00EB0F22">
      <w:pPr>
        <w:jc w:val="both"/>
      </w:pPr>
      <w:r>
        <w:tab/>
      </w:r>
      <w:r w:rsidR="00802447">
        <w:t xml:space="preserve">Future work needs to be conducted into identification of the biological mechanism into the repression of the OSBP protein. Such a finding could have </w:t>
      </w:r>
      <w:r w:rsidR="00373B93">
        <w:t xml:space="preserve">significant impacts into drug development for a wide range </w:t>
      </w:r>
      <w:r w:rsidR="009822E9">
        <w:t>diseases</w:t>
      </w:r>
      <w:r w:rsidR="00373B93">
        <w:t>. Such a mechanism could be a miRNA mediated targeted repression of the OSBP mRNA transcript</w:t>
      </w:r>
      <w:r w:rsidR="00892047">
        <w:t>, although the</w:t>
      </w:r>
      <w:r w:rsidR="00550188">
        <w:t xml:space="preserve"> how</w:t>
      </w:r>
      <w:r w:rsidR="00892047">
        <w:t xml:space="preserve"> </w:t>
      </w:r>
      <w:r w:rsidR="001D0C6F">
        <w:t>binding</w:t>
      </w:r>
      <w:r w:rsidR="00892047">
        <w:t xml:space="preserve"> of a small</w:t>
      </w:r>
      <w:r w:rsidR="003B6ED3">
        <w:t xml:space="preserve"> molecule to a protein (i.e., OSW-1 binding to OSBP) would initiate such a response</w:t>
      </w:r>
      <w:r w:rsidR="001D0C6F">
        <w:t xml:space="preserve">, is unknown. The discovery of the mechanism, however, has obvious benefits to human </w:t>
      </w:r>
      <w:r w:rsidR="00F762D9">
        <w:t xml:space="preserve">health and drug development. </w:t>
      </w:r>
    </w:p>
    <w:p w14:paraId="4543A3E4" w14:textId="1E74A904" w:rsidR="00DF0F21" w:rsidRDefault="00550188" w:rsidP="00EB0F22">
      <w:pPr>
        <w:jc w:val="both"/>
      </w:pPr>
      <w:r>
        <w:tab/>
        <w:t xml:space="preserve">My work in studying </w:t>
      </w:r>
      <w:r w:rsidR="00EA1F6A" w:rsidRPr="00EA1F6A">
        <w:t xml:space="preserve">ORP4 </w:t>
      </w:r>
      <w:r>
        <w:t>as a potential precision target in ovarian cancer (</w:t>
      </w:r>
      <w:r w:rsidRPr="000849BF">
        <w:rPr>
          <w:b/>
          <w:bCs/>
        </w:rPr>
        <w:t>Chapter 3</w:t>
      </w:r>
      <w:r>
        <w:t>) showed the potential</w:t>
      </w:r>
      <w:r w:rsidR="00DE4B4C">
        <w:t xml:space="preserve"> of the </w:t>
      </w:r>
      <w:r>
        <w:t>OSW-1-compound</w:t>
      </w:r>
      <w:r w:rsidR="00DE4B4C">
        <w:t xml:space="preserve"> as p</w:t>
      </w:r>
      <w:r w:rsidR="009822E9">
        <w:t>ersonalized</w:t>
      </w:r>
      <w:r w:rsidR="00DE4B4C">
        <w:t xml:space="preserve"> medicine.</w:t>
      </w:r>
      <w:r>
        <w:t xml:space="preserve"> </w:t>
      </w:r>
      <w:r w:rsidR="00232169">
        <w:lastRenderedPageBreak/>
        <w:t xml:space="preserve">We demonstrated that </w:t>
      </w:r>
      <w:r w:rsidR="001D1E44">
        <w:t xml:space="preserve">the ORP4 expression was ubiquitous among all </w:t>
      </w:r>
      <w:r w:rsidR="009822E9">
        <w:t xml:space="preserve">four </w:t>
      </w:r>
      <w:r w:rsidR="001D1E44">
        <w:t>ovarian cancer cell lines tested in both a 2D and 3D model</w:t>
      </w:r>
      <w:r>
        <w:t>s</w:t>
      </w:r>
      <w:r w:rsidR="001D1E44">
        <w:t xml:space="preserve">. </w:t>
      </w:r>
      <w:r w:rsidR="00465642">
        <w:t>The OS</w:t>
      </w:r>
      <w:r w:rsidR="001A5F42">
        <w:t>W</w:t>
      </w:r>
      <w:r w:rsidR="00465642">
        <w:t xml:space="preserve">-1 compound showed superior </w:t>
      </w:r>
      <w:r>
        <w:t xml:space="preserve">antiproliferative activity </w:t>
      </w:r>
      <w:r w:rsidR="00465642">
        <w:t xml:space="preserve">compared to the </w:t>
      </w:r>
      <w:r>
        <w:t xml:space="preserve">ovarian </w:t>
      </w:r>
      <w:r w:rsidR="00465642">
        <w:t>standard of care compounds paclitaxel and cisplatin</w:t>
      </w:r>
      <w:r w:rsidR="001A5F42">
        <w:t xml:space="preserve"> in both</w:t>
      </w:r>
      <w:r>
        <w:t xml:space="preserve"> ovarian monolayer and spheroid models. </w:t>
      </w:r>
      <w:r w:rsidR="00C710CF">
        <w:t xml:space="preserve"> The </w:t>
      </w:r>
      <w:r>
        <w:t>cyto</w:t>
      </w:r>
      <w:r w:rsidR="00C710CF">
        <w:t>toxicity of the O</w:t>
      </w:r>
      <w:r>
        <w:t>S</w:t>
      </w:r>
      <w:r w:rsidR="00C710CF">
        <w:t>W-1 compound correlated to the degradation of the ORP4</w:t>
      </w:r>
      <w:r w:rsidR="009822E9">
        <w:t>L</w:t>
      </w:r>
      <w:r w:rsidR="00C710CF">
        <w:t xml:space="preserve"> protein, supporting the claim that the ORP4 protein is the cytotoxic target, rather than the OSBP protein. </w:t>
      </w:r>
      <w:r w:rsidR="0004161D">
        <w:t>Of important significance, the OSW-1 compound was significantly more potent in the absences of extracellular lipids</w:t>
      </w:r>
      <w:r w:rsidR="004F337A">
        <w:t xml:space="preserve"> and attenuated by the addition of exogenous cholesterol. </w:t>
      </w:r>
      <w:r w:rsidR="003A161A">
        <w:t xml:space="preserve">This phenomenon could potentially be exploited for the precision targeting of tumors, which are nutrient deprived. </w:t>
      </w:r>
      <w:r w:rsidR="00833360">
        <w:t>In this model</w:t>
      </w:r>
      <w:r w:rsidR="00DF0F21">
        <w:t>, the targeting of</w:t>
      </w:r>
      <w:r w:rsidR="00833360">
        <w:t xml:space="preserve"> both</w:t>
      </w:r>
      <w:r w:rsidR="00DF0F21">
        <w:t xml:space="preserve"> OSBP and ORP4 </w:t>
      </w:r>
      <w:r w:rsidR="00833360">
        <w:t xml:space="preserve">are additive in cytotoxic effects due to the cholesterol depletion in tumors. If true, </w:t>
      </w:r>
      <w:r w:rsidR="00DE4B4C">
        <w:t xml:space="preserve">this should make normal tissue with adequate cholesterol less responsive to OSW-1 compounds. </w:t>
      </w:r>
    </w:p>
    <w:p w14:paraId="79E8B830" w14:textId="1D2CF286" w:rsidR="00ED59FE" w:rsidRDefault="00DF0F21" w:rsidP="00EB0F22">
      <w:pPr>
        <w:jc w:val="both"/>
      </w:pPr>
      <w:r>
        <w:tab/>
      </w:r>
      <w:r w:rsidR="009822E9">
        <w:t>M</w:t>
      </w:r>
      <w:r>
        <w:t>ore research</w:t>
      </w:r>
      <w:r w:rsidR="009822E9">
        <w:t xml:space="preserve"> is</w:t>
      </w:r>
      <w:r>
        <w:t xml:space="preserve"> needed to validate that the </w:t>
      </w:r>
      <w:r w:rsidR="00AE6C1A">
        <w:t xml:space="preserve">significant increase in </w:t>
      </w:r>
      <w:r w:rsidR="00DE4B4C">
        <w:t>cyto</w:t>
      </w:r>
      <w:r w:rsidR="00AE6C1A">
        <w:t xml:space="preserve">toxicity specifically to the OSW-1 compound is caused by the degradation of OSBP, and if it is, </w:t>
      </w:r>
      <w:r w:rsidR="003F1880">
        <w:t>needs to be</w:t>
      </w:r>
      <w:r w:rsidR="00AE6C1A">
        <w:t xml:space="preserve"> translated to an i</w:t>
      </w:r>
      <w:r w:rsidR="00AE6C1A" w:rsidRPr="00AE6C1A">
        <w:rPr>
          <w:i/>
          <w:iCs/>
        </w:rPr>
        <w:t xml:space="preserve">n vivo </w:t>
      </w:r>
      <w:r w:rsidR="00AE6C1A">
        <w:t xml:space="preserve">model. </w:t>
      </w:r>
      <w:r w:rsidR="003A161A">
        <w:t xml:space="preserve"> </w:t>
      </w:r>
      <w:r w:rsidR="00AE6C1A">
        <w:t>The implications of this research are profound, as it identifies biological targets to produce an ideal, precision medicine that targets the cancer cells, specifically tumors,</w:t>
      </w:r>
      <w:r w:rsidR="003F1880">
        <w:t xml:space="preserve"> with a large therapeutic window with efficacy against a broad range of cancers. </w:t>
      </w:r>
    </w:p>
    <w:p w14:paraId="10214F63" w14:textId="134CAFD0" w:rsidR="003A1F9B" w:rsidRDefault="006555D9" w:rsidP="00EB0F22">
      <w:pPr>
        <w:jc w:val="both"/>
        <w:rPr>
          <w:bCs/>
        </w:rPr>
      </w:pPr>
      <w:r>
        <w:tab/>
      </w:r>
      <w:r w:rsidR="00A76F8C">
        <w:t xml:space="preserve">Beyond studying new druggable cellular targets, my dissertation research also encompassed new bioanalytical technology to measure drug compounds in cancer cells. This application of single cell mass spectrometry in drug quantification could lead to personalization of drug administration in way not currently possible. </w:t>
      </w:r>
      <w:r w:rsidR="00585202">
        <w:rPr>
          <w:bCs/>
        </w:rPr>
        <w:t>W</w:t>
      </w:r>
      <w:r w:rsidR="00585202" w:rsidRPr="00585202">
        <w:rPr>
          <w:bCs/>
        </w:rPr>
        <w:t xml:space="preserve">e have developed the Single-probe/ICMP qSCMS system to determine the concentration of </w:t>
      </w:r>
      <w:r w:rsidR="00585202" w:rsidRPr="00585202">
        <w:rPr>
          <w:bCs/>
        </w:rPr>
        <w:lastRenderedPageBreak/>
        <w:t xml:space="preserve">chemotherapeutic drugs in single suspended cells </w:t>
      </w:r>
      <w:r w:rsidR="00585202" w:rsidRPr="00585202">
        <w:rPr>
          <w:bCs/>
          <w:i/>
        </w:rPr>
        <w:t>in vitro</w:t>
      </w:r>
      <w:r w:rsidR="00585202" w:rsidRPr="00585202">
        <w:rPr>
          <w:bCs/>
        </w:rPr>
        <w:t>, and then used this system to quantify the amount of intracellular gemcitabine in cells isolated from bladder cancer patients. The Single-probe/ICMP qSCMS method can be further developed to quantify the amount of many different intracellular molecules of interest (e.g., drug compounds, lipids, metabolites, etc.) and to discriminate cell types based on metabolomic features of individual clinical cells, such as normal vs. cancerous cells. This method can potentially be used to measure therapeutically informative levels of drug compounds within cells in order to develop precision drug monitoring and administration. Single-cell quantification of drug compounds isolated from non-invasive patient samples is a major advancement for the development of single cell pharmacology. Single cell pharmacology could lead to understanding the action of drugs on the level of individual disease cells and provide a new paradigm in the development and better administration of drug compounds in patients.</w:t>
      </w:r>
    </w:p>
    <w:p w14:paraId="6639A047" w14:textId="73E9F372" w:rsidR="00E5747D" w:rsidRPr="00FD568A" w:rsidRDefault="006C011C" w:rsidP="0059228B">
      <w:pPr>
        <w:jc w:val="both"/>
        <w:rPr>
          <w:bCs/>
        </w:rPr>
      </w:pPr>
      <w:r>
        <w:rPr>
          <w:bCs/>
        </w:rPr>
        <w:tab/>
        <w:t xml:space="preserve">Further development </w:t>
      </w:r>
      <w:r w:rsidR="008C46CE">
        <w:rPr>
          <w:bCs/>
        </w:rPr>
        <w:t xml:space="preserve">is still needed on the technology for it be incorporated into a clinical setting. Intensive validation and precision </w:t>
      </w:r>
      <w:r w:rsidR="007077AC">
        <w:rPr>
          <w:bCs/>
        </w:rPr>
        <w:t>need</w:t>
      </w:r>
      <w:r w:rsidR="008C46CE">
        <w:rPr>
          <w:bCs/>
        </w:rPr>
        <w:t xml:space="preserve"> to be optimized and </w:t>
      </w:r>
      <w:r w:rsidR="004D4351">
        <w:rPr>
          <w:bCs/>
        </w:rPr>
        <w:t>methodology</w:t>
      </w:r>
      <w:r w:rsidR="008C46CE">
        <w:rPr>
          <w:bCs/>
        </w:rPr>
        <w:t xml:space="preserve"> for </w:t>
      </w:r>
      <w:r w:rsidR="004D4351">
        <w:rPr>
          <w:bCs/>
        </w:rPr>
        <w:t xml:space="preserve">discriminating cells in an efficient method needs to be implemented. One such </w:t>
      </w:r>
      <w:r w:rsidR="007077AC">
        <w:rPr>
          <w:bCs/>
        </w:rPr>
        <w:t>method could</w:t>
      </w:r>
      <w:r w:rsidR="004D4351">
        <w:rPr>
          <w:bCs/>
        </w:rPr>
        <w:t xml:space="preserve"> be a FACS</w:t>
      </w:r>
      <w:r w:rsidR="00463E68">
        <w:rPr>
          <w:bCs/>
        </w:rPr>
        <w:t xml:space="preserve"> methodology through flow cytometry to discriminate cancer from non-cancerous cells</w:t>
      </w:r>
      <w:r w:rsidR="007F2529">
        <w:rPr>
          <w:bCs/>
        </w:rPr>
        <w:t xml:space="preserve">. Furthermore, if blood samples are used </w:t>
      </w:r>
      <w:r w:rsidR="009822E9">
        <w:rPr>
          <w:bCs/>
        </w:rPr>
        <w:t>rather than</w:t>
      </w:r>
      <w:r w:rsidR="007F2529">
        <w:rPr>
          <w:bCs/>
        </w:rPr>
        <w:t xml:space="preserve"> epithelial bladder cancers, a spherical cell output could be obtained </w:t>
      </w:r>
      <w:r w:rsidR="00D47052">
        <w:rPr>
          <w:bCs/>
        </w:rPr>
        <w:t xml:space="preserve">and sorted through FACS. This would produce an ideal cell population to use our technology to quantify the cellular drug concentration in individual cancer cells compared to normal cells to produce a real-time output reading of drug monitoring and personalized </w:t>
      </w:r>
      <w:r w:rsidR="00EB0F22">
        <w:rPr>
          <w:bCs/>
        </w:rPr>
        <w:t xml:space="preserve">chemotherapeutic administration regiment. </w:t>
      </w:r>
    </w:p>
    <w:p w14:paraId="59D5C074" w14:textId="472B6C76" w:rsidR="00AA0B13" w:rsidRDefault="00A66B3A" w:rsidP="00012F48">
      <w:pPr>
        <w:pStyle w:val="Heading1"/>
      </w:pPr>
      <w:bookmarkStart w:id="235" w:name="_Toc39868208"/>
      <w:r>
        <w:lastRenderedPageBreak/>
        <w:t>References</w:t>
      </w:r>
      <w:bookmarkEnd w:id="235"/>
    </w:p>
    <w:p w14:paraId="1820AEB9" w14:textId="6EA71AFA" w:rsidR="000849BF" w:rsidRPr="000849BF" w:rsidRDefault="007077AC" w:rsidP="000849BF">
      <w:pPr>
        <w:widowControl w:val="0"/>
        <w:autoSpaceDE w:val="0"/>
        <w:autoSpaceDN w:val="0"/>
        <w:adjustRightInd w:val="0"/>
        <w:ind w:left="640" w:hanging="640"/>
        <w:rPr>
          <w:rFonts w:ascii="Times New Roman" w:hAnsi="Times New Roman"/>
          <w:noProof/>
        </w:rPr>
      </w:pPr>
      <w:r>
        <w:fldChar w:fldCharType="begin" w:fldLock="1"/>
      </w:r>
      <w:r>
        <w:instrText xml:space="preserve">ADDIN Mendeley Bibliography CSL_BIBLIOGRAPHY </w:instrText>
      </w:r>
      <w:r>
        <w:fldChar w:fldCharType="separate"/>
      </w:r>
      <w:r w:rsidR="000849BF" w:rsidRPr="000849BF">
        <w:rPr>
          <w:rFonts w:ascii="Times New Roman" w:hAnsi="Times New Roman"/>
          <w:noProof/>
        </w:rPr>
        <w:t xml:space="preserve">(1) </w:t>
      </w:r>
      <w:r w:rsidR="000849BF" w:rsidRPr="000849BF">
        <w:rPr>
          <w:rFonts w:ascii="Times New Roman" w:hAnsi="Times New Roman"/>
          <w:noProof/>
        </w:rPr>
        <w:tab/>
        <w:t xml:space="preserve">Vogenberg, F. R.; Barash, C. I.; Pursel, M. </w:t>
      </w:r>
      <w:r w:rsidR="000849BF" w:rsidRPr="000849BF">
        <w:rPr>
          <w:rFonts w:ascii="Times New Roman" w:hAnsi="Times New Roman"/>
          <w:i/>
          <w:iCs/>
          <w:noProof/>
        </w:rPr>
        <w:t>P and T</w:t>
      </w:r>
      <w:r w:rsidR="000849BF" w:rsidRPr="000849BF">
        <w:rPr>
          <w:rFonts w:ascii="Times New Roman" w:hAnsi="Times New Roman"/>
          <w:noProof/>
        </w:rPr>
        <w:t>. MediMedia, USA October 2010, p 560.</w:t>
      </w:r>
    </w:p>
    <w:p w14:paraId="38DBB98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(2) </w:t>
      </w:r>
      <w:r w:rsidRPr="000849BF">
        <w:rPr>
          <w:rFonts w:ascii="Times New Roman" w:hAnsi="Times New Roman"/>
          <w:noProof/>
        </w:rPr>
        <w:tab/>
        <w:t xml:space="preserve">Krzyszczyk, P.; Acevedo, A.; Davidoff, E. J.; Timmins, L. M.; Marrero-Berrios, I.; Patel, M.; White, C.; Lowe, C.; Sherba, J. J.; Hartmanshenn, C.; O’Neill, K. M.; Balter, M. L.; Fritz, Z. R.; Androulakis, I. P.; Schloss, R. S.; Yarmush, M. L. </w:t>
      </w:r>
      <w:r w:rsidRPr="000849BF">
        <w:rPr>
          <w:rFonts w:ascii="Times New Roman" w:hAnsi="Times New Roman"/>
          <w:i/>
          <w:iCs/>
          <w:noProof/>
        </w:rPr>
        <w:t>TECHNOLOGY</w:t>
      </w:r>
      <w:r w:rsidRPr="000849BF">
        <w:rPr>
          <w:rFonts w:ascii="Times New Roman" w:hAnsi="Times New Roman"/>
          <w:noProof/>
        </w:rPr>
        <w:t xml:space="preserve"> </w:t>
      </w:r>
      <w:r w:rsidRPr="000849BF">
        <w:rPr>
          <w:rFonts w:ascii="Times New Roman" w:hAnsi="Times New Roman"/>
          <w:b/>
          <w:bCs/>
          <w:noProof/>
        </w:rPr>
        <w:t>2018</w:t>
      </w:r>
      <w:r w:rsidRPr="000849BF">
        <w:rPr>
          <w:rFonts w:ascii="Times New Roman" w:hAnsi="Times New Roman"/>
          <w:noProof/>
        </w:rPr>
        <w:t xml:space="preserve">, </w:t>
      </w:r>
      <w:r w:rsidRPr="000849BF">
        <w:rPr>
          <w:rFonts w:ascii="Times New Roman" w:hAnsi="Times New Roman"/>
          <w:i/>
          <w:iCs/>
          <w:noProof/>
        </w:rPr>
        <w:t>6</w:t>
      </w:r>
      <w:r w:rsidRPr="000849BF">
        <w:rPr>
          <w:rFonts w:ascii="Times New Roman" w:hAnsi="Times New Roman"/>
          <w:noProof/>
        </w:rPr>
        <w:t xml:space="preserve"> (03n04), 79–100.</w:t>
      </w:r>
    </w:p>
    <w:p w14:paraId="60699DCD"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(3) </w:t>
      </w:r>
      <w:r w:rsidRPr="000849BF">
        <w:rPr>
          <w:rFonts w:ascii="Times New Roman" w:hAnsi="Times New Roman"/>
          <w:noProof/>
        </w:rPr>
        <w:tab/>
        <w:t xml:space="preserve">Drew, L. </w:t>
      </w:r>
      <w:r w:rsidRPr="000849BF">
        <w:rPr>
          <w:rFonts w:ascii="Times New Roman" w:hAnsi="Times New Roman"/>
          <w:i/>
          <w:iCs/>
          <w:noProof/>
        </w:rPr>
        <w:t>Nature</w:t>
      </w:r>
      <w:r w:rsidRPr="000849BF">
        <w:rPr>
          <w:rFonts w:ascii="Times New Roman" w:hAnsi="Times New Roman"/>
          <w:noProof/>
        </w:rPr>
        <w:t xml:space="preserve"> </w:t>
      </w:r>
      <w:r w:rsidRPr="000849BF">
        <w:rPr>
          <w:rFonts w:ascii="Times New Roman" w:hAnsi="Times New Roman"/>
          <w:b/>
          <w:bCs/>
          <w:noProof/>
        </w:rPr>
        <w:t>2016</w:t>
      </w:r>
      <w:r w:rsidRPr="000849BF">
        <w:rPr>
          <w:rFonts w:ascii="Times New Roman" w:hAnsi="Times New Roman"/>
          <w:noProof/>
        </w:rPr>
        <w:t xml:space="preserve">, </w:t>
      </w:r>
      <w:r w:rsidRPr="000849BF">
        <w:rPr>
          <w:rFonts w:ascii="Times New Roman" w:hAnsi="Times New Roman"/>
          <w:i/>
          <w:iCs/>
          <w:noProof/>
        </w:rPr>
        <w:t>537</w:t>
      </w:r>
      <w:r w:rsidRPr="000849BF">
        <w:rPr>
          <w:rFonts w:ascii="Times New Roman" w:hAnsi="Times New Roman"/>
          <w:noProof/>
        </w:rPr>
        <w:t xml:space="preserve"> (7619), S60–S62.</w:t>
      </w:r>
    </w:p>
    <w:p w14:paraId="4ED7A3EE"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(4) </w:t>
      </w:r>
      <w:r w:rsidRPr="000849BF">
        <w:rPr>
          <w:rFonts w:ascii="Times New Roman" w:hAnsi="Times New Roman"/>
          <w:noProof/>
        </w:rPr>
        <w:tab/>
        <w:t xml:space="preserve">McDonnell, PharmD, BCOP, A. M.; Dang, PharmD, BCPS, C. H. </w:t>
      </w:r>
      <w:r w:rsidRPr="000849BF">
        <w:rPr>
          <w:rFonts w:ascii="Times New Roman" w:hAnsi="Times New Roman"/>
          <w:i/>
          <w:iCs/>
          <w:noProof/>
        </w:rPr>
        <w:t>J. Adv. Pract. Oncol.</w:t>
      </w:r>
      <w:r w:rsidRPr="000849BF">
        <w:rPr>
          <w:rFonts w:ascii="Times New Roman" w:hAnsi="Times New Roman"/>
          <w:noProof/>
        </w:rPr>
        <w:t xml:space="preserve"> </w:t>
      </w:r>
      <w:r w:rsidRPr="000849BF">
        <w:rPr>
          <w:rFonts w:ascii="Times New Roman" w:hAnsi="Times New Roman"/>
          <w:b/>
          <w:bCs/>
          <w:noProof/>
        </w:rPr>
        <w:t>2013</w:t>
      </w:r>
      <w:r w:rsidRPr="000849BF">
        <w:rPr>
          <w:rFonts w:ascii="Times New Roman" w:hAnsi="Times New Roman"/>
          <w:noProof/>
        </w:rPr>
        <w:t xml:space="preserve">, </w:t>
      </w:r>
      <w:r w:rsidRPr="000849BF">
        <w:rPr>
          <w:rFonts w:ascii="Times New Roman" w:hAnsi="Times New Roman"/>
          <w:i/>
          <w:iCs/>
          <w:noProof/>
        </w:rPr>
        <w:t>4</w:t>
      </w:r>
      <w:r w:rsidRPr="000849BF">
        <w:rPr>
          <w:rFonts w:ascii="Times New Roman" w:hAnsi="Times New Roman"/>
          <w:noProof/>
        </w:rPr>
        <w:t xml:space="preserve"> (4), 263.</w:t>
      </w:r>
    </w:p>
    <w:p w14:paraId="41B8AEDD"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(5) </w:t>
      </w:r>
      <w:r w:rsidRPr="000849BF">
        <w:rPr>
          <w:rFonts w:ascii="Times New Roman" w:hAnsi="Times New Roman"/>
          <w:noProof/>
        </w:rPr>
        <w:tab/>
        <w:t xml:space="preserve">Druker, B. J. </w:t>
      </w:r>
      <w:r w:rsidRPr="000849BF">
        <w:rPr>
          <w:rFonts w:ascii="Times New Roman" w:hAnsi="Times New Roman"/>
          <w:i/>
          <w:iCs/>
          <w:noProof/>
        </w:rPr>
        <w:t>Trends Mol. Med.</w:t>
      </w:r>
      <w:r w:rsidRPr="000849BF">
        <w:rPr>
          <w:rFonts w:ascii="Times New Roman" w:hAnsi="Times New Roman"/>
          <w:noProof/>
        </w:rPr>
        <w:t xml:space="preserve"> </w:t>
      </w:r>
      <w:r w:rsidRPr="000849BF">
        <w:rPr>
          <w:rFonts w:ascii="Times New Roman" w:hAnsi="Times New Roman"/>
          <w:b/>
          <w:bCs/>
          <w:noProof/>
        </w:rPr>
        <w:t>2002</w:t>
      </w:r>
      <w:r w:rsidRPr="000849BF">
        <w:rPr>
          <w:rFonts w:ascii="Times New Roman" w:hAnsi="Times New Roman"/>
          <w:noProof/>
        </w:rPr>
        <w:t xml:space="preserve">, </w:t>
      </w:r>
      <w:r w:rsidRPr="000849BF">
        <w:rPr>
          <w:rFonts w:ascii="Times New Roman" w:hAnsi="Times New Roman"/>
          <w:i/>
          <w:iCs/>
          <w:noProof/>
        </w:rPr>
        <w:t>8</w:t>
      </w:r>
      <w:r w:rsidRPr="000849BF">
        <w:rPr>
          <w:rFonts w:ascii="Times New Roman" w:hAnsi="Times New Roman"/>
          <w:noProof/>
        </w:rPr>
        <w:t xml:space="preserve"> (4), S14–S18.</w:t>
      </w:r>
    </w:p>
    <w:p w14:paraId="6519201C"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(6) </w:t>
      </w:r>
      <w:r w:rsidRPr="000849BF">
        <w:rPr>
          <w:rFonts w:ascii="Times New Roman" w:hAnsi="Times New Roman"/>
          <w:noProof/>
        </w:rPr>
        <w:tab/>
        <w:t xml:space="preserve">Sliwkowski, M. X.; Lofgren, J. A.; Lewis, G. D.; Hotaling, T. E.; Fendly, B. M.; Fox, J. A. </w:t>
      </w:r>
      <w:r w:rsidRPr="000849BF">
        <w:rPr>
          <w:rFonts w:ascii="Times New Roman" w:hAnsi="Times New Roman"/>
          <w:i/>
          <w:iCs/>
          <w:noProof/>
        </w:rPr>
        <w:t>Semin. Oncol.</w:t>
      </w:r>
      <w:r w:rsidRPr="000849BF">
        <w:rPr>
          <w:rFonts w:ascii="Times New Roman" w:hAnsi="Times New Roman"/>
          <w:noProof/>
        </w:rPr>
        <w:t xml:space="preserve"> </w:t>
      </w:r>
      <w:r w:rsidRPr="000849BF">
        <w:rPr>
          <w:rFonts w:ascii="Times New Roman" w:hAnsi="Times New Roman"/>
          <w:b/>
          <w:bCs/>
          <w:noProof/>
        </w:rPr>
        <w:t>1999</w:t>
      </w:r>
      <w:r w:rsidRPr="000849BF">
        <w:rPr>
          <w:rFonts w:ascii="Times New Roman" w:hAnsi="Times New Roman"/>
          <w:noProof/>
        </w:rPr>
        <w:t xml:space="preserve">, </w:t>
      </w:r>
      <w:r w:rsidRPr="000849BF">
        <w:rPr>
          <w:rFonts w:ascii="Times New Roman" w:hAnsi="Times New Roman"/>
          <w:i/>
          <w:iCs/>
          <w:noProof/>
        </w:rPr>
        <w:t>26</w:t>
      </w:r>
      <w:r w:rsidRPr="000849BF">
        <w:rPr>
          <w:rFonts w:ascii="Times New Roman" w:hAnsi="Times New Roman"/>
          <w:noProof/>
        </w:rPr>
        <w:t xml:space="preserve"> (4 Suppl 12), 60–70.</w:t>
      </w:r>
    </w:p>
    <w:p w14:paraId="0FF1CB7C"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(7) </w:t>
      </w:r>
      <w:r w:rsidRPr="000849BF">
        <w:rPr>
          <w:rFonts w:ascii="Times New Roman" w:hAnsi="Times New Roman"/>
          <w:noProof/>
        </w:rPr>
        <w:tab/>
        <w:t xml:space="preserve">Kang, J. S.; Lee, M. H. </w:t>
      </w:r>
      <w:r w:rsidRPr="000849BF">
        <w:rPr>
          <w:rFonts w:ascii="Times New Roman" w:hAnsi="Times New Roman"/>
          <w:i/>
          <w:iCs/>
          <w:noProof/>
        </w:rPr>
        <w:t>Korean Journal of Internal Medicine</w:t>
      </w:r>
      <w:r w:rsidRPr="000849BF">
        <w:rPr>
          <w:rFonts w:ascii="Times New Roman" w:hAnsi="Times New Roman"/>
          <w:noProof/>
        </w:rPr>
        <w:t>. Korean Association of Internal Medicine 2009, pp 1–10.</w:t>
      </w:r>
    </w:p>
    <w:p w14:paraId="4A180A7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(8) </w:t>
      </w:r>
      <w:r w:rsidRPr="000849BF">
        <w:rPr>
          <w:rFonts w:ascii="Times New Roman" w:hAnsi="Times New Roman"/>
          <w:noProof/>
        </w:rPr>
        <w:tab/>
        <w:t xml:space="preserve">Duhme, D. W.; Greenblatt, D. J.; Koch-Weser, J. </w:t>
      </w:r>
      <w:r w:rsidRPr="000849BF">
        <w:rPr>
          <w:rFonts w:ascii="Times New Roman" w:hAnsi="Times New Roman"/>
          <w:i/>
          <w:iCs/>
          <w:noProof/>
        </w:rPr>
        <w:t>Ann. Intern. Med.</w:t>
      </w:r>
      <w:r w:rsidRPr="000849BF">
        <w:rPr>
          <w:rFonts w:ascii="Times New Roman" w:hAnsi="Times New Roman"/>
          <w:noProof/>
        </w:rPr>
        <w:t xml:space="preserve"> </w:t>
      </w:r>
      <w:r w:rsidRPr="000849BF">
        <w:rPr>
          <w:rFonts w:ascii="Times New Roman" w:hAnsi="Times New Roman"/>
          <w:b/>
          <w:bCs/>
          <w:noProof/>
        </w:rPr>
        <w:t>1974</w:t>
      </w:r>
      <w:r w:rsidRPr="000849BF">
        <w:rPr>
          <w:rFonts w:ascii="Times New Roman" w:hAnsi="Times New Roman"/>
          <w:noProof/>
        </w:rPr>
        <w:t xml:space="preserve">, </w:t>
      </w:r>
      <w:r w:rsidRPr="000849BF">
        <w:rPr>
          <w:rFonts w:ascii="Times New Roman" w:hAnsi="Times New Roman"/>
          <w:i/>
          <w:iCs/>
          <w:noProof/>
        </w:rPr>
        <w:t>80</w:t>
      </w:r>
      <w:r w:rsidRPr="000849BF">
        <w:rPr>
          <w:rFonts w:ascii="Times New Roman" w:hAnsi="Times New Roman"/>
          <w:noProof/>
        </w:rPr>
        <w:t xml:space="preserve"> (4), 516–519.</w:t>
      </w:r>
    </w:p>
    <w:p w14:paraId="17558C50"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(9) </w:t>
      </w:r>
      <w:r w:rsidRPr="000849BF">
        <w:rPr>
          <w:rFonts w:ascii="Times New Roman" w:hAnsi="Times New Roman"/>
          <w:noProof/>
        </w:rPr>
        <w:tab/>
        <w:t xml:space="preserve">Atkinson, J.; Nordstrom, K. </w:t>
      </w:r>
      <w:r w:rsidRPr="000849BF">
        <w:rPr>
          <w:rFonts w:ascii="Times New Roman" w:hAnsi="Times New Roman"/>
          <w:i/>
          <w:iCs/>
          <w:noProof/>
        </w:rPr>
        <w:t>Clinical Pharmacology and Therapeutics</w:t>
      </w:r>
      <w:r w:rsidRPr="000849BF">
        <w:rPr>
          <w:rFonts w:ascii="Times New Roman" w:hAnsi="Times New Roman"/>
          <w:noProof/>
        </w:rPr>
        <w:t>. October 1996, pp 363–367.</w:t>
      </w:r>
    </w:p>
    <w:p w14:paraId="47F484D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(10) </w:t>
      </w:r>
      <w:r w:rsidRPr="000849BF">
        <w:rPr>
          <w:rFonts w:ascii="Times New Roman" w:hAnsi="Times New Roman"/>
          <w:noProof/>
        </w:rPr>
        <w:tab/>
        <w:t xml:space="preserve">Shenfi;eld, G. M. </w:t>
      </w:r>
      <w:r w:rsidRPr="000849BF">
        <w:rPr>
          <w:rFonts w:ascii="Times New Roman" w:hAnsi="Times New Roman"/>
          <w:i/>
          <w:iCs/>
          <w:noProof/>
        </w:rPr>
        <w:t>Br. J. Clin. Pharmacol.</w:t>
      </w:r>
      <w:r w:rsidRPr="000849BF">
        <w:rPr>
          <w:rFonts w:ascii="Times New Roman" w:hAnsi="Times New Roman"/>
          <w:noProof/>
        </w:rPr>
        <w:t xml:space="preserve"> </w:t>
      </w:r>
      <w:r w:rsidRPr="000849BF">
        <w:rPr>
          <w:rFonts w:ascii="Times New Roman" w:hAnsi="Times New Roman"/>
          <w:b/>
          <w:bCs/>
          <w:noProof/>
        </w:rPr>
        <w:t>2001</w:t>
      </w:r>
      <w:r w:rsidRPr="000849BF">
        <w:rPr>
          <w:rFonts w:ascii="Times New Roman" w:hAnsi="Times New Roman"/>
          <w:noProof/>
        </w:rPr>
        <w:t xml:space="preserve">, </w:t>
      </w:r>
      <w:r w:rsidRPr="000849BF">
        <w:rPr>
          <w:rFonts w:ascii="Times New Roman" w:hAnsi="Times New Roman"/>
          <w:i/>
          <w:iCs/>
          <w:noProof/>
        </w:rPr>
        <w:t>52</w:t>
      </w:r>
      <w:r w:rsidRPr="000849BF">
        <w:rPr>
          <w:rFonts w:ascii="Times New Roman" w:hAnsi="Times New Roman"/>
          <w:noProof/>
        </w:rPr>
        <w:t xml:space="preserve"> (S1), 3–4.</w:t>
      </w:r>
    </w:p>
    <w:p w14:paraId="0A98492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(11) </w:t>
      </w:r>
      <w:r w:rsidRPr="000849BF">
        <w:rPr>
          <w:rFonts w:ascii="Times New Roman" w:hAnsi="Times New Roman"/>
          <w:noProof/>
        </w:rPr>
        <w:tab/>
        <w:t xml:space="preserve">Glazko, A. J. </w:t>
      </w:r>
      <w:r w:rsidRPr="000849BF">
        <w:rPr>
          <w:rFonts w:ascii="Times New Roman" w:hAnsi="Times New Roman"/>
          <w:i/>
          <w:iCs/>
          <w:noProof/>
        </w:rPr>
        <w:t>Epilepsia</w:t>
      </w:r>
      <w:r w:rsidRPr="000849BF">
        <w:rPr>
          <w:rFonts w:ascii="Times New Roman" w:hAnsi="Times New Roman"/>
          <w:noProof/>
        </w:rPr>
        <w:t xml:space="preserve"> </w:t>
      </w:r>
      <w:r w:rsidRPr="000849BF">
        <w:rPr>
          <w:rFonts w:ascii="Times New Roman" w:hAnsi="Times New Roman"/>
          <w:b/>
          <w:bCs/>
          <w:noProof/>
        </w:rPr>
        <w:t>1975</w:t>
      </w:r>
      <w:r w:rsidRPr="000849BF">
        <w:rPr>
          <w:rFonts w:ascii="Times New Roman" w:hAnsi="Times New Roman"/>
          <w:noProof/>
        </w:rPr>
        <w:t xml:space="preserve">, </w:t>
      </w:r>
      <w:r w:rsidRPr="000849BF">
        <w:rPr>
          <w:rFonts w:ascii="Times New Roman" w:hAnsi="Times New Roman"/>
          <w:i/>
          <w:iCs/>
          <w:noProof/>
        </w:rPr>
        <w:t>16</w:t>
      </w:r>
      <w:r w:rsidRPr="000849BF">
        <w:rPr>
          <w:rFonts w:ascii="Times New Roman" w:hAnsi="Times New Roman"/>
          <w:noProof/>
        </w:rPr>
        <w:t xml:space="preserve"> (2), 367–391.</w:t>
      </w:r>
    </w:p>
    <w:p w14:paraId="0F3A2C7E"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(12) </w:t>
      </w:r>
      <w:r w:rsidRPr="000849BF">
        <w:rPr>
          <w:rFonts w:ascii="Times New Roman" w:hAnsi="Times New Roman"/>
          <w:noProof/>
        </w:rPr>
        <w:tab/>
        <w:t xml:space="preserve">Steijns, L. S. W.; Bouw, J.; Van der Weide, J. </w:t>
      </w:r>
      <w:r w:rsidRPr="000849BF">
        <w:rPr>
          <w:rFonts w:ascii="Times New Roman" w:hAnsi="Times New Roman"/>
          <w:i/>
          <w:iCs/>
          <w:noProof/>
        </w:rPr>
        <w:t>Ther. Drug Monit.</w:t>
      </w:r>
      <w:r w:rsidRPr="000849BF">
        <w:rPr>
          <w:rFonts w:ascii="Times New Roman" w:hAnsi="Times New Roman"/>
          <w:noProof/>
        </w:rPr>
        <w:t xml:space="preserve"> </w:t>
      </w:r>
      <w:r w:rsidRPr="000849BF">
        <w:rPr>
          <w:rFonts w:ascii="Times New Roman" w:hAnsi="Times New Roman"/>
          <w:b/>
          <w:bCs/>
          <w:noProof/>
        </w:rPr>
        <w:t>2002</w:t>
      </w:r>
      <w:r w:rsidRPr="000849BF">
        <w:rPr>
          <w:rFonts w:ascii="Times New Roman" w:hAnsi="Times New Roman"/>
          <w:noProof/>
        </w:rPr>
        <w:t xml:space="preserve">, </w:t>
      </w:r>
      <w:r w:rsidRPr="000849BF">
        <w:rPr>
          <w:rFonts w:ascii="Times New Roman" w:hAnsi="Times New Roman"/>
          <w:i/>
          <w:iCs/>
          <w:noProof/>
        </w:rPr>
        <w:t>24</w:t>
      </w:r>
      <w:r w:rsidRPr="000849BF">
        <w:rPr>
          <w:rFonts w:ascii="Times New Roman" w:hAnsi="Times New Roman"/>
          <w:noProof/>
        </w:rPr>
        <w:t xml:space="preserve"> (3), 432–435.</w:t>
      </w:r>
    </w:p>
    <w:p w14:paraId="45C9856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(13) </w:t>
      </w:r>
      <w:r w:rsidRPr="000849BF">
        <w:rPr>
          <w:rFonts w:ascii="Times New Roman" w:hAnsi="Times New Roman"/>
          <w:noProof/>
        </w:rPr>
        <w:tab/>
        <w:t xml:space="preserve">Alnaim, L. </w:t>
      </w:r>
      <w:r w:rsidRPr="000849BF">
        <w:rPr>
          <w:rFonts w:ascii="Times New Roman" w:hAnsi="Times New Roman"/>
          <w:i/>
          <w:iCs/>
          <w:noProof/>
        </w:rPr>
        <w:t>Journal of Oncology Pharmacy Practice</w:t>
      </w:r>
      <w:r w:rsidRPr="000849BF">
        <w:rPr>
          <w:rFonts w:ascii="Times New Roman" w:hAnsi="Times New Roman"/>
          <w:noProof/>
        </w:rPr>
        <w:t>. December 2007, pp 207–221.</w:t>
      </w:r>
    </w:p>
    <w:p w14:paraId="5F0FEA5B"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(14) </w:t>
      </w:r>
      <w:r w:rsidRPr="000849BF">
        <w:rPr>
          <w:rFonts w:ascii="Times New Roman" w:hAnsi="Times New Roman"/>
          <w:noProof/>
        </w:rPr>
        <w:tab/>
        <w:t xml:space="preserve">Bardin, C.; Veal, G.; Paci, A.; Chatelut, E.; Astier, A.; Levêque, D.; Widmer, N.; Beijnen, J. </w:t>
      </w:r>
      <w:r w:rsidRPr="000849BF">
        <w:rPr>
          <w:rFonts w:ascii="Times New Roman" w:hAnsi="Times New Roman"/>
          <w:i/>
          <w:iCs/>
          <w:noProof/>
        </w:rPr>
        <w:t>Eur. J. Cancer</w:t>
      </w:r>
      <w:r w:rsidRPr="000849BF">
        <w:rPr>
          <w:rFonts w:ascii="Times New Roman" w:hAnsi="Times New Roman"/>
          <w:noProof/>
        </w:rPr>
        <w:t xml:space="preserve">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50</w:t>
      </w:r>
      <w:r w:rsidRPr="000849BF">
        <w:rPr>
          <w:rFonts w:ascii="Times New Roman" w:hAnsi="Times New Roman"/>
          <w:noProof/>
        </w:rPr>
        <w:t xml:space="preserve"> (12), 2005–2009.</w:t>
      </w:r>
    </w:p>
    <w:p w14:paraId="009E7D67"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(15) </w:t>
      </w:r>
      <w:r w:rsidRPr="000849BF">
        <w:rPr>
          <w:rFonts w:ascii="Times New Roman" w:hAnsi="Times New Roman"/>
          <w:noProof/>
        </w:rPr>
        <w:tab/>
        <w:t xml:space="preserve">Balkwill, F. R.; Capasso, M.; Hagemann, T. </w:t>
      </w:r>
      <w:r w:rsidRPr="000849BF">
        <w:rPr>
          <w:rFonts w:ascii="Times New Roman" w:hAnsi="Times New Roman"/>
          <w:i/>
          <w:iCs/>
          <w:noProof/>
        </w:rPr>
        <w:t>J. Cell Sci.</w:t>
      </w:r>
      <w:r w:rsidRPr="000849BF">
        <w:rPr>
          <w:rFonts w:ascii="Times New Roman" w:hAnsi="Times New Roman"/>
          <w:noProof/>
        </w:rPr>
        <w:t xml:space="preserve"> </w:t>
      </w:r>
      <w:r w:rsidRPr="000849BF">
        <w:rPr>
          <w:rFonts w:ascii="Times New Roman" w:hAnsi="Times New Roman"/>
          <w:b/>
          <w:bCs/>
          <w:noProof/>
        </w:rPr>
        <w:t>2012</w:t>
      </w:r>
      <w:r w:rsidRPr="000849BF">
        <w:rPr>
          <w:rFonts w:ascii="Times New Roman" w:hAnsi="Times New Roman"/>
          <w:noProof/>
        </w:rPr>
        <w:t xml:space="preserve">, </w:t>
      </w:r>
      <w:r w:rsidRPr="000849BF">
        <w:rPr>
          <w:rFonts w:ascii="Times New Roman" w:hAnsi="Times New Roman"/>
          <w:i/>
          <w:iCs/>
          <w:noProof/>
        </w:rPr>
        <w:t>125</w:t>
      </w:r>
      <w:r w:rsidRPr="000849BF">
        <w:rPr>
          <w:rFonts w:ascii="Times New Roman" w:hAnsi="Times New Roman"/>
          <w:noProof/>
        </w:rPr>
        <w:t xml:space="preserve"> (23), 5591–5596.</w:t>
      </w:r>
    </w:p>
    <w:p w14:paraId="5B3D91D0"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(16) </w:t>
      </w:r>
      <w:r w:rsidRPr="000849BF">
        <w:rPr>
          <w:rFonts w:ascii="Times New Roman" w:hAnsi="Times New Roman"/>
          <w:noProof/>
        </w:rPr>
        <w:tab/>
        <w:t xml:space="preserve">Lopes-Rodrigues, V.; Sousa, E.; Vasconcelos, M. </w:t>
      </w:r>
      <w:r w:rsidRPr="000849BF">
        <w:rPr>
          <w:rFonts w:ascii="Times New Roman" w:hAnsi="Times New Roman"/>
          <w:i/>
          <w:iCs/>
          <w:noProof/>
        </w:rPr>
        <w:t>Pharmaceuticals</w:t>
      </w:r>
      <w:r w:rsidRPr="000849BF">
        <w:rPr>
          <w:rFonts w:ascii="Times New Roman" w:hAnsi="Times New Roman"/>
          <w:noProof/>
        </w:rPr>
        <w:t xml:space="preserve"> </w:t>
      </w:r>
      <w:r w:rsidRPr="000849BF">
        <w:rPr>
          <w:rFonts w:ascii="Times New Roman" w:hAnsi="Times New Roman"/>
          <w:b/>
          <w:bCs/>
          <w:noProof/>
        </w:rPr>
        <w:t>2016</w:t>
      </w:r>
      <w:r w:rsidRPr="000849BF">
        <w:rPr>
          <w:rFonts w:ascii="Times New Roman" w:hAnsi="Times New Roman"/>
          <w:noProof/>
        </w:rPr>
        <w:t xml:space="preserve">, </w:t>
      </w:r>
      <w:r w:rsidRPr="000849BF">
        <w:rPr>
          <w:rFonts w:ascii="Times New Roman" w:hAnsi="Times New Roman"/>
          <w:i/>
          <w:iCs/>
          <w:noProof/>
        </w:rPr>
        <w:t>9</w:t>
      </w:r>
      <w:r w:rsidRPr="000849BF">
        <w:rPr>
          <w:rFonts w:ascii="Times New Roman" w:hAnsi="Times New Roman"/>
          <w:noProof/>
        </w:rPr>
        <w:t xml:space="preserve"> (4), 71.</w:t>
      </w:r>
    </w:p>
    <w:p w14:paraId="640FB7A5"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(17) </w:t>
      </w:r>
      <w:r w:rsidRPr="000849BF">
        <w:rPr>
          <w:rFonts w:ascii="Times New Roman" w:hAnsi="Times New Roman"/>
          <w:noProof/>
        </w:rPr>
        <w:tab/>
        <w:t xml:space="preserve">Kentala, H.; Weber-Boyvat, M.; Olkkonen, V. M. In </w:t>
      </w:r>
      <w:r w:rsidRPr="000849BF">
        <w:rPr>
          <w:rFonts w:ascii="Times New Roman" w:hAnsi="Times New Roman"/>
          <w:i/>
          <w:iCs/>
          <w:noProof/>
        </w:rPr>
        <w:t>International Review of Cell and Molecular Biology</w:t>
      </w:r>
      <w:r w:rsidRPr="000849BF">
        <w:rPr>
          <w:rFonts w:ascii="Times New Roman" w:hAnsi="Times New Roman"/>
          <w:noProof/>
        </w:rPr>
        <w:t>; Elsevier Inc., 2016; Vol. 321, pp 299–340.</w:t>
      </w:r>
    </w:p>
    <w:p w14:paraId="4A052D80"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(18) </w:t>
      </w:r>
      <w:r w:rsidRPr="000849BF">
        <w:rPr>
          <w:rFonts w:ascii="Times New Roman" w:hAnsi="Times New Roman"/>
          <w:noProof/>
        </w:rPr>
        <w:tab/>
        <w:t xml:space="preserve">Pietrangelo, A.; Ridgway, N. D. </w:t>
      </w:r>
      <w:r w:rsidRPr="000849BF">
        <w:rPr>
          <w:rFonts w:ascii="Times New Roman" w:hAnsi="Times New Roman"/>
          <w:i/>
          <w:iCs/>
          <w:noProof/>
        </w:rPr>
        <w:t>Cellular and Molecular Life Sciences</w:t>
      </w:r>
      <w:r w:rsidRPr="000849BF">
        <w:rPr>
          <w:rFonts w:ascii="Times New Roman" w:hAnsi="Times New Roman"/>
          <w:noProof/>
        </w:rPr>
        <w:t>. Birkhauser Verlag AG September 1, 2018, pp 3079–3098.</w:t>
      </w:r>
    </w:p>
    <w:p w14:paraId="43AF6B4E"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(19) </w:t>
      </w:r>
      <w:r w:rsidRPr="000849BF">
        <w:rPr>
          <w:rFonts w:ascii="Times New Roman" w:hAnsi="Times New Roman"/>
          <w:noProof/>
        </w:rPr>
        <w:tab/>
        <w:t xml:space="preserve">Taylor, F. R.; Saucier, S. E.; Shown, E. P.; Parish, E. J.; Kandutsch, A. A. </w:t>
      </w:r>
      <w:r w:rsidRPr="000849BF">
        <w:rPr>
          <w:rFonts w:ascii="Times New Roman" w:hAnsi="Times New Roman"/>
          <w:i/>
          <w:iCs/>
          <w:noProof/>
        </w:rPr>
        <w:t>J. Biol. Chem.</w:t>
      </w:r>
      <w:r w:rsidRPr="000849BF">
        <w:rPr>
          <w:rFonts w:ascii="Times New Roman" w:hAnsi="Times New Roman"/>
          <w:noProof/>
        </w:rPr>
        <w:t xml:space="preserve"> </w:t>
      </w:r>
      <w:r w:rsidRPr="000849BF">
        <w:rPr>
          <w:rFonts w:ascii="Times New Roman" w:hAnsi="Times New Roman"/>
          <w:b/>
          <w:bCs/>
          <w:noProof/>
        </w:rPr>
        <w:t>1984</w:t>
      </w:r>
      <w:r w:rsidRPr="000849BF">
        <w:rPr>
          <w:rFonts w:ascii="Times New Roman" w:hAnsi="Times New Roman"/>
          <w:noProof/>
        </w:rPr>
        <w:t xml:space="preserve">, </w:t>
      </w:r>
      <w:r w:rsidRPr="000849BF">
        <w:rPr>
          <w:rFonts w:ascii="Times New Roman" w:hAnsi="Times New Roman"/>
          <w:i/>
          <w:iCs/>
          <w:noProof/>
        </w:rPr>
        <w:t>259</w:t>
      </w:r>
      <w:r w:rsidRPr="000849BF">
        <w:rPr>
          <w:rFonts w:ascii="Times New Roman" w:hAnsi="Times New Roman"/>
          <w:noProof/>
        </w:rPr>
        <w:t xml:space="preserve"> (20), 12382–12387.</w:t>
      </w:r>
    </w:p>
    <w:p w14:paraId="3BB46714"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(20) </w:t>
      </w:r>
      <w:r w:rsidRPr="000849BF">
        <w:rPr>
          <w:rFonts w:ascii="Times New Roman" w:hAnsi="Times New Roman"/>
          <w:noProof/>
        </w:rPr>
        <w:tab/>
        <w:t xml:space="preserve">Taylor, F. R.; Kandutsch, A. A. </w:t>
      </w:r>
      <w:r w:rsidRPr="000849BF">
        <w:rPr>
          <w:rFonts w:ascii="Times New Roman" w:hAnsi="Times New Roman"/>
          <w:i/>
          <w:iCs/>
          <w:noProof/>
        </w:rPr>
        <w:t>Chem. Phys. Lipids</w:t>
      </w:r>
      <w:r w:rsidRPr="000849BF">
        <w:rPr>
          <w:rFonts w:ascii="Times New Roman" w:hAnsi="Times New Roman"/>
          <w:noProof/>
        </w:rPr>
        <w:t xml:space="preserve"> </w:t>
      </w:r>
      <w:r w:rsidRPr="000849BF">
        <w:rPr>
          <w:rFonts w:ascii="Times New Roman" w:hAnsi="Times New Roman"/>
          <w:b/>
          <w:bCs/>
          <w:noProof/>
        </w:rPr>
        <w:t>1985</w:t>
      </w:r>
      <w:r w:rsidRPr="000849BF">
        <w:rPr>
          <w:rFonts w:ascii="Times New Roman" w:hAnsi="Times New Roman"/>
          <w:noProof/>
        </w:rPr>
        <w:t xml:space="preserve">, </w:t>
      </w:r>
      <w:r w:rsidRPr="000849BF">
        <w:rPr>
          <w:rFonts w:ascii="Times New Roman" w:hAnsi="Times New Roman"/>
          <w:i/>
          <w:iCs/>
          <w:noProof/>
        </w:rPr>
        <w:t>38</w:t>
      </w:r>
      <w:r w:rsidRPr="000849BF">
        <w:rPr>
          <w:rFonts w:ascii="Times New Roman" w:hAnsi="Times New Roman"/>
          <w:noProof/>
        </w:rPr>
        <w:t xml:space="preserve"> (1–2), 187–194.</w:t>
      </w:r>
    </w:p>
    <w:p w14:paraId="12E338A5"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(21) </w:t>
      </w:r>
      <w:r w:rsidRPr="000849BF">
        <w:rPr>
          <w:rFonts w:ascii="Times New Roman" w:hAnsi="Times New Roman"/>
          <w:noProof/>
        </w:rPr>
        <w:tab/>
        <w:t xml:space="preserve">Lagace, T. A.; Byers, D. M.; Cook, H. W.; Ridgway, N. D. </w:t>
      </w:r>
      <w:r w:rsidRPr="000849BF">
        <w:rPr>
          <w:rFonts w:ascii="Times New Roman" w:hAnsi="Times New Roman"/>
          <w:i/>
          <w:iCs/>
          <w:noProof/>
        </w:rPr>
        <w:t>Biochem. J.</w:t>
      </w:r>
      <w:r w:rsidRPr="000849BF">
        <w:rPr>
          <w:rFonts w:ascii="Times New Roman" w:hAnsi="Times New Roman"/>
          <w:noProof/>
        </w:rPr>
        <w:t xml:space="preserve"> </w:t>
      </w:r>
      <w:r w:rsidRPr="000849BF">
        <w:rPr>
          <w:rFonts w:ascii="Times New Roman" w:hAnsi="Times New Roman"/>
          <w:b/>
          <w:bCs/>
          <w:noProof/>
        </w:rPr>
        <w:t>1997</w:t>
      </w:r>
      <w:r w:rsidRPr="000849BF">
        <w:rPr>
          <w:rFonts w:ascii="Times New Roman" w:hAnsi="Times New Roman"/>
          <w:noProof/>
        </w:rPr>
        <w:t xml:space="preserve">, </w:t>
      </w:r>
      <w:r w:rsidRPr="000849BF">
        <w:rPr>
          <w:rFonts w:ascii="Times New Roman" w:hAnsi="Times New Roman"/>
          <w:i/>
          <w:iCs/>
          <w:noProof/>
        </w:rPr>
        <w:t>326</w:t>
      </w:r>
      <w:r w:rsidRPr="000849BF">
        <w:rPr>
          <w:rFonts w:ascii="Times New Roman" w:hAnsi="Times New Roman"/>
          <w:noProof/>
        </w:rPr>
        <w:t xml:space="preserve"> (1), 205–213.</w:t>
      </w:r>
    </w:p>
    <w:p w14:paraId="3200C545"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(22) </w:t>
      </w:r>
      <w:r w:rsidRPr="000849BF">
        <w:rPr>
          <w:rFonts w:ascii="Times New Roman" w:hAnsi="Times New Roman"/>
          <w:noProof/>
        </w:rPr>
        <w:tab/>
        <w:t xml:space="preserve">Ridgway, N. D.; Lagace, T. A.; Cook, H. W.; Byers, D. M. </w:t>
      </w:r>
      <w:r w:rsidRPr="000849BF">
        <w:rPr>
          <w:rFonts w:ascii="Times New Roman" w:hAnsi="Times New Roman"/>
          <w:i/>
          <w:iCs/>
          <w:noProof/>
        </w:rPr>
        <w:t>J. Biol. Chem.</w:t>
      </w:r>
      <w:r w:rsidRPr="000849BF">
        <w:rPr>
          <w:rFonts w:ascii="Times New Roman" w:hAnsi="Times New Roman"/>
          <w:noProof/>
        </w:rPr>
        <w:t xml:space="preserve"> </w:t>
      </w:r>
      <w:r w:rsidRPr="000849BF">
        <w:rPr>
          <w:rFonts w:ascii="Times New Roman" w:hAnsi="Times New Roman"/>
          <w:b/>
          <w:bCs/>
          <w:noProof/>
        </w:rPr>
        <w:t>1998</w:t>
      </w:r>
      <w:r w:rsidRPr="000849BF">
        <w:rPr>
          <w:rFonts w:ascii="Times New Roman" w:hAnsi="Times New Roman"/>
          <w:noProof/>
        </w:rPr>
        <w:t xml:space="preserve">, </w:t>
      </w:r>
      <w:r w:rsidRPr="000849BF">
        <w:rPr>
          <w:rFonts w:ascii="Times New Roman" w:hAnsi="Times New Roman"/>
          <w:i/>
          <w:iCs/>
          <w:noProof/>
        </w:rPr>
        <w:t>273</w:t>
      </w:r>
      <w:r w:rsidRPr="000849BF">
        <w:rPr>
          <w:rFonts w:ascii="Times New Roman" w:hAnsi="Times New Roman"/>
          <w:noProof/>
        </w:rPr>
        <w:t xml:space="preserve"> (47), 31621–31628.</w:t>
      </w:r>
    </w:p>
    <w:p w14:paraId="629CABCD"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(23) </w:t>
      </w:r>
      <w:r w:rsidRPr="000849BF">
        <w:rPr>
          <w:rFonts w:ascii="Times New Roman" w:hAnsi="Times New Roman"/>
          <w:noProof/>
        </w:rPr>
        <w:tab/>
        <w:t xml:space="preserve">Storey, M. K.; Byers, D. M.; Cook, H. W.; Ridgway, N. D. </w:t>
      </w:r>
      <w:r w:rsidRPr="000849BF">
        <w:rPr>
          <w:rFonts w:ascii="Times New Roman" w:hAnsi="Times New Roman"/>
          <w:i/>
          <w:iCs/>
          <w:noProof/>
        </w:rPr>
        <w:t>Biochem. J.</w:t>
      </w:r>
      <w:r w:rsidRPr="000849BF">
        <w:rPr>
          <w:rFonts w:ascii="Times New Roman" w:hAnsi="Times New Roman"/>
          <w:noProof/>
        </w:rPr>
        <w:t xml:space="preserve"> </w:t>
      </w:r>
      <w:r w:rsidRPr="000849BF">
        <w:rPr>
          <w:rFonts w:ascii="Times New Roman" w:hAnsi="Times New Roman"/>
          <w:b/>
          <w:bCs/>
          <w:noProof/>
        </w:rPr>
        <w:t>1998</w:t>
      </w:r>
      <w:r w:rsidRPr="000849BF">
        <w:rPr>
          <w:rFonts w:ascii="Times New Roman" w:hAnsi="Times New Roman"/>
          <w:noProof/>
        </w:rPr>
        <w:t xml:space="preserve">, </w:t>
      </w:r>
      <w:r w:rsidRPr="000849BF">
        <w:rPr>
          <w:rFonts w:ascii="Times New Roman" w:hAnsi="Times New Roman"/>
          <w:i/>
          <w:iCs/>
          <w:noProof/>
        </w:rPr>
        <w:t>336</w:t>
      </w:r>
      <w:r w:rsidRPr="000849BF">
        <w:rPr>
          <w:rFonts w:ascii="Times New Roman" w:hAnsi="Times New Roman"/>
          <w:noProof/>
        </w:rPr>
        <w:t xml:space="preserve"> (1), 247–256.</w:t>
      </w:r>
    </w:p>
    <w:p w14:paraId="2F77B91B"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(24) </w:t>
      </w:r>
      <w:r w:rsidRPr="000849BF">
        <w:rPr>
          <w:rFonts w:ascii="Times New Roman" w:hAnsi="Times New Roman"/>
          <w:noProof/>
        </w:rPr>
        <w:tab/>
        <w:t xml:space="preserve">Lagace, T. A.; Byers, D. M.; Cook, H. W.; Ridgway, N. D. </w:t>
      </w:r>
      <w:r w:rsidRPr="000849BF">
        <w:rPr>
          <w:rFonts w:ascii="Times New Roman" w:hAnsi="Times New Roman"/>
          <w:i/>
          <w:iCs/>
          <w:noProof/>
        </w:rPr>
        <w:t>J. Lipid Res.</w:t>
      </w:r>
      <w:r w:rsidRPr="000849BF">
        <w:rPr>
          <w:rFonts w:ascii="Times New Roman" w:hAnsi="Times New Roman"/>
          <w:noProof/>
        </w:rPr>
        <w:t xml:space="preserve"> </w:t>
      </w:r>
      <w:r w:rsidRPr="000849BF">
        <w:rPr>
          <w:rFonts w:ascii="Times New Roman" w:hAnsi="Times New Roman"/>
          <w:b/>
          <w:bCs/>
          <w:noProof/>
        </w:rPr>
        <w:t>1999</w:t>
      </w:r>
      <w:r w:rsidRPr="000849BF">
        <w:rPr>
          <w:rFonts w:ascii="Times New Roman" w:hAnsi="Times New Roman"/>
          <w:noProof/>
        </w:rPr>
        <w:t xml:space="preserve">, </w:t>
      </w:r>
      <w:r w:rsidRPr="000849BF">
        <w:rPr>
          <w:rFonts w:ascii="Times New Roman" w:hAnsi="Times New Roman"/>
          <w:i/>
          <w:iCs/>
          <w:noProof/>
        </w:rPr>
        <w:t>40</w:t>
      </w:r>
      <w:r w:rsidRPr="000849BF">
        <w:rPr>
          <w:rFonts w:ascii="Times New Roman" w:hAnsi="Times New Roman"/>
          <w:noProof/>
        </w:rPr>
        <w:t xml:space="preserve"> (1), 109–116.</w:t>
      </w:r>
    </w:p>
    <w:p w14:paraId="1F050E4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(25) </w:t>
      </w:r>
      <w:r w:rsidRPr="000849BF">
        <w:rPr>
          <w:rFonts w:ascii="Times New Roman" w:hAnsi="Times New Roman"/>
          <w:noProof/>
        </w:rPr>
        <w:tab/>
        <w:t xml:space="preserve">Clare, K.; Hardwick, S. J.; Carpenter, K. L.; Weeratunge, N.; Mitchinson, M. J. </w:t>
      </w:r>
      <w:r w:rsidRPr="000849BF">
        <w:rPr>
          <w:rFonts w:ascii="Times New Roman" w:hAnsi="Times New Roman"/>
          <w:i/>
          <w:iCs/>
          <w:noProof/>
        </w:rPr>
        <w:t>Atherosclerosis</w:t>
      </w:r>
      <w:r w:rsidRPr="000849BF">
        <w:rPr>
          <w:rFonts w:ascii="Times New Roman" w:hAnsi="Times New Roman"/>
          <w:noProof/>
        </w:rPr>
        <w:t xml:space="preserve"> </w:t>
      </w:r>
      <w:r w:rsidRPr="000849BF">
        <w:rPr>
          <w:rFonts w:ascii="Times New Roman" w:hAnsi="Times New Roman"/>
          <w:b/>
          <w:bCs/>
          <w:noProof/>
        </w:rPr>
        <w:t>1995</w:t>
      </w:r>
      <w:r w:rsidRPr="000849BF">
        <w:rPr>
          <w:rFonts w:ascii="Times New Roman" w:hAnsi="Times New Roman"/>
          <w:noProof/>
        </w:rPr>
        <w:t xml:space="preserve">, </w:t>
      </w:r>
      <w:r w:rsidRPr="000849BF">
        <w:rPr>
          <w:rFonts w:ascii="Times New Roman" w:hAnsi="Times New Roman"/>
          <w:i/>
          <w:iCs/>
          <w:noProof/>
        </w:rPr>
        <w:t>118</w:t>
      </w:r>
      <w:r w:rsidRPr="000849BF">
        <w:rPr>
          <w:rFonts w:ascii="Times New Roman" w:hAnsi="Times New Roman"/>
          <w:noProof/>
        </w:rPr>
        <w:t xml:space="preserve"> (1), 67–75.</w:t>
      </w:r>
    </w:p>
    <w:p w14:paraId="2001D95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(26) </w:t>
      </w:r>
      <w:r w:rsidRPr="000849BF">
        <w:rPr>
          <w:rFonts w:ascii="Times New Roman" w:hAnsi="Times New Roman"/>
          <w:noProof/>
        </w:rPr>
        <w:tab/>
        <w:t xml:space="preserve">Ong, J. M.; Aoki, A. M.; Seigel, G. M.; Sacerio, I.; Castellon, R.; Nesburn, A. B.; Kenney, M. C. </w:t>
      </w:r>
      <w:r w:rsidRPr="000849BF">
        <w:rPr>
          <w:rFonts w:ascii="Times New Roman" w:hAnsi="Times New Roman"/>
          <w:i/>
          <w:iCs/>
          <w:noProof/>
        </w:rPr>
        <w:t>Neurochem. Res.</w:t>
      </w:r>
      <w:r w:rsidRPr="000849BF">
        <w:rPr>
          <w:rFonts w:ascii="Times New Roman" w:hAnsi="Times New Roman"/>
          <w:noProof/>
        </w:rPr>
        <w:t xml:space="preserve"> </w:t>
      </w:r>
      <w:r w:rsidRPr="000849BF">
        <w:rPr>
          <w:rFonts w:ascii="Times New Roman" w:hAnsi="Times New Roman"/>
          <w:b/>
          <w:bCs/>
          <w:noProof/>
        </w:rPr>
        <w:t>2003</w:t>
      </w:r>
      <w:r w:rsidRPr="000849BF">
        <w:rPr>
          <w:rFonts w:ascii="Times New Roman" w:hAnsi="Times New Roman"/>
          <w:noProof/>
        </w:rPr>
        <w:t xml:space="preserve">, </w:t>
      </w:r>
      <w:r w:rsidRPr="000849BF">
        <w:rPr>
          <w:rFonts w:ascii="Times New Roman" w:hAnsi="Times New Roman"/>
          <w:i/>
          <w:iCs/>
          <w:noProof/>
        </w:rPr>
        <w:t>28</w:t>
      </w:r>
      <w:r w:rsidRPr="000849BF">
        <w:rPr>
          <w:rFonts w:ascii="Times New Roman" w:hAnsi="Times New Roman"/>
          <w:noProof/>
        </w:rPr>
        <w:t xml:space="preserve"> (6), 883–891.</w:t>
      </w:r>
    </w:p>
    <w:p w14:paraId="01FAC74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(27) </w:t>
      </w:r>
      <w:r w:rsidRPr="000849BF">
        <w:rPr>
          <w:rFonts w:ascii="Times New Roman" w:hAnsi="Times New Roman"/>
          <w:noProof/>
        </w:rPr>
        <w:tab/>
        <w:t xml:space="preserve">Olkkonen, V. M.; Li, S. </w:t>
      </w:r>
      <w:r w:rsidRPr="000849BF">
        <w:rPr>
          <w:rFonts w:ascii="Times New Roman" w:hAnsi="Times New Roman"/>
          <w:i/>
          <w:iCs/>
          <w:noProof/>
        </w:rPr>
        <w:t>Progress in Lipid Research</w:t>
      </w:r>
      <w:r w:rsidRPr="000849BF">
        <w:rPr>
          <w:rFonts w:ascii="Times New Roman" w:hAnsi="Times New Roman"/>
          <w:noProof/>
        </w:rPr>
        <w:t>. October 2013, pp 529–538.</w:t>
      </w:r>
    </w:p>
    <w:p w14:paraId="0CBABF64"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(28) </w:t>
      </w:r>
      <w:r w:rsidRPr="000849BF">
        <w:rPr>
          <w:rFonts w:ascii="Times New Roman" w:hAnsi="Times New Roman"/>
          <w:noProof/>
        </w:rPr>
        <w:tab/>
        <w:t xml:space="preserve">Yan, D.; Olkkonen, V. M. In </w:t>
      </w:r>
      <w:r w:rsidRPr="000849BF">
        <w:rPr>
          <w:rFonts w:ascii="Times New Roman" w:hAnsi="Times New Roman"/>
          <w:i/>
          <w:iCs/>
          <w:noProof/>
        </w:rPr>
        <w:t>International Review of Cytology</w:t>
      </w:r>
      <w:r w:rsidRPr="000849BF">
        <w:rPr>
          <w:rFonts w:ascii="Times New Roman" w:hAnsi="Times New Roman"/>
          <w:noProof/>
        </w:rPr>
        <w:t>; Academic Press Inc., 2008; Vol. 265, pp 253–285.</w:t>
      </w:r>
    </w:p>
    <w:p w14:paraId="734D0A56"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(29) </w:t>
      </w:r>
      <w:r w:rsidRPr="000849BF">
        <w:rPr>
          <w:rFonts w:ascii="Times New Roman" w:hAnsi="Times New Roman"/>
          <w:noProof/>
        </w:rPr>
        <w:tab/>
        <w:t xml:space="preserve">Olkkonen, V. M.; Béaslas, O.; Nissilä, E. </w:t>
      </w:r>
      <w:r w:rsidRPr="000849BF">
        <w:rPr>
          <w:rFonts w:ascii="Times New Roman" w:hAnsi="Times New Roman"/>
          <w:i/>
          <w:iCs/>
          <w:noProof/>
        </w:rPr>
        <w:t>Biomolecules</w:t>
      </w:r>
      <w:r w:rsidRPr="000849BF">
        <w:rPr>
          <w:rFonts w:ascii="Times New Roman" w:hAnsi="Times New Roman"/>
          <w:noProof/>
        </w:rPr>
        <w:t>. MDPI AG February 15, 2012, pp 76–103.</w:t>
      </w:r>
    </w:p>
    <w:p w14:paraId="6D92801D"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(30) </w:t>
      </w:r>
      <w:r w:rsidRPr="000849BF">
        <w:rPr>
          <w:rFonts w:ascii="Times New Roman" w:hAnsi="Times New Roman"/>
          <w:noProof/>
        </w:rPr>
        <w:tab/>
        <w:t xml:space="preserve">Weber-Boyvat, M.; Zhong, W.; Yan, D.; Olkkonen, V. M. </w:t>
      </w:r>
      <w:r w:rsidRPr="000849BF">
        <w:rPr>
          <w:rFonts w:ascii="Times New Roman" w:hAnsi="Times New Roman"/>
          <w:i/>
          <w:iCs/>
          <w:noProof/>
        </w:rPr>
        <w:t>Biochemical Pharmacology</w:t>
      </w:r>
      <w:r w:rsidRPr="000849BF">
        <w:rPr>
          <w:rFonts w:ascii="Times New Roman" w:hAnsi="Times New Roman"/>
          <w:noProof/>
        </w:rPr>
        <w:t>. Elsevier Inc. July 1, 2013, pp 89–95.</w:t>
      </w:r>
    </w:p>
    <w:p w14:paraId="2849C56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(31) </w:t>
      </w:r>
      <w:r w:rsidRPr="000849BF">
        <w:rPr>
          <w:rFonts w:ascii="Times New Roman" w:hAnsi="Times New Roman"/>
          <w:noProof/>
        </w:rPr>
        <w:tab/>
        <w:t xml:space="preserve">Im, Y. J.; Raychaudhuri, S.; Prinz, W. A.; Hurley, J. H. </w:t>
      </w:r>
      <w:r w:rsidRPr="000849BF">
        <w:rPr>
          <w:rFonts w:ascii="Times New Roman" w:hAnsi="Times New Roman"/>
          <w:i/>
          <w:iCs/>
          <w:noProof/>
        </w:rPr>
        <w:t>Nature</w:t>
      </w:r>
      <w:r w:rsidRPr="000849BF">
        <w:rPr>
          <w:rFonts w:ascii="Times New Roman" w:hAnsi="Times New Roman"/>
          <w:noProof/>
        </w:rPr>
        <w:t xml:space="preserve"> </w:t>
      </w:r>
      <w:r w:rsidRPr="000849BF">
        <w:rPr>
          <w:rFonts w:ascii="Times New Roman" w:hAnsi="Times New Roman"/>
          <w:b/>
          <w:bCs/>
          <w:noProof/>
        </w:rPr>
        <w:t>2005</w:t>
      </w:r>
      <w:r w:rsidRPr="000849BF">
        <w:rPr>
          <w:rFonts w:ascii="Times New Roman" w:hAnsi="Times New Roman"/>
          <w:noProof/>
        </w:rPr>
        <w:t xml:space="preserve">, </w:t>
      </w:r>
      <w:r w:rsidRPr="000849BF">
        <w:rPr>
          <w:rFonts w:ascii="Times New Roman" w:hAnsi="Times New Roman"/>
          <w:i/>
          <w:iCs/>
          <w:noProof/>
        </w:rPr>
        <w:t>437</w:t>
      </w:r>
      <w:r w:rsidRPr="000849BF">
        <w:rPr>
          <w:rFonts w:ascii="Times New Roman" w:hAnsi="Times New Roman"/>
          <w:noProof/>
        </w:rPr>
        <w:t xml:space="preserve"> (7055), 154–158.</w:t>
      </w:r>
    </w:p>
    <w:p w14:paraId="3126FDC6"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(32) </w:t>
      </w:r>
      <w:r w:rsidRPr="000849BF">
        <w:rPr>
          <w:rFonts w:ascii="Times New Roman" w:hAnsi="Times New Roman"/>
          <w:noProof/>
        </w:rPr>
        <w:tab/>
        <w:t xml:space="preserve">Kandutsch, A. A.; Shown, E. P. </w:t>
      </w:r>
      <w:r w:rsidRPr="000849BF">
        <w:rPr>
          <w:rFonts w:ascii="Times New Roman" w:hAnsi="Times New Roman"/>
          <w:i/>
          <w:iCs/>
          <w:noProof/>
        </w:rPr>
        <w:t>J. Biol. Chem.</w:t>
      </w:r>
      <w:r w:rsidRPr="000849BF">
        <w:rPr>
          <w:rFonts w:ascii="Times New Roman" w:hAnsi="Times New Roman"/>
          <w:noProof/>
        </w:rPr>
        <w:t xml:space="preserve"> </w:t>
      </w:r>
      <w:r w:rsidRPr="000849BF">
        <w:rPr>
          <w:rFonts w:ascii="Times New Roman" w:hAnsi="Times New Roman"/>
          <w:b/>
          <w:bCs/>
          <w:noProof/>
        </w:rPr>
        <w:t>1981</w:t>
      </w:r>
      <w:r w:rsidRPr="000849BF">
        <w:rPr>
          <w:rFonts w:ascii="Times New Roman" w:hAnsi="Times New Roman"/>
          <w:noProof/>
        </w:rPr>
        <w:t xml:space="preserve">, </w:t>
      </w:r>
      <w:r w:rsidRPr="000849BF">
        <w:rPr>
          <w:rFonts w:ascii="Times New Roman" w:hAnsi="Times New Roman"/>
          <w:i/>
          <w:iCs/>
          <w:noProof/>
        </w:rPr>
        <w:t>256</w:t>
      </w:r>
      <w:r w:rsidRPr="000849BF">
        <w:rPr>
          <w:rFonts w:ascii="Times New Roman" w:hAnsi="Times New Roman"/>
          <w:noProof/>
        </w:rPr>
        <w:t xml:space="preserve"> (24), 13068–13073.</w:t>
      </w:r>
    </w:p>
    <w:p w14:paraId="3FE26A5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(33) </w:t>
      </w:r>
      <w:r w:rsidRPr="000849BF">
        <w:rPr>
          <w:rFonts w:ascii="Times New Roman" w:hAnsi="Times New Roman"/>
          <w:noProof/>
        </w:rPr>
        <w:tab/>
        <w:t xml:space="preserve">Kandutschs, A. A.; Thompson8, E. B. </w:t>
      </w:r>
      <w:r w:rsidRPr="000849BF">
        <w:rPr>
          <w:rFonts w:ascii="Times New Roman" w:hAnsi="Times New Roman"/>
          <w:i/>
          <w:iCs/>
          <w:noProof/>
        </w:rPr>
        <w:t>Cytosolic Proteins That Bind Oxygenated Sterols CELLULAR DISTRIBUTION, SPECIFICITY, AND SOME PROPERTIES*</w:t>
      </w:r>
      <w:r w:rsidRPr="000849BF">
        <w:rPr>
          <w:rFonts w:ascii="Times New Roman" w:hAnsi="Times New Roman"/>
          <w:noProof/>
        </w:rPr>
        <w:t>; 1980; Vol. 255.</w:t>
      </w:r>
    </w:p>
    <w:p w14:paraId="6C16B4DE"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(34) </w:t>
      </w:r>
      <w:r w:rsidRPr="000849BF">
        <w:rPr>
          <w:rFonts w:ascii="Times New Roman" w:hAnsi="Times New Roman"/>
          <w:noProof/>
        </w:rPr>
        <w:tab/>
        <w:t xml:space="preserve">Wyles, J. P.; McMaster, C. R.; Ridgway, N. D. </w:t>
      </w:r>
      <w:r w:rsidRPr="000849BF">
        <w:rPr>
          <w:rFonts w:ascii="Times New Roman" w:hAnsi="Times New Roman"/>
          <w:i/>
          <w:iCs/>
          <w:noProof/>
        </w:rPr>
        <w:t>J. Biol. Chem.</w:t>
      </w:r>
      <w:r w:rsidRPr="000849BF">
        <w:rPr>
          <w:rFonts w:ascii="Times New Roman" w:hAnsi="Times New Roman"/>
          <w:noProof/>
        </w:rPr>
        <w:t xml:space="preserve"> </w:t>
      </w:r>
      <w:r w:rsidRPr="000849BF">
        <w:rPr>
          <w:rFonts w:ascii="Times New Roman" w:hAnsi="Times New Roman"/>
          <w:b/>
          <w:bCs/>
          <w:noProof/>
        </w:rPr>
        <w:t>2002</w:t>
      </w:r>
      <w:r w:rsidRPr="000849BF">
        <w:rPr>
          <w:rFonts w:ascii="Times New Roman" w:hAnsi="Times New Roman"/>
          <w:noProof/>
        </w:rPr>
        <w:t xml:space="preserve">, </w:t>
      </w:r>
      <w:r w:rsidRPr="000849BF">
        <w:rPr>
          <w:rFonts w:ascii="Times New Roman" w:hAnsi="Times New Roman"/>
          <w:i/>
          <w:iCs/>
          <w:noProof/>
        </w:rPr>
        <w:t>277</w:t>
      </w:r>
      <w:r w:rsidRPr="000849BF">
        <w:rPr>
          <w:rFonts w:ascii="Times New Roman" w:hAnsi="Times New Roman"/>
          <w:noProof/>
        </w:rPr>
        <w:t xml:space="preserve"> (33), 29908–29918.</w:t>
      </w:r>
    </w:p>
    <w:p w14:paraId="3E258F00"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(35) </w:t>
      </w:r>
      <w:r w:rsidRPr="000849BF">
        <w:rPr>
          <w:rFonts w:ascii="Times New Roman" w:hAnsi="Times New Roman"/>
          <w:noProof/>
        </w:rPr>
        <w:tab/>
        <w:t xml:space="preserve">Charman, M.; Colbourne, T. R.; Pietrangelo, A.; Kreplak, L.; Neale, D.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4</w:t>
      </w:r>
      <w:r w:rsidRPr="000849BF">
        <w:rPr>
          <w:rFonts w:ascii="Times New Roman" w:hAnsi="Times New Roman"/>
          <w:noProof/>
        </w:rPr>
        <w:t>.</w:t>
      </w:r>
    </w:p>
    <w:p w14:paraId="41EBD1A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(36) </w:t>
      </w:r>
      <w:r w:rsidRPr="000849BF">
        <w:rPr>
          <w:rFonts w:ascii="Times New Roman" w:hAnsi="Times New Roman"/>
          <w:noProof/>
        </w:rPr>
        <w:tab/>
        <w:t xml:space="preserve">Wang, C.; JeBailey, L.; Ridgway, N. D. </w:t>
      </w:r>
      <w:r w:rsidRPr="000849BF">
        <w:rPr>
          <w:rFonts w:ascii="Times New Roman" w:hAnsi="Times New Roman"/>
          <w:i/>
          <w:iCs/>
          <w:noProof/>
        </w:rPr>
        <w:t>Biochem. J.</w:t>
      </w:r>
      <w:r w:rsidRPr="000849BF">
        <w:rPr>
          <w:rFonts w:ascii="Times New Roman" w:hAnsi="Times New Roman"/>
          <w:noProof/>
        </w:rPr>
        <w:t xml:space="preserve"> </w:t>
      </w:r>
      <w:r w:rsidRPr="000849BF">
        <w:rPr>
          <w:rFonts w:ascii="Times New Roman" w:hAnsi="Times New Roman"/>
          <w:b/>
          <w:bCs/>
          <w:noProof/>
        </w:rPr>
        <w:t>2002</w:t>
      </w:r>
      <w:r w:rsidRPr="000849BF">
        <w:rPr>
          <w:rFonts w:ascii="Times New Roman" w:hAnsi="Times New Roman"/>
          <w:noProof/>
        </w:rPr>
        <w:t xml:space="preserve">, </w:t>
      </w:r>
      <w:r w:rsidRPr="000849BF">
        <w:rPr>
          <w:rFonts w:ascii="Times New Roman" w:hAnsi="Times New Roman"/>
          <w:i/>
          <w:iCs/>
          <w:noProof/>
        </w:rPr>
        <w:t>361</w:t>
      </w:r>
      <w:r w:rsidRPr="000849BF">
        <w:rPr>
          <w:rFonts w:ascii="Times New Roman" w:hAnsi="Times New Roman"/>
          <w:noProof/>
        </w:rPr>
        <w:t xml:space="preserve"> (3), 461–472.</w:t>
      </w:r>
    </w:p>
    <w:p w14:paraId="0ED61D8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(37) </w:t>
      </w:r>
      <w:r w:rsidRPr="000849BF">
        <w:rPr>
          <w:rFonts w:ascii="Times New Roman" w:hAnsi="Times New Roman"/>
          <w:noProof/>
        </w:rPr>
        <w:tab/>
        <w:t xml:space="preserve">A four-step cycle driven by PI(4)P hydrolysis directs sterol/PI(4)P exchange by the ER-Golgi tether OSBP. - PubMed - NCBI </w:t>
      </w:r>
      <w:r w:rsidRPr="000849BF">
        <w:rPr>
          <w:rFonts w:ascii="Times New Roman" w:hAnsi="Times New Roman"/>
          <w:noProof/>
        </w:rPr>
        <w:lastRenderedPageBreak/>
        <w:t>https://www.ncbi.nlm.nih.gov/pubmed/24209621 (accessed Apr 8, 2020).</w:t>
      </w:r>
    </w:p>
    <w:p w14:paraId="473695AF"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(38) </w:t>
      </w:r>
      <w:r w:rsidRPr="000849BF">
        <w:rPr>
          <w:rFonts w:ascii="Times New Roman" w:hAnsi="Times New Roman"/>
          <w:noProof/>
        </w:rPr>
        <w:tab/>
        <w:t xml:space="preserve">Ridgway, N. D.; Dawson, P. A.; Ho, Y. K.; Brown, M. S.; Goldstein, J. L. </w:t>
      </w:r>
      <w:r w:rsidRPr="000849BF">
        <w:rPr>
          <w:rFonts w:ascii="Times New Roman" w:hAnsi="Times New Roman"/>
          <w:i/>
          <w:iCs/>
          <w:noProof/>
        </w:rPr>
        <w:t>J. Cell Biol.</w:t>
      </w:r>
      <w:r w:rsidRPr="000849BF">
        <w:rPr>
          <w:rFonts w:ascii="Times New Roman" w:hAnsi="Times New Roman"/>
          <w:noProof/>
        </w:rPr>
        <w:t xml:space="preserve"> </w:t>
      </w:r>
      <w:r w:rsidRPr="000849BF">
        <w:rPr>
          <w:rFonts w:ascii="Times New Roman" w:hAnsi="Times New Roman"/>
          <w:b/>
          <w:bCs/>
          <w:noProof/>
        </w:rPr>
        <w:t>1992</w:t>
      </w:r>
      <w:r w:rsidRPr="000849BF">
        <w:rPr>
          <w:rFonts w:ascii="Times New Roman" w:hAnsi="Times New Roman"/>
          <w:noProof/>
        </w:rPr>
        <w:t xml:space="preserve">, </w:t>
      </w:r>
      <w:r w:rsidRPr="000849BF">
        <w:rPr>
          <w:rFonts w:ascii="Times New Roman" w:hAnsi="Times New Roman"/>
          <w:i/>
          <w:iCs/>
          <w:noProof/>
        </w:rPr>
        <w:t>116</w:t>
      </w:r>
      <w:r w:rsidRPr="000849BF">
        <w:rPr>
          <w:rFonts w:ascii="Times New Roman" w:hAnsi="Times New Roman"/>
          <w:noProof/>
        </w:rPr>
        <w:t xml:space="preserve"> (2), 307–319.</w:t>
      </w:r>
    </w:p>
    <w:p w14:paraId="141940C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(39) </w:t>
      </w:r>
      <w:r w:rsidRPr="000849BF">
        <w:rPr>
          <w:rFonts w:ascii="Times New Roman" w:hAnsi="Times New Roman"/>
          <w:noProof/>
        </w:rPr>
        <w:tab/>
        <w:t xml:space="preserve">Levine, T. P.; Munro, S. </w:t>
      </w:r>
      <w:r w:rsidRPr="000849BF">
        <w:rPr>
          <w:rFonts w:ascii="Times New Roman" w:hAnsi="Times New Roman"/>
          <w:i/>
          <w:iCs/>
          <w:noProof/>
        </w:rPr>
        <w:t>Curr. Biol.</w:t>
      </w:r>
      <w:r w:rsidRPr="000849BF">
        <w:rPr>
          <w:rFonts w:ascii="Times New Roman" w:hAnsi="Times New Roman"/>
          <w:noProof/>
        </w:rPr>
        <w:t xml:space="preserve"> </w:t>
      </w:r>
      <w:r w:rsidRPr="000849BF">
        <w:rPr>
          <w:rFonts w:ascii="Times New Roman" w:hAnsi="Times New Roman"/>
          <w:b/>
          <w:bCs/>
          <w:noProof/>
        </w:rPr>
        <w:t>1998</w:t>
      </w:r>
      <w:r w:rsidRPr="000849BF">
        <w:rPr>
          <w:rFonts w:ascii="Times New Roman" w:hAnsi="Times New Roman"/>
          <w:noProof/>
        </w:rPr>
        <w:t xml:space="preserve">, </w:t>
      </w:r>
      <w:r w:rsidRPr="000849BF">
        <w:rPr>
          <w:rFonts w:ascii="Times New Roman" w:hAnsi="Times New Roman"/>
          <w:i/>
          <w:iCs/>
          <w:noProof/>
        </w:rPr>
        <w:t>8</w:t>
      </w:r>
      <w:r w:rsidRPr="000849BF">
        <w:rPr>
          <w:rFonts w:ascii="Times New Roman" w:hAnsi="Times New Roman"/>
          <w:noProof/>
        </w:rPr>
        <w:t xml:space="preserve"> (13), 729–739.</w:t>
      </w:r>
    </w:p>
    <w:p w14:paraId="27D6E2D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(40) </w:t>
      </w:r>
      <w:r w:rsidRPr="000849BF">
        <w:rPr>
          <w:rFonts w:ascii="Times New Roman" w:hAnsi="Times New Roman"/>
          <w:noProof/>
        </w:rPr>
        <w:tab/>
        <w:t xml:space="preserve">Mesmin, B.; Bigay, J.; Moser von Filseck, J.; Lacas-Gervais, S.; Drin, G.; Antonny, B. </w:t>
      </w:r>
      <w:r w:rsidRPr="000849BF">
        <w:rPr>
          <w:rFonts w:ascii="Times New Roman" w:hAnsi="Times New Roman"/>
          <w:i/>
          <w:iCs/>
          <w:noProof/>
        </w:rPr>
        <w:t>Cell</w:t>
      </w:r>
      <w:r w:rsidRPr="000849BF">
        <w:rPr>
          <w:rFonts w:ascii="Times New Roman" w:hAnsi="Times New Roman"/>
          <w:noProof/>
        </w:rPr>
        <w:t xml:space="preserve"> </w:t>
      </w:r>
      <w:r w:rsidRPr="000849BF">
        <w:rPr>
          <w:rFonts w:ascii="Times New Roman" w:hAnsi="Times New Roman"/>
          <w:b/>
          <w:bCs/>
          <w:noProof/>
        </w:rPr>
        <w:t>2013</w:t>
      </w:r>
      <w:r w:rsidRPr="000849BF">
        <w:rPr>
          <w:rFonts w:ascii="Times New Roman" w:hAnsi="Times New Roman"/>
          <w:noProof/>
        </w:rPr>
        <w:t xml:space="preserve">, </w:t>
      </w:r>
      <w:r w:rsidRPr="000849BF">
        <w:rPr>
          <w:rFonts w:ascii="Times New Roman" w:hAnsi="Times New Roman"/>
          <w:i/>
          <w:iCs/>
          <w:noProof/>
        </w:rPr>
        <w:t>155</w:t>
      </w:r>
      <w:r w:rsidRPr="000849BF">
        <w:rPr>
          <w:rFonts w:ascii="Times New Roman" w:hAnsi="Times New Roman"/>
          <w:noProof/>
        </w:rPr>
        <w:t xml:space="preserve"> (4), 830–843.</w:t>
      </w:r>
    </w:p>
    <w:p w14:paraId="79C9360E"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(41) </w:t>
      </w:r>
      <w:r w:rsidRPr="000849BF">
        <w:rPr>
          <w:rFonts w:ascii="Times New Roman" w:hAnsi="Times New Roman"/>
          <w:noProof/>
        </w:rPr>
        <w:tab/>
        <w:t xml:space="preserve">Perry, R. J.; Ridgway, N. D. </w:t>
      </w:r>
      <w:r w:rsidRPr="000849BF">
        <w:rPr>
          <w:rFonts w:ascii="Times New Roman" w:hAnsi="Times New Roman"/>
          <w:i/>
          <w:iCs/>
          <w:noProof/>
        </w:rPr>
        <w:t>Mol Biol Cell</w:t>
      </w:r>
      <w:r w:rsidRPr="000849BF">
        <w:rPr>
          <w:rFonts w:ascii="Times New Roman" w:hAnsi="Times New Roman"/>
          <w:noProof/>
        </w:rPr>
        <w:t xml:space="preserve"> </w:t>
      </w:r>
      <w:r w:rsidRPr="000849BF">
        <w:rPr>
          <w:rFonts w:ascii="Times New Roman" w:hAnsi="Times New Roman"/>
          <w:b/>
          <w:bCs/>
          <w:noProof/>
        </w:rPr>
        <w:t>2006</w:t>
      </w:r>
      <w:r w:rsidRPr="000849BF">
        <w:rPr>
          <w:rFonts w:ascii="Times New Roman" w:hAnsi="Times New Roman"/>
          <w:noProof/>
        </w:rPr>
        <w:t>.</w:t>
      </w:r>
    </w:p>
    <w:p w14:paraId="372BC32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(42) </w:t>
      </w:r>
      <w:r w:rsidRPr="000849BF">
        <w:rPr>
          <w:rFonts w:ascii="Times New Roman" w:hAnsi="Times New Roman"/>
          <w:noProof/>
        </w:rPr>
        <w:tab/>
        <w:t xml:space="preserve">Goto, A.; Liu, X.; Robinson, C. A.; Ridgway, N. D. </w:t>
      </w:r>
      <w:r w:rsidRPr="000849BF">
        <w:rPr>
          <w:rFonts w:ascii="Times New Roman" w:hAnsi="Times New Roman"/>
          <w:i/>
          <w:iCs/>
          <w:noProof/>
        </w:rPr>
        <w:t>Mol. Biol. Cell</w:t>
      </w:r>
      <w:r w:rsidRPr="000849BF">
        <w:rPr>
          <w:rFonts w:ascii="Times New Roman" w:hAnsi="Times New Roman"/>
          <w:noProof/>
        </w:rPr>
        <w:t xml:space="preserve"> </w:t>
      </w:r>
      <w:r w:rsidRPr="000849BF">
        <w:rPr>
          <w:rFonts w:ascii="Times New Roman" w:hAnsi="Times New Roman"/>
          <w:b/>
          <w:bCs/>
          <w:noProof/>
        </w:rPr>
        <w:t>2012</w:t>
      </w:r>
      <w:r w:rsidRPr="000849BF">
        <w:rPr>
          <w:rFonts w:ascii="Times New Roman" w:hAnsi="Times New Roman"/>
          <w:noProof/>
        </w:rPr>
        <w:t xml:space="preserve">, </w:t>
      </w:r>
      <w:r w:rsidRPr="000849BF">
        <w:rPr>
          <w:rFonts w:ascii="Times New Roman" w:hAnsi="Times New Roman"/>
          <w:i/>
          <w:iCs/>
          <w:noProof/>
        </w:rPr>
        <w:t>23</w:t>
      </w:r>
      <w:r w:rsidRPr="000849BF">
        <w:rPr>
          <w:rFonts w:ascii="Times New Roman" w:hAnsi="Times New Roman"/>
          <w:noProof/>
        </w:rPr>
        <w:t xml:space="preserve"> (18), 3624–3635.</w:t>
      </w:r>
    </w:p>
    <w:p w14:paraId="24E98F33"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(43) </w:t>
      </w:r>
      <w:r w:rsidRPr="000849BF">
        <w:rPr>
          <w:rFonts w:ascii="Times New Roman" w:hAnsi="Times New Roman"/>
          <w:noProof/>
        </w:rPr>
        <w:tab/>
        <w:t xml:space="preserve">Wang, P. Y.; Weng, J.; Anderson, R. G. W. </w:t>
      </w:r>
      <w:r w:rsidRPr="000849BF">
        <w:rPr>
          <w:rFonts w:ascii="Times New Roman" w:hAnsi="Times New Roman"/>
          <w:i/>
          <w:iCs/>
          <w:noProof/>
        </w:rPr>
        <w:t>Science (80-. ).</w:t>
      </w:r>
      <w:r w:rsidRPr="000849BF">
        <w:rPr>
          <w:rFonts w:ascii="Times New Roman" w:hAnsi="Times New Roman"/>
          <w:noProof/>
        </w:rPr>
        <w:t xml:space="preserve"> </w:t>
      </w:r>
      <w:r w:rsidRPr="000849BF">
        <w:rPr>
          <w:rFonts w:ascii="Times New Roman" w:hAnsi="Times New Roman"/>
          <w:b/>
          <w:bCs/>
          <w:noProof/>
        </w:rPr>
        <w:t>2005</w:t>
      </w:r>
      <w:r w:rsidRPr="000849BF">
        <w:rPr>
          <w:rFonts w:ascii="Times New Roman" w:hAnsi="Times New Roman"/>
          <w:noProof/>
        </w:rPr>
        <w:t xml:space="preserve">, </w:t>
      </w:r>
      <w:r w:rsidRPr="000849BF">
        <w:rPr>
          <w:rFonts w:ascii="Times New Roman" w:hAnsi="Times New Roman"/>
          <w:i/>
          <w:iCs/>
          <w:noProof/>
        </w:rPr>
        <w:t>307</w:t>
      </w:r>
      <w:r w:rsidRPr="000849BF">
        <w:rPr>
          <w:rFonts w:ascii="Times New Roman" w:hAnsi="Times New Roman"/>
          <w:noProof/>
        </w:rPr>
        <w:t xml:space="preserve"> (5714), 1472–1476.</w:t>
      </w:r>
    </w:p>
    <w:p w14:paraId="2F27529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(44) </w:t>
      </w:r>
      <w:r w:rsidRPr="000849BF">
        <w:rPr>
          <w:rFonts w:ascii="Times New Roman" w:hAnsi="Times New Roman"/>
          <w:noProof/>
        </w:rPr>
        <w:tab/>
        <w:t xml:space="preserve">Romeo, G. R.; Kazlauskas, A. </w:t>
      </w:r>
      <w:r w:rsidRPr="000849BF">
        <w:rPr>
          <w:rFonts w:ascii="Times New Roman" w:hAnsi="Times New Roman"/>
          <w:i/>
          <w:iCs/>
          <w:noProof/>
        </w:rPr>
        <w:t>J. Biol. Chem.</w:t>
      </w:r>
      <w:r w:rsidRPr="000849BF">
        <w:rPr>
          <w:rFonts w:ascii="Times New Roman" w:hAnsi="Times New Roman"/>
          <w:noProof/>
        </w:rPr>
        <w:t xml:space="preserve"> </w:t>
      </w:r>
      <w:r w:rsidRPr="000849BF">
        <w:rPr>
          <w:rFonts w:ascii="Times New Roman" w:hAnsi="Times New Roman"/>
          <w:b/>
          <w:bCs/>
          <w:noProof/>
        </w:rPr>
        <w:t>2008</w:t>
      </w:r>
      <w:r w:rsidRPr="000849BF">
        <w:rPr>
          <w:rFonts w:ascii="Times New Roman" w:hAnsi="Times New Roman"/>
          <w:noProof/>
        </w:rPr>
        <w:t xml:space="preserve">, </w:t>
      </w:r>
      <w:r w:rsidRPr="000849BF">
        <w:rPr>
          <w:rFonts w:ascii="Times New Roman" w:hAnsi="Times New Roman"/>
          <w:i/>
          <w:iCs/>
          <w:noProof/>
        </w:rPr>
        <w:t>283</w:t>
      </w:r>
      <w:r w:rsidRPr="000849BF">
        <w:rPr>
          <w:rFonts w:ascii="Times New Roman" w:hAnsi="Times New Roman"/>
          <w:noProof/>
        </w:rPr>
        <w:t xml:space="preserve"> (15), 9595–9605.</w:t>
      </w:r>
    </w:p>
    <w:p w14:paraId="129789F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(45) </w:t>
      </w:r>
      <w:r w:rsidRPr="000849BF">
        <w:rPr>
          <w:rFonts w:ascii="Times New Roman" w:hAnsi="Times New Roman"/>
          <w:noProof/>
        </w:rPr>
        <w:tab/>
        <w:t xml:space="preserve">Roberts, B. L.; Severance, Z. C.; Bensen, R. C.; Le-McClain, A. T.; Malinky, C. A.; Mettenbrink, E. M.; Nuñez, J. I.; Reddig, W. J.; Blewett, E. L.; Burgett, A. W. G. </w:t>
      </w:r>
      <w:r w:rsidRPr="000849BF">
        <w:rPr>
          <w:rFonts w:ascii="Times New Roman" w:hAnsi="Times New Roman"/>
          <w:i/>
          <w:iCs/>
          <w:noProof/>
        </w:rPr>
        <w:t>Antiviral Res.</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170</w:t>
      </w:r>
      <w:r w:rsidRPr="000849BF">
        <w:rPr>
          <w:rFonts w:ascii="Times New Roman" w:hAnsi="Times New Roman"/>
          <w:noProof/>
        </w:rPr>
        <w:t>.</w:t>
      </w:r>
    </w:p>
    <w:p w14:paraId="5A94F49D"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(46) </w:t>
      </w:r>
      <w:r w:rsidRPr="000849BF">
        <w:rPr>
          <w:rFonts w:ascii="Times New Roman" w:hAnsi="Times New Roman"/>
          <w:noProof/>
        </w:rPr>
        <w:tab/>
        <w:t xml:space="preserve">Albulescu, L.; Strating, J. R. P. M.; Thibaut, H. J.; Van Der Linden, L.; Shair, M. D.; Neyts, J.; Van Kuppeveld, F. J. M. </w:t>
      </w:r>
      <w:r w:rsidRPr="000849BF">
        <w:rPr>
          <w:rFonts w:ascii="Times New Roman" w:hAnsi="Times New Roman"/>
          <w:i/>
          <w:iCs/>
          <w:noProof/>
        </w:rPr>
        <w:t>Antiviral Res.</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117</w:t>
      </w:r>
      <w:r w:rsidRPr="000849BF">
        <w:rPr>
          <w:rFonts w:ascii="Times New Roman" w:hAnsi="Times New Roman"/>
          <w:noProof/>
        </w:rPr>
        <w:t>, 110–114.</w:t>
      </w:r>
    </w:p>
    <w:p w14:paraId="1F791F1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(47) </w:t>
      </w:r>
      <w:r w:rsidRPr="000849BF">
        <w:rPr>
          <w:rFonts w:ascii="Times New Roman" w:hAnsi="Times New Roman"/>
          <w:noProof/>
        </w:rPr>
        <w:tab/>
        <w:t xml:space="preserve">Bauer, L.; Ferla, S.; Head, S. A.; Bhat, S.; Pasunooti, K. K.; Shi, W. Q.; Albulescu, L.; Liu, J. O.; Brancale, A.; van Kuppeveld, F. J. M.; Strating, J. R. P. M. </w:t>
      </w:r>
      <w:r w:rsidRPr="000849BF">
        <w:rPr>
          <w:rFonts w:ascii="Times New Roman" w:hAnsi="Times New Roman"/>
          <w:i/>
          <w:iCs/>
          <w:noProof/>
        </w:rPr>
        <w:t>Antiviral Res.</w:t>
      </w:r>
      <w:r w:rsidRPr="000849BF">
        <w:rPr>
          <w:rFonts w:ascii="Times New Roman" w:hAnsi="Times New Roman"/>
          <w:noProof/>
        </w:rPr>
        <w:t xml:space="preserve"> </w:t>
      </w:r>
      <w:r w:rsidRPr="000849BF">
        <w:rPr>
          <w:rFonts w:ascii="Times New Roman" w:hAnsi="Times New Roman"/>
          <w:b/>
          <w:bCs/>
          <w:noProof/>
        </w:rPr>
        <w:t>2018</w:t>
      </w:r>
      <w:r w:rsidRPr="000849BF">
        <w:rPr>
          <w:rFonts w:ascii="Times New Roman" w:hAnsi="Times New Roman"/>
          <w:noProof/>
        </w:rPr>
        <w:t xml:space="preserve">, </w:t>
      </w:r>
      <w:r w:rsidRPr="000849BF">
        <w:rPr>
          <w:rFonts w:ascii="Times New Roman" w:hAnsi="Times New Roman"/>
          <w:i/>
          <w:iCs/>
          <w:noProof/>
        </w:rPr>
        <w:t>156</w:t>
      </w:r>
      <w:r w:rsidRPr="000849BF">
        <w:rPr>
          <w:rFonts w:ascii="Times New Roman" w:hAnsi="Times New Roman"/>
          <w:noProof/>
        </w:rPr>
        <w:t>, 55–63.</w:t>
      </w:r>
    </w:p>
    <w:p w14:paraId="04AAE9C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(48) </w:t>
      </w:r>
      <w:r w:rsidRPr="000849BF">
        <w:rPr>
          <w:rFonts w:ascii="Times New Roman" w:hAnsi="Times New Roman"/>
          <w:noProof/>
        </w:rPr>
        <w:tab/>
        <w:t xml:space="preserve">Albulescu, L.; Bigay, J.; Biswas, B.; Weber-Boyvat, M.; Dorobantu, C. M.; Delang, L.; van der Schaar, H. M.; Jung, Y. S.; Neyts, J.; Olkkonen, V. M.; van Kuppeveld, F. J. M.; Strating, J. R. P. M. </w:t>
      </w:r>
      <w:r w:rsidRPr="000849BF">
        <w:rPr>
          <w:rFonts w:ascii="Times New Roman" w:hAnsi="Times New Roman"/>
          <w:i/>
          <w:iCs/>
          <w:noProof/>
        </w:rPr>
        <w:t>Antiviral Res.</w:t>
      </w:r>
      <w:r w:rsidRPr="000849BF">
        <w:rPr>
          <w:rFonts w:ascii="Times New Roman" w:hAnsi="Times New Roman"/>
          <w:noProof/>
        </w:rPr>
        <w:t xml:space="preserve"> </w:t>
      </w:r>
      <w:r w:rsidRPr="000849BF">
        <w:rPr>
          <w:rFonts w:ascii="Times New Roman" w:hAnsi="Times New Roman"/>
          <w:b/>
          <w:bCs/>
          <w:noProof/>
        </w:rPr>
        <w:t>2017</w:t>
      </w:r>
      <w:r w:rsidRPr="000849BF">
        <w:rPr>
          <w:rFonts w:ascii="Times New Roman" w:hAnsi="Times New Roman"/>
          <w:noProof/>
        </w:rPr>
        <w:t xml:space="preserve">, </w:t>
      </w:r>
      <w:r w:rsidRPr="000849BF">
        <w:rPr>
          <w:rFonts w:ascii="Times New Roman" w:hAnsi="Times New Roman"/>
          <w:i/>
          <w:iCs/>
          <w:noProof/>
        </w:rPr>
        <w:t>140</w:t>
      </w:r>
      <w:r w:rsidRPr="000849BF">
        <w:rPr>
          <w:rFonts w:ascii="Times New Roman" w:hAnsi="Times New Roman"/>
          <w:noProof/>
        </w:rPr>
        <w:t>, 37–44.</w:t>
      </w:r>
    </w:p>
    <w:p w14:paraId="2BD7867C"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(49) </w:t>
      </w:r>
      <w:r w:rsidRPr="000849BF">
        <w:rPr>
          <w:rFonts w:ascii="Times New Roman" w:hAnsi="Times New Roman"/>
          <w:noProof/>
        </w:rPr>
        <w:tab/>
        <w:t xml:space="preserve">WANG, C.; JeBAILEY, L.; RIDGWAY, N. D. </w:t>
      </w:r>
      <w:r w:rsidRPr="000849BF">
        <w:rPr>
          <w:rFonts w:ascii="Times New Roman" w:hAnsi="Times New Roman"/>
          <w:i/>
          <w:iCs/>
          <w:noProof/>
        </w:rPr>
        <w:t>Biochem. J.</w:t>
      </w:r>
      <w:r w:rsidRPr="000849BF">
        <w:rPr>
          <w:rFonts w:ascii="Times New Roman" w:hAnsi="Times New Roman"/>
          <w:noProof/>
        </w:rPr>
        <w:t xml:space="preserve"> </w:t>
      </w:r>
      <w:r w:rsidRPr="000849BF">
        <w:rPr>
          <w:rFonts w:ascii="Times New Roman" w:hAnsi="Times New Roman"/>
          <w:b/>
          <w:bCs/>
          <w:noProof/>
        </w:rPr>
        <w:t>2002</w:t>
      </w:r>
      <w:r w:rsidRPr="000849BF">
        <w:rPr>
          <w:rFonts w:ascii="Times New Roman" w:hAnsi="Times New Roman"/>
          <w:noProof/>
        </w:rPr>
        <w:t xml:space="preserve">, </w:t>
      </w:r>
      <w:r w:rsidRPr="000849BF">
        <w:rPr>
          <w:rFonts w:ascii="Times New Roman" w:hAnsi="Times New Roman"/>
          <w:i/>
          <w:iCs/>
          <w:noProof/>
        </w:rPr>
        <w:t>361</w:t>
      </w:r>
      <w:r w:rsidRPr="000849BF">
        <w:rPr>
          <w:rFonts w:ascii="Times New Roman" w:hAnsi="Times New Roman"/>
          <w:noProof/>
        </w:rPr>
        <w:t xml:space="preserve"> (3), 461–472.</w:t>
      </w:r>
    </w:p>
    <w:p w14:paraId="064EFAF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(50) </w:t>
      </w:r>
      <w:r w:rsidRPr="000849BF">
        <w:rPr>
          <w:rFonts w:ascii="Times New Roman" w:hAnsi="Times New Roman"/>
          <w:noProof/>
        </w:rPr>
        <w:tab/>
        <w:t xml:space="preserve">WANG, C.; JeBAILEY, L.; RIDGWAY, N. D. </w:t>
      </w:r>
      <w:r w:rsidRPr="000849BF">
        <w:rPr>
          <w:rFonts w:ascii="Times New Roman" w:hAnsi="Times New Roman"/>
          <w:i/>
          <w:iCs/>
          <w:noProof/>
        </w:rPr>
        <w:t>Biochem. J.</w:t>
      </w:r>
      <w:r w:rsidRPr="000849BF">
        <w:rPr>
          <w:rFonts w:ascii="Times New Roman" w:hAnsi="Times New Roman"/>
          <w:noProof/>
        </w:rPr>
        <w:t xml:space="preserve"> </w:t>
      </w:r>
      <w:r w:rsidRPr="000849BF">
        <w:rPr>
          <w:rFonts w:ascii="Times New Roman" w:hAnsi="Times New Roman"/>
          <w:b/>
          <w:bCs/>
          <w:noProof/>
        </w:rPr>
        <w:t>2002</w:t>
      </w:r>
      <w:r w:rsidRPr="000849BF">
        <w:rPr>
          <w:rFonts w:ascii="Times New Roman" w:hAnsi="Times New Roman"/>
          <w:noProof/>
        </w:rPr>
        <w:t xml:space="preserve">, </w:t>
      </w:r>
      <w:r w:rsidRPr="000849BF">
        <w:rPr>
          <w:rFonts w:ascii="Times New Roman" w:hAnsi="Times New Roman"/>
          <w:i/>
          <w:iCs/>
          <w:noProof/>
        </w:rPr>
        <w:t>361</w:t>
      </w:r>
      <w:r w:rsidRPr="000849BF">
        <w:rPr>
          <w:rFonts w:ascii="Times New Roman" w:hAnsi="Times New Roman"/>
          <w:noProof/>
        </w:rPr>
        <w:t xml:space="preserve"> (3), 461 LP-472.</w:t>
      </w:r>
    </w:p>
    <w:p w14:paraId="1EFDDCB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(51) </w:t>
      </w:r>
      <w:r w:rsidRPr="000849BF">
        <w:rPr>
          <w:rFonts w:ascii="Times New Roman" w:hAnsi="Times New Roman"/>
          <w:noProof/>
        </w:rPr>
        <w:tab/>
        <w:t xml:space="preserve">Zhong, W.; Yi, Q.; Xu, B.; Li, S.; Wang, T.; Liu, F.; Zhu, B.; Hoffmann, P. R.; Ji, G.; Lei, P.; Li, G.; Li, J.; Li, J.; Olkkonen, V. M.; Yan, D. </w:t>
      </w:r>
      <w:r w:rsidRPr="000849BF">
        <w:rPr>
          <w:rFonts w:ascii="Times New Roman" w:hAnsi="Times New Roman"/>
          <w:i/>
          <w:iCs/>
          <w:noProof/>
        </w:rPr>
        <w:t>Nat. Commun.</w:t>
      </w:r>
      <w:r w:rsidRPr="000849BF">
        <w:rPr>
          <w:rFonts w:ascii="Times New Roman" w:hAnsi="Times New Roman"/>
          <w:noProof/>
        </w:rPr>
        <w:t xml:space="preserve"> </w:t>
      </w:r>
      <w:r w:rsidRPr="000849BF">
        <w:rPr>
          <w:rFonts w:ascii="Times New Roman" w:hAnsi="Times New Roman"/>
          <w:b/>
          <w:bCs/>
          <w:noProof/>
        </w:rPr>
        <w:t>2016</w:t>
      </w:r>
      <w:r w:rsidRPr="000849BF">
        <w:rPr>
          <w:rFonts w:ascii="Times New Roman" w:hAnsi="Times New Roman"/>
          <w:noProof/>
        </w:rPr>
        <w:t xml:space="preserve">, </w:t>
      </w:r>
      <w:r w:rsidRPr="000849BF">
        <w:rPr>
          <w:rFonts w:ascii="Times New Roman" w:hAnsi="Times New Roman"/>
          <w:i/>
          <w:iCs/>
          <w:noProof/>
        </w:rPr>
        <w:t>7</w:t>
      </w:r>
      <w:r w:rsidRPr="000849BF">
        <w:rPr>
          <w:rFonts w:ascii="Times New Roman" w:hAnsi="Times New Roman"/>
          <w:noProof/>
        </w:rPr>
        <w:t>.</w:t>
      </w:r>
    </w:p>
    <w:p w14:paraId="0C0971A3"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(52) </w:t>
      </w:r>
      <w:r w:rsidRPr="000849BF">
        <w:rPr>
          <w:rFonts w:ascii="Times New Roman" w:hAnsi="Times New Roman"/>
          <w:noProof/>
        </w:rPr>
        <w:tab/>
        <w:t xml:space="preserve">Zhong, W.; Xu, M.; Li, C.; Zhu, B.; Cao, X.; Li, D.; Chen, H.; Hu, C.; Li, R.; Luo, C.; Pan, G.; Zhang, W.; Lai, C.; Wang, T.; Du, X.; Chen, H.; Xu, G.; Olkkonen, V. M.; Lei, P.; Xu, J.; Yan, D. </w:t>
      </w:r>
      <w:r w:rsidRPr="000849BF">
        <w:rPr>
          <w:rFonts w:ascii="Times New Roman" w:hAnsi="Times New Roman"/>
          <w:i/>
          <w:iCs/>
          <w:noProof/>
        </w:rPr>
        <w:t>Cell Rep.</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26</w:t>
      </w:r>
      <w:r w:rsidRPr="000849BF">
        <w:rPr>
          <w:rFonts w:ascii="Times New Roman" w:hAnsi="Times New Roman"/>
          <w:noProof/>
        </w:rPr>
        <w:t xml:space="preserve"> (8), 2166–2177.e9.</w:t>
      </w:r>
    </w:p>
    <w:p w14:paraId="6159382E"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(53) </w:t>
      </w:r>
      <w:r w:rsidRPr="000849BF">
        <w:rPr>
          <w:rFonts w:ascii="Times New Roman" w:hAnsi="Times New Roman"/>
          <w:noProof/>
        </w:rPr>
        <w:tab/>
        <w:t xml:space="preserve">Zhong, W.; Xu, M.; Li, C.; Zhu, B.; Cao, X.; Li, D.; Chen, H.; Hu, C.; Li, R.; Luo, C.; Pan, G.; Zhang, W.; Lai, C.; Wang, T.; Du, X.; Chen, H.; Xu, G.; Olkkonen, V. M.; Lei, P.; Xu, J.; Yan, D. </w:t>
      </w:r>
      <w:r w:rsidRPr="000849BF">
        <w:rPr>
          <w:rFonts w:ascii="Times New Roman" w:hAnsi="Times New Roman"/>
          <w:i/>
          <w:iCs/>
          <w:noProof/>
        </w:rPr>
        <w:t>Cell Rep.</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26</w:t>
      </w:r>
      <w:r w:rsidRPr="000849BF">
        <w:rPr>
          <w:rFonts w:ascii="Times New Roman" w:hAnsi="Times New Roman"/>
          <w:noProof/>
        </w:rPr>
        <w:t xml:space="preserve"> (8), 2166–2177.e9.</w:t>
      </w:r>
    </w:p>
    <w:p w14:paraId="36CD1EDE"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(54) </w:t>
      </w:r>
      <w:r w:rsidRPr="000849BF">
        <w:rPr>
          <w:rFonts w:ascii="Times New Roman" w:hAnsi="Times New Roman"/>
          <w:noProof/>
        </w:rPr>
        <w:tab/>
        <w:t xml:space="preserve">Charman, M.; Colbourne, T. R.; Pietrangelo, A.; Kreplak, L.; Ridgway, N. D. </w:t>
      </w:r>
      <w:r w:rsidRPr="000849BF">
        <w:rPr>
          <w:rFonts w:ascii="Times New Roman" w:hAnsi="Times New Roman"/>
          <w:i/>
          <w:iCs/>
          <w:noProof/>
        </w:rPr>
        <w:t>J. Biol. Chem.</w:t>
      </w:r>
      <w:r w:rsidRPr="000849BF">
        <w:rPr>
          <w:rFonts w:ascii="Times New Roman" w:hAnsi="Times New Roman"/>
          <w:noProof/>
        </w:rPr>
        <w:t xml:space="preserve">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289</w:t>
      </w:r>
      <w:r w:rsidRPr="000849BF">
        <w:rPr>
          <w:rFonts w:ascii="Times New Roman" w:hAnsi="Times New Roman"/>
          <w:noProof/>
        </w:rPr>
        <w:t xml:space="preserve"> (22), 15705–15717.</w:t>
      </w:r>
    </w:p>
    <w:p w14:paraId="7626028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(55) </w:t>
      </w:r>
      <w:r w:rsidRPr="000849BF">
        <w:rPr>
          <w:rFonts w:ascii="Times New Roman" w:hAnsi="Times New Roman"/>
          <w:noProof/>
        </w:rPr>
        <w:tab/>
        <w:t xml:space="preserve">Li, J. W.; Xiao, Y. L.; Lai, C. F.; Lou, N.; Ma, H. L.; Zhu, B. Y.; Zhong, W. Bin; Yan, D. G. </w:t>
      </w:r>
      <w:r w:rsidRPr="000849BF">
        <w:rPr>
          <w:rFonts w:ascii="Times New Roman" w:hAnsi="Times New Roman"/>
          <w:i/>
          <w:iCs/>
          <w:noProof/>
        </w:rPr>
        <w:t>Oncotarget</w:t>
      </w:r>
      <w:r w:rsidRPr="000849BF">
        <w:rPr>
          <w:rFonts w:ascii="Times New Roman" w:hAnsi="Times New Roman"/>
          <w:noProof/>
        </w:rPr>
        <w:t xml:space="preserve"> </w:t>
      </w:r>
      <w:r w:rsidRPr="000849BF">
        <w:rPr>
          <w:rFonts w:ascii="Times New Roman" w:hAnsi="Times New Roman"/>
          <w:b/>
          <w:bCs/>
          <w:noProof/>
        </w:rPr>
        <w:t>2016</w:t>
      </w:r>
      <w:r w:rsidRPr="000849BF">
        <w:rPr>
          <w:rFonts w:ascii="Times New Roman" w:hAnsi="Times New Roman"/>
          <w:noProof/>
        </w:rPr>
        <w:t xml:space="preserve">, </w:t>
      </w:r>
      <w:r w:rsidRPr="000849BF">
        <w:rPr>
          <w:rFonts w:ascii="Times New Roman" w:hAnsi="Times New Roman"/>
          <w:i/>
          <w:iCs/>
          <w:noProof/>
        </w:rPr>
        <w:t>7</w:t>
      </w:r>
      <w:r w:rsidRPr="000849BF">
        <w:rPr>
          <w:rFonts w:ascii="Times New Roman" w:hAnsi="Times New Roman"/>
          <w:noProof/>
        </w:rPr>
        <w:t xml:space="preserve"> (40), 65849–65861.</w:t>
      </w:r>
    </w:p>
    <w:p w14:paraId="2B3C447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(56) </w:t>
      </w:r>
      <w:r w:rsidRPr="000849BF">
        <w:rPr>
          <w:rFonts w:ascii="Times New Roman" w:hAnsi="Times New Roman"/>
          <w:noProof/>
        </w:rPr>
        <w:tab/>
        <w:t xml:space="preserve">Cao, X.; Chen, J.; Li, D.; Xie, P.; Xu, M.; Lin, W.; Li, S.; Pan, G.; Tang, Y.; Xu, J.; Olkkonen, V. M.; Yan, D.; Zhong, W. </w:t>
      </w:r>
      <w:r w:rsidRPr="000849BF">
        <w:rPr>
          <w:rFonts w:ascii="Times New Roman" w:hAnsi="Times New Roman"/>
          <w:i/>
          <w:iCs/>
          <w:noProof/>
        </w:rPr>
        <w:t>FASEB J.</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fj201900933RR.</w:t>
      </w:r>
    </w:p>
    <w:p w14:paraId="421A9ADC"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(57) </w:t>
      </w:r>
      <w:r w:rsidRPr="000849BF">
        <w:rPr>
          <w:rFonts w:ascii="Times New Roman" w:hAnsi="Times New Roman"/>
          <w:noProof/>
        </w:rPr>
        <w:tab/>
        <w:t xml:space="preserve">Garcia-Prieto, C.; Ahmed, K. B. R.; Chen, Z.; Zhou, Y.; Hammoudi, N.; Kang, Y.; Lou, C.; Mei, Y.; Jin, Z.; Huang, P. </w:t>
      </w:r>
      <w:r w:rsidRPr="000849BF">
        <w:rPr>
          <w:rFonts w:ascii="Times New Roman" w:hAnsi="Times New Roman"/>
          <w:i/>
          <w:iCs/>
          <w:noProof/>
        </w:rPr>
        <w:t>J. Biol. Chem.</w:t>
      </w:r>
      <w:r w:rsidRPr="000849BF">
        <w:rPr>
          <w:rFonts w:ascii="Times New Roman" w:hAnsi="Times New Roman"/>
          <w:noProof/>
        </w:rPr>
        <w:t xml:space="preserve"> </w:t>
      </w:r>
      <w:r w:rsidRPr="000849BF">
        <w:rPr>
          <w:rFonts w:ascii="Times New Roman" w:hAnsi="Times New Roman"/>
          <w:b/>
          <w:bCs/>
          <w:noProof/>
        </w:rPr>
        <w:t>2013</w:t>
      </w:r>
      <w:r w:rsidRPr="000849BF">
        <w:rPr>
          <w:rFonts w:ascii="Times New Roman" w:hAnsi="Times New Roman"/>
          <w:noProof/>
        </w:rPr>
        <w:t xml:space="preserve">, </w:t>
      </w:r>
      <w:r w:rsidRPr="000849BF">
        <w:rPr>
          <w:rFonts w:ascii="Times New Roman" w:hAnsi="Times New Roman"/>
          <w:i/>
          <w:iCs/>
          <w:noProof/>
        </w:rPr>
        <w:t>288</w:t>
      </w:r>
      <w:r w:rsidRPr="000849BF">
        <w:rPr>
          <w:rFonts w:ascii="Times New Roman" w:hAnsi="Times New Roman"/>
          <w:noProof/>
        </w:rPr>
        <w:t xml:space="preserve"> (5), 3240–3250.</w:t>
      </w:r>
    </w:p>
    <w:p w14:paraId="11B3D4C6"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(58) </w:t>
      </w:r>
      <w:r w:rsidRPr="000849BF">
        <w:rPr>
          <w:rFonts w:ascii="Times New Roman" w:hAnsi="Times New Roman"/>
          <w:noProof/>
        </w:rPr>
        <w:tab/>
        <w:t xml:space="preserve">Kubo, S.; Mimaki, Y.; Terao, M.; Sashida, Y.; Nikaido, T.; Ohmoto, T. </w:t>
      </w:r>
      <w:r w:rsidRPr="000849BF">
        <w:rPr>
          <w:rFonts w:ascii="Times New Roman" w:hAnsi="Times New Roman"/>
          <w:i/>
          <w:iCs/>
          <w:noProof/>
        </w:rPr>
        <w:t>Phytochemistry</w:t>
      </w:r>
      <w:r w:rsidRPr="000849BF">
        <w:rPr>
          <w:rFonts w:ascii="Times New Roman" w:hAnsi="Times New Roman"/>
          <w:noProof/>
        </w:rPr>
        <w:t xml:space="preserve"> </w:t>
      </w:r>
      <w:r w:rsidRPr="000849BF">
        <w:rPr>
          <w:rFonts w:ascii="Times New Roman" w:hAnsi="Times New Roman"/>
          <w:b/>
          <w:bCs/>
          <w:noProof/>
        </w:rPr>
        <w:t>1992</w:t>
      </w:r>
      <w:r w:rsidRPr="000849BF">
        <w:rPr>
          <w:rFonts w:ascii="Times New Roman" w:hAnsi="Times New Roman"/>
          <w:noProof/>
        </w:rPr>
        <w:t xml:space="preserve">, </w:t>
      </w:r>
      <w:r w:rsidRPr="000849BF">
        <w:rPr>
          <w:rFonts w:ascii="Times New Roman" w:hAnsi="Times New Roman"/>
          <w:i/>
          <w:iCs/>
          <w:noProof/>
        </w:rPr>
        <w:t>31</w:t>
      </w:r>
      <w:r w:rsidRPr="000849BF">
        <w:rPr>
          <w:rFonts w:ascii="Times New Roman" w:hAnsi="Times New Roman"/>
          <w:noProof/>
        </w:rPr>
        <w:t xml:space="preserve"> (11), 3969–3973.</w:t>
      </w:r>
    </w:p>
    <w:p w14:paraId="3AF6642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(59) </w:t>
      </w:r>
      <w:r w:rsidRPr="000849BF">
        <w:rPr>
          <w:rFonts w:ascii="Times New Roman" w:hAnsi="Times New Roman"/>
          <w:noProof/>
        </w:rPr>
        <w:tab/>
        <w:t xml:space="preserve">Mimaki, Y.; Kuroda, M.; Kameyama, A.; Sashida, Y.; Hirano, T.; Oka, K.; Maekawa, R.; Wada, T.; Sugita, K.; Beutler, J. A. </w:t>
      </w:r>
      <w:r w:rsidRPr="000849BF">
        <w:rPr>
          <w:rFonts w:ascii="Times New Roman" w:hAnsi="Times New Roman"/>
          <w:i/>
          <w:iCs/>
          <w:noProof/>
        </w:rPr>
        <w:t>Bioorganic Med. Chem. Lett.</w:t>
      </w:r>
      <w:r w:rsidRPr="000849BF">
        <w:rPr>
          <w:rFonts w:ascii="Times New Roman" w:hAnsi="Times New Roman"/>
          <w:noProof/>
        </w:rPr>
        <w:t xml:space="preserve"> </w:t>
      </w:r>
      <w:r w:rsidRPr="000849BF">
        <w:rPr>
          <w:rFonts w:ascii="Times New Roman" w:hAnsi="Times New Roman"/>
          <w:b/>
          <w:bCs/>
          <w:noProof/>
        </w:rPr>
        <w:t>1997</w:t>
      </w:r>
      <w:r w:rsidRPr="000849BF">
        <w:rPr>
          <w:rFonts w:ascii="Times New Roman" w:hAnsi="Times New Roman"/>
          <w:noProof/>
        </w:rPr>
        <w:t xml:space="preserve">, </w:t>
      </w:r>
      <w:r w:rsidRPr="000849BF">
        <w:rPr>
          <w:rFonts w:ascii="Times New Roman" w:hAnsi="Times New Roman"/>
          <w:i/>
          <w:iCs/>
          <w:noProof/>
        </w:rPr>
        <w:t>7</w:t>
      </w:r>
      <w:r w:rsidRPr="000849BF">
        <w:rPr>
          <w:rFonts w:ascii="Times New Roman" w:hAnsi="Times New Roman"/>
          <w:noProof/>
        </w:rPr>
        <w:t xml:space="preserve"> (5), 633–636.</w:t>
      </w:r>
    </w:p>
    <w:p w14:paraId="196D1D2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(60) </w:t>
      </w:r>
      <w:r w:rsidRPr="000849BF">
        <w:rPr>
          <w:rFonts w:ascii="Times New Roman" w:hAnsi="Times New Roman"/>
          <w:noProof/>
        </w:rPr>
        <w:tab/>
        <w:t xml:space="preserve">Burgett, A. W. G.; Poulsen, T. B.; Wangkanont, K.; Anderson, D. R.; Kikuchi, C.; Shimada, K.; Okubo, S.; Fortner, K. C.; Mimaki, Y.; Kuroda, M.; Murphy, J. P.; Schwalb, D. J.; Petrella, E. C.; Cornella-Taracido, I.; Schirle, M.; Tallarico, J. A.; Shair, M. D. </w:t>
      </w:r>
      <w:r w:rsidRPr="000849BF">
        <w:rPr>
          <w:rFonts w:ascii="Times New Roman" w:hAnsi="Times New Roman"/>
          <w:i/>
          <w:iCs/>
          <w:noProof/>
        </w:rPr>
        <w:t>Nat. Chem. Biol.</w:t>
      </w:r>
      <w:r w:rsidRPr="000849BF">
        <w:rPr>
          <w:rFonts w:ascii="Times New Roman" w:hAnsi="Times New Roman"/>
          <w:noProof/>
        </w:rPr>
        <w:t xml:space="preserve"> </w:t>
      </w:r>
      <w:r w:rsidRPr="000849BF">
        <w:rPr>
          <w:rFonts w:ascii="Times New Roman" w:hAnsi="Times New Roman"/>
          <w:b/>
          <w:bCs/>
          <w:noProof/>
        </w:rPr>
        <w:t>2011</w:t>
      </w:r>
      <w:r w:rsidRPr="000849BF">
        <w:rPr>
          <w:rFonts w:ascii="Times New Roman" w:hAnsi="Times New Roman"/>
          <w:noProof/>
        </w:rPr>
        <w:t xml:space="preserve">, </w:t>
      </w:r>
      <w:r w:rsidRPr="000849BF">
        <w:rPr>
          <w:rFonts w:ascii="Times New Roman" w:hAnsi="Times New Roman"/>
          <w:i/>
          <w:iCs/>
          <w:noProof/>
        </w:rPr>
        <w:t>7</w:t>
      </w:r>
      <w:r w:rsidRPr="000849BF">
        <w:rPr>
          <w:rFonts w:ascii="Times New Roman" w:hAnsi="Times New Roman"/>
          <w:noProof/>
        </w:rPr>
        <w:t xml:space="preserve"> (9), 639–647.</w:t>
      </w:r>
    </w:p>
    <w:p w14:paraId="0A04847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(61) </w:t>
      </w:r>
      <w:r w:rsidRPr="000849BF">
        <w:rPr>
          <w:rFonts w:ascii="Times New Roman" w:hAnsi="Times New Roman"/>
          <w:noProof/>
        </w:rPr>
        <w:tab/>
        <w:t xml:space="preserve">Albulescu, L.; Strating, J. R. P. M.; Thibaut, H. J.; Van Der Linden, L.; Shair, M. D.; Neyts, J.; Van Kuppeveld, F. J. M. </w:t>
      </w:r>
      <w:r w:rsidRPr="000849BF">
        <w:rPr>
          <w:rFonts w:ascii="Times New Roman" w:hAnsi="Times New Roman"/>
          <w:i/>
          <w:iCs/>
          <w:noProof/>
        </w:rPr>
        <w:t>Antiviral Res.</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117</w:t>
      </w:r>
      <w:r w:rsidRPr="000849BF">
        <w:rPr>
          <w:rFonts w:ascii="Times New Roman" w:hAnsi="Times New Roman"/>
          <w:noProof/>
        </w:rPr>
        <w:t>, 110–114.</w:t>
      </w:r>
    </w:p>
    <w:p w14:paraId="6A598EA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(62) </w:t>
      </w:r>
      <w:r w:rsidRPr="000849BF">
        <w:rPr>
          <w:rFonts w:ascii="Times New Roman" w:hAnsi="Times New Roman"/>
          <w:noProof/>
        </w:rPr>
        <w:tab/>
        <w:t xml:space="preserve">Albulescu, L.; Bigay, J.; Biswas, B.; Weber-Boyvat, M.; Dorobantu, C. M.; Delang, L.; van der Schaar, H. M.; Jung, Y. S.; Neyts, J.; Olkkonen, V. M.; van Kuppeveld, F. J. M.; Strating, J. R. P. M. </w:t>
      </w:r>
      <w:r w:rsidRPr="000849BF">
        <w:rPr>
          <w:rFonts w:ascii="Times New Roman" w:hAnsi="Times New Roman"/>
          <w:i/>
          <w:iCs/>
          <w:noProof/>
        </w:rPr>
        <w:t>Antiviral Res.</w:t>
      </w:r>
      <w:r w:rsidRPr="000849BF">
        <w:rPr>
          <w:rFonts w:ascii="Times New Roman" w:hAnsi="Times New Roman"/>
          <w:noProof/>
        </w:rPr>
        <w:t xml:space="preserve"> </w:t>
      </w:r>
      <w:r w:rsidRPr="000849BF">
        <w:rPr>
          <w:rFonts w:ascii="Times New Roman" w:hAnsi="Times New Roman"/>
          <w:b/>
          <w:bCs/>
          <w:noProof/>
        </w:rPr>
        <w:t>2017</w:t>
      </w:r>
      <w:r w:rsidRPr="000849BF">
        <w:rPr>
          <w:rFonts w:ascii="Times New Roman" w:hAnsi="Times New Roman"/>
          <w:noProof/>
        </w:rPr>
        <w:t xml:space="preserve">, </w:t>
      </w:r>
      <w:r w:rsidRPr="000849BF">
        <w:rPr>
          <w:rFonts w:ascii="Times New Roman" w:hAnsi="Times New Roman"/>
          <w:i/>
          <w:iCs/>
          <w:noProof/>
        </w:rPr>
        <w:t>140</w:t>
      </w:r>
      <w:r w:rsidRPr="000849BF">
        <w:rPr>
          <w:rFonts w:ascii="Times New Roman" w:hAnsi="Times New Roman"/>
          <w:noProof/>
        </w:rPr>
        <w:t>, 37–44.</w:t>
      </w:r>
    </w:p>
    <w:p w14:paraId="08C2B84C"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(63) </w:t>
      </w:r>
      <w:r w:rsidRPr="000849BF">
        <w:rPr>
          <w:rFonts w:ascii="Times New Roman" w:hAnsi="Times New Roman"/>
          <w:noProof/>
        </w:rPr>
        <w:tab/>
        <w:t xml:space="preserve">Arita, M.; Kojima, H.; Nagano, T.; Okabe, T.; Wakita, T.; Shimizu, H. </w:t>
      </w:r>
      <w:r w:rsidRPr="000849BF">
        <w:rPr>
          <w:rFonts w:ascii="Times New Roman" w:hAnsi="Times New Roman"/>
          <w:i/>
          <w:iCs/>
          <w:noProof/>
        </w:rPr>
        <w:t>J. Virol.</w:t>
      </w:r>
      <w:r w:rsidRPr="000849BF">
        <w:rPr>
          <w:rFonts w:ascii="Times New Roman" w:hAnsi="Times New Roman"/>
          <w:noProof/>
        </w:rPr>
        <w:t xml:space="preserve"> </w:t>
      </w:r>
      <w:r w:rsidRPr="000849BF">
        <w:rPr>
          <w:rFonts w:ascii="Times New Roman" w:hAnsi="Times New Roman"/>
          <w:b/>
          <w:bCs/>
          <w:noProof/>
        </w:rPr>
        <w:t>2013</w:t>
      </w:r>
      <w:r w:rsidRPr="000849BF">
        <w:rPr>
          <w:rFonts w:ascii="Times New Roman" w:hAnsi="Times New Roman"/>
          <w:noProof/>
        </w:rPr>
        <w:t xml:space="preserve">, </w:t>
      </w:r>
      <w:r w:rsidRPr="000849BF">
        <w:rPr>
          <w:rFonts w:ascii="Times New Roman" w:hAnsi="Times New Roman"/>
          <w:i/>
          <w:iCs/>
          <w:noProof/>
        </w:rPr>
        <w:t>87</w:t>
      </w:r>
      <w:r w:rsidRPr="000849BF">
        <w:rPr>
          <w:rFonts w:ascii="Times New Roman" w:hAnsi="Times New Roman"/>
          <w:noProof/>
        </w:rPr>
        <w:t xml:space="preserve"> (8), 4252–4260.</w:t>
      </w:r>
    </w:p>
    <w:p w14:paraId="3124F95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(64) </w:t>
      </w:r>
      <w:r w:rsidRPr="000849BF">
        <w:rPr>
          <w:rFonts w:ascii="Times New Roman" w:hAnsi="Times New Roman"/>
          <w:noProof/>
        </w:rPr>
        <w:tab/>
        <w:t xml:space="preserve">Strating, J. R. P. M.; van der Linden, L.; Albulescu, L.; Bigay, J.; Arita, M.; Delang, L.; Leyssen, P.; van der Schaar, H. M.; Lanke, K. H. W.; Thibaut, H. J.; Ulferts, R.; Drin, G.; Schlinck, N.; Wubbolts, R. W.; Sever, N.; Head, S. A.; Liu, J. O.; Beachy, P. A.; DeMatteis, M. A.; Shair, M. D.; Olkkonen, V. M.; Neyts, J.; van Kuppeveld, F. J. M. </w:t>
      </w:r>
      <w:r w:rsidRPr="000849BF">
        <w:rPr>
          <w:rFonts w:ascii="Times New Roman" w:hAnsi="Times New Roman"/>
          <w:i/>
          <w:iCs/>
          <w:noProof/>
        </w:rPr>
        <w:t>Cell Rep.</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10</w:t>
      </w:r>
      <w:r w:rsidRPr="000849BF">
        <w:rPr>
          <w:rFonts w:ascii="Times New Roman" w:hAnsi="Times New Roman"/>
          <w:noProof/>
        </w:rPr>
        <w:t xml:space="preserve"> (4), 600–615.</w:t>
      </w:r>
    </w:p>
    <w:p w14:paraId="727EBEF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(65) </w:t>
      </w:r>
      <w:r w:rsidRPr="000849BF">
        <w:rPr>
          <w:rFonts w:ascii="Times New Roman" w:hAnsi="Times New Roman"/>
          <w:noProof/>
        </w:rPr>
        <w:tab/>
        <w:t xml:space="preserve">Boggio, K. J.; Obasuyi, E.; Sugino, K.; Nelson, S. B.; Agar, N. Y. R.; Agar, J. N. </w:t>
      </w:r>
      <w:r w:rsidRPr="000849BF">
        <w:rPr>
          <w:rFonts w:ascii="Times New Roman" w:hAnsi="Times New Roman"/>
          <w:i/>
          <w:iCs/>
          <w:noProof/>
        </w:rPr>
        <w:t>Expert Review of Proteomics</w:t>
      </w:r>
      <w:r w:rsidRPr="000849BF">
        <w:rPr>
          <w:rFonts w:ascii="Times New Roman" w:hAnsi="Times New Roman"/>
          <w:noProof/>
        </w:rPr>
        <w:t>. October 2011, pp 591–604.</w:t>
      </w:r>
    </w:p>
    <w:p w14:paraId="03702E2C"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(66) </w:t>
      </w:r>
      <w:r w:rsidRPr="000849BF">
        <w:rPr>
          <w:rFonts w:ascii="Times New Roman" w:hAnsi="Times New Roman"/>
          <w:noProof/>
        </w:rPr>
        <w:tab/>
        <w:t xml:space="preserve">Onjiko, R. M.; Moody, S. A.; Nemes, P. </w:t>
      </w:r>
      <w:r w:rsidRPr="000849BF">
        <w:rPr>
          <w:rFonts w:ascii="Times New Roman" w:hAnsi="Times New Roman"/>
          <w:i/>
          <w:iCs/>
          <w:noProof/>
        </w:rPr>
        <w:t>Proc. Natl. Acad. Sci. U. S. A.</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112</w:t>
      </w:r>
      <w:r w:rsidRPr="000849BF">
        <w:rPr>
          <w:rFonts w:ascii="Times New Roman" w:hAnsi="Times New Roman"/>
          <w:noProof/>
        </w:rPr>
        <w:t xml:space="preserve"> (21), 6545–6550.</w:t>
      </w:r>
    </w:p>
    <w:p w14:paraId="01A802F6"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(67) </w:t>
      </w:r>
      <w:r w:rsidRPr="000849BF">
        <w:rPr>
          <w:rFonts w:ascii="Times New Roman" w:hAnsi="Times New Roman"/>
          <w:noProof/>
        </w:rPr>
        <w:tab/>
        <w:t xml:space="preserve">Duncan, K. D.; Fyrestam, J.; Lanekoff, I. </w:t>
      </w:r>
      <w:r w:rsidRPr="000849BF">
        <w:rPr>
          <w:rFonts w:ascii="Times New Roman" w:hAnsi="Times New Roman"/>
          <w:i/>
          <w:iCs/>
          <w:noProof/>
        </w:rPr>
        <w:t>Cite this Anal.</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144</w:t>
      </w:r>
      <w:r w:rsidRPr="000849BF">
        <w:rPr>
          <w:rFonts w:ascii="Times New Roman" w:hAnsi="Times New Roman"/>
          <w:noProof/>
        </w:rPr>
        <w:t>, 782.</w:t>
      </w:r>
    </w:p>
    <w:p w14:paraId="25865AF4"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(68) </w:t>
      </w:r>
      <w:r w:rsidRPr="000849BF">
        <w:rPr>
          <w:rFonts w:ascii="Times New Roman" w:hAnsi="Times New Roman"/>
          <w:noProof/>
        </w:rPr>
        <w:tab/>
        <w:t xml:space="preserve">Zhang, L.; Vertes, A. </w:t>
      </w:r>
      <w:r w:rsidRPr="000849BF">
        <w:rPr>
          <w:rFonts w:ascii="Times New Roman" w:hAnsi="Times New Roman"/>
          <w:i/>
          <w:iCs/>
          <w:noProof/>
        </w:rPr>
        <w:t>Angewandte Chemie - International Edition</w:t>
      </w:r>
      <w:r w:rsidRPr="000849BF">
        <w:rPr>
          <w:rFonts w:ascii="Times New Roman" w:hAnsi="Times New Roman"/>
          <w:noProof/>
        </w:rPr>
        <w:t>. Wiley-VCH Verlag April 16, 2018, pp 4466–4477.</w:t>
      </w:r>
    </w:p>
    <w:p w14:paraId="2E5C1657"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(69) </w:t>
      </w:r>
      <w:r w:rsidRPr="000849BF">
        <w:rPr>
          <w:rFonts w:ascii="Times New Roman" w:hAnsi="Times New Roman"/>
          <w:noProof/>
        </w:rPr>
        <w:tab/>
        <w:t xml:space="preserve">Dueñas, M. E.; Essner, J. J.; Lee, Y. J. </w:t>
      </w:r>
      <w:r w:rsidRPr="000849BF">
        <w:rPr>
          <w:rFonts w:ascii="Times New Roman" w:hAnsi="Times New Roman"/>
          <w:i/>
          <w:iCs/>
          <w:noProof/>
        </w:rPr>
        <w:t>Sci. Rep.</w:t>
      </w:r>
      <w:r w:rsidRPr="000849BF">
        <w:rPr>
          <w:rFonts w:ascii="Times New Roman" w:hAnsi="Times New Roman"/>
          <w:noProof/>
        </w:rPr>
        <w:t xml:space="preserve"> </w:t>
      </w:r>
      <w:r w:rsidRPr="000849BF">
        <w:rPr>
          <w:rFonts w:ascii="Times New Roman" w:hAnsi="Times New Roman"/>
          <w:b/>
          <w:bCs/>
          <w:noProof/>
        </w:rPr>
        <w:t>2017</w:t>
      </w:r>
      <w:r w:rsidRPr="000849BF">
        <w:rPr>
          <w:rFonts w:ascii="Times New Roman" w:hAnsi="Times New Roman"/>
          <w:noProof/>
        </w:rPr>
        <w:t xml:space="preserve">, </w:t>
      </w:r>
      <w:r w:rsidRPr="000849BF">
        <w:rPr>
          <w:rFonts w:ascii="Times New Roman" w:hAnsi="Times New Roman"/>
          <w:i/>
          <w:iCs/>
          <w:noProof/>
        </w:rPr>
        <w:t>7</w:t>
      </w:r>
      <w:r w:rsidRPr="000849BF">
        <w:rPr>
          <w:rFonts w:ascii="Times New Roman" w:hAnsi="Times New Roman"/>
          <w:noProof/>
        </w:rPr>
        <w:t xml:space="preserve"> (1).</w:t>
      </w:r>
    </w:p>
    <w:p w14:paraId="1DD1C277"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(70) </w:t>
      </w:r>
      <w:r w:rsidRPr="000849BF">
        <w:rPr>
          <w:rFonts w:ascii="Times New Roman" w:hAnsi="Times New Roman"/>
          <w:noProof/>
        </w:rPr>
        <w:tab/>
        <w:t xml:space="preserve">Redeker, V.; Toullec, J. Y.; Vinh, J.; Rossier, J.; Soyez, D.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1998</w:t>
      </w:r>
      <w:r w:rsidRPr="000849BF">
        <w:rPr>
          <w:rFonts w:ascii="Times New Roman" w:hAnsi="Times New Roman"/>
          <w:noProof/>
        </w:rPr>
        <w:t xml:space="preserve">, </w:t>
      </w:r>
      <w:r w:rsidRPr="000849BF">
        <w:rPr>
          <w:rFonts w:ascii="Times New Roman" w:hAnsi="Times New Roman"/>
          <w:i/>
          <w:iCs/>
          <w:noProof/>
        </w:rPr>
        <w:t>70</w:t>
      </w:r>
      <w:r w:rsidRPr="000849BF">
        <w:rPr>
          <w:rFonts w:ascii="Times New Roman" w:hAnsi="Times New Roman"/>
          <w:noProof/>
        </w:rPr>
        <w:t xml:space="preserve"> (9), 1805–1811.</w:t>
      </w:r>
    </w:p>
    <w:p w14:paraId="131E099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(71) </w:t>
      </w:r>
      <w:r w:rsidRPr="000849BF">
        <w:rPr>
          <w:rFonts w:ascii="Times New Roman" w:hAnsi="Times New Roman"/>
          <w:noProof/>
        </w:rPr>
        <w:tab/>
        <w:t xml:space="preserve">Rubakhin, S. S.; Garden, R. W.; Fuller, R. R.; Sweedler, J. V. </w:t>
      </w:r>
      <w:r w:rsidRPr="000849BF">
        <w:rPr>
          <w:rFonts w:ascii="Times New Roman" w:hAnsi="Times New Roman"/>
          <w:i/>
          <w:iCs/>
          <w:noProof/>
        </w:rPr>
        <w:t>Nat. Biotechnol.</w:t>
      </w:r>
      <w:r w:rsidRPr="000849BF">
        <w:rPr>
          <w:rFonts w:ascii="Times New Roman" w:hAnsi="Times New Roman"/>
          <w:noProof/>
        </w:rPr>
        <w:t xml:space="preserve"> </w:t>
      </w:r>
      <w:r w:rsidRPr="000849BF">
        <w:rPr>
          <w:rFonts w:ascii="Times New Roman" w:hAnsi="Times New Roman"/>
          <w:b/>
          <w:bCs/>
          <w:noProof/>
        </w:rPr>
        <w:t>2000</w:t>
      </w:r>
      <w:r w:rsidRPr="000849BF">
        <w:rPr>
          <w:rFonts w:ascii="Times New Roman" w:hAnsi="Times New Roman"/>
          <w:noProof/>
        </w:rPr>
        <w:t xml:space="preserve">, </w:t>
      </w:r>
      <w:r w:rsidRPr="000849BF">
        <w:rPr>
          <w:rFonts w:ascii="Times New Roman" w:hAnsi="Times New Roman"/>
          <w:i/>
          <w:iCs/>
          <w:noProof/>
        </w:rPr>
        <w:t>18</w:t>
      </w:r>
      <w:r w:rsidRPr="000849BF">
        <w:rPr>
          <w:rFonts w:ascii="Times New Roman" w:hAnsi="Times New Roman"/>
          <w:noProof/>
        </w:rPr>
        <w:t xml:space="preserve"> (2), 172–175.</w:t>
      </w:r>
    </w:p>
    <w:p w14:paraId="0261AF9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(72) </w:t>
      </w:r>
      <w:r w:rsidRPr="000849BF">
        <w:rPr>
          <w:rFonts w:ascii="Times New Roman" w:hAnsi="Times New Roman"/>
          <w:noProof/>
        </w:rPr>
        <w:tab/>
        <w:t xml:space="preserve">Zhang, X. C.; Wei, Z. W.; Gong, X. Y.; Si, X. Y.; Zhao, Y. Y.; Yang, C. D.; Zhang, S. C.; Zhang, X. R. </w:t>
      </w:r>
      <w:r w:rsidRPr="000849BF">
        <w:rPr>
          <w:rFonts w:ascii="Times New Roman" w:hAnsi="Times New Roman"/>
          <w:i/>
          <w:iCs/>
          <w:noProof/>
        </w:rPr>
        <w:t>Sci. Rep.</w:t>
      </w:r>
      <w:r w:rsidRPr="000849BF">
        <w:rPr>
          <w:rFonts w:ascii="Times New Roman" w:hAnsi="Times New Roman"/>
          <w:noProof/>
        </w:rPr>
        <w:t xml:space="preserve"> </w:t>
      </w:r>
      <w:r w:rsidRPr="000849BF">
        <w:rPr>
          <w:rFonts w:ascii="Times New Roman" w:hAnsi="Times New Roman"/>
          <w:b/>
          <w:bCs/>
          <w:noProof/>
        </w:rPr>
        <w:t>2016</w:t>
      </w:r>
      <w:r w:rsidRPr="000849BF">
        <w:rPr>
          <w:rFonts w:ascii="Times New Roman" w:hAnsi="Times New Roman"/>
          <w:noProof/>
        </w:rPr>
        <w:t xml:space="preserve">, </w:t>
      </w:r>
      <w:r w:rsidRPr="000849BF">
        <w:rPr>
          <w:rFonts w:ascii="Times New Roman" w:hAnsi="Times New Roman"/>
          <w:i/>
          <w:iCs/>
          <w:noProof/>
        </w:rPr>
        <w:t>6</w:t>
      </w:r>
      <w:r w:rsidRPr="000849BF">
        <w:rPr>
          <w:rFonts w:ascii="Times New Roman" w:hAnsi="Times New Roman"/>
          <w:noProof/>
        </w:rPr>
        <w:t>.</w:t>
      </w:r>
    </w:p>
    <w:p w14:paraId="789A26FB"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(73) </w:t>
      </w:r>
      <w:r w:rsidRPr="000849BF">
        <w:rPr>
          <w:rFonts w:ascii="Times New Roman" w:hAnsi="Times New Roman"/>
          <w:noProof/>
        </w:rPr>
        <w:tab/>
        <w:t xml:space="preserve">Wei, Z.; Zhang, X.; Si, X.; Gong, X.; Zhang, S.; Zhang, X. In </w:t>
      </w:r>
      <w:r w:rsidRPr="000849BF">
        <w:rPr>
          <w:rFonts w:ascii="Times New Roman" w:hAnsi="Times New Roman"/>
          <w:i/>
          <w:iCs/>
          <w:noProof/>
        </w:rPr>
        <w:t>Methods in Molecular Biology</w:t>
      </w:r>
      <w:r w:rsidRPr="000849BF">
        <w:rPr>
          <w:rFonts w:ascii="Times New Roman" w:hAnsi="Times New Roman"/>
          <w:noProof/>
        </w:rPr>
        <w:t>; Humana Press Inc., 2020; Vol. 2064, pp 31–59.</w:t>
      </w:r>
    </w:p>
    <w:p w14:paraId="4CD65BB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(74) </w:t>
      </w:r>
      <w:r w:rsidRPr="000849BF">
        <w:rPr>
          <w:rFonts w:ascii="Times New Roman" w:hAnsi="Times New Roman"/>
          <w:noProof/>
        </w:rPr>
        <w:tab/>
        <w:t xml:space="preserve">Gong, X.; Zhao, Y.; Cai, S.; Fu, S.; Yang, C.; Zhang, S.; Zhang, X.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86</w:t>
      </w:r>
      <w:r w:rsidRPr="000849BF">
        <w:rPr>
          <w:rFonts w:ascii="Times New Roman" w:hAnsi="Times New Roman"/>
          <w:noProof/>
        </w:rPr>
        <w:t xml:space="preserve"> (8), 3809–3816.</w:t>
      </w:r>
    </w:p>
    <w:p w14:paraId="568868D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(75) </w:t>
      </w:r>
      <w:r w:rsidRPr="000849BF">
        <w:rPr>
          <w:rFonts w:ascii="Times New Roman" w:hAnsi="Times New Roman"/>
          <w:noProof/>
        </w:rPr>
        <w:tab/>
        <w:t xml:space="preserve">Wilm, M.; Shevchenko, A.; Houthaeve, T.; Breit, S.; Schweigerer, L.; Fotsis, T.; Mann, M. </w:t>
      </w:r>
      <w:r w:rsidRPr="000849BF">
        <w:rPr>
          <w:rFonts w:ascii="Times New Roman" w:hAnsi="Times New Roman"/>
          <w:i/>
          <w:iCs/>
          <w:noProof/>
        </w:rPr>
        <w:t>Nature</w:t>
      </w:r>
      <w:r w:rsidRPr="000849BF">
        <w:rPr>
          <w:rFonts w:ascii="Times New Roman" w:hAnsi="Times New Roman"/>
          <w:noProof/>
        </w:rPr>
        <w:t xml:space="preserve"> </w:t>
      </w:r>
      <w:r w:rsidRPr="000849BF">
        <w:rPr>
          <w:rFonts w:ascii="Times New Roman" w:hAnsi="Times New Roman"/>
          <w:b/>
          <w:bCs/>
          <w:noProof/>
        </w:rPr>
        <w:t>1996</w:t>
      </w:r>
      <w:r w:rsidRPr="000849BF">
        <w:rPr>
          <w:rFonts w:ascii="Times New Roman" w:hAnsi="Times New Roman"/>
          <w:noProof/>
        </w:rPr>
        <w:t xml:space="preserve">, </w:t>
      </w:r>
      <w:r w:rsidRPr="000849BF">
        <w:rPr>
          <w:rFonts w:ascii="Times New Roman" w:hAnsi="Times New Roman"/>
          <w:i/>
          <w:iCs/>
          <w:noProof/>
        </w:rPr>
        <w:t>379</w:t>
      </w:r>
      <w:r w:rsidRPr="000849BF">
        <w:rPr>
          <w:rFonts w:ascii="Times New Roman" w:hAnsi="Times New Roman"/>
          <w:noProof/>
        </w:rPr>
        <w:t xml:space="preserve"> (6564), 466–469.</w:t>
      </w:r>
    </w:p>
    <w:p w14:paraId="4A2B149D"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(76) </w:t>
      </w:r>
      <w:r w:rsidRPr="000849BF">
        <w:rPr>
          <w:rFonts w:ascii="Times New Roman" w:hAnsi="Times New Roman"/>
          <w:noProof/>
        </w:rPr>
        <w:tab/>
        <w:t xml:space="preserve">Tian, Q.; Li, D.; Barbacci, D.; Schwartz, S. J.; Patil, B. S. </w:t>
      </w:r>
      <w:r w:rsidRPr="000849BF">
        <w:rPr>
          <w:rFonts w:ascii="Times New Roman" w:hAnsi="Times New Roman"/>
          <w:i/>
          <w:iCs/>
          <w:noProof/>
        </w:rPr>
        <w:t>Rapid Commun. Mass Spectrom.</w:t>
      </w:r>
      <w:r w:rsidRPr="000849BF">
        <w:rPr>
          <w:rFonts w:ascii="Times New Roman" w:hAnsi="Times New Roman"/>
          <w:noProof/>
        </w:rPr>
        <w:t xml:space="preserve"> </w:t>
      </w:r>
      <w:r w:rsidRPr="000849BF">
        <w:rPr>
          <w:rFonts w:ascii="Times New Roman" w:hAnsi="Times New Roman"/>
          <w:b/>
          <w:bCs/>
          <w:noProof/>
        </w:rPr>
        <w:t>2003</w:t>
      </w:r>
      <w:r w:rsidRPr="000849BF">
        <w:rPr>
          <w:rFonts w:ascii="Times New Roman" w:hAnsi="Times New Roman"/>
          <w:noProof/>
        </w:rPr>
        <w:t xml:space="preserve">, </w:t>
      </w:r>
      <w:r w:rsidRPr="000849BF">
        <w:rPr>
          <w:rFonts w:ascii="Times New Roman" w:hAnsi="Times New Roman"/>
          <w:i/>
          <w:iCs/>
          <w:noProof/>
        </w:rPr>
        <w:t>17</w:t>
      </w:r>
      <w:r w:rsidRPr="000849BF">
        <w:rPr>
          <w:rFonts w:ascii="Times New Roman" w:hAnsi="Times New Roman"/>
          <w:noProof/>
        </w:rPr>
        <w:t xml:space="preserve"> (22), 2517–2522.</w:t>
      </w:r>
    </w:p>
    <w:p w14:paraId="71C2A55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(77) </w:t>
      </w:r>
      <w:r w:rsidRPr="000849BF">
        <w:rPr>
          <w:rFonts w:ascii="Times New Roman" w:hAnsi="Times New Roman"/>
          <w:noProof/>
        </w:rPr>
        <w:tab/>
        <w:t xml:space="preserve">Comi, T. J.; Do, T. D.; Rubakhin, S. S.; Sweedler, J. V. </w:t>
      </w:r>
      <w:r w:rsidRPr="000849BF">
        <w:rPr>
          <w:rFonts w:ascii="Times New Roman" w:hAnsi="Times New Roman"/>
          <w:i/>
          <w:iCs/>
          <w:noProof/>
        </w:rPr>
        <w:t>Journal of the American Chemical Society</w:t>
      </w:r>
      <w:r w:rsidRPr="000849BF">
        <w:rPr>
          <w:rFonts w:ascii="Times New Roman" w:hAnsi="Times New Roman"/>
          <w:noProof/>
        </w:rPr>
        <w:t>. American Chemical Society March 22, 2017, pp 3920–3929.</w:t>
      </w:r>
    </w:p>
    <w:p w14:paraId="534D3645"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(78) </w:t>
      </w:r>
      <w:r w:rsidRPr="000849BF">
        <w:rPr>
          <w:rFonts w:ascii="Times New Roman" w:hAnsi="Times New Roman"/>
          <w:noProof/>
        </w:rPr>
        <w:tab/>
        <w:t xml:space="preserve">Phelps, M.; Hamilton, J.; Verbeck, G. F. </w:t>
      </w:r>
      <w:r w:rsidRPr="000849BF">
        <w:rPr>
          <w:rFonts w:ascii="Times New Roman" w:hAnsi="Times New Roman"/>
          <w:i/>
          <w:iCs/>
          <w:noProof/>
        </w:rPr>
        <w:t>Rev. Sci. Instrum.</w:t>
      </w:r>
      <w:r w:rsidRPr="000849BF">
        <w:rPr>
          <w:rFonts w:ascii="Times New Roman" w:hAnsi="Times New Roman"/>
          <w:noProof/>
        </w:rPr>
        <w:t xml:space="preserve">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85</w:t>
      </w:r>
      <w:r w:rsidRPr="000849BF">
        <w:rPr>
          <w:rFonts w:ascii="Times New Roman" w:hAnsi="Times New Roman"/>
          <w:noProof/>
        </w:rPr>
        <w:t xml:space="preserve"> (12).</w:t>
      </w:r>
    </w:p>
    <w:p w14:paraId="5427DC1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(79) </w:t>
      </w:r>
      <w:r w:rsidRPr="000849BF">
        <w:rPr>
          <w:rFonts w:ascii="Times New Roman" w:hAnsi="Times New Roman"/>
          <w:noProof/>
        </w:rPr>
        <w:tab/>
        <w:t xml:space="preserve">Fujii, T.; Matsuda, S.; Tejedor, M. L.; Esaki, T.; Sakane, I.; Mizuno, H.; Tsuyama, N.; Masujima, T. </w:t>
      </w:r>
      <w:r w:rsidRPr="000849BF">
        <w:rPr>
          <w:rFonts w:ascii="Times New Roman" w:hAnsi="Times New Roman"/>
          <w:i/>
          <w:iCs/>
          <w:noProof/>
        </w:rPr>
        <w:t>Nat. Protoc.</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10</w:t>
      </w:r>
      <w:r w:rsidRPr="000849BF">
        <w:rPr>
          <w:rFonts w:ascii="Times New Roman" w:hAnsi="Times New Roman"/>
          <w:noProof/>
        </w:rPr>
        <w:t xml:space="preserve"> (9), 1445–1456.</w:t>
      </w:r>
    </w:p>
    <w:p w14:paraId="1833553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(80) </w:t>
      </w:r>
      <w:r w:rsidRPr="000849BF">
        <w:rPr>
          <w:rFonts w:ascii="Times New Roman" w:hAnsi="Times New Roman"/>
          <w:noProof/>
        </w:rPr>
        <w:tab/>
        <w:t xml:space="preserve">Shimizu, T.; Miyakawa, S.; Esaki, T.; Mizuno, H.; Masujima, T.; Koshiba, T.; Seo, M. </w:t>
      </w:r>
      <w:r w:rsidRPr="000849BF">
        <w:rPr>
          <w:rFonts w:ascii="Times New Roman" w:hAnsi="Times New Roman"/>
          <w:i/>
          <w:iCs/>
          <w:noProof/>
        </w:rPr>
        <w:t>Plant Cell Physiol.</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56</w:t>
      </w:r>
      <w:r w:rsidRPr="000849BF">
        <w:rPr>
          <w:rFonts w:ascii="Times New Roman" w:hAnsi="Times New Roman"/>
          <w:noProof/>
        </w:rPr>
        <w:t xml:space="preserve"> (7), 1287–1296.</w:t>
      </w:r>
    </w:p>
    <w:p w14:paraId="045815C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(81) </w:t>
      </w:r>
      <w:r w:rsidRPr="000849BF">
        <w:rPr>
          <w:rFonts w:ascii="Times New Roman" w:hAnsi="Times New Roman"/>
          <w:noProof/>
        </w:rPr>
        <w:tab/>
        <w:t xml:space="preserve">Hiyama, E.; Ali, A.; Amer, S.; Harada, T.; Shimamoto, K.; Furushima, R.; Abouleila, Y.; Emara, S.; Masujima, T. </w:t>
      </w:r>
      <w:r w:rsidRPr="000849BF">
        <w:rPr>
          <w:rFonts w:ascii="Times New Roman" w:hAnsi="Times New Roman"/>
          <w:i/>
          <w:iCs/>
          <w:noProof/>
        </w:rPr>
        <w:t>Anal. Sci.</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31</w:t>
      </w:r>
      <w:r w:rsidRPr="000849BF">
        <w:rPr>
          <w:rFonts w:ascii="Times New Roman" w:hAnsi="Times New Roman"/>
          <w:noProof/>
        </w:rPr>
        <w:t xml:space="preserve"> (12), 1215–1217.</w:t>
      </w:r>
    </w:p>
    <w:p w14:paraId="4248A9D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(82) </w:t>
      </w:r>
      <w:r w:rsidRPr="000849BF">
        <w:rPr>
          <w:rFonts w:ascii="Times New Roman" w:hAnsi="Times New Roman"/>
          <w:noProof/>
        </w:rPr>
        <w:tab/>
        <w:t xml:space="preserve">Masujima, T. </w:t>
      </w:r>
      <w:r w:rsidRPr="000849BF">
        <w:rPr>
          <w:rFonts w:ascii="Times New Roman" w:hAnsi="Times New Roman"/>
          <w:i/>
          <w:iCs/>
          <w:noProof/>
        </w:rPr>
        <w:t>Analytical Sciences</w:t>
      </w:r>
      <w:r w:rsidRPr="000849BF">
        <w:rPr>
          <w:rFonts w:ascii="Times New Roman" w:hAnsi="Times New Roman"/>
          <w:noProof/>
        </w:rPr>
        <w:t>. Japan Society for Analytical Chemistry 2009, pp 953–960.</w:t>
      </w:r>
    </w:p>
    <w:p w14:paraId="78A7A30B"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(83) </w:t>
      </w:r>
      <w:r w:rsidRPr="000849BF">
        <w:rPr>
          <w:rFonts w:ascii="Times New Roman" w:hAnsi="Times New Roman"/>
          <w:noProof/>
        </w:rPr>
        <w:tab/>
        <w:t xml:space="preserve">Zhang, L.; Foreman, D. P.; Grant, P. A.; Shrestha, B.; Moody, S. A.; Villiers, F.; Kwak, J. M.; Vertes, A. </w:t>
      </w:r>
      <w:r w:rsidRPr="000849BF">
        <w:rPr>
          <w:rFonts w:ascii="Times New Roman" w:hAnsi="Times New Roman"/>
          <w:i/>
          <w:iCs/>
          <w:noProof/>
        </w:rPr>
        <w:t>Analyst</w:t>
      </w:r>
      <w:r w:rsidRPr="000849BF">
        <w:rPr>
          <w:rFonts w:ascii="Times New Roman" w:hAnsi="Times New Roman"/>
          <w:noProof/>
        </w:rPr>
        <w:t xml:space="preserve">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139</w:t>
      </w:r>
      <w:r w:rsidRPr="000849BF">
        <w:rPr>
          <w:rFonts w:ascii="Times New Roman" w:hAnsi="Times New Roman"/>
          <w:noProof/>
        </w:rPr>
        <w:t xml:space="preserve"> (20), 5079–5085.</w:t>
      </w:r>
    </w:p>
    <w:p w14:paraId="5226E15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(84) </w:t>
      </w:r>
      <w:r w:rsidRPr="000849BF">
        <w:rPr>
          <w:rFonts w:ascii="Times New Roman" w:hAnsi="Times New Roman"/>
          <w:noProof/>
        </w:rPr>
        <w:tab/>
        <w:t xml:space="preserve">Pan, N.; Rao, W.; Kothapalli, N. R.; Liu, R.; Burgett, A. W. G.; Yang, Z.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86</w:t>
      </w:r>
      <w:r w:rsidRPr="000849BF">
        <w:rPr>
          <w:rFonts w:ascii="Times New Roman" w:hAnsi="Times New Roman"/>
          <w:noProof/>
        </w:rPr>
        <w:t xml:space="preserve"> (19), 9376–9380.</w:t>
      </w:r>
    </w:p>
    <w:p w14:paraId="389ED83D"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(85) </w:t>
      </w:r>
      <w:r w:rsidRPr="000849BF">
        <w:rPr>
          <w:rFonts w:ascii="Times New Roman" w:hAnsi="Times New Roman"/>
          <w:noProof/>
        </w:rPr>
        <w:tab/>
        <w:t xml:space="preserve">Sun, M.; Tian, X.; Yang, Z.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2017</w:t>
      </w:r>
      <w:r w:rsidRPr="000849BF">
        <w:rPr>
          <w:rFonts w:ascii="Times New Roman" w:hAnsi="Times New Roman"/>
          <w:noProof/>
        </w:rPr>
        <w:t xml:space="preserve">, </w:t>
      </w:r>
      <w:r w:rsidRPr="000849BF">
        <w:rPr>
          <w:rFonts w:ascii="Times New Roman" w:hAnsi="Times New Roman"/>
          <w:i/>
          <w:iCs/>
          <w:noProof/>
        </w:rPr>
        <w:t>89</w:t>
      </w:r>
      <w:r w:rsidRPr="000849BF">
        <w:rPr>
          <w:rFonts w:ascii="Times New Roman" w:hAnsi="Times New Roman"/>
          <w:noProof/>
        </w:rPr>
        <w:t xml:space="preserve"> (17), 9069–9076.</w:t>
      </w:r>
    </w:p>
    <w:p w14:paraId="40DA60A5"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(86) </w:t>
      </w:r>
      <w:r w:rsidRPr="000849BF">
        <w:rPr>
          <w:rFonts w:ascii="Times New Roman" w:hAnsi="Times New Roman"/>
          <w:noProof/>
        </w:rPr>
        <w:tab/>
        <w:t xml:space="preserve">Liu, R.; Pan, N.; Zhu, Y.; Yang, Z.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2018</w:t>
      </w:r>
      <w:r w:rsidRPr="000849BF">
        <w:rPr>
          <w:rFonts w:ascii="Times New Roman" w:hAnsi="Times New Roman"/>
          <w:noProof/>
        </w:rPr>
        <w:t xml:space="preserve">, </w:t>
      </w:r>
      <w:r w:rsidRPr="000849BF">
        <w:rPr>
          <w:rFonts w:ascii="Times New Roman" w:hAnsi="Times New Roman"/>
          <w:i/>
          <w:iCs/>
          <w:noProof/>
        </w:rPr>
        <w:t>90</w:t>
      </w:r>
      <w:r w:rsidRPr="000849BF">
        <w:rPr>
          <w:rFonts w:ascii="Times New Roman" w:hAnsi="Times New Roman"/>
          <w:noProof/>
        </w:rPr>
        <w:t xml:space="preserve"> (18), 11078–11085.</w:t>
      </w:r>
    </w:p>
    <w:p w14:paraId="14BA748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(87) </w:t>
      </w:r>
      <w:r w:rsidRPr="000849BF">
        <w:rPr>
          <w:rFonts w:ascii="Times New Roman" w:hAnsi="Times New Roman"/>
          <w:noProof/>
        </w:rPr>
        <w:tab/>
        <w:t xml:space="preserve">Rao, W.; Pan, N.; Yang, Z. </w:t>
      </w:r>
      <w:r w:rsidRPr="000849BF">
        <w:rPr>
          <w:rFonts w:ascii="Times New Roman" w:hAnsi="Times New Roman"/>
          <w:i/>
          <w:iCs/>
          <w:noProof/>
        </w:rPr>
        <w:t>J. Am. Soc. Mass Spectrom.</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26</w:t>
      </w:r>
      <w:r w:rsidRPr="000849BF">
        <w:rPr>
          <w:rFonts w:ascii="Times New Roman" w:hAnsi="Times New Roman"/>
          <w:noProof/>
        </w:rPr>
        <w:t xml:space="preserve"> (6), 986–993.</w:t>
      </w:r>
    </w:p>
    <w:p w14:paraId="5015500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(88) </w:t>
      </w:r>
      <w:r w:rsidRPr="000849BF">
        <w:rPr>
          <w:rFonts w:ascii="Times New Roman" w:hAnsi="Times New Roman"/>
          <w:noProof/>
        </w:rPr>
        <w:tab/>
        <w:t xml:space="preserve">Sun, M.; Yang, Z.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91</w:t>
      </w:r>
      <w:r w:rsidRPr="000849BF">
        <w:rPr>
          <w:rFonts w:ascii="Times New Roman" w:hAnsi="Times New Roman"/>
          <w:noProof/>
        </w:rPr>
        <w:t xml:space="preserve"> (3), 2384–2391.</w:t>
      </w:r>
    </w:p>
    <w:p w14:paraId="5CAC3FCF"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(89) </w:t>
      </w:r>
      <w:r w:rsidRPr="000849BF">
        <w:rPr>
          <w:rFonts w:ascii="Times New Roman" w:hAnsi="Times New Roman"/>
          <w:noProof/>
        </w:rPr>
        <w:tab/>
        <w:t xml:space="preserve">Rao, W.; Pan, N.; Yang, Z. </w:t>
      </w:r>
      <w:r w:rsidRPr="000849BF">
        <w:rPr>
          <w:rFonts w:ascii="Times New Roman" w:hAnsi="Times New Roman"/>
          <w:i/>
          <w:iCs/>
          <w:noProof/>
        </w:rPr>
        <w:t>J. Vis. Exp.</w:t>
      </w:r>
      <w:r w:rsidRPr="000849BF">
        <w:rPr>
          <w:rFonts w:ascii="Times New Roman" w:hAnsi="Times New Roman"/>
          <w:noProof/>
        </w:rPr>
        <w:t xml:space="preserve"> </w:t>
      </w:r>
      <w:r w:rsidRPr="000849BF">
        <w:rPr>
          <w:rFonts w:ascii="Times New Roman" w:hAnsi="Times New Roman"/>
          <w:b/>
          <w:bCs/>
          <w:noProof/>
        </w:rPr>
        <w:t>2016</w:t>
      </w:r>
      <w:r w:rsidRPr="000849BF">
        <w:rPr>
          <w:rFonts w:ascii="Times New Roman" w:hAnsi="Times New Roman"/>
          <w:noProof/>
        </w:rPr>
        <w:t xml:space="preserve">, </w:t>
      </w:r>
      <w:r w:rsidRPr="000849BF">
        <w:rPr>
          <w:rFonts w:ascii="Times New Roman" w:hAnsi="Times New Roman"/>
          <w:i/>
          <w:iCs/>
          <w:noProof/>
        </w:rPr>
        <w:t>2016</w:t>
      </w:r>
      <w:r w:rsidRPr="000849BF">
        <w:rPr>
          <w:rFonts w:ascii="Times New Roman" w:hAnsi="Times New Roman"/>
          <w:noProof/>
        </w:rPr>
        <w:t xml:space="preserve"> (112).</w:t>
      </w:r>
    </w:p>
    <w:p w14:paraId="5718E08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(90) </w:t>
      </w:r>
      <w:r w:rsidRPr="000849BF">
        <w:rPr>
          <w:rFonts w:ascii="Times New Roman" w:hAnsi="Times New Roman"/>
          <w:noProof/>
        </w:rPr>
        <w:tab/>
        <w:t xml:space="preserve">Roberts, B. L.; Severance, Z. C.; Bensen, R. C.; Le, A. T.; Kothapalli, N. R.; Nuñez, J. I.; Ma, H.; Wu, S.; Standke, S. J.; Yang, Z.; Reddig, W. J.; Blewett, E. L.; Burgett, A. W. G. </w:t>
      </w:r>
      <w:r w:rsidRPr="000849BF">
        <w:rPr>
          <w:rFonts w:ascii="Times New Roman" w:hAnsi="Times New Roman"/>
          <w:i/>
          <w:iCs/>
          <w:noProof/>
        </w:rPr>
        <w:t>ACS Chem. Biol.</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14</w:t>
      </w:r>
      <w:r w:rsidRPr="000849BF">
        <w:rPr>
          <w:rFonts w:ascii="Times New Roman" w:hAnsi="Times New Roman"/>
          <w:noProof/>
        </w:rPr>
        <w:t xml:space="preserve"> (2), 276–287.</w:t>
      </w:r>
    </w:p>
    <w:p w14:paraId="706AB6AB"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(91) </w:t>
      </w:r>
      <w:r w:rsidRPr="000849BF">
        <w:rPr>
          <w:rFonts w:ascii="Times New Roman" w:hAnsi="Times New Roman"/>
          <w:noProof/>
        </w:rPr>
        <w:tab/>
        <w:t xml:space="preserve">Tapparel, C.; Siegrist, F.; Petty, T. J.; Kaiser, L. </w:t>
      </w:r>
      <w:r w:rsidRPr="000849BF">
        <w:rPr>
          <w:rFonts w:ascii="Times New Roman" w:hAnsi="Times New Roman"/>
          <w:i/>
          <w:iCs/>
          <w:noProof/>
        </w:rPr>
        <w:t>Infection, Genetics and Evolution</w:t>
      </w:r>
      <w:r w:rsidRPr="000849BF">
        <w:rPr>
          <w:rFonts w:ascii="Times New Roman" w:hAnsi="Times New Roman"/>
          <w:noProof/>
        </w:rPr>
        <w:t>. March 2013, pp 282–293.</w:t>
      </w:r>
    </w:p>
    <w:p w14:paraId="48EEA23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(92) </w:t>
      </w:r>
      <w:r w:rsidRPr="000849BF">
        <w:rPr>
          <w:rFonts w:ascii="Times New Roman" w:hAnsi="Times New Roman"/>
          <w:noProof/>
        </w:rPr>
        <w:tab/>
        <w:t xml:space="preserve">Lugo, D.; Krogstad, P. </w:t>
      </w:r>
      <w:r w:rsidRPr="000849BF">
        <w:rPr>
          <w:rFonts w:ascii="Times New Roman" w:hAnsi="Times New Roman"/>
          <w:i/>
          <w:iCs/>
          <w:noProof/>
        </w:rPr>
        <w:t>Current Opinion in Pediatrics</w:t>
      </w:r>
      <w:r w:rsidRPr="000849BF">
        <w:rPr>
          <w:rFonts w:ascii="Times New Roman" w:hAnsi="Times New Roman"/>
          <w:noProof/>
        </w:rPr>
        <w:t>. Lippincott Williams and Wilkins February 1, 2016, pp 107–113.</w:t>
      </w:r>
    </w:p>
    <w:p w14:paraId="05D25853"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(93) </w:t>
      </w:r>
      <w:r w:rsidRPr="000849BF">
        <w:rPr>
          <w:rFonts w:ascii="Times New Roman" w:hAnsi="Times New Roman"/>
          <w:noProof/>
        </w:rPr>
        <w:tab/>
        <w:t xml:space="preserve">Abzug, M. J. </w:t>
      </w:r>
      <w:r w:rsidRPr="000849BF">
        <w:rPr>
          <w:rFonts w:ascii="Times New Roman" w:hAnsi="Times New Roman"/>
          <w:i/>
          <w:iCs/>
          <w:noProof/>
        </w:rPr>
        <w:t>J. Infect.</w:t>
      </w:r>
      <w:r w:rsidRPr="000849BF">
        <w:rPr>
          <w:rFonts w:ascii="Times New Roman" w:hAnsi="Times New Roman"/>
          <w:noProof/>
        </w:rPr>
        <w:t xml:space="preserve">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68</w:t>
      </w:r>
      <w:r w:rsidRPr="000849BF">
        <w:rPr>
          <w:rFonts w:ascii="Times New Roman" w:hAnsi="Times New Roman"/>
          <w:noProof/>
        </w:rPr>
        <w:t xml:space="preserve"> (SUPPL1), S108-14.</w:t>
      </w:r>
    </w:p>
    <w:p w14:paraId="7193260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(94) </w:t>
      </w:r>
      <w:r w:rsidRPr="000849BF">
        <w:rPr>
          <w:rFonts w:ascii="Times New Roman" w:hAnsi="Times New Roman"/>
          <w:noProof/>
        </w:rPr>
        <w:tab/>
        <w:t xml:space="preserve">Hixon, A. M.; Yu, G.; Leser, J. S.; Yagi, S.; Clarke, P.; Chiu, C. Y.; Tyler, K. L. </w:t>
      </w:r>
      <w:r w:rsidRPr="000849BF">
        <w:rPr>
          <w:rFonts w:ascii="Times New Roman" w:hAnsi="Times New Roman"/>
          <w:i/>
          <w:iCs/>
          <w:noProof/>
        </w:rPr>
        <w:t>PLoS Pathog.</w:t>
      </w:r>
      <w:r w:rsidRPr="000849BF">
        <w:rPr>
          <w:rFonts w:ascii="Times New Roman" w:hAnsi="Times New Roman"/>
          <w:noProof/>
        </w:rPr>
        <w:t xml:space="preserve"> </w:t>
      </w:r>
      <w:r w:rsidRPr="000849BF">
        <w:rPr>
          <w:rFonts w:ascii="Times New Roman" w:hAnsi="Times New Roman"/>
          <w:b/>
          <w:bCs/>
          <w:noProof/>
        </w:rPr>
        <w:t>2017</w:t>
      </w:r>
      <w:r w:rsidRPr="000849BF">
        <w:rPr>
          <w:rFonts w:ascii="Times New Roman" w:hAnsi="Times New Roman"/>
          <w:noProof/>
        </w:rPr>
        <w:t xml:space="preserve">, </w:t>
      </w:r>
      <w:r w:rsidRPr="000849BF">
        <w:rPr>
          <w:rFonts w:ascii="Times New Roman" w:hAnsi="Times New Roman"/>
          <w:i/>
          <w:iCs/>
          <w:noProof/>
        </w:rPr>
        <w:t>13</w:t>
      </w:r>
      <w:r w:rsidRPr="000849BF">
        <w:rPr>
          <w:rFonts w:ascii="Times New Roman" w:hAnsi="Times New Roman"/>
          <w:noProof/>
        </w:rPr>
        <w:t xml:space="preserve"> (2), e1006199.</w:t>
      </w:r>
    </w:p>
    <w:p w14:paraId="35274F2F"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(95) </w:t>
      </w:r>
      <w:r w:rsidRPr="000849BF">
        <w:rPr>
          <w:rFonts w:ascii="Times New Roman" w:hAnsi="Times New Roman"/>
          <w:noProof/>
        </w:rPr>
        <w:tab/>
        <w:t xml:space="preserve">Amako, Y.; Syed, G. H.; Siddiqui, A. </w:t>
      </w:r>
      <w:r w:rsidRPr="000849BF">
        <w:rPr>
          <w:rFonts w:ascii="Times New Roman" w:hAnsi="Times New Roman"/>
          <w:i/>
          <w:iCs/>
          <w:noProof/>
        </w:rPr>
        <w:t>J. Biol. Chem.</w:t>
      </w:r>
      <w:r w:rsidRPr="000849BF">
        <w:rPr>
          <w:rFonts w:ascii="Times New Roman" w:hAnsi="Times New Roman"/>
          <w:noProof/>
        </w:rPr>
        <w:t xml:space="preserve"> </w:t>
      </w:r>
      <w:r w:rsidRPr="000849BF">
        <w:rPr>
          <w:rFonts w:ascii="Times New Roman" w:hAnsi="Times New Roman"/>
          <w:b/>
          <w:bCs/>
          <w:noProof/>
        </w:rPr>
        <w:t>2011</w:t>
      </w:r>
      <w:r w:rsidRPr="000849BF">
        <w:rPr>
          <w:rFonts w:ascii="Times New Roman" w:hAnsi="Times New Roman"/>
          <w:noProof/>
        </w:rPr>
        <w:t xml:space="preserve">, </w:t>
      </w:r>
      <w:r w:rsidRPr="000849BF">
        <w:rPr>
          <w:rFonts w:ascii="Times New Roman" w:hAnsi="Times New Roman"/>
          <w:i/>
          <w:iCs/>
          <w:noProof/>
        </w:rPr>
        <w:t>286</w:t>
      </w:r>
      <w:r w:rsidRPr="000849BF">
        <w:rPr>
          <w:rFonts w:ascii="Times New Roman" w:hAnsi="Times New Roman"/>
          <w:noProof/>
        </w:rPr>
        <w:t xml:space="preserve"> (13), 11265–11274.</w:t>
      </w:r>
    </w:p>
    <w:p w14:paraId="40159A2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(96) </w:t>
      </w:r>
      <w:r w:rsidRPr="000849BF">
        <w:rPr>
          <w:rFonts w:ascii="Times New Roman" w:hAnsi="Times New Roman"/>
          <w:noProof/>
        </w:rPr>
        <w:tab/>
        <w:t xml:space="preserve">Meutiawati, F.; Bezemer, B.; Strating, J. R. P. M.; Overheul, G. J.; Žusinaite, E.; van Kuppeveld, F. J. M.; van Cleef, K. W. R.; van Rij, R. P. </w:t>
      </w:r>
      <w:r w:rsidRPr="000849BF">
        <w:rPr>
          <w:rFonts w:ascii="Times New Roman" w:hAnsi="Times New Roman"/>
          <w:i/>
          <w:iCs/>
          <w:noProof/>
        </w:rPr>
        <w:t>Antiviral Res.</w:t>
      </w:r>
      <w:r w:rsidRPr="000849BF">
        <w:rPr>
          <w:rFonts w:ascii="Times New Roman" w:hAnsi="Times New Roman"/>
          <w:noProof/>
        </w:rPr>
        <w:t xml:space="preserve"> </w:t>
      </w:r>
      <w:r w:rsidRPr="000849BF">
        <w:rPr>
          <w:rFonts w:ascii="Times New Roman" w:hAnsi="Times New Roman"/>
          <w:b/>
          <w:bCs/>
          <w:noProof/>
        </w:rPr>
        <w:t>2018</w:t>
      </w:r>
      <w:r w:rsidRPr="000849BF">
        <w:rPr>
          <w:rFonts w:ascii="Times New Roman" w:hAnsi="Times New Roman"/>
          <w:noProof/>
        </w:rPr>
        <w:t xml:space="preserve">, </w:t>
      </w:r>
      <w:r w:rsidRPr="000849BF">
        <w:rPr>
          <w:rFonts w:ascii="Times New Roman" w:hAnsi="Times New Roman"/>
          <w:i/>
          <w:iCs/>
          <w:noProof/>
        </w:rPr>
        <w:t>157</w:t>
      </w:r>
      <w:r w:rsidRPr="000849BF">
        <w:rPr>
          <w:rFonts w:ascii="Times New Roman" w:hAnsi="Times New Roman"/>
          <w:noProof/>
        </w:rPr>
        <w:t>, 68–79.</w:t>
      </w:r>
    </w:p>
    <w:p w14:paraId="17C7F9CD"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(97) </w:t>
      </w:r>
      <w:r w:rsidRPr="000849BF">
        <w:rPr>
          <w:rFonts w:ascii="Times New Roman" w:hAnsi="Times New Roman"/>
          <w:noProof/>
        </w:rPr>
        <w:tab/>
        <w:t xml:space="preserve">Melia, C. E.; Peddie, C. J.; de Jong, A. W. M.; Snijder, E. J.; Collinson, L. M.; Koster, A. J.; van der Schaar, H. M.; van Kuppeveld, F. J. M.; Bárcena, M. </w:t>
      </w:r>
      <w:r w:rsidRPr="000849BF">
        <w:rPr>
          <w:rFonts w:ascii="Times New Roman" w:hAnsi="Times New Roman"/>
          <w:i/>
          <w:iCs/>
          <w:noProof/>
        </w:rPr>
        <w:t>MBio</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10</w:t>
      </w:r>
      <w:r w:rsidRPr="000849BF">
        <w:rPr>
          <w:rFonts w:ascii="Times New Roman" w:hAnsi="Times New Roman"/>
          <w:noProof/>
        </w:rPr>
        <w:t xml:space="preserve"> (3).</w:t>
      </w:r>
    </w:p>
    <w:p w14:paraId="6DC6FE5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(98) </w:t>
      </w:r>
      <w:r w:rsidRPr="000849BF">
        <w:rPr>
          <w:rFonts w:ascii="Times New Roman" w:hAnsi="Times New Roman"/>
          <w:noProof/>
        </w:rPr>
        <w:tab/>
        <w:t xml:space="preserve">Strating, J. R.; van Kuppeveld, F. J. </w:t>
      </w:r>
      <w:r w:rsidRPr="000849BF">
        <w:rPr>
          <w:rFonts w:ascii="Times New Roman" w:hAnsi="Times New Roman"/>
          <w:i/>
          <w:iCs/>
          <w:noProof/>
        </w:rPr>
        <w:t>Current Opinion in Cell Biology</w:t>
      </w:r>
      <w:r w:rsidRPr="000849BF">
        <w:rPr>
          <w:rFonts w:ascii="Times New Roman" w:hAnsi="Times New Roman"/>
          <w:noProof/>
        </w:rPr>
        <w:t>. Elsevier Ltd August 1, 2017, pp 24–33.</w:t>
      </w:r>
    </w:p>
    <w:p w14:paraId="0617694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(99) </w:t>
      </w:r>
      <w:r w:rsidRPr="000849BF">
        <w:rPr>
          <w:rFonts w:ascii="Times New Roman" w:hAnsi="Times New Roman"/>
          <w:noProof/>
        </w:rPr>
        <w:tab/>
        <w:t xml:space="preserve">Belov, G. A.; Van Kuppeveld, F. J. </w:t>
      </w:r>
      <w:r w:rsidRPr="000849BF">
        <w:rPr>
          <w:rFonts w:ascii="Times New Roman" w:hAnsi="Times New Roman"/>
          <w:i/>
          <w:iCs/>
          <w:noProof/>
        </w:rPr>
        <w:t>Current Opinion in Virology</w:t>
      </w:r>
      <w:r w:rsidRPr="000849BF">
        <w:rPr>
          <w:rFonts w:ascii="Times New Roman" w:hAnsi="Times New Roman"/>
          <w:noProof/>
        </w:rPr>
        <w:t>. Elsevier B.V. December 2012, pp 740–747.</w:t>
      </w:r>
    </w:p>
    <w:p w14:paraId="4B2DB7F5"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(100) </w:t>
      </w:r>
      <w:r w:rsidRPr="000849BF">
        <w:rPr>
          <w:rFonts w:ascii="Times New Roman" w:hAnsi="Times New Roman"/>
          <w:noProof/>
        </w:rPr>
        <w:tab/>
        <w:t xml:space="preserve">Belov, G. A.; Altan-Bonnet, N.; Kovtunovych, G.; Jackson, C. L.; Lippincott-Schwartz, J.; Ehrenfeld, E. </w:t>
      </w:r>
      <w:r w:rsidRPr="000849BF">
        <w:rPr>
          <w:rFonts w:ascii="Times New Roman" w:hAnsi="Times New Roman"/>
          <w:i/>
          <w:iCs/>
          <w:noProof/>
        </w:rPr>
        <w:t>J. Virol.</w:t>
      </w:r>
      <w:r w:rsidRPr="000849BF">
        <w:rPr>
          <w:rFonts w:ascii="Times New Roman" w:hAnsi="Times New Roman"/>
          <w:noProof/>
        </w:rPr>
        <w:t xml:space="preserve"> </w:t>
      </w:r>
      <w:r w:rsidRPr="000849BF">
        <w:rPr>
          <w:rFonts w:ascii="Times New Roman" w:hAnsi="Times New Roman"/>
          <w:b/>
          <w:bCs/>
          <w:noProof/>
        </w:rPr>
        <w:t>2007</w:t>
      </w:r>
      <w:r w:rsidRPr="000849BF">
        <w:rPr>
          <w:rFonts w:ascii="Times New Roman" w:hAnsi="Times New Roman"/>
          <w:noProof/>
        </w:rPr>
        <w:t xml:space="preserve">, </w:t>
      </w:r>
      <w:r w:rsidRPr="000849BF">
        <w:rPr>
          <w:rFonts w:ascii="Times New Roman" w:hAnsi="Times New Roman"/>
          <w:i/>
          <w:iCs/>
          <w:noProof/>
        </w:rPr>
        <w:t>81</w:t>
      </w:r>
      <w:r w:rsidRPr="000849BF">
        <w:rPr>
          <w:rFonts w:ascii="Times New Roman" w:hAnsi="Times New Roman"/>
          <w:noProof/>
        </w:rPr>
        <w:t xml:space="preserve"> (2), 558–567.</w:t>
      </w:r>
    </w:p>
    <w:p w14:paraId="33F70793"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(101) </w:t>
      </w:r>
      <w:r w:rsidRPr="000849BF">
        <w:rPr>
          <w:rFonts w:ascii="Times New Roman" w:hAnsi="Times New Roman"/>
          <w:noProof/>
        </w:rPr>
        <w:tab/>
        <w:t xml:space="preserve">Hsu, N. Y.; Ilnytska, O.; Belov, G.; Santiana, M.; Chen, Y. H.; Takvorian, P. M.; Pau, C.; van der Schaar, H.; Kaushik-Basu, N.; Balla, T.; Cameron, C. E.; Ehrenfeld, E.; van Kuppeveld, F. J. M.; Altan-Bonnet, N. </w:t>
      </w:r>
      <w:r w:rsidRPr="000849BF">
        <w:rPr>
          <w:rFonts w:ascii="Times New Roman" w:hAnsi="Times New Roman"/>
          <w:i/>
          <w:iCs/>
          <w:noProof/>
        </w:rPr>
        <w:t>Cell</w:t>
      </w:r>
      <w:r w:rsidRPr="000849BF">
        <w:rPr>
          <w:rFonts w:ascii="Times New Roman" w:hAnsi="Times New Roman"/>
          <w:noProof/>
        </w:rPr>
        <w:t xml:space="preserve"> </w:t>
      </w:r>
      <w:r w:rsidRPr="000849BF">
        <w:rPr>
          <w:rFonts w:ascii="Times New Roman" w:hAnsi="Times New Roman"/>
          <w:b/>
          <w:bCs/>
          <w:noProof/>
        </w:rPr>
        <w:t>2010</w:t>
      </w:r>
      <w:r w:rsidRPr="000849BF">
        <w:rPr>
          <w:rFonts w:ascii="Times New Roman" w:hAnsi="Times New Roman"/>
          <w:noProof/>
        </w:rPr>
        <w:t xml:space="preserve">, </w:t>
      </w:r>
      <w:r w:rsidRPr="000849BF">
        <w:rPr>
          <w:rFonts w:ascii="Times New Roman" w:hAnsi="Times New Roman"/>
          <w:i/>
          <w:iCs/>
          <w:noProof/>
        </w:rPr>
        <w:t>141</w:t>
      </w:r>
      <w:r w:rsidRPr="000849BF">
        <w:rPr>
          <w:rFonts w:ascii="Times New Roman" w:hAnsi="Times New Roman"/>
          <w:noProof/>
        </w:rPr>
        <w:t xml:space="preserve"> (5), 799–811.</w:t>
      </w:r>
    </w:p>
    <w:p w14:paraId="26EA5684"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(102) </w:t>
      </w:r>
      <w:r w:rsidRPr="000849BF">
        <w:rPr>
          <w:rFonts w:ascii="Times New Roman" w:hAnsi="Times New Roman"/>
          <w:noProof/>
        </w:rPr>
        <w:tab/>
        <w:t xml:space="preserve">Arita, M. </w:t>
      </w:r>
      <w:r w:rsidRPr="000849BF">
        <w:rPr>
          <w:rFonts w:ascii="Times New Roman" w:hAnsi="Times New Roman"/>
          <w:i/>
          <w:iCs/>
          <w:noProof/>
        </w:rPr>
        <w:t>Microbiol. Immunol.</w:t>
      </w:r>
      <w:r w:rsidRPr="000849BF">
        <w:rPr>
          <w:rFonts w:ascii="Times New Roman" w:hAnsi="Times New Roman"/>
          <w:noProof/>
        </w:rPr>
        <w:t xml:space="preserve">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58</w:t>
      </w:r>
      <w:r w:rsidRPr="000849BF">
        <w:rPr>
          <w:rFonts w:ascii="Times New Roman" w:hAnsi="Times New Roman"/>
          <w:noProof/>
        </w:rPr>
        <w:t xml:space="preserve"> (4), 239–256.</w:t>
      </w:r>
    </w:p>
    <w:p w14:paraId="0705BDB4"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(103) </w:t>
      </w:r>
      <w:r w:rsidRPr="000849BF">
        <w:rPr>
          <w:rFonts w:ascii="Times New Roman" w:hAnsi="Times New Roman"/>
          <w:noProof/>
        </w:rPr>
        <w:tab/>
        <w:t xml:space="preserve">Pounds, R.; Leonard, S.; Dawson, C.; Kehoe, S. </w:t>
      </w:r>
      <w:r w:rsidRPr="000849BF">
        <w:rPr>
          <w:rFonts w:ascii="Times New Roman" w:hAnsi="Times New Roman"/>
          <w:i/>
          <w:iCs/>
          <w:noProof/>
        </w:rPr>
        <w:t>Oncology Letters</w:t>
      </w:r>
      <w:r w:rsidRPr="000849BF">
        <w:rPr>
          <w:rFonts w:ascii="Times New Roman" w:hAnsi="Times New Roman"/>
          <w:noProof/>
        </w:rPr>
        <w:t>. Spandidos Publications 2017, pp 2587–2597.</w:t>
      </w:r>
    </w:p>
    <w:p w14:paraId="024B5B44"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(104) </w:t>
      </w:r>
      <w:r w:rsidRPr="000849BF">
        <w:rPr>
          <w:rFonts w:ascii="Times New Roman" w:hAnsi="Times New Roman"/>
          <w:noProof/>
        </w:rPr>
        <w:tab/>
        <w:t xml:space="preserve">Lestner, J.; Hope, W. W. </w:t>
      </w:r>
      <w:r w:rsidRPr="000849BF">
        <w:rPr>
          <w:rFonts w:ascii="Times New Roman" w:hAnsi="Times New Roman"/>
          <w:i/>
          <w:iCs/>
          <w:noProof/>
        </w:rPr>
        <w:t>Expert Opin. Drug Metab. Toxicol.</w:t>
      </w:r>
      <w:r w:rsidRPr="000849BF">
        <w:rPr>
          <w:rFonts w:ascii="Times New Roman" w:hAnsi="Times New Roman"/>
          <w:noProof/>
        </w:rPr>
        <w:t xml:space="preserve"> </w:t>
      </w:r>
      <w:r w:rsidRPr="000849BF">
        <w:rPr>
          <w:rFonts w:ascii="Times New Roman" w:hAnsi="Times New Roman"/>
          <w:b/>
          <w:bCs/>
          <w:noProof/>
        </w:rPr>
        <w:t>2013</w:t>
      </w:r>
      <w:r w:rsidRPr="000849BF">
        <w:rPr>
          <w:rFonts w:ascii="Times New Roman" w:hAnsi="Times New Roman"/>
          <w:noProof/>
        </w:rPr>
        <w:t xml:space="preserve">, </w:t>
      </w:r>
      <w:r w:rsidRPr="000849BF">
        <w:rPr>
          <w:rFonts w:ascii="Times New Roman" w:hAnsi="Times New Roman"/>
          <w:i/>
          <w:iCs/>
          <w:noProof/>
        </w:rPr>
        <w:t>9</w:t>
      </w:r>
      <w:r w:rsidRPr="000849BF">
        <w:rPr>
          <w:rFonts w:ascii="Times New Roman" w:hAnsi="Times New Roman"/>
          <w:noProof/>
        </w:rPr>
        <w:t xml:space="preserve"> (7), 911–926.</w:t>
      </w:r>
    </w:p>
    <w:p w14:paraId="1FF8EE03"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(105) </w:t>
      </w:r>
      <w:r w:rsidRPr="000849BF">
        <w:rPr>
          <w:rFonts w:ascii="Times New Roman" w:hAnsi="Times New Roman"/>
          <w:noProof/>
        </w:rPr>
        <w:tab/>
        <w:t xml:space="preserve">Gao, Q.; Yuan, S.; Zhang, C.; Wang, Y.; Wang, Y.; He, G.; Zhang, S.; Altmeyer, R.; Zou, G. </w:t>
      </w:r>
      <w:r w:rsidRPr="000849BF">
        <w:rPr>
          <w:rFonts w:ascii="Times New Roman" w:hAnsi="Times New Roman"/>
          <w:i/>
          <w:iCs/>
          <w:noProof/>
        </w:rPr>
        <w:t>Antimicrob. Agents Chemother.</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59</w:t>
      </w:r>
      <w:r w:rsidRPr="000849BF">
        <w:rPr>
          <w:rFonts w:ascii="Times New Roman" w:hAnsi="Times New Roman"/>
          <w:noProof/>
        </w:rPr>
        <w:t xml:space="preserve"> (5), 2654–2665.</w:t>
      </w:r>
    </w:p>
    <w:p w14:paraId="2BCFA64F"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(106) </w:t>
      </w:r>
      <w:r w:rsidRPr="000849BF">
        <w:rPr>
          <w:rFonts w:ascii="Times New Roman" w:hAnsi="Times New Roman"/>
          <w:noProof/>
        </w:rPr>
        <w:tab/>
        <w:t xml:space="preserve">Hannedouche, S.; Zhang, J.; Yi, T.; Shen, W.; Nguyen, D.; Pereira, J. P.; Guerini, D.; Baumgarten, B. U.; Roggo, S.; Wen, B.; Knochenmuss, R.; Noël, S.; Gessier, F.; Kelly, L. M.; Vanek, M.; Laurent, S.; Preuss, I.; Miault, C.; Christen, I.; Karuna, R.; Li, W.; Koo, D. I.; Suply, T.; Schmedt, C.; Peters, E. C.; Falchetto, R.; Katopodis, A.; Spanka, C.; Roy, M. O.; Detheux, M.; Chen, Y. A.; Schultz, P. G.; Cho, C. Y.; Seuwen, K.; Cyster, J. G.; Sailer, A. W. </w:t>
      </w:r>
      <w:r w:rsidRPr="000849BF">
        <w:rPr>
          <w:rFonts w:ascii="Times New Roman" w:hAnsi="Times New Roman"/>
          <w:i/>
          <w:iCs/>
          <w:noProof/>
        </w:rPr>
        <w:t>Nature</w:t>
      </w:r>
      <w:r w:rsidRPr="000849BF">
        <w:rPr>
          <w:rFonts w:ascii="Times New Roman" w:hAnsi="Times New Roman"/>
          <w:noProof/>
        </w:rPr>
        <w:t xml:space="preserve"> </w:t>
      </w:r>
      <w:r w:rsidRPr="000849BF">
        <w:rPr>
          <w:rFonts w:ascii="Times New Roman" w:hAnsi="Times New Roman"/>
          <w:b/>
          <w:bCs/>
          <w:noProof/>
        </w:rPr>
        <w:t>2011</w:t>
      </w:r>
      <w:r w:rsidRPr="000849BF">
        <w:rPr>
          <w:rFonts w:ascii="Times New Roman" w:hAnsi="Times New Roman"/>
          <w:noProof/>
        </w:rPr>
        <w:t xml:space="preserve">, </w:t>
      </w:r>
      <w:r w:rsidRPr="000849BF">
        <w:rPr>
          <w:rFonts w:ascii="Times New Roman" w:hAnsi="Times New Roman"/>
          <w:i/>
          <w:iCs/>
          <w:noProof/>
        </w:rPr>
        <w:t>475</w:t>
      </w:r>
      <w:r w:rsidRPr="000849BF">
        <w:rPr>
          <w:rFonts w:ascii="Times New Roman" w:hAnsi="Times New Roman"/>
          <w:noProof/>
        </w:rPr>
        <w:t xml:space="preserve"> (7357), 524–527.</w:t>
      </w:r>
    </w:p>
    <w:p w14:paraId="582BFE8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(107) </w:t>
      </w:r>
      <w:r w:rsidRPr="000849BF">
        <w:rPr>
          <w:rFonts w:ascii="Times New Roman" w:hAnsi="Times New Roman"/>
          <w:noProof/>
        </w:rPr>
        <w:tab/>
        <w:t xml:space="preserve">Roberts, B. L.; Severance, Z. C.; Bensen, R. C.; Le, A. T.; Kothapalli, N. R.; Nuñez, J. I.; Ma, H.; Wu, S.; Standke, S. J.; Yang, Z.; Reddig, W. J.; Blewett, E. L.; Burgett, A. W. G. </w:t>
      </w:r>
      <w:r w:rsidRPr="000849BF">
        <w:rPr>
          <w:rFonts w:ascii="Times New Roman" w:hAnsi="Times New Roman"/>
          <w:i/>
          <w:iCs/>
          <w:noProof/>
        </w:rPr>
        <w:t>ACS Chem. Biol.</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14</w:t>
      </w:r>
      <w:r w:rsidRPr="000849BF">
        <w:rPr>
          <w:rFonts w:ascii="Times New Roman" w:hAnsi="Times New Roman"/>
          <w:noProof/>
        </w:rPr>
        <w:t xml:space="preserve"> (2), 276–287.</w:t>
      </w:r>
    </w:p>
    <w:p w14:paraId="2AD0C5CE"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(108) </w:t>
      </w:r>
      <w:r w:rsidRPr="000849BF">
        <w:rPr>
          <w:rFonts w:ascii="Times New Roman" w:hAnsi="Times New Roman"/>
          <w:noProof/>
        </w:rPr>
        <w:tab/>
        <w:t xml:space="preserve">Roberts, B. L.; Severance, Z. C.; Bensen, R. C.; Le, A. T.; Malinky, C. A.; Mettenbrink, E. M.; Nuñez, J. I.; Reddig, W. J.; Blewett, E. L.; Burgett, A. W. G. </w:t>
      </w:r>
      <w:r w:rsidRPr="000849BF">
        <w:rPr>
          <w:rFonts w:ascii="Times New Roman" w:hAnsi="Times New Roman"/>
          <w:i/>
          <w:iCs/>
          <w:noProof/>
        </w:rPr>
        <w:t>Antiviral Res.</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104548.</w:t>
      </w:r>
    </w:p>
    <w:p w14:paraId="2641493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(109) </w:t>
      </w:r>
      <w:r w:rsidRPr="000849BF">
        <w:rPr>
          <w:rFonts w:ascii="Times New Roman" w:hAnsi="Times New Roman"/>
          <w:noProof/>
        </w:rPr>
        <w:tab/>
        <w:t xml:space="preserve">Torre, L. A.; Trabert, B.; DeSantis, C. E.; Miller, K. D.; Samimi, G.; Runowicz, C. D.; Gaudet, M. M.; Jemal, A.; Siegel, R. L. </w:t>
      </w:r>
      <w:r w:rsidRPr="000849BF">
        <w:rPr>
          <w:rFonts w:ascii="Times New Roman" w:hAnsi="Times New Roman"/>
          <w:i/>
          <w:iCs/>
          <w:noProof/>
        </w:rPr>
        <w:t>CA. Cancer J. Clin.</w:t>
      </w:r>
      <w:r w:rsidRPr="000849BF">
        <w:rPr>
          <w:rFonts w:ascii="Times New Roman" w:hAnsi="Times New Roman"/>
          <w:noProof/>
        </w:rPr>
        <w:t xml:space="preserve"> </w:t>
      </w:r>
      <w:r w:rsidRPr="000849BF">
        <w:rPr>
          <w:rFonts w:ascii="Times New Roman" w:hAnsi="Times New Roman"/>
          <w:b/>
          <w:bCs/>
          <w:noProof/>
        </w:rPr>
        <w:t>2018</w:t>
      </w:r>
      <w:r w:rsidRPr="000849BF">
        <w:rPr>
          <w:rFonts w:ascii="Times New Roman" w:hAnsi="Times New Roman"/>
          <w:noProof/>
        </w:rPr>
        <w:t xml:space="preserve">, </w:t>
      </w:r>
      <w:r w:rsidRPr="000849BF">
        <w:rPr>
          <w:rFonts w:ascii="Times New Roman" w:hAnsi="Times New Roman"/>
          <w:i/>
          <w:iCs/>
          <w:noProof/>
        </w:rPr>
        <w:t>68</w:t>
      </w:r>
      <w:r w:rsidRPr="000849BF">
        <w:rPr>
          <w:rFonts w:ascii="Times New Roman" w:hAnsi="Times New Roman"/>
          <w:noProof/>
        </w:rPr>
        <w:t xml:space="preserve"> (4), 284–296.</w:t>
      </w:r>
    </w:p>
    <w:p w14:paraId="31A3044C"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(110) </w:t>
      </w:r>
      <w:r w:rsidRPr="000849BF">
        <w:rPr>
          <w:rFonts w:ascii="Times New Roman" w:hAnsi="Times New Roman"/>
          <w:noProof/>
        </w:rPr>
        <w:tab/>
        <w:t>Howlader, N.; Noone, A.; Krapcho, M.; Noone, A.; Neyman, N.; Aminou, R.; Altekruse, S.; Kosary, C.; Altekruse, S. F.; Kosary, C. L.; Ruhl, J.; Tatalovich, Z.; Cho, H.; Afifi, A. M.; Garshell, J.; Yu, M. January 1, 2012.</w:t>
      </w:r>
    </w:p>
    <w:p w14:paraId="55E8A35C"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(111) </w:t>
      </w:r>
      <w:r w:rsidRPr="000849BF">
        <w:rPr>
          <w:rFonts w:ascii="Times New Roman" w:hAnsi="Times New Roman"/>
          <w:noProof/>
        </w:rPr>
        <w:tab/>
        <w:t xml:space="preserve">Lengyel, E. </w:t>
      </w:r>
      <w:r w:rsidRPr="000849BF">
        <w:rPr>
          <w:rFonts w:ascii="Times New Roman" w:hAnsi="Times New Roman"/>
          <w:i/>
          <w:iCs/>
          <w:noProof/>
        </w:rPr>
        <w:t>American Journal of Pathology</w:t>
      </w:r>
      <w:r w:rsidRPr="000849BF">
        <w:rPr>
          <w:rFonts w:ascii="Times New Roman" w:hAnsi="Times New Roman"/>
          <w:noProof/>
        </w:rPr>
        <w:t>. Elsevier Inc. September 1, 2010, pp 1053–1064.</w:t>
      </w:r>
    </w:p>
    <w:p w14:paraId="58CFF2C3"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(112) </w:t>
      </w:r>
      <w:r w:rsidRPr="000849BF">
        <w:rPr>
          <w:rFonts w:ascii="Times New Roman" w:hAnsi="Times New Roman"/>
          <w:noProof/>
        </w:rPr>
        <w:tab/>
        <w:t xml:space="preserve">Armstrong, D. K.; Bundy, B.; Wenzel, L.; Huang, H. Q.; Baergen, R.; Lele, S.; Copeland, L. J.; Walker, J. L.; Burger, R. A. </w:t>
      </w:r>
      <w:r w:rsidRPr="000849BF">
        <w:rPr>
          <w:rFonts w:ascii="Times New Roman" w:hAnsi="Times New Roman"/>
          <w:i/>
          <w:iCs/>
          <w:noProof/>
        </w:rPr>
        <w:t>N. Engl. J. Med.</w:t>
      </w:r>
      <w:r w:rsidRPr="000849BF">
        <w:rPr>
          <w:rFonts w:ascii="Times New Roman" w:hAnsi="Times New Roman"/>
          <w:noProof/>
        </w:rPr>
        <w:t xml:space="preserve"> </w:t>
      </w:r>
      <w:r w:rsidRPr="000849BF">
        <w:rPr>
          <w:rFonts w:ascii="Times New Roman" w:hAnsi="Times New Roman"/>
          <w:b/>
          <w:bCs/>
          <w:noProof/>
        </w:rPr>
        <w:t>2006</w:t>
      </w:r>
      <w:r w:rsidRPr="000849BF">
        <w:rPr>
          <w:rFonts w:ascii="Times New Roman" w:hAnsi="Times New Roman"/>
          <w:noProof/>
        </w:rPr>
        <w:t xml:space="preserve">, </w:t>
      </w:r>
      <w:r w:rsidRPr="000849BF">
        <w:rPr>
          <w:rFonts w:ascii="Times New Roman" w:hAnsi="Times New Roman"/>
          <w:i/>
          <w:iCs/>
          <w:noProof/>
        </w:rPr>
        <w:t>354</w:t>
      </w:r>
      <w:r w:rsidRPr="000849BF">
        <w:rPr>
          <w:rFonts w:ascii="Times New Roman" w:hAnsi="Times New Roman"/>
          <w:noProof/>
        </w:rPr>
        <w:t xml:space="preserve"> (1), 34–43.</w:t>
      </w:r>
    </w:p>
    <w:p w14:paraId="3CA103B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(113) </w:t>
      </w:r>
      <w:r w:rsidRPr="000849BF">
        <w:rPr>
          <w:rFonts w:ascii="Times New Roman" w:hAnsi="Times New Roman"/>
          <w:noProof/>
        </w:rPr>
        <w:tab/>
        <w:t xml:space="preserve">Ahmed, N.; Stenvers, K. L. </w:t>
      </w:r>
      <w:r w:rsidRPr="000849BF">
        <w:rPr>
          <w:rFonts w:ascii="Times New Roman" w:hAnsi="Times New Roman"/>
          <w:i/>
          <w:iCs/>
          <w:noProof/>
        </w:rPr>
        <w:t>Front. Oncol.</w:t>
      </w:r>
      <w:r w:rsidRPr="000849BF">
        <w:rPr>
          <w:rFonts w:ascii="Times New Roman" w:hAnsi="Times New Roman"/>
          <w:noProof/>
        </w:rPr>
        <w:t xml:space="preserve"> </w:t>
      </w:r>
      <w:r w:rsidRPr="000849BF">
        <w:rPr>
          <w:rFonts w:ascii="Times New Roman" w:hAnsi="Times New Roman"/>
          <w:b/>
          <w:bCs/>
          <w:noProof/>
        </w:rPr>
        <w:t>2013</w:t>
      </w:r>
      <w:r w:rsidRPr="000849BF">
        <w:rPr>
          <w:rFonts w:ascii="Times New Roman" w:hAnsi="Times New Roman"/>
          <w:noProof/>
        </w:rPr>
        <w:t xml:space="preserve">, </w:t>
      </w:r>
      <w:r w:rsidRPr="000849BF">
        <w:rPr>
          <w:rFonts w:ascii="Times New Roman" w:hAnsi="Times New Roman"/>
          <w:i/>
          <w:iCs/>
          <w:noProof/>
        </w:rPr>
        <w:t>3 SEP</w:t>
      </w:r>
      <w:r w:rsidRPr="000849BF">
        <w:rPr>
          <w:rFonts w:ascii="Times New Roman" w:hAnsi="Times New Roman"/>
          <w:noProof/>
        </w:rPr>
        <w:t>, 256.</w:t>
      </w:r>
    </w:p>
    <w:p w14:paraId="0818A4BB"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(114) </w:t>
      </w:r>
      <w:r w:rsidRPr="000849BF">
        <w:rPr>
          <w:rFonts w:ascii="Times New Roman" w:hAnsi="Times New Roman"/>
          <w:noProof/>
        </w:rPr>
        <w:tab/>
        <w:t xml:space="preserve">Shield, K.; Riley, C.; Quinn, M. A.; Rice, G. E.; Ackland, M. L.; Ahmed, N. </w:t>
      </w:r>
      <w:r w:rsidRPr="000849BF">
        <w:rPr>
          <w:rFonts w:ascii="Times New Roman" w:hAnsi="Times New Roman"/>
          <w:i/>
          <w:iCs/>
          <w:noProof/>
        </w:rPr>
        <w:t>J. Carcinog.</w:t>
      </w:r>
      <w:r w:rsidRPr="000849BF">
        <w:rPr>
          <w:rFonts w:ascii="Times New Roman" w:hAnsi="Times New Roman"/>
          <w:noProof/>
        </w:rPr>
        <w:t xml:space="preserve"> </w:t>
      </w:r>
      <w:r w:rsidRPr="000849BF">
        <w:rPr>
          <w:rFonts w:ascii="Times New Roman" w:hAnsi="Times New Roman"/>
          <w:b/>
          <w:bCs/>
          <w:noProof/>
        </w:rPr>
        <w:t>2007</w:t>
      </w:r>
      <w:r w:rsidRPr="000849BF">
        <w:rPr>
          <w:rFonts w:ascii="Times New Roman" w:hAnsi="Times New Roman"/>
          <w:noProof/>
        </w:rPr>
        <w:t xml:space="preserve">, </w:t>
      </w:r>
      <w:r w:rsidRPr="000849BF">
        <w:rPr>
          <w:rFonts w:ascii="Times New Roman" w:hAnsi="Times New Roman"/>
          <w:i/>
          <w:iCs/>
          <w:noProof/>
        </w:rPr>
        <w:t>6</w:t>
      </w:r>
      <w:r w:rsidRPr="000849BF">
        <w:rPr>
          <w:rFonts w:ascii="Times New Roman" w:hAnsi="Times New Roman"/>
          <w:noProof/>
        </w:rPr>
        <w:t xml:space="preserve"> (1), 11.</w:t>
      </w:r>
    </w:p>
    <w:p w14:paraId="34744937"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(115) </w:t>
      </w:r>
      <w:r w:rsidRPr="000849BF">
        <w:rPr>
          <w:rFonts w:ascii="Times New Roman" w:hAnsi="Times New Roman"/>
          <w:noProof/>
        </w:rPr>
        <w:tab/>
        <w:t xml:space="preserve">Chaicharoenaudomrung, N.; Kunhorm, P.; Noisa, P. </w:t>
      </w:r>
      <w:r w:rsidRPr="000849BF">
        <w:rPr>
          <w:rFonts w:ascii="Times New Roman" w:hAnsi="Times New Roman"/>
          <w:i/>
          <w:iCs/>
          <w:noProof/>
        </w:rPr>
        <w:t>World Journal of Stem Cells</w:t>
      </w:r>
      <w:r w:rsidRPr="000849BF">
        <w:rPr>
          <w:rFonts w:ascii="Times New Roman" w:hAnsi="Times New Roman"/>
          <w:noProof/>
        </w:rPr>
        <w:t>. Baishideng Publishing Group Co December 1, 2019, pp 1065–1083.</w:t>
      </w:r>
    </w:p>
    <w:p w14:paraId="6C298E0E"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(116) </w:t>
      </w:r>
      <w:r w:rsidRPr="000849BF">
        <w:rPr>
          <w:rFonts w:ascii="Times New Roman" w:hAnsi="Times New Roman"/>
          <w:noProof/>
        </w:rPr>
        <w:tab/>
        <w:t xml:space="preserve">Mehta, G.; Hsiao, A. Y.; Ingram, M.; Luker, G. D.; Takayama, S. </w:t>
      </w:r>
      <w:r w:rsidRPr="000849BF">
        <w:rPr>
          <w:rFonts w:ascii="Times New Roman" w:hAnsi="Times New Roman"/>
          <w:i/>
          <w:iCs/>
          <w:noProof/>
        </w:rPr>
        <w:t>J. Control. Release</w:t>
      </w:r>
      <w:r w:rsidRPr="000849BF">
        <w:rPr>
          <w:rFonts w:ascii="Times New Roman" w:hAnsi="Times New Roman"/>
          <w:noProof/>
        </w:rPr>
        <w:t xml:space="preserve"> </w:t>
      </w:r>
      <w:r w:rsidRPr="000849BF">
        <w:rPr>
          <w:rFonts w:ascii="Times New Roman" w:hAnsi="Times New Roman"/>
          <w:b/>
          <w:bCs/>
          <w:noProof/>
        </w:rPr>
        <w:t>2012</w:t>
      </w:r>
      <w:r w:rsidRPr="000849BF">
        <w:rPr>
          <w:rFonts w:ascii="Times New Roman" w:hAnsi="Times New Roman"/>
          <w:noProof/>
        </w:rPr>
        <w:t xml:space="preserve">, </w:t>
      </w:r>
      <w:r w:rsidRPr="000849BF">
        <w:rPr>
          <w:rFonts w:ascii="Times New Roman" w:hAnsi="Times New Roman"/>
          <w:i/>
          <w:iCs/>
          <w:noProof/>
        </w:rPr>
        <w:t>164</w:t>
      </w:r>
      <w:r w:rsidRPr="000849BF">
        <w:rPr>
          <w:rFonts w:ascii="Times New Roman" w:hAnsi="Times New Roman"/>
          <w:noProof/>
        </w:rPr>
        <w:t xml:space="preserve"> (2), 192–204.</w:t>
      </w:r>
    </w:p>
    <w:p w14:paraId="113BAF7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(117) </w:t>
      </w:r>
      <w:r w:rsidRPr="000849BF">
        <w:rPr>
          <w:rFonts w:ascii="Times New Roman" w:hAnsi="Times New Roman"/>
          <w:noProof/>
        </w:rPr>
        <w:tab/>
        <w:t xml:space="preserve">Pampaloni, F.; Reynaud, E. G.; Stelzer, E. H. K. </w:t>
      </w:r>
      <w:r w:rsidRPr="000849BF">
        <w:rPr>
          <w:rFonts w:ascii="Times New Roman" w:hAnsi="Times New Roman"/>
          <w:i/>
          <w:iCs/>
          <w:noProof/>
        </w:rPr>
        <w:t>Nature Reviews Molecular Cell Biology</w:t>
      </w:r>
      <w:r w:rsidRPr="000849BF">
        <w:rPr>
          <w:rFonts w:ascii="Times New Roman" w:hAnsi="Times New Roman"/>
          <w:noProof/>
        </w:rPr>
        <w:t>. October 2007, pp 839–845.</w:t>
      </w:r>
    </w:p>
    <w:p w14:paraId="39C63B5F"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(118) </w:t>
      </w:r>
      <w:r w:rsidRPr="000849BF">
        <w:rPr>
          <w:rFonts w:ascii="Times New Roman" w:hAnsi="Times New Roman"/>
          <w:noProof/>
        </w:rPr>
        <w:tab/>
        <w:t xml:space="preserve">Sontheimer-Phelps, A.; Hassell, B. A.; Ingber, D. E. </w:t>
      </w:r>
      <w:r w:rsidRPr="000849BF">
        <w:rPr>
          <w:rFonts w:ascii="Times New Roman" w:hAnsi="Times New Roman"/>
          <w:i/>
          <w:iCs/>
          <w:noProof/>
        </w:rPr>
        <w:t>Nat. Rev. Cancer</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19</w:t>
      </w:r>
      <w:r w:rsidRPr="000849BF">
        <w:rPr>
          <w:rFonts w:ascii="Times New Roman" w:hAnsi="Times New Roman"/>
          <w:noProof/>
        </w:rPr>
        <w:t xml:space="preserve"> (2), 65–81.</w:t>
      </w:r>
    </w:p>
    <w:p w14:paraId="04E083A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(119) </w:t>
      </w:r>
      <w:r w:rsidRPr="000849BF">
        <w:rPr>
          <w:rFonts w:ascii="Times New Roman" w:hAnsi="Times New Roman"/>
          <w:noProof/>
        </w:rPr>
        <w:tab/>
        <w:t xml:space="preserve">Paullin, T.; Powell, C.; Menzie, C.; Hill, R.; Cheng, F.; Martyniuk, C. J.; Westerheide, S. D. </w:t>
      </w:r>
      <w:r w:rsidRPr="000849BF">
        <w:rPr>
          <w:rFonts w:ascii="Times New Roman" w:hAnsi="Times New Roman"/>
          <w:i/>
          <w:iCs/>
          <w:noProof/>
        </w:rPr>
        <w:t>PLoS One</w:t>
      </w:r>
      <w:r w:rsidRPr="000849BF">
        <w:rPr>
          <w:rFonts w:ascii="Times New Roman" w:hAnsi="Times New Roman"/>
          <w:noProof/>
        </w:rPr>
        <w:t xml:space="preserve"> </w:t>
      </w:r>
      <w:r w:rsidRPr="000849BF">
        <w:rPr>
          <w:rFonts w:ascii="Times New Roman" w:hAnsi="Times New Roman"/>
          <w:b/>
          <w:bCs/>
          <w:noProof/>
        </w:rPr>
        <w:t>2017</w:t>
      </w:r>
      <w:r w:rsidRPr="000849BF">
        <w:rPr>
          <w:rFonts w:ascii="Times New Roman" w:hAnsi="Times New Roman"/>
          <w:noProof/>
        </w:rPr>
        <w:t xml:space="preserve">, </w:t>
      </w:r>
      <w:r w:rsidRPr="000849BF">
        <w:rPr>
          <w:rFonts w:ascii="Times New Roman" w:hAnsi="Times New Roman"/>
          <w:i/>
          <w:iCs/>
          <w:noProof/>
        </w:rPr>
        <w:t>12</w:t>
      </w:r>
      <w:r w:rsidRPr="000849BF">
        <w:rPr>
          <w:rFonts w:ascii="Times New Roman" w:hAnsi="Times New Roman"/>
          <w:noProof/>
        </w:rPr>
        <w:t xml:space="preserve"> (8), e0182930.</w:t>
      </w:r>
    </w:p>
    <w:p w14:paraId="3426825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(120) </w:t>
      </w:r>
      <w:r w:rsidRPr="000849BF">
        <w:rPr>
          <w:rFonts w:ascii="Times New Roman" w:hAnsi="Times New Roman"/>
          <w:noProof/>
        </w:rPr>
        <w:tab/>
        <w:t xml:space="preserve">Souza, A. G.; Silva, I. B. B.; Campos-Fernandez, E.; Barcelos, L. S.; Souza, J. B.; Marangoni, K.; Goulart, L. R.; Alonso-Goulart, V. </w:t>
      </w:r>
      <w:r w:rsidRPr="000849BF">
        <w:rPr>
          <w:rFonts w:ascii="Times New Roman" w:hAnsi="Times New Roman"/>
          <w:i/>
          <w:iCs/>
          <w:noProof/>
        </w:rPr>
        <w:t>Curr. Pharm. Des.</w:t>
      </w:r>
      <w:r w:rsidRPr="000849BF">
        <w:rPr>
          <w:rFonts w:ascii="Times New Roman" w:hAnsi="Times New Roman"/>
          <w:noProof/>
        </w:rPr>
        <w:t xml:space="preserve"> </w:t>
      </w:r>
      <w:r w:rsidRPr="000849BF">
        <w:rPr>
          <w:rFonts w:ascii="Times New Roman" w:hAnsi="Times New Roman"/>
          <w:b/>
          <w:bCs/>
          <w:noProof/>
        </w:rPr>
        <w:t>2018</w:t>
      </w:r>
      <w:r w:rsidRPr="000849BF">
        <w:rPr>
          <w:rFonts w:ascii="Times New Roman" w:hAnsi="Times New Roman"/>
          <w:noProof/>
        </w:rPr>
        <w:t xml:space="preserve">, </w:t>
      </w:r>
      <w:r w:rsidRPr="000849BF">
        <w:rPr>
          <w:rFonts w:ascii="Times New Roman" w:hAnsi="Times New Roman"/>
          <w:i/>
          <w:iCs/>
          <w:noProof/>
        </w:rPr>
        <w:t>24</w:t>
      </w:r>
      <w:r w:rsidRPr="000849BF">
        <w:rPr>
          <w:rFonts w:ascii="Times New Roman" w:hAnsi="Times New Roman"/>
          <w:noProof/>
        </w:rPr>
        <w:t xml:space="preserve"> (15), 1689–1694.</w:t>
      </w:r>
    </w:p>
    <w:p w14:paraId="44632F0D"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(121) </w:t>
      </w:r>
      <w:r w:rsidRPr="000849BF">
        <w:rPr>
          <w:rFonts w:ascii="Times New Roman" w:hAnsi="Times New Roman"/>
          <w:noProof/>
        </w:rPr>
        <w:tab/>
        <w:t xml:space="preserve">Ghosh, S.; Spagnoli, G. C.; Martin, I.; Ploegert, S.; Demougin, P.; Heberer, M.; Reschner, A. </w:t>
      </w:r>
      <w:r w:rsidRPr="000849BF">
        <w:rPr>
          <w:rFonts w:ascii="Times New Roman" w:hAnsi="Times New Roman"/>
          <w:i/>
          <w:iCs/>
          <w:noProof/>
        </w:rPr>
        <w:t>J. Cell. Physiol.</w:t>
      </w:r>
      <w:r w:rsidRPr="000849BF">
        <w:rPr>
          <w:rFonts w:ascii="Times New Roman" w:hAnsi="Times New Roman"/>
          <w:noProof/>
        </w:rPr>
        <w:t xml:space="preserve"> </w:t>
      </w:r>
      <w:r w:rsidRPr="000849BF">
        <w:rPr>
          <w:rFonts w:ascii="Times New Roman" w:hAnsi="Times New Roman"/>
          <w:b/>
          <w:bCs/>
          <w:noProof/>
        </w:rPr>
        <w:t>2005</w:t>
      </w:r>
      <w:r w:rsidRPr="000849BF">
        <w:rPr>
          <w:rFonts w:ascii="Times New Roman" w:hAnsi="Times New Roman"/>
          <w:noProof/>
        </w:rPr>
        <w:t xml:space="preserve">, </w:t>
      </w:r>
      <w:r w:rsidRPr="000849BF">
        <w:rPr>
          <w:rFonts w:ascii="Times New Roman" w:hAnsi="Times New Roman"/>
          <w:i/>
          <w:iCs/>
          <w:noProof/>
        </w:rPr>
        <w:t>204</w:t>
      </w:r>
      <w:r w:rsidRPr="000849BF">
        <w:rPr>
          <w:rFonts w:ascii="Times New Roman" w:hAnsi="Times New Roman"/>
          <w:noProof/>
        </w:rPr>
        <w:t xml:space="preserve"> (2), 522–531.</w:t>
      </w:r>
    </w:p>
    <w:p w14:paraId="2C10F1B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(122) </w:t>
      </w:r>
      <w:r w:rsidRPr="000849BF">
        <w:rPr>
          <w:rFonts w:ascii="Times New Roman" w:hAnsi="Times New Roman"/>
          <w:noProof/>
        </w:rPr>
        <w:tab/>
        <w:t xml:space="preserve">Xing, H.; Wang, S.; Hu, K.; Tao, W.; Li, J.; Gao, Q.; Yang, X.; Weng, D.; Lu, Y.; Ma, D. </w:t>
      </w:r>
      <w:r w:rsidRPr="000849BF">
        <w:rPr>
          <w:rFonts w:ascii="Times New Roman" w:hAnsi="Times New Roman"/>
          <w:i/>
          <w:iCs/>
          <w:noProof/>
        </w:rPr>
        <w:t>J. Cancer Res. Clin. Oncol.</w:t>
      </w:r>
      <w:r w:rsidRPr="000849BF">
        <w:rPr>
          <w:rFonts w:ascii="Times New Roman" w:hAnsi="Times New Roman"/>
          <w:noProof/>
        </w:rPr>
        <w:t xml:space="preserve"> </w:t>
      </w:r>
      <w:r w:rsidRPr="000849BF">
        <w:rPr>
          <w:rFonts w:ascii="Times New Roman" w:hAnsi="Times New Roman"/>
          <w:b/>
          <w:bCs/>
          <w:noProof/>
        </w:rPr>
        <w:t>2005</w:t>
      </w:r>
      <w:r w:rsidRPr="000849BF">
        <w:rPr>
          <w:rFonts w:ascii="Times New Roman" w:hAnsi="Times New Roman"/>
          <w:noProof/>
        </w:rPr>
        <w:t xml:space="preserve">, </w:t>
      </w:r>
      <w:r w:rsidRPr="000849BF">
        <w:rPr>
          <w:rFonts w:ascii="Times New Roman" w:hAnsi="Times New Roman"/>
          <w:i/>
          <w:iCs/>
          <w:noProof/>
        </w:rPr>
        <w:t>131</w:t>
      </w:r>
      <w:r w:rsidRPr="000849BF">
        <w:rPr>
          <w:rFonts w:ascii="Times New Roman" w:hAnsi="Times New Roman"/>
          <w:noProof/>
        </w:rPr>
        <w:t xml:space="preserve"> (8), 511–519.</w:t>
      </w:r>
    </w:p>
    <w:p w14:paraId="211509B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(123) </w:t>
      </w:r>
      <w:r w:rsidRPr="000849BF">
        <w:rPr>
          <w:rFonts w:ascii="Times New Roman" w:hAnsi="Times New Roman"/>
          <w:noProof/>
        </w:rPr>
        <w:tab/>
        <w:t xml:space="preserve">Yang, Y.; Li, S.; Sun, Y.; Zhang, D.; Zhao, Z.; Liu, L. </w:t>
      </w:r>
      <w:r w:rsidRPr="000849BF">
        <w:rPr>
          <w:rFonts w:ascii="Times New Roman" w:hAnsi="Times New Roman"/>
          <w:i/>
          <w:iCs/>
          <w:noProof/>
        </w:rPr>
        <w:t>Onco. Targets. Ther.</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12</w:t>
      </w:r>
      <w:r w:rsidRPr="000849BF">
        <w:rPr>
          <w:rFonts w:ascii="Times New Roman" w:hAnsi="Times New Roman"/>
          <w:noProof/>
        </w:rPr>
        <w:t>, 897–906.</w:t>
      </w:r>
    </w:p>
    <w:p w14:paraId="3F217E7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(124) </w:t>
      </w:r>
      <w:r w:rsidRPr="000849BF">
        <w:rPr>
          <w:rFonts w:ascii="Times New Roman" w:hAnsi="Times New Roman"/>
          <w:noProof/>
        </w:rPr>
        <w:tab/>
        <w:t xml:space="preserve">Nunes, A. S.; Barros, A. S.; Costa, E. C.; Moreira, A. F.; Correia, I. J. </w:t>
      </w:r>
      <w:r w:rsidRPr="000849BF">
        <w:rPr>
          <w:rFonts w:ascii="Times New Roman" w:hAnsi="Times New Roman"/>
          <w:i/>
          <w:iCs/>
          <w:noProof/>
        </w:rPr>
        <w:t>Biotechnology and Bioengineering</w:t>
      </w:r>
      <w:r w:rsidRPr="000849BF">
        <w:rPr>
          <w:rFonts w:ascii="Times New Roman" w:hAnsi="Times New Roman"/>
          <w:noProof/>
        </w:rPr>
        <w:t>. John Wiley and Sons Inc. January 1, 2019, pp 206–226.</w:t>
      </w:r>
    </w:p>
    <w:p w14:paraId="02FDEA7C"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(125) </w:t>
      </w:r>
      <w:r w:rsidRPr="000849BF">
        <w:rPr>
          <w:rFonts w:ascii="Times New Roman" w:hAnsi="Times New Roman"/>
          <w:noProof/>
        </w:rPr>
        <w:tab/>
        <w:t xml:space="preserve">Zhou, Y.; Garcia-Prieto, C.; Carney, D. A.; Xu, R.; Pelicano, H.; Kang, Y.; Yu, W.; Lou, C.; Kondo, S.; Liu, J.; Harris, D. M.; Estrov, Z.; Keating, M. J.; Jin, Z.; Huang, P. </w:t>
      </w:r>
      <w:r w:rsidRPr="000849BF">
        <w:rPr>
          <w:rFonts w:ascii="Times New Roman" w:hAnsi="Times New Roman"/>
          <w:i/>
          <w:iCs/>
          <w:noProof/>
        </w:rPr>
        <w:t>J. Natl. Cancer Inst.</w:t>
      </w:r>
      <w:r w:rsidRPr="000849BF">
        <w:rPr>
          <w:rFonts w:ascii="Times New Roman" w:hAnsi="Times New Roman"/>
          <w:noProof/>
        </w:rPr>
        <w:t xml:space="preserve"> </w:t>
      </w:r>
      <w:r w:rsidRPr="000849BF">
        <w:rPr>
          <w:rFonts w:ascii="Times New Roman" w:hAnsi="Times New Roman"/>
          <w:b/>
          <w:bCs/>
          <w:noProof/>
        </w:rPr>
        <w:t>2005</w:t>
      </w:r>
      <w:r w:rsidRPr="000849BF">
        <w:rPr>
          <w:rFonts w:ascii="Times New Roman" w:hAnsi="Times New Roman"/>
          <w:noProof/>
        </w:rPr>
        <w:t xml:space="preserve">, </w:t>
      </w:r>
      <w:r w:rsidRPr="000849BF">
        <w:rPr>
          <w:rFonts w:ascii="Times New Roman" w:hAnsi="Times New Roman"/>
          <w:i/>
          <w:iCs/>
          <w:noProof/>
        </w:rPr>
        <w:t>97</w:t>
      </w:r>
      <w:r w:rsidRPr="000849BF">
        <w:rPr>
          <w:rFonts w:ascii="Times New Roman" w:hAnsi="Times New Roman"/>
          <w:noProof/>
        </w:rPr>
        <w:t xml:space="preserve"> (23), 1781–1785.</w:t>
      </w:r>
    </w:p>
    <w:p w14:paraId="62195A8E"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(126) </w:t>
      </w:r>
      <w:r w:rsidRPr="000849BF">
        <w:rPr>
          <w:rFonts w:ascii="Times New Roman" w:hAnsi="Times New Roman"/>
          <w:noProof/>
        </w:rPr>
        <w:tab/>
        <w:t xml:space="preserve">Huang, J.; Mousley, C. J.; Dacquay, L.; Maitra, N.; Drin, G.; He, C.; Ridgway, N. D.; Tripathi, A.; Kennedy, M.; Kennedy, B. K.; Liu, W.; Baetz, K.; Polymenis, M.; Bankaitis, V. A. </w:t>
      </w:r>
      <w:r w:rsidRPr="000849BF">
        <w:rPr>
          <w:rFonts w:ascii="Times New Roman" w:hAnsi="Times New Roman"/>
          <w:i/>
          <w:iCs/>
          <w:noProof/>
        </w:rPr>
        <w:t>Dev. Cell</w:t>
      </w:r>
      <w:r w:rsidRPr="000849BF">
        <w:rPr>
          <w:rFonts w:ascii="Times New Roman" w:hAnsi="Times New Roman"/>
          <w:noProof/>
        </w:rPr>
        <w:t xml:space="preserve"> </w:t>
      </w:r>
      <w:r w:rsidRPr="000849BF">
        <w:rPr>
          <w:rFonts w:ascii="Times New Roman" w:hAnsi="Times New Roman"/>
          <w:b/>
          <w:bCs/>
          <w:noProof/>
        </w:rPr>
        <w:t>2018</w:t>
      </w:r>
      <w:r w:rsidRPr="000849BF">
        <w:rPr>
          <w:rFonts w:ascii="Times New Roman" w:hAnsi="Times New Roman"/>
          <w:noProof/>
        </w:rPr>
        <w:t xml:space="preserve">, </w:t>
      </w:r>
      <w:r w:rsidRPr="000849BF">
        <w:rPr>
          <w:rFonts w:ascii="Times New Roman" w:hAnsi="Times New Roman"/>
          <w:i/>
          <w:iCs/>
          <w:noProof/>
        </w:rPr>
        <w:t>44</w:t>
      </w:r>
      <w:r w:rsidRPr="000849BF">
        <w:rPr>
          <w:rFonts w:ascii="Times New Roman" w:hAnsi="Times New Roman"/>
          <w:noProof/>
        </w:rPr>
        <w:t xml:space="preserve"> (3), 378–391.e5.</w:t>
      </w:r>
    </w:p>
    <w:p w14:paraId="01B3ECAF"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(127) </w:t>
      </w:r>
      <w:r w:rsidRPr="000849BF">
        <w:rPr>
          <w:rFonts w:ascii="Times New Roman" w:hAnsi="Times New Roman"/>
          <w:noProof/>
        </w:rPr>
        <w:tab/>
        <w:t xml:space="preserve">Banerji, S.; Ngo, M.; Lane, C. F.; Robinson, C. A.; Minogue, S.; Ridgway, N. D. </w:t>
      </w:r>
      <w:r w:rsidRPr="000849BF">
        <w:rPr>
          <w:rFonts w:ascii="Times New Roman" w:hAnsi="Times New Roman"/>
          <w:i/>
          <w:iCs/>
          <w:noProof/>
        </w:rPr>
        <w:t>Mol. Biol. Cell</w:t>
      </w:r>
      <w:r w:rsidRPr="000849BF">
        <w:rPr>
          <w:rFonts w:ascii="Times New Roman" w:hAnsi="Times New Roman"/>
          <w:noProof/>
        </w:rPr>
        <w:t xml:space="preserve"> </w:t>
      </w:r>
      <w:r w:rsidRPr="000849BF">
        <w:rPr>
          <w:rFonts w:ascii="Times New Roman" w:hAnsi="Times New Roman"/>
          <w:b/>
          <w:bCs/>
          <w:noProof/>
        </w:rPr>
        <w:t>2010</w:t>
      </w:r>
      <w:r w:rsidRPr="000849BF">
        <w:rPr>
          <w:rFonts w:ascii="Times New Roman" w:hAnsi="Times New Roman"/>
          <w:noProof/>
        </w:rPr>
        <w:t xml:space="preserve">, </w:t>
      </w:r>
      <w:r w:rsidRPr="000849BF">
        <w:rPr>
          <w:rFonts w:ascii="Times New Roman" w:hAnsi="Times New Roman"/>
          <w:i/>
          <w:iCs/>
          <w:noProof/>
        </w:rPr>
        <w:t>21</w:t>
      </w:r>
      <w:r w:rsidRPr="000849BF">
        <w:rPr>
          <w:rFonts w:ascii="Times New Roman" w:hAnsi="Times New Roman"/>
          <w:noProof/>
        </w:rPr>
        <w:t xml:space="preserve"> (23), 4141–4150.</w:t>
      </w:r>
    </w:p>
    <w:p w14:paraId="6E8B99B0"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(128) </w:t>
      </w:r>
      <w:r w:rsidRPr="000849BF">
        <w:rPr>
          <w:rFonts w:ascii="Times New Roman" w:hAnsi="Times New Roman"/>
          <w:noProof/>
        </w:rPr>
        <w:tab/>
        <w:t xml:space="preserve">Perry, R. J.; Ridgway, N. D. </w:t>
      </w:r>
      <w:r w:rsidRPr="000849BF">
        <w:rPr>
          <w:rFonts w:ascii="Times New Roman" w:hAnsi="Times New Roman"/>
          <w:i/>
          <w:iCs/>
          <w:noProof/>
        </w:rPr>
        <w:t>Mol. Biol. Cell</w:t>
      </w:r>
      <w:r w:rsidRPr="000849BF">
        <w:rPr>
          <w:rFonts w:ascii="Times New Roman" w:hAnsi="Times New Roman"/>
          <w:noProof/>
        </w:rPr>
        <w:t xml:space="preserve"> </w:t>
      </w:r>
      <w:r w:rsidRPr="000849BF">
        <w:rPr>
          <w:rFonts w:ascii="Times New Roman" w:hAnsi="Times New Roman"/>
          <w:b/>
          <w:bCs/>
          <w:noProof/>
        </w:rPr>
        <w:t>2006</w:t>
      </w:r>
      <w:r w:rsidRPr="000849BF">
        <w:rPr>
          <w:rFonts w:ascii="Times New Roman" w:hAnsi="Times New Roman"/>
          <w:noProof/>
        </w:rPr>
        <w:t xml:space="preserve">, </w:t>
      </w:r>
      <w:r w:rsidRPr="000849BF">
        <w:rPr>
          <w:rFonts w:ascii="Times New Roman" w:hAnsi="Times New Roman"/>
          <w:i/>
          <w:iCs/>
          <w:noProof/>
        </w:rPr>
        <w:t>17</w:t>
      </w:r>
      <w:r w:rsidRPr="000849BF">
        <w:rPr>
          <w:rFonts w:ascii="Times New Roman" w:hAnsi="Times New Roman"/>
          <w:noProof/>
        </w:rPr>
        <w:t xml:space="preserve"> (6), 2604–2616.</w:t>
      </w:r>
    </w:p>
    <w:p w14:paraId="7C93E3E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(129) </w:t>
      </w:r>
      <w:r w:rsidRPr="000849BF">
        <w:rPr>
          <w:rFonts w:ascii="Times New Roman" w:hAnsi="Times New Roman"/>
          <w:noProof/>
        </w:rPr>
        <w:tab/>
        <w:t xml:space="preserve">Goto, A.; Charman, M.; Ridgway, N. D. </w:t>
      </w:r>
      <w:r w:rsidRPr="000849BF">
        <w:rPr>
          <w:rFonts w:ascii="Times New Roman" w:hAnsi="Times New Roman"/>
          <w:i/>
          <w:iCs/>
          <w:noProof/>
        </w:rPr>
        <w:t>J. Biol. Chem.</w:t>
      </w:r>
      <w:r w:rsidRPr="000849BF">
        <w:rPr>
          <w:rFonts w:ascii="Times New Roman" w:hAnsi="Times New Roman"/>
          <w:noProof/>
        </w:rPr>
        <w:t xml:space="preserve"> </w:t>
      </w:r>
      <w:r w:rsidRPr="000849BF">
        <w:rPr>
          <w:rFonts w:ascii="Times New Roman" w:hAnsi="Times New Roman"/>
          <w:b/>
          <w:bCs/>
          <w:noProof/>
        </w:rPr>
        <w:t>2016</w:t>
      </w:r>
      <w:r w:rsidRPr="000849BF">
        <w:rPr>
          <w:rFonts w:ascii="Times New Roman" w:hAnsi="Times New Roman"/>
          <w:noProof/>
        </w:rPr>
        <w:t xml:space="preserve">, </w:t>
      </w:r>
      <w:r w:rsidRPr="000849BF">
        <w:rPr>
          <w:rFonts w:ascii="Times New Roman" w:hAnsi="Times New Roman"/>
          <w:i/>
          <w:iCs/>
          <w:noProof/>
        </w:rPr>
        <w:t>291</w:t>
      </w:r>
      <w:r w:rsidRPr="000849BF">
        <w:rPr>
          <w:rFonts w:ascii="Times New Roman" w:hAnsi="Times New Roman"/>
          <w:noProof/>
        </w:rPr>
        <w:t xml:space="preserve"> (3), 1336–1347.</w:t>
      </w:r>
    </w:p>
    <w:p w14:paraId="509B2C7F"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(130) </w:t>
      </w:r>
      <w:r w:rsidRPr="000849BF">
        <w:rPr>
          <w:rFonts w:ascii="Times New Roman" w:hAnsi="Times New Roman"/>
          <w:noProof/>
        </w:rPr>
        <w:tab/>
        <w:t xml:space="preserve">Udagawa, O.; Ito, C.; Ogonuki, N.; Sato, H.; Lee, S.; Tripvanuntakul, P.; Ichi, I.; Uchida, Y.; Nishimura, T.; Murakami, M.; Ogura, A.; Inoue, T.; Toshimori, K.; Arai, H. </w:t>
      </w:r>
      <w:r w:rsidRPr="000849BF">
        <w:rPr>
          <w:rFonts w:ascii="Times New Roman" w:hAnsi="Times New Roman"/>
          <w:i/>
          <w:iCs/>
          <w:noProof/>
        </w:rPr>
        <w:t>Genes to Cells</w:t>
      </w:r>
      <w:r w:rsidRPr="000849BF">
        <w:rPr>
          <w:rFonts w:ascii="Times New Roman" w:hAnsi="Times New Roman"/>
          <w:noProof/>
        </w:rPr>
        <w:t xml:space="preserve">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19</w:t>
      </w:r>
      <w:r w:rsidRPr="000849BF">
        <w:rPr>
          <w:rFonts w:ascii="Times New Roman" w:hAnsi="Times New Roman"/>
          <w:noProof/>
        </w:rPr>
        <w:t xml:space="preserve"> (1), 13–27.</w:t>
      </w:r>
    </w:p>
    <w:p w14:paraId="6C06EFA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(131) </w:t>
      </w:r>
      <w:r w:rsidRPr="000849BF">
        <w:rPr>
          <w:rFonts w:ascii="Times New Roman" w:hAnsi="Times New Roman"/>
          <w:noProof/>
        </w:rPr>
        <w:tab/>
        <w:t xml:space="preserve">Elias, K. M.; Emori, M. M.; Papp, E.; Macduffie, E.; Konecny, G. E.; Velculescu, V. E.; Drapkin, R. </w:t>
      </w:r>
      <w:r w:rsidRPr="000849BF">
        <w:rPr>
          <w:rFonts w:ascii="Times New Roman" w:hAnsi="Times New Roman"/>
          <w:i/>
          <w:iCs/>
          <w:noProof/>
        </w:rPr>
        <w:t>Gynecol. Oncol.</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139</w:t>
      </w:r>
      <w:r w:rsidRPr="000849BF">
        <w:rPr>
          <w:rFonts w:ascii="Times New Roman" w:hAnsi="Times New Roman"/>
          <w:noProof/>
        </w:rPr>
        <w:t xml:space="preserve"> (1), 97–103.</w:t>
      </w:r>
    </w:p>
    <w:p w14:paraId="6124F2F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(132) </w:t>
      </w:r>
      <w:r w:rsidRPr="000849BF">
        <w:rPr>
          <w:rFonts w:ascii="Times New Roman" w:hAnsi="Times New Roman"/>
          <w:noProof/>
        </w:rPr>
        <w:tab/>
        <w:t xml:space="preserve">Kelm, J. M.; Timmins, N. E.; Brown, C. J.; Fussenegger, M.; Nielsen, L. K. </w:t>
      </w:r>
      <w:r w:rsidRPr="000849BF">
        <w:rPr>
          <w:rFonts w:ascii="Times New Roman" w:hAnsi="Times New Roman"/>
          <w:i/>
          <w:iCs/>
          <w:noProof/>
        </w:rPr>
        <w:t>Biotechnol. Bioeng.</w:t>
      </w:r>
      <w:r w:rsidRPr="000849BF">
        <w:rPr>
          <w:rFonts w:ascii="Times New Roman" w:hAnsi="Times New Roman"/>
          <w:noProof/>
        </w:rPr>
        <w:t xml:space="preserve"> </w:t>
      </w:r>
      <w:r w:rsidRPr="000849BF">
        <w:rPr>
          <w:rFonts w:ascii="Times New Roman" w:hAnsi="Times New Roman"/>
          <w:b/>
          <w:bCs/>
          <w:noProof/>
        </w:rPr>
        <w:t>2003</w:t>
      </w:r>
      <w:r w:rsidRPr="000849BF">
        <w:rPr>
          <w:rFonts w:ascii="Times New Roman" w:hAnsi="Times New Roman"/>
          <w:noProof/>
        </w:rPr>
        <w:t xml:space="preserve">, </w:t>
      </w:r>
      <w:r w:rsidRPr="000849BF">
        <w:rPr>
          <w:rFonts w:ascii="Times New Roman" w:hAnsi="Times New Roman"/>
          <w:i/>
          <w:iCs/>
          <w:noProof/>
        </w:rPr>
        <w:t>83</w:t>
      </w:r>
      <w:r w:rsidRPr="000849BF">
        <w:rPr>
          <w:rFonts w:ascii="Times New Roman" w:hAnsi="Times New Roman"/>
          <w:noProof/>
        </w:rPr>
        <w:t xml:space="preserve"> (2), 173–180.</w:t>
      </w:r>
    </w:p>
    <w:p w14:paraId="618A068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(133) </w:t>
      </w:r>
      <w:r w:rsidRPr="000849BF">
        <w:rPr>
          <w:rFonts w:ascii="Times New Roman" w:hAnsi="Times New Roman"/>
          <w:noProof/>
        </w:rPr>
        <w:tab/>
        <w:t xml:space="preserve">Raghavan, S.; Ward, M. R.; Rowley, K. R.; Wold, R. M.; Takayama, S.; Buckanovich, R. J.; Mehta, G. </w:t>
      </w:r>
      <w:r w:rsidRPr="000849BF">
        <w:rPr>
          <w:rFonts w:ascii="Times New Roman" w:hAnsi="Times New Roman"/>
          <w:i/>
          <w:iCs/>
          <w:noProof/>
        </w:rPr>
        <w:t>Gynecol. Oncol.</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138</w:t>
      </w:r>
      <w:r w:rsidRPr="000849BF">
        <w:rPr>
          <w:rFonts w:ascii="Times New Roman" w:hAnsi="Times New Roman"/>
          <w:noProof/>
        </w:rPr>
        <w:t xml:space="preserve"> (1), 181–189.</w:t>
      </w:r>
    </w:p>
    <w:p w14:paraId="07289115"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(134) </w:t>
      </w:r>
      <w:r w:rsidRPr="000849BF">
        <w:rPr>
          <w:rFonts w:ascii="Times New Roman" w:hAnsi="Times New Roman"/>
          <w:noProof/>
        </w:rPr>
        <w:tab/>
        <w:t xml:space="preserve">Vinci, M.; Gowan, S.; Boxall, F.; Patterson, L.; Zimmermann, M.; Court, W.; Lomas, C.; Mendiola, M.; Hardisson, D.; Eccles, S. A. </w:t>
      </w:r>
      <w:r w:rsidRPr="000849BF">
        <w:rPr>
          <w:rFonts w:ascii="Times New Roman" w:hAnsi="Times New Roman"/>
          <w:i/>
          <w:iCs/>
          <w:noProof/>
        </w:rPr>
        <w:t>BMC Biol.</w:t>
      </w:r>
      <w:r w:rsidRPr="000849BF">
        <w:rPr>
          <w:rFonts w:ascii="Times New Roman" w:hAnsi="Times New Roman"/>
          <w:noProof/>
        </w:rPr>
        <w:t xml:space="preserve"> </w:t>
      </w:r>
      <w:r w:rsidRPr="000849BF">
        <w:rPr>
          <w:rFonts w:ascii="Times New Roman" w:hAnsi="Times New Roman"/>
          <w:b/>
          <w:bCs/>
          <w:noProof/>
        </w:rPr>
        <w:t>2012</w:t>
      </w:r>
      <w:r w:rsidRPr="000849BF">
        <w:rPr>
          <w:rFonts w:ascii="Times New Roman" w:hAnsi="Times New Roman"/>
          <w:noProof/>
        </w:rPr>
        <w:t xml:space="preserve">, </w:t>
      </w:r>
      <w:r w:rsidRPr="000849BF">
        <w:rPr>
          <w:rFonts w:ascii="Times New Roman" w:hAnsi="Times New Roman"/>
          <w:i/>
          <w:iCs/>
          <w:noProof/>
        </w:rPr>
        <w:t>10</w:t>
      </w:r>
      <w:r w:rsidRPr="000849BF">
        <w:rPr>
          <w:rFonts w:ascii="Times New Roman" w:hAnsi="Times New Roman"/>
          <w:noProof/>
        </w:rPr>
        <w:t xml:space="preserve"> (1), 29.</w:t>
      </w:r>
    </w:p>
    <w:p w14:paraId="3A527CA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(135) </w:t>
      </w:r>
      <w:r w:rsidRPr="000849BF">
        <w:rPr>
          <w:rFonts w:ascii="Times New Roman" w:hAnsi="Times New Roman"/>
          <w:noProof/>
        </w:rPr>
        <w:tab/>
        <w:t xml:space="preserve">WARTENBERG, M.; DÖNMEZ, F.; LING, F. C.; ACKER, H.; HESCHELER, J.; SAUER, H. </w:t>
      </w:r>
      <w:r w:rsidRPr="000849BF">
        <w:rPr>
          <w:rFonts w:ascii="Times New Roman" w:hAnsi="Times New Roman"/>
          <w:i/>
          <w:iCs/>
          <w:noProof/>
        </w:rPr>
        <w:t>FASEB J.</w:t>
      </w:r>
      <w:r w:rsidRPr="000849BF">
        <w:rPr>
          <w:rFonts w:ascii="Times New Roman" w:hAnsi="Times New Roman"/>
          <w:noProof/>
        </w:rPr>
        <w:t xml:space="preserve"> </w:t>
      </w:r>
      <w:r w:rsidRPr="000849BF">
        <w:rPr>
          <w:rFonts w:ascii="Times New Roman" w:hAnsi="Times New Roman"/>
          <w:b/>
          <w:bCs/>
          <w:noProof/>
        </w:rPr>
        <w:t>2001</w:t>
      </w:r>
      <w:r w:rsidRPr="000849BF">
        <w:rPr>
          <w:rFonts w:ascii="Times New Roman" w:hAnsi="Times New Roman"/>
          <w:noProof/>
        </w:rPr>
        <w:t xml:space="preserve">, </w:t>
      </w:r>
      <w:r w:rsidRPr="000849BF">
        <w:rPr>
          <w:rFonts w:ascii="Times New Roman" w:hAnsi="Times New Roman"/>
          <w:i/>
          <w:iCs/>
          <w:noProof/>
        </w:rPr>
        <w:t>15</w:t>
      </w:r>
      <w:r w:rsidRPr="000849BF">
        <w:rPr>
          <w:rFonts w:ascii="Times New Roman" w:hAnsi="Times New Roman"/>
          <w:noProof/>
        </w:rPr>
        <w:t xml:space="preserve"> (6), 995–1005.</w:t>
      </w:r>
    </w:p>
    <w:p w14:paraId="09855BC7"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(136) </w:t>
      </w:r>
      <w:r w:rsidRPr="000849BF">
        <w:rPr>
          <w:rFonts w:ascii="Times New Roman" w:hAnsi="Times New Roman"/>
          <w:noProof/>
        </w:rPr>
        <w:tab/>
        <w:t xml:space="preserve">Friedrich, J.; Seidel, C.; Ebner, R.; Kunz-Schughart, L. A. </w:t>
      </w:r>
      <w:r w:rsidRPr="000849BF">
        <w:rPr>
          <w:rFonts w:ascii="Times New Roman" w:hAnsi="Times New Roman"/>
          <w:i/>
          <w:iCs/>
          <w:noProof/>
        </w:rPr>
        <w:t>Nat. Protoc.</w:t>
      </w:r>
      <w:r w:rsidRPr="000849BF">
        <w:rPr>
          <w:rFonts w:ascii="Times New Roman" w:hAnsi="Times New Roman"/>
          <w:noProof/>
        </w:rPr>
        <w:t xml:space="preserve"> </w:t>
      </w:r>
      <w:r w:rsidRPr="000849BF">
        <w:rPr>
          <w:rFonts w:ascii="Times New Roman" w:hAnsi="Times New Roman"/>
          <w:b/>
          <w:bCs/>
          <w:noProof/>
        </w:rPr>
        <w:t>2009</w:t>
      </w:r>
      <w:r w:rsidRPr="000849BF">
        <w:rPr>
          <w:rFonts w:ascii="Times New Roman" w:hAnsi="Times New Roman"/>
          <w:noProof/>
        </w:rPr>
        <w:t xml:space="preserve">, </w:t>
      </w:r>
      <w:r w:rsidRPr="000849BF">
        <w:rPr>
          <w:rFonts w:ascii="Times New Roman" w:hAnsi="Times New Roman"/>
          <w:i/>
          <w:iCs/>
          <w:noProof/>
        </w:rPr>
        <w:t>4</w:t>
      </w:r>
      <w:r w:rsidRPr="000849BF">
        <w:rPr>
          <w:rFonts w:ascii="Times New Roman" w:hAnsi="Times New Roman"/>
          <w:noProof/>
        </w:rPr>
        <w:t xml:space="preserve"> (3), 309–324.</w:t>
      </w:r>
    </w:p>
    <w:p w14:paraId="5C1EA8D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(137) </w:t>
      </w:r>
      <w:r w:rsidRPr="000849BF">
        <w:rPr>
          <w:rFonts w:ascii="Times New Roman" w:hAnsi="Times New Roman"/>
          <w:noProof/>
        </w:rPr>
        <w:tab/>
        <w:t xml:space="preserve">Raghavan, S.; Mehta, P.; Horst, E. N.; Ward, M. R.; Rowley, K. R.; Mehta, G. </w:t>
      </w:r>
      <w:r w:rsidRPr="000849BF">
        <w:rPr>
          <w:rFonts w:ascii="Times New Roman" w:hAnsi="Times New Roman"/>
          <w:i/>
          <w:iCs/>
          <w:noProof/>
        </w:rPr>
        <w:t>Oncotarget</w:t>
      </w:r>
      <w:r w:rsidRPr="000849BF">
        <w:rPr>
          <w:rFonts w:ascii="Times New Roman" w:hAnsi="Times New Roman"/>
          <w:noProof/>
        </w:rPr>
        <w:t xml:space="preserve"> </w:t>
      </w:r>
      <w:r w:rsidRPr="000849BF">
        <w:rPr>
          <w:rFonts w:ascii="Times New Roman" w:hAnsi="Times New Roman"/>
          <w:b/>
          <w:bCs/>
          <w:noProof/>
        </w:rPr>
        <w:t>2016</w:t>
      </w:r>
      <w:r w:rsidRPr="000849BF">
        <w:rPr>
          <w:rFonts w:ascii="Times New Roman" w:hAnsi="Times New Roman"/>
          <w:noProof/>
        </w:rPr>
        <w:t xml:space="preserve">, </w:t>
      </w:r>
      <w:r w:rsidRPr="000849BF">
        <w:rPr>
          <w:rFonts w:ascii="Times New Roman" w:hAnsi="Times New Roman"/>
          <w:i/>
          <w:iCs/>
          <w:noProof/>
        </w:rPr>
        <w:t>7</w:t>
      </w:r>
      <w:r w:rsidRPr="000849BF">
        <w:rPr>
          <w:rFonts w:ascii="Times New Roman" w:hAnsi="Times New Roman"/>
          <w:noProof/>
        </w:rPr>
        <w:t xml:space="preserve"> (13), 16948–16961.</w:t>
      </w:r>
    </w:p>
    <w:p w14:paraId="1F407895"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(138) </w:t>
      </w:r>
      <w:r w:rsidRPr="000849BF">
        <w:rPr>
          <w:rFonts w:ascii="Times New Roman" w:hAnsi="Times New Roman"/>
          <w:noProof/>
        </w:rPr>
        <w:tab/>
        <w:t xml:space="preserve">Amaral, R. L. F.; Miranda, M.; Marcato, P. D.; Swiech, K. </w:t>
      </w:r>
      <w:r w:rsidRPr="000849BF">
        <w:rPr>
          <w:rFonts w:ascii="Times New Roman" w:hAnsi="Times New Roman"/>
          <w:i/>
          <w:iCs/>
          <w:noProof/>
        </w:rPr>
        <w:t>Front. Physiol.</w:t>
      </w:r>
      <w:r w:rsidRPr="000849BF">
        <w:rPr>
          <w:rFonts w:ascii="Times New Roman" w:hAnsi="Times New Roman"/>
          <w:noProof/>
        </w:rPr>
        <w:t xml:space="preserve"> </w:t>
      </w:r>
      <w:r w:rsidRPr="000849BF">
        <w:rPr>
          <w:rFonts w:ascii="Times New Roman" w:hAnsi="Times New Roman"/>
          <w:b/>
          <w:bCs/>
          <w:noProof/>
        </w:rPr>
        <w:t>2017</w:t>
      </w:r>
      <w:r w:rsidRPr="000849BF">
        <w:rPr>
          <w:rFonts w:ascii="Times New Roman" w:hAnsi="Times New Roman"/>
          <w:noProof/>
        </w:rPr>
        <w:t xml:space="preserve">, </w:t>
      </w:r>
      <w:r w:rsidRPr="000849BF">
        <w:rPr>
          <w:rFonts w:ascii="Times New Roman" w:hAnsi="Times New Roman"/>
          <w:i/>
          <w:iCs/>
          <w:noProof/>
        </w:rPr>
        <w:t>8</w:t>
      </w:r>
      <w:r w:rsidRPr="000849BF">
        <w:rPr>
          <w:rFonts w:ascii="Times New Roman" w:hAnsi="Times New Roman"/>
          <w:noProof/>
        </w:rPr>
        <w:t xml:space="preserve"> (AUG).</w:t>
      </w:r>
    </w:p>
    <w:p w14:paraId="075EA740"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(139) </w:t>
      </w:r>
      <w:r w:rsidRPr="000849BF">
        <w:rPr>
          <w:rFonts w:ascii="Times New Roman" w:hAnsi="Times New Roman"/>
          <w:noProof/>
        </w:rPr>
        <w:tab/>
        <w:t xml:space="preserve">Riss, T.; Valley, M.; Kupcho, K.; Zimprich, C.; Leippe, D.; Niles, A.; Vidugiriene, J.; Cali, J.; Kelm, J.; Moritz, W.; Lazar, D. </w:t>
      </w:r>
      <w:r w:rsidRPr="000849BF">
        <w:rPr>
          <w:rFonts w:ascii="Times New Roman" w:hAnsi="Times New Roman"/>
          <w:i/>
          <w:iCs/>
          <w:noProof/>
        </w:rPr>
        <w:t>Toxicol. Lett.</w:t>
      </w:r>
      <w:r w:rsidRPr="000849BF">
        <w:rPr>
          <w:rFonts w:ascii="Times New Roman" w:hAnsi="Times New Roman"/>
          <w:noProof/>
        </w:rPr>
        <w:t xml:space="preserve">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229</w:t>
      </w:r>
      <w:r w:rsidRPr="000849BF">
        <w:rPr>
          <w:rFonts w:ascii="Times New Roman" w:hAnsi="Times New Roman"/>
          <w:noProof/>
        </w:rPr>
        <w:t xml:space="preserve"> (229), S145.</w:t>
      </w:r>
    </w:p>
    <w:p w14:paraId="554301C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(140) </w:t>
      </w:r>
      <w:r w:rsidRPr="000849BF">
        <w:rPr>
          <w:rFonts w:ascii="Times New Roman" w:hAnsi="Times New Roman"/>
          <w:noProof/>
        </w:rPr>
        <w:tab/>
        <w:t xml:space="preserve">Kijanska, M.; Kelm, J. </w:t>
      </w:r>
      <w:r w:rsidRPr="000849BF">
        <w:rPr>
          <w:rFonts w:ascii="Times New Roman" w:hAnsi="Times New Roman"/>
          <w:i/>
          <w:iCs/>
          <w:noProof/>
        </w:rPr>
        <w:t>In vitro 3D Spheroids and Microtissues: ATP-based Cell Viability and Toxicity Assays</w:t>
      </w:r>
      <w:r w:rsidRPr="000849BF">
        <w:rPr>
          <w:rFonts w:ascii="Times New Roman" w:hAnsi="Times New Roman"/>
          <w:noProof/>
        </w:rPr>
        <w:t>; Eli Lilly &amp; Company and the National Center for Advancing Translational Sciences, 2004.</w:t>
      </w:r>
    </w:p>
    <w:p w14:paraId="06A87D6D"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(141) </w:t>
      </w:r>
      <w:r w:rsidRPr="000849BF">
        <w:rPr>
          <w:rFonts w:ascii="Times New Roman" w:hAnsi="Times New Roman"/>
          <w:noProof/>
        </w:rPr>
        <w:tab/>
        <w:t xml:space="preserve">Lewis, C. A.; Brault, C.; Peck, B.; Bensaad, K.; Griffiths, B.; Mitter, R.; Chakravarty, P.; East, P.; Dankworth, B.; Alibhai, D.; Harris, A. L.; Schulze, A. </w:t>
      </w:r>
      <w:r w:rsidRPr="000849BF">
        <w:rPr>
          <w:rFonts w:ascii="Times New Roman" w:hAnsi="Times New Roman"/>
          <w:i/>
          <w:iCs/>
          <w:noProof/>
        </w:rPr>
        <w:lastRenderedPageBreak/>
        <w:t>Oncogene</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34</w:t>
      </w:r>
      <w:r w:rsidRPr="000849BF">
        <w:rPr>
          <w:rFonts w:ascii="Times New Roman" w:hAnsi="Times New Roman"/>
          <w:noProof/>
        </w:rPr>
        <w:t xml:space="preserve"> (40), 5128–5140.</w:t>
      </w:r>
    </w:p>
    <w:p w14:paraId="08E06650"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(142) </w:t>
      </w:r>
      <w:r w:rsidRPr="000849BF">
        <w:rPr>
          <w:rFonts w:ascii="Times New Roman" w:hAnsi="Times New Roman"/>
          <w:noProof/>
        </w:rPr>
        <w:tab/>
        <w:t xml:space="preserve">Raychaudhuri, S.; Prinz, W. A. </w:t>
      </w:r>
      <w:r w:rsidRPr="000849BF">
        <w:rPr>
          <w:rFonts w:ascii="Times New Roman" w:hAnsi="Times New Roman"/>
          <w:i/>
          <w:iCs/>
          <w:noProof/>
        </w:rPr>
        <w:t>Annu. Rev. Cell Dev. Biol.</w:t>
      </w:r>
      <w:r w:rsidRPr="000849BF">
        <w:rPr>
          <w:rFonts w:ascii="Times New Roman" w:hAnsi="Times New Roman"/>
          <w:noProof/>
        </w:rPr>
        <w:t xml:space="preserve"> </w:t>
      </w:r>
      <w:r w:rsidRPr="000849BF">
        <w:rPr>
          <w:rFonts w:ascii="Times New Roman" w:hAnsi="Times New Roman"/>
          <w:b/>
          <w:bCs/>
          <w:noProof/>
        </w:rPr>
        <w:t>2010</w:t>
      </w:r>
      <w:r w:rsidRPr="000849BF">
        <w:rPr>
          <w:rFonts w:ascii="Times New Roman" w:hAnsi="Times New Roman"/>
          <w:noProof/>
        </w:rPr>
        <w:t xml:space="preserve">, </w:t>
      </w:r>
      <w:r w:rsidRPr="000849BF">
        <w:rPr>
          <w:rFonts w:ascii="Times New Roman" w:hAnsi="Times New Roman"/>
          <w:i/>
          <w:iCs/>
          <w:noProof/>
        </w:rPr>
        <w:t>26</w:t>
      </w:r>
      <w:r w:rsidRPr="000849BF">
        <w:rPr>
          <w:rFonts w:ascii="Times New Roman" w:hAnsi="Times New Roman"/>
          <w:noProof/>
        </w:rPr>
        <w:t xml:space="preserve"> (1), 157–177.</w:t>
      </w:r>
    </w:p>
    <w:p w14:paraId="23C1C8E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(143) </w:t>
      </w:r>
      <w:r w:rsidRPr="000849BF">
        <w:rPr>
          <w:rFonts w:ascii="Times New Roman" w:hAnsi="Times New Roman"/>
          <w:noProof/>
        </w:rPr>
        <w:tab/>
        <w:t xml:space="preserve">Pan, N.; Standke, S. J.; Kothapalli, N. R.; Sun, M.; Bensen, R. C.; Burgett, A. W. G.; Yang, Z.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91</w:t>
      </w:r>
      <w:r w:rsidRPr="000849BF">
        <w:rPr>
          <w:rFonts w:ascii="Times New Roman" w:hAnsi="Times New Roman"/>
          <w:noProof/>
        </w:rPr>
        <w:t xml:space="preserve"> (14), 9018–9024.</w:t>
      </w:r>
    </w:p>
    <w:p w14:paraId="5C4433F5"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(144) </w:t>
      </w:r>
      <w:r w:rsidRPr="000849BF">
        <w:rPr>
          <w:rFonts w:ascii="Times New Roman" w:hAnsi="Times New Roman"/>
          <w:noProof/>
        </w:rPr>
        <w:tab/>
        <w:t xml:space="preserve">Wang, D.; Bodovitz, S. </w:t>
      </w:r>
      <w:r w:rsidRPr="000849BF">
        <w:rPr>
          <w:rFonts w:ascii="Times New Roman" w:hAnsi="Times New Roman"/>
          <w:i/>
          <w:iCs/>
          <w:noProof/>
        </w:rPr>
        <w:t>Trends Biotechnol.</w:t>
      </w:r>
      <w:r w:rsidRPr="000849BF">
        <w:rPr>
          <w:rFonts w:ascii="Times New Roman" w:hAnsi="Times New Roman"/>
          <w:noProof/>
        </w:rPr>
        <w:t xml:space="preserve"> </w:t>
      </w:r>
      <w:r w:rsidRPr="000849BF">
        <w:rPr>
          <w:rFonts w:ascii="Times New Roman" w:hAnsi="Times New Roman"/>
          <w:b/>
          <w:bCs/>
          <w:noProof/>
        </w:rPr>
        <w:t>2010</w:t>
      </w:r>
      <w:r w:rsidRPr="000849BF">
        <w:rPr>
          <w:rFonts w:ascii="Times New Roman" w:hAnsi="Times New Roman"/>
          <w:noProof/>
        </w:rPr>
        <w:t xml:space="preserve">, </w:t>
      </w:r>
      <w:r w:rsidRPr="000849BF">
        <w:rPr>
          <w:rFonts w:ascii="Times New Roman" w:hAnsi="Times New Roman"/>
          <w:i/>
          <w:iCs/>
          <w:noProof/>
        </w:rPr>
        <w:t>28</w:t>
      </w:r>
      <w:r w:rsidRPr="000849BF">
        <w:rPr>
          <w:rFonts w:ascii="Times New Roman" w:hAnsi="Times New Roman"/>
          <w:noProof/>
        </w:rPr>
        <w:t xml:space="preserve"> (6), 281–290.</w:t>
      </w:r>
    </w:p>
    <w:p w14:paraId="3F8A1E23"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(145) </w:t>
      </w:r>
      <w:r w:rsidRPr="000849BF">
        <w:rPr>
          <w:rFonts w:ascii="Times New Roman" w:hAnsi="Times New Roman"/>
          <w:noProof/>
        </w:rPr>
        <w:tab/>
        <w:t xml:space="preserve">Heath, J. R.; Ribas, A.; Mischel, P. S. </w:t>
      </w:r>
      <w:r w:rsidRPr="000849BF">
        <w:rPr>
          <w:rFonts w:ascii="Times New Roman" w:hAnsi="Times New Roman"/>
          <w:i/>
          <w:iCs/>
          <w:noProof/>
        </w:rPr>
        <w:t>Nat. Publ. Gr.</w:t>
      </w:r>
      <w:r w:rsidRPr="000849BF">
        <w:rPr>
          <w:rFonts w:ascii="Times New Roman" w:hAnsi="Times New Roman"/>
          <w:noProof/>
        </w:rPr>
        <w:t xml:space="preserve"> </w:t>
      </w:r>
      <w:r w:rsidRPr="000849BF">
        <w:rPr>
          <w:rFonts w:ascii="Times New Roman" w:hAnsi="Times New Roman"/>
          <w:b/>
          <w:bCs/>
          <w:noProof/>
        </w:rPr>
        <w:t>2016</w:t>
      </w:r>
      <w:r w:rsidRPr="000849BF">
        <w:rPr>
          <w:rFonts w:ascii="Times New Roman" w:hAnsi="Times New Roman"/>
          <w:noProof/>
        </w:rPr>
        <w:t>.</w:t>
      </w:r>
    </w:p>
    <w:p w14:paraId="30B30047"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(146) </w:t>
      </w:r>
      <w:r w:rsidRPr="000849BF">
        <w:rPr>
          <w:rFonts w:ascii="Times New Roman" w:hAnsi="Times New Roman"/>
          <w:noProof/>
        </w:rPr>
        <w:tab/>
        <w:t xml:space="preserve">Schmid, A.; Kortmann, H.; Dittrich, P. S.; Blank, L. M. </w:t>
      </w:r>
      <w:r w:rsidRPr="000849BF">
        <w:rPr>
          <w:rFonts w:ascii="Times New Roman" w:hAnsi="Times New Roman"/>
          <w:i/>
          <w:iCs/>
          <w:noProof/>
        </w:rPr>
        <w:t>Curr. Opin. Biotechnol.</w:t>
      </w:r>
      <w:r w:rsidRPr="000849BF">
        <w:rPr>
          <w:rFonts w:ascii="Times New Roman" w:hAnsi="Times New Roman"/>
          <w:noProof/>
        </w:rPr>
        <w:t xml:space="preserve"> </w:t>
      </w:r>
      <w:r w:rsidRPr="000849BF">
        <w:rPr>
          <w:rFonts w:ascii="Times New Roman" w:hAnsi="Times New Roman"/>
          <w:b/>
          <w:bCs/>
          <w:noProof/>
        </w:rPr>
        <w:t>2010</w:t>
      </w:r>
      <w:r w:rsidRPr="000849BF">
        <w:rPr>
          <w:rFonts w:ascii="Times New Roman" w:hAnsi="Times New Roman"/>
          <w:noProof/>
        </w:rPr>
        <w:t xml:space="preserve">, </w:t>
      </w:r>
      <w:r w:rsidRPr="000849BF">
        <w:rPr>
          <w:rFonts w:ascii="Times New Roman" w:hAnsi="Times New Roman"/>
          <w:i/>
          <w:iCs/>
          <w:noProof/>
        </w:rPr>
        <w:t>21</w:t>
      </w:r>
      <w:r w:rsidRPr="000849BF">
        <w:rPr>
          <w:rFonts w:ascii="Times New Roman" w:hAnsi="Times New Roman"/>
          <w:noProof/>
        </w:rPr>
        <w:t xml:space="preserve"> (1), 12–20.</w:t>
      </w:r>
    </w:p>
    <w:p w14:paraId="5E1E7C4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(147) </w:t>
      </w:r>
      <w:r w:rsidRPr="000849BF">
        <w:rPr>
          <w:rFonts w:ascii="Times New Roman" w:hAnsi="Times New Roman"/>
          <w:noProof/>
        </w:rPr>
        <w:tab/>
        <w:t xml:space="preserve">Boggio, K. J.; Obasuyi, E.; Sugino, K.; Nelson, S. B.; Agar, N. Y.; Agar, J. N. </w:t>
      </w:r>
      <w:r w:rsidRPr="000849BF">
        <w:rPr>
          <w:rFonts w:ascii="Times New Roman" w:hAnsi="Times New Roman"/>
          <w:i/>
          <w:iCs/>
          <w:noProof/>
        </w:rPr>
        <w:t>Expert Rev. Proteomics</w:t>
      </w:r>
      <w:r w:rsidRPr="000849BF">
        <w:rPr>
          <w:rFonts w:ascii="Times New Roman" w:hAnsi="Times New Roman"/>
          <w:noProof/>
        </w:rPr>
        <w:t xml:space="preserve"> </w:t>
      </w:r>
      <w:r w:rsidRPr="000849BF">
        <w:rPr>
          <w:rFonts w:ascii="Times New Roman" w:hAnsi="Times New Roman"/>
          <w:b/>
          <w:bCs/>
          <w:noProof/>
        </w:rPr>
        <w:t>2011</w:t>
      </w:r>
      <w:r w:rsidRPr="000849BF">
        <w:rPr>
          <w:rFonts w:ascii="Times New Roman" w:hAnsi="Times New Roman"/>
          <w:noProof/>
        </w:rPr>
        <w:t xml:space="preserve">, </w:t>
      </w:r>
      <w:r w:rsidRPr="000849BF">
        <w:rPr>
          <w:rFonts w:ascii="Times New Roman" w:hAnsi="Times New Roman"/>
          <w:i/>
          <w:iCs/>
          <w:noProof/>
        </w:rPr>
        <w:t>8</w:t>
      </w:r>
      <w:r w:rsidRPr="000849BF">
        <w:rPr>
          <w:rFonts w:ascii="Times New Roman" w:hAnsi="Times New Roman"/>
          <w:noProof/>
        </w:rPr>
        <w:t xml:space="preserve"> (5), 591–604.</w:t>
      </w:r>
    </w:p>
    <w:p w14:paraId="5292C3D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(148) </w:t>
      </w:r>
      <w:r w:rsidRPr="000849BF">
        <w:rPr>
          <w:rFonts w:ascii="Times New Roman" w:hAnsi="Times New Roman"/>
          <w:noProof/>
        </w:rPr>
        <w:tab/>
        <w:t xml:space="preserve">Rubakhin, S. S.; Romanova, E. V; Nemes, P.; Sweedler, J. V. </w:t>
      </w:r>
      <w:r w:rsidRPr="000849BF">
        <w:rPr>
          <w:rFonts w:ascii="Times New Roman" w:hAnsi="Times New Roman"/>
          <w:i/>
          <w:iCs/>
          <w:noProof/>
        </w:rPr>
        <w:t>Nat. Methods</w:t>
      </w:r>
      <w:r w:rsidRPr="000849BF">
        <w:rPr>
          <w:rFonts w:ascii="Times New Roman" w:hAnsi="Times New Roman"/>
          <w:noProof/>
        </w:rPr>
        <w:t xml:space="preserve"> </w:t>
      </w:r>
      <w:r w:rsidRPr="000849BF">
        <w:rPr>
          <w:rFonts w:ascii="Times New Roman" w:hAnsi="Times New Roman"/>
          <w:b/>
          <w:bCs/>
          <w:noProof/>
        </w:rPr>
        <w:t>2011</w:t>
      </w:r>
      <w:r w:rsidRPr="000849BF">
        <w:rPr>
          <w:rFonts w:ascii="Times New Roman" w:hAnsi="Times New Roman"/>
          <w:noProof/>
        </w:rPr>
        <w:t xml:space="preserve">, </w:t>
      </w:r>
      <w:r w:rsidRPr="000849BF">
        <w:rPr>
          <w:rFonts w:ascii="Times New Roman" w:hAnsi="Times New Roman"/>
          <w:i/>
          <w:iCs/>
          <w:noProof/>
        </w:rPr>
        <w:t>8</w:t>
      </w:r>
      <w:r w:rsidRPr="000849BF">
        <w:rPr>
          <w:rFonts w:ascii="Times New Roman" w:hAnsi="Times New Roman"/>
          <w:noProof/>
        </w:rPr>
        <w:t xml:space="preserve"> (4), S20–S29.</w:t>
      </w:r>
    </w:p>
    <w:p w14:paraId="6370590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(149) </w:t>
      </w:r>
      <w:r w:rsidRPr="000849BF">
        <w:rPr>
          <w:rFonts w:ascii="Times New Roman" w:hAnsi="Times New Roman"/>
          <w:noProof/>
        </w:rPr>
        <w:tab/>
        <w:t xml:space="preserve">Fan, H. C.; Fu, G. K.; Fodor, S. P. A. </w:t>
      </w:r>
      <w:r w:rsidRPr="000849BF">
        <w:rPr>
          <w:rFonts w:ascii="Times New Roman" w:hAnsi="Times New Roman"/>
          <w:i/>
          <w:iCs/>
          <w:noProof/>
        </w:rPr>
        <w:t>Science (80-. ).</w:t>
      </w:r>
      <w:r w:rsidRPr="000849BF">
        <w:rPr>
          <w:rFonts w:ascii="Times New Roman" w:hAnsi="Times New Roman"/>
          <w:noProof/>
        </w:rPr>
        <w:t xml:space="preserve"> </w:t>
      </w:r>
      <w:r w:rsidRPr="000849BF">
        <w:rPr>
          <w:rFonts w:ascii="Times New Roman" w:hAnsi="Times New Roman"/>
          <w:b/>
          <w:bCs/>
          <w:noProof/>
        </w:rPr>
        <w:t>2015</w:t>
      </w:r>
      <w:r w:rsidRPr="000849BF">
        <w:rPr>
          <w:rFonts w:ascii="Times New Roman" w:hAnsi="Times New Roman"/>
          <w:noProof/>
        </w:rPr>
        <w:t xml:space="preserve">, </w:t>
      </w:r>
      <w:r w:rsidRPr="000849BF">
        <w:rPr>
          <w:rFonts w:ascii="Times New Roman" w:hAnsi="Times New Roman"/>
          <w:i/>
          <w:iCs/>
          <w:noProof/>
        </w:rPr>
        <w:t>347</w:t>
      </w:r>
      <w:r w:rsidRPr="000849BF">
        <w:rPr>
          <w:rFonts w:ascii="Times New Roman" w:hAnsi="Times New Roman"/>
          <w:noProof/>
        </w:rPr>
        <w:t xml:space="preserve"> (6222), 1258367.</w:t>
      </w:r>
    </w:p>
    <w:p w14:paraId="68149C1D"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(150) </w:t>
      </w:r>
      <w:r w:rsidRPr="000849BF">
        <w:rPr>
          <w:rFonts w:ascii="Times New Roman" w:hAnsi="Times New Roman"/>
          <w:noProof/>
        </w:rPr>
        <w:tab/>
        <w:t xml:space="preserve">Stuart, T.; Satija, R. </w:t>
      </w:r>
      <w:r w:rsidRPr="000849BF">
        <w:rPr>
          <w:rFonts w:ascii="Times New Roman" w:hAnsi="Times New Roman"/>
          <w:i/>
          <w:iCs/>
          <w:noProof/>
        </w:rPr>
        <w:t>Nature Reviews Genetics</w:t>
      </w:r>
      <w:r w:rsidRPr="000849BF">
        <w:rPr>
          <w:rFonts w:ascii="Times New Roman" w:hAnsi="Times New Roman"/>
          <w:noProof/>
        </w:rPr>
        <w:t>. Nature Publishing Group May 1, 2019, pp 257–272.</w:t>
      </w:r>
    </w:p>
    <w:p w14:paraId="79B5E94F"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(151) </w:t>
      </w:r>
      <w:r w:rsidRPr="000849BF">
        <w:rPr>
          <w:rFonts w:ascii="Times New Roman" w:hAnsi="Times New Roman"/>
          <w:noProof/>
        </w:rPr>
        <w:tab/>
        <w:t xml:space="preserve">Qiu, X.; Hill, A.; Packer, J.; Lin, D.; Ma, Y. A.; Trapnell, C. </w:t>
      </w:r>
      <w:r w:rsidRPr="000849BF">
        <w:rPr>
          <w:rFonts w:ascii="Times New Roman" w:hAnsi="Times New Roman"/>
          <w:i/>
          <w:iCs/>
          <w:noProof/>
        </w:rPr>
        <w:t>Nat. Methods</w:t>
      </w:r>
      <w:r w:rsidRPr="000849BF">
        <w:rPr>
          <w:rFonts w:ascii="Times New Roman" w:hAnsi="Times New Roman"/>
          <w:noProof/>
        </w:rPr>
        <w:t xml:space="preserve"> </w:t>
      </w:r>
      <w:r w:rsidRPr="000849BF">
        <w:rPr>
          <w:rFonts w:ascii="Times New Roman" w:hAnsi="Times New Roman"/>
          <w:b/>
          <w:bCs/>
          <w:noProof/>
        </w:rPr>
        <w:t>2017</w:t>
      </w:r>
      <w:r w:rsidRPr="000849BF">
        <w:rPr>
          <w:rFonts w:ascii="Times New Roman" w:hAnsi="Times New Roman"/>
          <w:noProof/>
        </w:rPr>
        <w:t xml:space="preserve">, </w:t>
      </w:r>
      <w:r w:rsidRPr="000849BF">
        <w:rPr>
          <w:rFonts w:ascii="Times New Roman" w:hAnsi="Times New Roman"/>
          <w:i/>
          <w:iCs/>
          <w:noProof/>
        </w:rPr>
        <w:t>14</w:t>
      </w:r>
      <w:r w:rsidRPr="000849BF">
        <w:rPr>
          <w:rFonts w:ascii="Times New Roman" w:hAnsi="Times New Roman"/>
          <w:noProof/>
        </w:rPr>
        <w:t xml:space="preserve"> (3), 309–315.</w:t>
      </w:r>
    </w:p>
    <w:p w14:paraId="52C487A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(152) </w:t>
      </w:r>
      <w:r w:rsidRPr="000849BF">
        <w:rPr>
          <w:rFonts w:ascii="Times New Roman" w:hAnsi="Times New Roman"/>
          <w:noProof/>
        </w:rPr>
        <w:tab/>
        <w:t xml:space="preserve">Giustacchini, A.; Thongjuea, S.; Barkas, N.; Woll, P. S.; Povinelli, B. J.; Booth, C. A. G.; Sopp, P.; Norfo, R.; Rodriguez-Meira, A.; Ashley, N.; Jamieson, L.; Vyas, P.; Anderson, K.; Segerstolpe, Å.; Qian, H.; Olsson-Strömberg, U.; Mustjoki, S.; Sandberg, R.; Jacobsen, S. E. W.; Mead, A. J. </w:t>
      </w:r>
      <w:r w:rsidRPr="000849BF">
        <w:rPr>
          <w:rFonts w:ascii="Times New Roman" w:hAnsi="Times New Roman"/>
          <w:i/>
          <w:iCs/>
          <w:noProof/>
        </w:rPr>
        <w:t>Nat. Med.</w:t>
      </w:r>
      <w:r w:rsidRPr="000849BF">
        <w:rPr>
          <w:rFonts w:ascii="Times New Roman" w:hAnsi="Times New Roman"/>
          <w:noProof/>
        </w:rPr>
        <w:t xml:space="preserve"> </w:t>
      </w:r>
      <w:r w:rsidRPr="000849BF">
        <w:rPr>
          <w:rFonts w:ascii="Times New Roman" w:hAnsi="Times New Roman"/>
          <w:b/>
          <w:bCs/>
          <w:noProof/>
        </w:rPr>
        <w:t>2017</w:t>
      </w:r>
      <w:r w:rsidRPr="000849BF">
        <w:rPr>
          <w:rFonts w:ascii="Times New Roman" w:hAnsi="Times New Roman"/>
          <w:noProof/>
        </w:rPr>
        <w:t xml:space="preserve">, </w:t>
      </w:r>
      <w:r w:rsidRPr="000849BF">
        <w:rPr>
          <w:rFonts w:ascii="Times New Roman" w:hAnsi="Times New Roman"/>
          <w:i/>
          <w:iCs/>
          <w:noProof/>
        </w:rPr>
        <w:t>23</w:t>
      </w:r>
      <w:r w:rsidRPr="000849BF">
        <w:rPr>
          <w:rFonts w:ascii="Times New Roman" w:hAnsi="Times New Roman"/>
          <w:noProof/>
        </w:rPr>
        <w:t xml:space="preserve"> (6), 692–702.</w:t>
      </w:r>
    </w:p>
    <w:p w14:paraId="58956A4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(153) </w:t>
      </w:r>
      <w:r w:rsidRPr="000849BF">
        <w:rPr>
          <w:rFonts w:ascii="Times New Roman" w:hAnsi="Times New Roman"/>
          <w:noProof/>
        </w:rPr>
        <w:tab/>
        <w:t xml:space="preserve">Kalisky, T.; Quake, S. R. </w:t>
      </w:r>
      <w:r w:rsidRPr="000849BF">
        <w:rPr>
          <w:rFonts w:ascii="Times New Roman" w:hAnsi="Times New Roman"/>
          <w:i/>
          <w:iCs/>
          <w:noProof/>
        </w:rPr>
        <w:t>Nat. Methods</w:t>
      </w:r>
      <w:r w:rsidRPr="000849BF">
        <w:rPr>
          <w:rFonts w:ascii="Times New Roman" w:hAnsi="Times New Roman"/>
          <w:noProof/>
        </w:rPr>
        <w:t xml:space="preserve"> </w:t>
      </w:r>
      <w:r w:rsidRPr="000849BF">
        <w:rPr>
          <w:rFonts w:ascii="Times New Roman" w:hAnsi="Times New Roman"/>
          <w:b/>
          <w:bCs/>
          <w:noProof/>
        </w:rPr>
        <w:t>2011</w:t>
      </w:r>
      <w:r w:rsidRPr="000849BF">
        <w:rPr>
          <w:rFonts w:ascii="Times New Roman" w:hAnsi="Times New Roman"/>
          <w:noProof/>
        </w:rPr>
        <w:t xml:space="preserve">, </w:t>
      </w:r>
      <w:r w:rsidRPr="000849BF">
        <w:rPr>
          <w:rFonts w:ascii="Times New Roman" w:hAnsi="Times New Roman"/>
          <w:i/>
          <w:iCs/>
          <w:noProof/>
        </w:rPr>
        <w:t>8</w:t>
      </w:r>
      <w:r w:rsidRPr="000849BF">
        <w:rPr>
          <w:rFonts w:ascii="Times New Roman" w:hAnsi="Times New Roman"/>
          <w:noProof/>
        </w:rPr>
        <w:t xml:space="preserve"> (4), 311–314.</w:t>
      </w:r>
    </w:p>
    <w:p w14:paraId="771B5113"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(154) </w:t>
      </w:r>
      <w:r w:rsidRPr="000849BF">
        <w:rPr>
          <w:rFonts w:ascii="Times New Roman" w:hAnsi="Times New Roman"/>
          <w:noProof/>
        </w:rPr>
        <w:tab/>
        <w:t xml:space="preserve">Shapiro, E.; Biezuner, T.; Linnarsson, S. </w:t>
      </w:r>
      <w:r w:rsidRPr="000849BF">
        <w:rPr>
          <w:rFonts w:ascii="Times New Roman" w:hAnsi="Times New Roman"/>
          <w:i/>
          <w:iCs/>
          <w:noProof/>
        </w:rPr>
        <w:t>Nat. Rev. Genet.</w:t>
      </w:r>
      <w:r w:rsidRPr="000849BF">
        <w:rPr>
          <w:rFonts w:ascii="Times New Roman" w:hAnsi="Times New Roman"/>
          <w:noProof/>
        </w:rPr>
        <w:t xml:space="preserve"> </w:t>
      </w:r>
      <w:r w:rsidRPr="000849BF">
        <w:rPr>
          <w:rFonts w:ascii="Times New Roman" w:hAnsi="Times New Roman"/>
          <w:b/>
          <w:bCs/>
          <w:noProof/>
        </w:rPr>
        <w:t>2013</w:t>
      </w:r>
      <w:r w:rsidRPr="000849BF">
        <w:rPr>
          <w:rFonts w:ascii="Times New Roman" w:hAnsi="Times New Roman"/>
          <w:noProof/>
        </w:rPr>
        <w:t xml:space="preserve">, </w:t>
      </w:r>
      <w:r w:rsidRPr="000849BF">
        <w:rPr>
          <w:rFonts w:ascii="Times New Roman" w:hAnsi="Times New Roman"/>
          <w:i/>
          <w:iCs/>
          <w:noProof/>
        </w:rPr>
        <w:t>14</w:t>
      </w:r>
      <w:r w:rsidRPr="000849BF">
        <w:rPr>
          <w:rFonts w:ascii="Times New Roman" w:hAnsi="Times New Roman"/>
          <w:noProof/>
        </w:rPr>
        <w:t xml:space="preserve"> (9), 618–630.</w:t>
      </w:r>
    </w:p>
    <w:p w14:paraId="6E024EF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(155) </w:t>
      </w:r>
      <w:r w:rsidRPr="000849BF">
        <w:rPr>
          <w:rFonts w:ascii="Times New Roman" w:hAnsi="Times New Roman"/>
          <w:noProof/>
        </w:rPr>
        <w:tab/>
        <w:t xml:space="preserve">Yan, L.; Yang, M.; Guo, H.; Yang, L.; Wu, J.; Li, R.; Liu, P.; Lian, Y.; Zheng, X.; Yan, J.; Huang, J.; Li, M.; Wu, X.; Wen, L.; Lao, K.; Li, R.; Qiao, J.; Tang, F. </w:t>
      </w:r>
      <w:r w:rsidRPr="000849BF">
        <w:rPr>
          <w:rFonts w:ascii="Times New Roman" w:hAnsi="Times New Roman"/>
          <w:i/>
          <w:iCs/>
          <w:noProof/>
        </w:rPr>
        <w:t>Nat. Struct. Mol. Biol.</w:t>
      </w:r>
      <w:r w:rsidRPr="000849BF">
        <w:rPr>
          <w:rFonts w:ascii="Times New Roman" w:hAnsi="Times New Roman"/>
          <w:noProof/>
        </w:rPr>
        <w:t xml:space="preserve"> </w:t>
      </w:r>
      <w:r w:rsidRPr="000849BF">
        <w:rPr>
          <w:rFonts w:ascii="Times New Roman" w:hAnsi="Times New Roman"/>
          <w:b/>
          <w:bCs/>
          <w:noProof/>
        </w:rPr>
        <w:t>2013</w:t>
      </w:r>
      <w:r w:rsidRPr="000849BF">
        <w:rPr>
          <w:rFonts w:ascii="Times New Roman" w:hAnsi="Times New Roman"/>
          <w:noProof/>
        </w:rPr>
        <w:t xml:space="preserve">, </w:t>
      </w:r>
      <w:r w:rsidRPr="000849BF">
        <w:rPr>
          <w:rFonts w:ascii="Times New Roman" w:hAnsi="Times New Roman"/>
          <w:i/>
          <w:iCs/>
          <w:noProof/>
        </w:rPr>
        <w:t>20</w:t>
      </w:r>
      <w:r w:rsidRPr="000849BF">
        <w:rPr>
          <w:rFonts w:ascii="Times New Roman" w:hAnsi="Times New Roman"/>
          <w:noProof/>
        </w:rPr>
        <w:t xml:space="preserve"> (9), 1131–1139.</w:t>
      </w:r>
    </w:p>
    <w:p w14:paraId="699B7C4B"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(156) </w:t>
      </w:r>
      <w:r w:rsidRPr="000849BF">
        <w:rPr>
          <w:rFonts w:ascii="Times New Roman" w:hAnsi="Times New Roman"/>
          <w:noProof/>
        </w:rPr>
        <w:tab/>
        <w:t xml:space="preserve">Lecault, V.; White, A. K.; Singhal, A.; Hansen, C. L. </w:t>
      </w:r>
      <w:r w:rsidRPr="000849BF">
        <w:rPr>
          <w:rFonts w:ascii="Times New Roman" w:hAnsi="Times New Roman"/>
          <w:i/>
          <w:iCs/>
          <w:noProof/>
        </w:rPr>
        <w:t>Curr. Opin. Chem. Biol.</w:t>
      </w:r>
      <w:r w:rsidRPr="000849BF">
        <w:rPr>
          <w:rFonts w:ascii="Times New Roman" w:hAnsi="Times New Roman"/>
          <w:noProof/>
        </w:rPr>
        <w:t xml:space="preserve"> </w:t>
      </w:r>
      <w:r w:rsidRPr="000849BF">
        <w:rPr>
          <w:rFonts w:ascii="Times New Roman" w:hAnsi="Times New Roman"/>
          <w:b/>
          <w:bCs/>
          <w:noProof/>
        </w:rPr>
        <w:t>2012</w:t>
      </w:r>
      <w:r w:rsidRPr="000849BF">
        <w:rPr>
          <w:rFonts w:ascii="Times New Roman" w:hAnsi="Times New Roman"/>
          <w:noProof/>
        </w:rPr>
        <w:t xml:space="preserve">, </w:t>
      </w:r>
      <w:r w:rsidRPr="000849BF">
        <w:rPr>
          <w:rFonts w:ascii="Times New Roman" w:hAnsi="Times New Roman"/>
          <w:i/>
          <w:iCs/>
          <w:noProof/>
        </w:rPr>
        <w:t>16</w:t>
      </w:r>
      <w:r w:rsidRPr="000849BF">
        <w:rPr>
          <w:rFonts w:ascii="Times New Roman" w:hAnsi="Times New Roman"/>
          <w:noProof/>
        </w:rPr>
        <w:t xml:space="preserve"> (3–4), 381–390.</w:t>
      </w:r>
    </w:p>
    <w:p w14:paraId="0CFC361F"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(157) </w:t>
      </w:r>
      <w:r w:rsidRPr="000849BF">
        <w:rPr>
          <w:rFonts w:ascii="Times New Roman" w:hAnsi="Times New Roman"/>
          <w:noProof/>
        </w:rPr>
        <w:tab/>
        <w:t xml:space="preserve">Passarelli, M. K.; Ewing, A. G.; Winograd, N.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2013</w:t>
      </w:r>
      <w:r w:rsidRPr="000849BF">
        <w:rPr>
          <w:rFonts w:ascii="Times New Roman" w:hAnsi="Times New Roman"/>
          <w:noProof/>
        </w:rPr>
        <w:t xml:space="preserve">, </w:t>
      </w:r>
      <w:r w:rsidRPr="000849BF">
        <w:rPr>
          <w:rFonts w:ascii="Times New Roman" w:hAnsi="Times New Roman"/>
          <w:i/>
          <w:iCs/>
          <w:noProof/>
        </w:rPr>
        <w:t>85</w:t>
      </w:r>
      <w:r w:rsidRPr="000849BF">
        <w:rPr>
          <w:rFonts w:ascii="Times New Roman" w:hAnsi="Times New Roman"/>
          <w:noProof/>
        </w:rPr>
        <w:t xml:space="preserve"> (4), 2231–2238.</w:t>
      </w:r>
    </w:p>
    <w:p w14:paraId="42B4F3D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(158) </w:t>
      </w:r>
      <w:r w:rsidRPr="000849BF">
        <w:rPr>
          <w:rFonts w:ascii="Times New Roman" w:hAnsi="Times New Roman"/>
          <w:noProof/>
        </w:rPr>
        <w:tab/>
        <w:t xml:space="preserve">Rubakhin, S. S.; Lanni, E. J.; Sweedler, J. V. </w:t>
      </w:r>
      <w:r w:rsidRPr="000849BF">
        <w:rPr>
          <w:rFonts w:ascii="Times New Roman" w:hAnsi="Times New Roman"/>
          <w:i/>
          <w:iCs/>
          <w:noProof/>
        </w:rPr>
        <w:t>Curr. Opin. Biotechnol.</w:t>
      </w:r>
      <w:r w:rsidRPr="000849BF">
        <w:rPr>
          <w:rFonts w:ascii="Times New Roman" w:hAnsi="Times New Roman"/>
          <w:noProof/>
        </w:rPr>
        <w:t xml:space="preserve"> </w:t>
      </w:r>
      <w:r w:rsidRPr="000849BF">
        <w:rPr>
          <w:rFonts w:ascii="Times New Roman" w:hAnsi="Times New Roman"/>
          <w:b/>
          <w:bCs/>
          <w:noProof/>
        </w:rPr>
        <w:t>2013</w:t>
      </w:r>
      <w:r w:rsidRPr="000849BF">
        <w:rPr>
          <w:rFonts w:ascii="Times New Roman" w:hAnsi="Times New Roman"/>
          <w:noProof/>
        </w:rPr>
        <w:t xml:space="preserve">, </w:t>
      </w:r>
      <w:r w:rsidRPr="000849BF">
        <w:rPr>
          <w:rFonts w:ascii="Times New Roman" w:hAnsi="Times New Roman"/>
          <w:i/>
          <w:iCs/>
          <w:noProof/>
        </w:rPr>
        <w:t>24</w:t>
      </w:r>
      <w:r w:rsidRPr="000849BF">
        <w:rPr>
          <w:rFonts w:ascii="Times New Roman" w:hAnsi="Times New Roman"/>
          <w:noProof/>
        </w:rPr>
        <w:t xml:space="preserve"> (1), 95–104.</w:t>
      </w:r>
    </w:p>
    <w:p w14:paraId="32FA6760"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(159) </w:t>
      </w:r>
      <w:r w:rsidRPr="000849BF">
        <w:rPr>
          <w:rFonts w:ascii="Times New Roman" w:hAnsi="Times New Roman"/>
          <w:noProof/>
        </w:rPr>
        <w:tab/>
        <w:t xml:space="preserve">Zhang, L.; Vertes, A. </w:t>
      </w:r>
      <w:r w:rsidRPr="000849BF">
        <w:rPr>
          <w:rFonts w:ascii="Times New Roman" w:hAnsi="Times New Roman"/>
          <w:i/>
          <w:iCs/>
          <w:noProof/>
        </w:rPr>
        <w:t>Angew. Chemie Int. Ed.</w:t>
      </w:r>
      <w:r w:rsidRPr="000849BF">
        <w:rPr>
          <w:rFonts w:ascii="Times New Roman" w:hAnsi="Times New Roman"/>
          <w:noProof/>
        </w:rPr>
        <w:t xml:space="preserve"> </w:t>
      </w:r>
      <w:r w:rsidRPr="000849BF">
        <w:rPr>
          <w:rFonts w:ascii="Times New Roman" w:hAnsi="Times New Roman"/>
          <w:b/>
          <w:bCs/>
          <w:noProof/>
        </w:rPr>
        <w:t>2018</w:t>
      </w:r>
      <w:r w:rsidRPr="000849BF">
        <w:rPr>
          <w:rFonts w:ascii="Times New Roman" w:hAnsi="Times New Roman"/>
          <w:noProof/>
        </w:rPr>
        <w:t xml:space="preserve">, </w:t>
      </w:r>
      <w:r w:rsidRPr="000849BF">
        <w:rPr>
          <w:rFonts w:ascii="Times New Roman" w:hAnsi="Times New Roman"/>
          <w:i/>
          <w:iCs/>
          <w:noProof/>
        </w:rPr>
        <w:t>57</w:t>
      </w:r>
      <w:r w:rsidRPr="000849BF">
        <w:rPr>
          <w:rFonts w:ascii="Times New Roman" w:hAnsi="Times New Roman"/>
          <w:noProof/>
        </w:rPr>
        <w:t xml:space="preserve"> (17), 4466–4477.</w:t>
      </w:r>
    </w:p>
    <w:p w14:paraId="4B5CAE8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(160) </w:t>
      </w:r>
      <w:r w:rsidRPr="000849BF">
        <w:rPr>
          <w:rFonts w:ascii="Times New Roman" w:hAnsi="Times New Roman"/>
          <w:noProof/>
        </w:rPr>
        <w:tab/>
        <w:t xml:space="preserve">Duncan, K. D.; Fyrestam, J.; Lanekoff, I. </w:t>
      </w:r>
      <w:r w:rsidRPr="000849BF">
        <w:rPr>
          <w:rFonts w:ascii="Times New Roman" w:hAnsi="Times New Roman"/>
          <w:i/>
          <w:iCs/>
          <w:noProof/>
        </w:rPr>
        <w:t>Analyst</w:t>
      </w:r>
      <w:r w:rsidRPr="000849BF">
        <w:rPr>
          <w:rFonts w:ascii="Times New Roman" w:hAnsi="Times New Roman"/>
          <w:noProof/>
        </w:rPr>
        <w:t>. Royal Society of Chemistry February 7, 2019, pp 782–793.</w:t>
      </w:r>
    </w:p>
    <w:p w14:paraId="3DA07D6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(161) </w:t>
      </w:r>
      <w:r w:rsidRPr="000849BF">
        <w:rPr>
          <w:rFonts w:ascii="Times New Roman" w:hAnsi="Times New Roman"/>
          <w:noProof/>
        </w:rPr>
        <w:tab/>
        <w:t xml:space="preserve">Mizuno, H.; Tsuyama, N.; Harada, T.; Masujima, T. </w:t>
      </w:r>
      <w:r w:rsidRPr="000849BF">
        <w:rPr>
          <w:rFonts w:ascii="Times New Roman" w:hAnsi="Times New Roman"/>
          <w:i/>
          <w:iCs/>
          <w:noProof/>
        </w:rPr>
        <w:t>J. Mass Spectrom.</w:t>
      </w:r>
      <w:r w:rsidRPr="000849BF">
        <w:rPr>
          <w:rFonts w:ascii="Times New Roman" w:hAnsi="Times New Roman"/>
          <w:noProof/>
        </w:rPr>
        <w:t xml:space="preserve"> </w:t>
      </w:r>
      <w:r w:rsidRPr="000849BF">
        <w:rPr>
          <w:rFonts w:ascii="Times New Roman" w:hAnsi="Times New Roman"/>
          <w:b/>
          <w:bCs/>
          <w:noProof/>
        </w:rPr>
        <w:t>2008</w:t>
      </w:r>
      <w:r w:rsidRPr="000849BF">
        <w:rPr>
          <w:rFonts w:ascii="Times New Roman" w:hAnsi="Times New Roman"/>
          <w:noProof/>
        </w:rPr>
        <w:t xml:space="preserve">, </w:t>
      </w:r>
      <w:r w:rsidRPr="000849BF">
        <w:rPr>
          <w:rFonts w:ascii="Times New Roman" w:hAnsi="Times New Roman"/>
          <w:i/>
          <w:iCs/>
          <w:noProof/>
        </w:rPr>
        <w:t>43</w:t>
      </w:r>
      <w:r w:rsidRPr="000849BF">
        <w:rPr>
          <w:rFonts w:ascii="Times New Roman" w:hAnsi="Times New Roman"/>
          <w:noProof/>
        </w:rPr>
        <w:t xml:space="preserve"> (12), 1692–1700.</w:t>
      </w:r>
    </w:p>
    <w:p w14:paraId="50F6FA9B"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(162) </w:t>
      </w:r>
      <w:r w:rsidRPr="000849BF">
        <w:rPr>
          <w:rFonts w:ascii="Times New Roman" w:hAnsi="Times New Roman"/>
          <w:noProof/>
        </w:rPr>
        <w:tab/>
        <w:t xml:space="preserve">Masujima, T. </w:t>
      </w:r>
      <w:r w:rsidRPr="000849BF">
        <w:rPr>
          <w:rFonts w:ascii="Times New Roman" w:hAnsi="Times New Roman"/>
          <w:i/>
          <w:iCs/>
          <w:noProof/>
        </w:rPr>
        <w:t>Anal. Sci.</w:t>
      </w:r>
      <w:r w:rsidRPr="000849BF">
        <w:rPr>
          <w:rFonts w:ascii="Times New Roman" w:hAnsi="Times New Roman"/>
          <w:noProof/>
        </w:rPr>
        <w:t xml:space="preserve"> </w:t>
      </w:r>
      <w:r w:rsidRPr="000849BF">
        <w:rPr>
          <w:rFonts w:ascii="Times New Roman" w:hAnsi="Times New Roman"/>
          <w:b/>
          <w:bCs/>
          <w:noProof/>
        </w:rPr>
        <w:t>2009</w:t>
      </w:r>
      <w:r w:rsidRPr="000849BF">
        <w:rPr>
          <w:rFonts w:ascii="Times New Roman" w:hAnsi="Times New Roman"/>
          <w:noProof/>
        </w:rPr>
        <w:t xml:space="preserve">, </w:t>
      </w:r>
      <w:r w:rsidRPr="000849BF">
        <w:rPr>
          <w:rFonts w:ascii="Times New Roman" w:hAnsi="Times New Roman"/>
          <w:i/>
          <w:iCs/>
          <w:noProof/>
        </w:rPr>
        <w:t>25</w:t>
      </w:r>
      <w:r w:rsidRPr="000849BF">
        <w:rPr>
          <w:rFonts w:ascii="Times New Roman" w:hAnsi="Times New Roman"/>
          <w:noProof/>
        </w:rPr>
        <w:t xml:space="preserve"> (8), 953–960.</w:t>
      </w:r>
    </w:p>
    <w:p w14:paraId="2DF8FCA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(163) </w:t>
      </w:r>
      <w:r w:rsidRPr="000849BF">
        <w:rPr>
          <w:rFonts w:ascii="Times New Roman" w:hAnsi="Times New Roman"/>
          <w:noProof/>
        </w:rPr>
        <w:tab/>
        <w:t xml:space="preserve">Urban, P. L.; Schmid, T.; Amantonico, A.; Zenobi, R.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2011</w:t>
      </w:r>
      <w:r w:rsidRPr="000849BF">
        <w:rPr>
          <w:rFonts w:ascii="Times New Roman" w:hAnsi="Times New Roman"/>
          <w:noProof/>
        </w:rPr>
        <w:t xml:space="preserve">, </w:t>
      </w:r>
      <w:r w:rsidRPr="000849BF">
        <w:rPr>
          <w:rFonts w:ascii="Times New Roman" w:hAnsi="Times New Roman"/>
          <w:i/>
          <w:iCs/>
          <w:noProof/>
        </w:rPr>
        <w:t>83</w:t>
      </w:r>
      <w:r w:rsidRPr="000849BF">
        <w:rPr>
          <w:rFonts w:ascii="Times New Roman" w:hAnsi="Times New Roman"/>
          <w:noProof/>
        </w:rPr>
        <w:t xml:space="preserve"> (5), 1843–1849.</w:t>
      </w:r>
    </w:p>
    <w:p w14:paraId="44006AAE"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(164) </w:t>
      </w:r>
      <w:r w:rsidRPr="000849BF">
        <w:rPr>
          <w:rFonts w:ascii="Times New Roman" w:hAnsi="Times New Roman"/>
          <w:noProof/>
        </w:rPr>
        <w:tab/>
        <w:t xml:space="preserve">Greving, M. P.; Patti, G. J.; Siuzdak, G.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2011</w:t>
      </w:r>
      <w:r w:rsidRPr="000849BF">
        <w:rPr>
          <w:rFonts w:ascii="Times New Roman" w:hAnsi="Times New Roman"/>
          <w:noProof/>
        </w:rPr>
        <w:t xml:space="preserve">, </w:t>
      </w:r>
      <w:r w:rsidRPr="000849BF">
        <w:rPr>
          <w:rFonts w:ascii="Times New Roman" w:hAnsi="Times New Roman"/>
          <w:i/>
          <w:iCs/>
          <w:noProof/>
        </w:rPr>
        <w:t>83</w:t>
      </w:r>
      <w:r w:rsidRPr="000849BF">
        <w:rPr>
          <w:rFonts w:ascii="Times New Roman" w:hAnsi="Times New Roman"/>
          <w:noProof/>
        </w:rPr>
        <w:t xml:space="preserve"> (1), 2–7.</w:t>
      </w:r>
    </w:p>
    <w:p w14:paraId="5F0965E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(165) </w:t>
      </w:r>
      <w:r w:rsidRPr="000849BF">
        <w:rPr>
          <w:rFonts w:ascii="Times New Roman" w:hAnsi="Times New Roman"/>
          <w:noProof/>
        </w:rPr>
        <w:tab/>
        <w:t>Miura, D.; Fujimura, Y.; Wariishi, H. .</w:t>
      </w:r>
    </w:p>
    <w:p w14:paraId="0697672D"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(166) </w:t>
      </w:r>
      <w:r w:rsidRPr="000849BF">
        <w:rPr>
          <w:rFonts w:ascii="Times New Roman" w:hAnsi="Times New Roman"/>
          <w:noProof/>
        </w:rPr>
        <w:tab/>
        <w:t xml:space="preserve">Zemski Berry, K. A.; Hankin, J. A.; Barkley, R. M.; Spraggins, J. M.; Caprioli, R. M.; Murphy, R. C. </w:t>
      </w:r>
      <w:r w:rsidRPr="000849BF">
        <w:rPr>
          <w:rFonts w:ascii="Times New Roman" w:hAnsi="Times New Roman"/>
          <w:i/>
          <w:iCs/>
          <w:noProof/>
        </w:rPr>
        <w:t>Chem. Rev.</w:t>
      </w:r>
      <w:r w:rsidRPr="000849BF">
        <w:rPr>
          <w:rFonts w:ascii="Times New Roman" w:hAnsi="Times New Roman"/>
          <w:noProof/>
        </w:rPr>
        <w:t xml:space="preserve"> </w:t>
      </w:r>
      <w:r w:rsidRPr="000849BF">
        <w:rPr>
          <w:rFonts w:ascii="Times New Roman" w:hAnsi="Times New Roman"/>
          <w:b/>
          <w:bCs/>
          <w:noProof/>
        </w:rPr>
        <w:t>2011</w:t>
      </w:r>
      <w:r w:rsidRPr="000849BF">
        <w:rPr>
          <w:rFonts w:ascii="Times New Roman" w:hAnsi="Times New Roman"/>
          <w:noProof/>
        </w:rPr>
        <w:t xml:space="preserve">, </w:t>
      </w:r>
      <w:r w:rsidRPr="000849BF">
        <w:rPr>
          <w:rFonts w:ascii="Times New Roman" w:hAnsi="Times New Roman"/>
          <w:i/>
          <w:iCs/>
          <w:noProof/>
        </w:rPr>
        <w:t>111</w:t>
      </w:r>
      <w:r w:rsidRPr="000849BF">
        <w:rPr>
          <w:rFonts w:ascii="Times New Roman" w:hAnsi="Times New Roman"/>
          <w:noProof/>
        </w:rPr>
        <w:t xml:space="preserve"> (10), 6491–6512.</w:t>
      </w:r>
    </w:p>
    <w:p w14:paraId="795DE06B"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(167) </w:t>
      </w:r>
      <w:r w:rsidRPr="000849BF">
        <w:rPr>
          <w:rFonts w:ascii="Times New Roman" w:hAnsi="Times New Roman"/>
          <w:noProof/>
        </w:rPr>
        <w:tab/>
        <w:t xml:space="preserve">Chughtai, K.; Heeren, R. M. A. </w:t>
      </w:r>
      <w:r w:rsidRPr="000849BF">
        <w:rPr>
          <w:rFonts w:ascii="Times New Roman" w:hAnsi="Times New Roman"/>
          <w:i/>
          <w:iCs/>
          <w:noProof/>
        </w:rPr>
        <w:t>Chem. Rev.</w:t>
      </w:r>
      <w:r w:rsidRPr="000849BF">
        <w:rPr>
          <w:rFonts w:ascii="Times New Roman" w:hAnsi="Times New Roman"/>
          <w:noProof/>
        </w:rPr>
        <w:t xml:space="preserve"> </w:t>
      </w:r>
      <w:r w:rsidRPr="000849BF">
        <w:rPr>
          <w:rFonts w:ascii="Times New Roman" w:hAnsi="Times New Roman"/>
          <w:b/>
          <w:bCs/>
          <w:noProof/>
        </w:rPr>
        <w:t>2010</w:t>
      </w:r>
      <w:r w:rsidRPr="000849BF">
        <w:rPr>
          <w:rFonts w:ascii="Times New Roman" w:hAnsi="Times New Roman"/>
          <w:noProof/>
        </w:rPr>
        <w:t xml:space="preserve">, </w:t>
      </w:r>
      <w:r w:rsidRPr="000849BF">
        <w:rPr>
          <w:rFonts w:ascii="Times New Roman" w:hAnsi="Times New Roman"/>
          <w:i/>
          <w:iCs/>
          <w:noProof/>
        </w:rPr>
        <w:t>110</w:t>
      </w:r>
      <w:r w:rsidRPr="000849BF">
        <w:rPr>
          <w:rFonts w:ascii="Times New Roman" w:hAnsi="Times New Roman"/>
          <w:noProof/>
        </w:rPr>
        <w:t xml:space="preserve"> (5), 3237–3277.</w:t>
      </w:r>
    </w:p>
    <w:p w14:paraId="2177561E"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lastRenderedPageBreak/>
        <w:t xml:space="preserve">(168) </w:t>
      </w:r>
      <w:r w:rsidRPr="000849BF">
        <w:rPr>
          <w:rFonts w:ascii="Times New Roman" w:hAnsi="Times New Roman"/>
          <w:noProof/>
        </w:rPr>
        <w:tab/>
        <w:t xml:space="preserve">CRISTOFANILLI, M. </w:t>
      </w:r>
      <w:r w:rsidRPr="000849BF">
        <w:rPr>
          <w:rFonts w:ascii="Times New Roman" w:hAnsi="Times New Roman"/>
          <w:i/>
          <w:iCs/>
          <w:noProof/>
        </w:rPr>
        <w:t>Semin. Oncol.</w:t>
      </w:r>
      <w:r w:rsidRPr="000849BF">
        <w:rPr>
          <w:rFonts w:ascii="Times New Roman" w:hAnsi="Times New Roman"/>
          <w:noProof/>
        </w:rPr>
        <w:t xml:space="preserve"> </w:t>
      </w:r>
      <w:r w:rsidRPr="000849BF">
        <w:rPr>
          <w:rFonts w:ascii="Times New Roman" w:hAnsi="Times New Roman"/>
          <w:b/>
          <w:bCs/>
          <w:noProof/>
        </w:rPr>
        <w:t>2006</w:t>
      </w:r>
      <w:r w:rsidRPr="000849BF">
        <w:rPr>
          <w:rFonts w:ascii="Times New Roman" w:hAnsi="Times New Roman"/>
          <w:noProof/>
        </w:rPr>
        <w:t xml:space="preserve">, </w:t>
      </w:r>
      <w:r w:rsidRPr="000849BF">
        <w:rPr>
          <w:rFonts w:ascii="Times New Roman" w:hAnsi="Times New Roman"/>
          <w:i/>
          <w:iCs/>
          <w:noProof/>
        </w:rPr>
        <w:t>33</w:t>
      </w:r>
      <w:r w:rsidRPr="000849BF">
        <w:rPr>
          <w:rFonts w:ascii="Times New Roman" w:hAnsi="Times New Roman"/>
          <w:noProof/>
        </w:rPr>
        <w:t xml:space="preserve"> (3 Suppl 9), 9–14.</w:t>
      </w:r>
    </w:p>
    <w:p w14:paraId="7A2F9071"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(169) </w:t>
      </w:r>
      <w:r w:rsidRPr="000849BF">
        <w:rPr>
          <w:rFonts w:ascii="Times New Roman" w:hAnsi="Times New Roman"/>
          <w:noProof/>
        </w:rPr>
        <w:tab/>
        <w:t xml:space="preserve">Gerlinger, M.; Rowan, A. J.; Horswell, S.; Larkin, J.; Endesfelder, D.; Gronroos, E.; Martinez, P.; Matthews, N.; Stewart, A.; Tarpey, P.; Varela, I.; Phillimore, B.; Begum, S.; McDonald, N. Q.; Butler, A.; Jones, D.; Raine, K.; Latimer, C.; Santos, C. R.; Nohadani, M.; Eklund, A. C.; Spencer-Dene, B.; Clark, G.; Pickering, L.; Stamp, G.; Gore, M.; Szallasi, Z.; Downward, J.; Futreal, P. A.; Swanton, C. </w:t>
      </w:r>
      <w:r w:rsidRPr="000849BF">
        <w:rPr>
          <w:rFonts w:ascii="Times New Roman" w:hAnsi="Times New Roman"/>
          <w:i/>
          <w:iCs/>
          <w:noProof/>
        </w:rPr>
        <w:t>N. Engl. J. Med.</w:t>
      </w:r>
      <w:r w:rsidRPr="000849BF">
        <w:rPr>
          <w:rFonts w:ascii="Times New Roman" w:hAnsi="Times New Roman"/>
          <w:noProof/>
        </w:rPr>
        <w:t xml:space="preserve"> </w:t>
      </w:r>
      <w:r w:rsidRPr="000849BF">
        <w:rPr>
          <w:rFonts w:ascii="Times New Roman" w:hAnsi="Times New Roman"/>
          <w:b/>
          <w:bCs/>
          <w:noProof/>
        </w:rPr>
        <w:t>2012</w:t>
      </w:r>
      <w:r w:rsidRPr="000849BF">
        <w:rPr>
          <w:rFonts w:ascii="Times New Roman" w:hAnsi="Times New Roman"/>
          <w:noProof/>
        </w:rPr>
        <w:t xml:space="preserve">, </w:t>
      </w:r>
      <w:r w:rsidRPr="000849BF">
        <w:rPr>
          <w:rFonts w:ascii="Times New Roman" w:hAnsi="Times New Roman"/>
          <w:i/>
          <w:iCs/>
          <w:noProof/>
        </w:rPr>
        <w:t>366</w:t>
      </w:r>
      <w:r w:rsidRPr="000849BF">
        <w:rPr>
          <w:rFonts w:ascii="Times New Roman" w:hAnsi="Times New Roman"/>
          <w:noProof/>
        </w:rPr>
        <w:t xml:space="preserve"> (10), 883–892.</w:t>
      </w:r>
    </w:p>
    <w:p w14:paraId="0DC52D33"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(170) </w:t>
      </w:r>
      <w:r w:rsidRPr="000849BF">
        <w:rPr>
          <w:rFonts w:ascii="Times New Roman" w:hAnsi="Times New Roman"/>
          <w:noProof/>
        </w:rPr>
        <w:tab/>
        <w:t xml:space="preserve">Marusyk, A.; Almendro, V.; Polyak, K. </w:t>
      </w:r>
      <w:r w:rsidRPr="000849BF">
        <w:rPr>
          <w:rFonts w:ascii="Times New Roman" w:hAnsi="Times New Roman"/>
          <w:i/>
          <w:iCs/>
          <w:noProof/>
        </w:rPr>
        <w:t>Nat. Rev. Cancer</w:t>
      </w:r>
      <w:r w:rsidRPr="000849BF">
        <w:rPr>
          <w:rFonts w:ascii="Times New Roman" w:hAnsi="Times New Roman"/>
          <w:noProof/>
        </w:rPr>
        <w:t xml:space="preserve"> </w:t>
      </w:r>
      <w:r w:rsidRPr="000849BF">
        <w:rPr>
          <w:rFonts w:ascii="Times New Roman" w:hAnsi="Times New Roman"/>
          <w:b/>
          <w:bCs/>
          <w:noProof/>
        </w:rPr>
        <w:t>2012</w:t>
      </w:r>
      <w:r w:rsidRPr="000849BF">
        <w:rPr>
          <w:rFonts w:ascii="Times New Roman" w:hAnsi="Times New Roman"/>
          <w:noProof/>
        </w:rPr>
        <w:t xml:space="preserve">, </w:t>
      </w:r>
      <w:r w:rsidRPr="000849BF">
        <w:rPr>
          <w:rFonts w:ascii="Times New Roman" w:hAnsi="Times New Roman"/>
          <w:i/>
          <w:iCs/>
          <w:noProof/>
        </w:rPr>
        <w:t>12</w:t>
      </w:r>
      <w:r w:rsidRPr="000849BF">
        <w:rPr>
          <w:rFonts w:ascii="Times New Roman" w:hAnsi="Times New Roman"/>
          <w:noProof/>
        </w:rPr>
        <w:t xml:space="preserve"> (5), 323–334.</w:t>
      </w:r>
    </w:p>
    <w:p w14:paraId="6063B19A"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(171) </w:t>
      </w:r>
      <w:r w:rsidRPr="000849BF">
        <w:rPr>
          <w:rFonts w:ascii="Times New Roman" w:hAnsi="Times New Roman"/>
          <w:noProof/>
        </w:rPr>
        <w:tab/>
        <w:t xml:space="preserve">Gonzalez de Castro, D.; Clarke, P. a; Al-Lazikani, B.; Workman, P. </w:t>
      </w:r>
      <w:r w:rsidRPr="000849BF">
        <w:rPr>
          <w:rFonts w:ascii="Times New Roman" w:hAnsi="Times New Roman"/>
          <w:i/>
          <w:iCs/>
          <w:noProof/>
        </w:rPr>
        <w:t>Clin. Pharmacol. Ther.</w:t>
      </w:r>
      <w:r w:rsidRPr="000849BF">
        <w:rPr>
          <w:rFonts w:ascii="Times New Roman" w:hAnsi="Times New Roman"/>
          <w:noProof/>
        </w:rPr>
        <w:t xml:space="preserve"> </w:t>
      </w:r>
      <w:r w:rsidRPr="000849BF">
        <w:rPr>
          <w:rFonts w:ascii="Times New Roman" w:hAnsi="Times New Roman"/>
          <w:b/>
          <w:bCs/>
          <w:noProof/>
        </w:rPr>
        <w:t>2013</w:t>
      </w:r>
      <w:r w:rsidRPr="000849BF">
        <w:rPr>
          <w:rFonts w:ascii="Times New Roman" w:hAnsi="Times New Roman"/>
          <w:noProof/>
        </w:rPr>
        <w:t xml:space="preserve">, </w:t>
      </w:r>
      <w:r w:rsidRPr="000849BF">
        <w:rPr>
          <w:rFonts w:ascii="Times New Roman" w:hAnsi="Times New Roman"/>
          <w:i/>
          <w:iCs/>
          <w:noProof/>
        </w:rPr>
        <w:t>93</w:t>
      </w:r>
      <w:r w:rsidRPr="000849BF">
        <w:rPr>
          <w:rFonts w:ascii="Times New Roman" w:hAnsi="Times New Roman"/>
          <w:noProof/>
        </w:rPr>
        <w:t xml:space="preserve"> (3), 252–259.</w:t>
      </w:r>
    </w:p>
    <w:p w14:paraId="6BA14400"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(172) </w:t>
      </w:r>
      <w:r w:rsidRPr="000849BF">
        <w:rPr>
          <w:rFonts w:ascii="Times New Roman" w:hAnsi="Times New Roman"/>
          <w:noProof/>
        </w:rPr>
        <w:tab/>
        <w:t xml:space="preserve">Alnaim, L. </w:t>
      </w:r>
      <w:r w:rsidRPr="000849BF">
        <w:rPr>
          <w:rFonts w:ascii="Times New Roman" w:hAnsi="Times New Roman"/>
          <w:i/>
          <w:iCs/>
          <w:noProof/>
        </w:rPr>
        <w:t>J. Oncol. Pharm. Pract.</w:t>
      </w:r>
      <w:r w:rsidRPr="000849BF">
        <w:rPr>
          <w:rFonts w:ascii="Times New Roman" w:hAnsi="Times New Roman"/>
          <w:noProof/>
        </w:rPr>
        <w:t xml:space="preserve"> </w:t>
      </w:r>
      <w:r w:rsidRPr="000849BF">
        <w:rPr>
          <w:rFonts w:ascii="Times New Roman" w:hAnsi="Times New Roman"/>
          <w:b/>
          <w:bCs/>
          <w:noProof/>
        </w:rPr>
        <w:t>2007</w:t>
      </w:r>
      <w:r w:rsidRPr="000849BF">
        <w:rPr>
          <w:rFonts w:ascii="Times New Roman" w:hAnsi="Times New Roman"/>
          <w:noProof/>
        </w:rPr>
        <w:t xml:space="preserve">, </w:t>
      </w:r>
      <w:r w:rsidRPr="000849BF">
        <w:rPr>
          <w:rFonts w:ascii="Times New Roman" w:hAnsi="Times New Roman"/>
          <w:i/>
          <w:iCs/>
          <w:noProof/>
        </w:rPr>
        <w:t>13</w:t>
      </w:r>
      <w:r w:rsidRPr="000849BF">
        <w:rPr>
          <w:rFonts w:ascii="Times New Roman" w:hAnsi="Times New Roman"/>
          <w:noProof/>
        </w:rPr>
        <w:t xml:space="preserve"> (4), 207–221.</w:t>
      </w:r>
    </w:p>
    <w:p w14:paraId="24BA92C9"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(173) </w:t>
      </w:r>
      <w:r w:rsidRPr="000849BF">
        <w:rPr>
          <w:rFonts w:ascii="Times New Roman" w:hAnsi="Times New Roman"/>
          <w:noProof/>
        </w:rPr>
        <w:tab/>
        <w:t xml:space="preserve">Bardin, C.; Veal, G.; Paci, A.; Chatelut, E.; Astier, A.; Levêque, D.; Widmer, N.; Beijnen, J. </w:t>
      </w:r>
      <w:r w:rsidRPr="000849BF">
        <w:rPr>
          <w:rFonts w:ascii="Times New Roman" w:hAnsi="Times New Roman"/>
          <w:i/>
          <w:iCs/>
          <w:noProof/>
        </w:rPr>
        <w:t>Eur. J. Cancer</w:t>
      </w:r>
      <w:r w:rsidRPr="000849BF">
        <w:rPr>
          <w:rFonts w:ascii="Times New Roman" w:hAnsi="Times New Roman"/>
          <w:noProof/>
        </w:rPr>
        <w:t xml:space="preserve">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50</w:t>
      </w:r>
      <w:r w:rsidRPr="000849BF">
        <w:rPr>
          <w:rFonts w:ascii="Times New Roman" w:hAnsi="Times New Roman"/>
          <w:noProof/>
        </w:rPr>
        <w:t xml:space="preserve"> (12), 2005–2009.</w:t>
      </w:r>
    </w:p>
    <w:p w14:paraId="249DFA52"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(174) </w:t>
      </w:r>
      <w:r w:rsidRPr="000849BF">
        <w:rPr>
          <w:rFonts w:ascii="Times New Roman" w:hAnsi="Times New Roman"/>
          <w:noProof/>
        </w:rPr>
        <w:tab/>
        <w:t xml:space="preserve">Gurney, H. </w:t>
      </w:r>
      <w:r w:rsidRPr="000849BF">
        <w:rPr>
          <w:rFonts w:ascii="Times New Roman" w:hAnsi="Times New Roman"/>
          <w:i/>
          <w:iCs/>
          <w:noProof/>
        </w:rPr>
        <w:t>Br. J. Cancer</w:t>
      </w:r>
      <w:r w:rsidRPr="000849BF">
        <w:rPr>
          <w:rFonts w:ascii="Times New Roman" w:hAnsi="Times New Roman"/>
          <w:noProof/>
        </w:rPr>
        <w:t xml:space="preserve"> </w:t>
      </w:r>
      <w:r w:rsidRPr="000849BF">
        <w:rPr>
          <w:rFonts w:ascii="Times New Roman" w:hAnsi="Times New Roman"/>
          <w:b/>
          <w:bCs/>
          <w:noProof/>
        </w:rPr>
        <w:t>2002</w:t>
      </w:r>
      <w:r w:rsidRPr="000849BF">
        <w:rPr>
          <w:rFonts w:ascii="Times New Roman" w:hAnsi="Times New Roman"/>
          <w:noProof/>
        </w:rPr>
        <w:t xml:space="preserve">, </w:t>
      </w:r>
      <w:r w:rsidRPr="000849BF">
        <w:rPr>
          <w:rFonts w:ascii="Times New Roman" w:hAnsi="Times New Roman"/>
          <w:i/>
          <w:iCs/>
          <w:noProof/>
        </w:rPr>
        <w:t>86</w:t>
      </w:r>
      <w:r w:rsidRPr="000849BF">
        <w:rPr>
          <w:rFonts w:ascii="Times New Roman" w:hAnsi="Times New Roman"/>
          <w:noProof/>
        </w:rPr>
        <w:t xml:space="preserve"> (8), 1297–1302.</w:t>
      </w:r>
    </w:p>
    <w:p w14:paraId="5B98D256"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(175) </w:t>
      </w:r>
      <w:r w:rsidRPr="000849BF">
        <w:rPr>
          <w:rFonts w:ascii="Times New Roman" w:hAnsi="Times New Roman"/>
          <w:noProof/>
        </w:rPr>
        <w:tab/>
        <w:t xml:space="preserve">Lowe, V. J.; Dunphy, F. R.; Varvares, M.; Kim, H.; Wittry, M.; Dunphy, C. H.; Dunleavy, T.; McDonough, E.; Minster, J.; Fletcher, J. W.; Boyd, J. H. </w:t>
      </w:r>
      <w:r w:rsidRPr="000849BF">
        <w:rPr>
          <w:rFonts w:ascii="Times New Roman" w:hAnsi="Times New Roman"/>
          <w:i/>
          <w:iCs/>
          <w:noProof/>
        </w:rPr>
        <w:t>Head Neck</w:t>
      </w:r>
      <w:r w:rsidRPr="000849BF">
        <w:rPr>
          <w:rFonts w:ascii="Times New Roman" w:hAnsi="Times New Roman"/>
          <w:noProof/>
        </w:rPr>
        <w:t xml:space="preserve"> </w:t>
      </w:r>
      <w:r w:rsidRPr="000849BF">
        <w:rPr>
          <w:rFonts w:ascii="Times New Roman" w:hAnsi="Times New Roman"/>
          <w:b/>
          <w:bCs/>
          <w:noProof/>
        </w:rPr>
        <w:t>1997</w:t>
      </w:r>
      <w:r w:rsidRPr="000849BF">
        <w:rPr>
          <w:rFonts w:ascii="Times New Roman" w:hAnsi="Times New Roman"/>
          <w:noProof/>
        </w:rPr>
        <w:t xml:space="preserve">, </w:t>
      </w:r>
      <w:r w:rsidRPr="000849BF">
        <w:rPr>
          <w:rFonts w:ascii="Times New Roman" w:hAnsi="Times New Roman"/>
          <w:i/>
          <w:iCs/>
          <w:noProof/>
        </w:rPr>
        <w:t>19</w:t>
      </w:r>
      <w:r w:rsidRPr="000849BF">
        <w:rPr>
          <w:rFonts w:ascii="Times New Roman" w:hAnsi="Times New Roman"/>
          <w:noProof/>
        </w:rPr>
        <w:t xml:space="preserve"> (8), 666–674.</w:t>
      </w:r>
    </w:p>
    <w:p w14:paraId="10CA1013"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(176) </w:t>
      </w:r>
      <w:r w:rsidRPr="000849BF">
        <w:rPr>
          <w:rFonts w:ascii="Times New Roman" w:hAnsi="Times New Roman"/>
          <w:noProof/>
        </w:rPr>
        <w:tab/>
        <w:t xml:space="preserve">Pan, N.; Rao, W.; Kothapalli, N. R.; Liu, R.; Burgett, A. W. G.; Yang, Z.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2014</w:t>
      </w:r>
      <w:r w:rsidRPr="000849BF">
        <w:rPr>
          <w:rFonts w:ascii="Times New Roman" w:hAnsi="Times New Roman"/>
          <w:noProof/>
        </w:rPr>
        <w:t xml:space="preserve">, </w:t>
      </w:r>
      <w:r w:rsidRPr="000849BF">
        <w:rPr>
          <w:rFonts w:ascii="Times New Roman" w:hAnsi="Times New Roman"/>
          <w:i/>
          <w:iCs/>
          <w:noProof/>
        </w:rPr>
        <w:t>86</w:t>
      </w:r>
      <w:r w:rsidRPr="000849BF">
        <w:rPr>
          <w:rFonts w:ascii="Times New Roman" w:hAnsi="Times New Roman"/>
          <w:noProof/>
        </w:rPr>
        <w:t xml:space="preserve"> (19), 9376–9380.</w:t>
      </w:r>
    </w:p>
    <w:p w14:paraId="32D772C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(177) </w:t>
      </w:r>
      <w:r w:rsidRPr="000849BF">
        <w:rPr>
          <w:rFonts w:ascii="Times New Roman" w:hAnsi="Times New Roman"/>
          <w:noProof/>
        </w:rPr>
        <w:tab/>
        <w:t xml:space="preserve">Sun, M.; Yang, Z.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91</w:t>
      </w:r>
      <w:r w:rsidRPr="000849BF">
        <w:rPr>
          <w:rFonts w:ascii="Times New Roman" w:hAnsi="Times New Roman"/>
          <w:noProof/>
        </w:rPr>
        <w:t xml:space="preserve"> (3), 2384–2391.</w:t>
      </w:r>
    </w:p>
    <w:p w14:paraId="0E5B403F"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(178) </w:t>
      </w:r>
      <w:r w:rsidRPr="000849BF">
        <w:rPr>
          <w:rFonts w:ascii="Times New Roman" w:hAnsi="Times New Roman"/>
          <w:noProof/>
        </w:rPr>
        <w:tab/>
        <w:t xml:space="preserve">Pan, N.; Standke, S. J.; Kothapalli, N. R.; Sun, M.; Bensen, R. C.; Burgett, A. W. G.; Yang, Z. </w:t>
      </w:r>
      <w:r w:rsidRPr="000849BF">
        <w:rPr>
          <w:rFonts w:ascii="Times New Roman" w:hAnsi="Times New Roman"/>
          <w:i/>
          <w:iCs/>
          <w:noProof/>
        </w:rPr>
        <w:t>Anal. Chem.</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acs.analchem.9b01311.</w:t>
      </w:r>
    </w:p>
    <w:p w14:paraId="5DBC5F57"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(179) </w:t>
      </w:r>
      <w:r w:rsidRPr="000849BF">
        <w:rPr>
          <w:rFonts w:ascii="Times New Roman" w:hAnsi="Times New Roman"/>
          <w:noProof/>
        </w:rPr>
        <w:tab/>
        <w:t xml:space="preserve">Standke, S. J.; Colby, D. H.; Bensen, R. C.; Burgett, A. W. G.; Yang, Z. </w:t>
      </w:r>
      <w:r w:rsidRPr="000849BF">
        <w:rPr>
          <w:rFonts w:ascii="Times New Roman" w:hAnsi="Times New Roman"/>
          <w:i/>
          <w:iCs/>
          <w:noProof/>
        </w:rPr>
        <w:t xml:space="preserve">Anal. </w:t>
      </w:r>
      <w:r w:rsidRPr="000849BF">
        <w:rPr>
          <w:rFonts w:ascii="Times New Roman" w:hAnsi="Times New Roman"/>
          <w:i/>
          <w:iCs/>
          <w:noProof/>
        </w:rPr>
        <w:lastRenderedPageBreak/>
        <w:t>Chem.</w:t>
      </w:r>
      <w:r w:rsidRPr="000849BF">
        <w:rPr>
          <w:rFonts w:ascii="Times New Roman" w:hAnsi="Times New Roman"/>
          <w:noProof/>
        </w:rPr>
        <w:t xml:space="preserve"> </w:t>
      </w:r>
      <w:r w:rsidRPr="000849BF">
        <w:rPr>
          <w:rFonts w:ascii="Times New Roman" w:hAnsi="Times New Roman"/>
          <w:b/>
          <w:bCs/>
          <w:noProof/>
        </w:rPr>
        <w:t>2019</w:t>
      </w:r>
      <w:r w:rsidRPr="000849BF">
        <w:rPr>
          <w:rFonts w:ascii="Times New Roman" w:hAnsi="Times New Roman"/>
          <w:noProof/>
        </w:rPr>
        <w:t xml:space="preserve">, </w:t>
      </w:r>
      <w:r w:rsidRPr="000849BF">
        <w:rPr>
          <w:rFonts w:ascii="Times New Roman" w:hAnsi="Times New Roman"/>
          <w:i/>
          <w:iCs/>
          <w:noProof/>
        </w:rPr>
        <w:t>91</w:t>
      </w:r>
      <w:r w:rsidRPr="000849BF">
        <w:rPr>
          <w:rFonts w:ascii="Times New Roman" w:hAnsi="Times New Roman"/>
          <w:noProof/>
        </w:rPr>
        <w:t xml:space="preserve"> (3), 1738–1742.</w:t>
      </w:r>
    </w:p>
    <w:p w14:paraId="1EA27E20"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(180) </w:t>
      </w:r>
      <w:r w:rsidRPr="000849BF">
        <w:rPr>
          <w:rFonts w:ascii="Times New Roman" w:hAnsi="Times New Roman"/>
          <w:noProof/>
        </w:rPr>
        <w:tab/>
        <w:t xml:space="preserve">Chou, T. S.; Heath, P. C.; Patterson, L. E.; Poteet, L. M.; Lakin, R. E.; Hunt, A. H. </w:t>
      </w:r>
      <w:r w:rsidRPr="000849BF">
        <w:rPr>
          <w:rFonts w:ascii="Times New Roman" w:hAnsi="Times New Roman"/>
          <w:i/>
          <w:iCs/>
          <w:noProof/>
        </w:rPr>
        <w:t>Synthesis (Stuttg).</w:t>
      </w:r>
      <w:r w:rsidRPr="000849BF">
        <w:rPr>
          <w:rFonts w:ascii="Times New Roman" w:hAnsi="Times New Roman"/>
          <w:noProof/>
        </w:rPr>
        <w:t xml:space="preserve"> </w:t>
      </w:r>
      <w:r w:rsidRPr="000849BF">
        <w:rPr>
          <w:rFonts w:ascii="Times New Roman" w:hAnsi="Times New Roman"/>
          <w:b/>
          <w:bCs/>
          <w:noProof/>
        </w:rPr>
        <w:t>1992</w:t>
      </w:r>
      <w:r w:rsidRPr="000849BF">
        <w:rPr>
          <w:rFonts w:ascii="Times New Roman" w:hAnsi="Times New Roman"/>
          <w:noProof/>
        </w:rPr>
        <w:t>, 565–570.</w:t>
      </w:r>
    </w:p>
    <w:p w14:paraId="5ACD4C38"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(181) </w:t>
      </w:r>
      <w:r w:rsidRPr="000849BF">
        <w:rPr>
          <w:rFonts w:ascii="Times New Roman" w:hAnsi="Times New Roman"/>
          <w:noProof/>
        </w:rPr>
        <w:tab/>
        <w:t xml:space="preserve">De Sousa Cavalcante, L.; Monteiro, G. </w:t>
      </w:r>
      <w:r w:rsidRPr="000849BF">
        <w:rPr>
          <w:rFonts w:ascii="Times New Roman" w:hAnsi="Times New Roman"/>
          <w:i/>
          <w:iCs/>
          <w:noProof/>
        </w:rPr>
        <w:t>European Journal of Pharmacology</w:t>
      </w:r>
      <w:r w:rsidRPr="000849BF">
        <w:rPr>
          <w:rFonts w:ascii="Times New Roman" w:hAnsi="Times New Roman"/>
          <w:noProof/>
        </w:rPr>
        <w:t>. Elsevier October 15, 2014, pp 8–16.</w:t>
      </w:r>
    </w:p>
    <w:p w14:paraId="10F1DBD6" w14:textId="77777777" w:rsidR="000849BF" w:rsidRPr="000849BF" w:rsidRDefault="000849BF" w:rsidP="000849BF">
      <w:pPr>
        <w:widowControl w:val="0"/>
        <w:autoSpaceDE w:val="0"/>
        <w:autoSpaceDN w:val="0"/>
        <w:adjustRightInd w:val="0"/>
        <w:ind w:left="640" w:hanging="640"/>
        <w:rPr>
          <w:rFonts w:ascii="Times New Roman" w:hAnsi="Times New Roman"/>
          <w:noProof/>
        </w:rPr>
      </w:pPr>
      <w:r w:rsidRPr="000849BF">
        <w:rPr>
          <w:rFonts w:ascii="Times New Roman" w:hAnsi="Times New Roman"/>
          <w:noProof/>
        </w:rPr>
        <w:t xml:space="preserve">(182) </w:t>
      </w:r>
      <w:r w:rsidRPr="000849BF">
        <w:rPr>
          <w:rFonts w:ascii="Times New Roman" w:hAnsi="Times New Roman"/>
          <w:noProof/>
        </w:rPr>
        <w:tab/>
        <w:t xml:space="preserve">Griffiths, W. J.; Abdel-Khalik, J.; Crick, P. J.; Yutuc, E.; Wang, Y. </w:t>
      </w:r>
      <w:r w:rsidRPr="000849BF">
        <w:rPr>
          <w:rFonts w:ascii="Times New Roman" w:hAnsi="Times New Roman"/>
          <w:i/>
          <w:iCs/>
          <w:noProof/>
        </w:rPr>
        <w:t>Journal of Steroid Biochemistry and Molecular Biology</w:t>
      </w:r>
      <w:r w:rsidRPr="000849BF">
        <w:rPr>
          <w:rFonts w:ascii="Times New Roman" w:hAnsi="Times New Roman"/>
          <w:noProof/>
        </w:rPr>
        <w:t>. Elsevier Ltd September 1, 2016, pp 4–26.</w:t>
      </w:r>
    </w:p>
    <w:p w14:paraId="2284807D" w14:textId="553B1F40" w:rsidR="00A66B3A" w:rsidRDefault="007077AC" w:rsidP="00A66B3A">
      <w:r>
        <w:fldChar w:fldCharType="end"/>
      </w:r>
    </w:p>
    <w:p w14:paraId="0DD7DC3C" w14:textId="726D2568" w:rsidR="00A66B3A" w:rsidRDefault="00A66B3A" w:rsidP="00A66B3A"/>
    <w:p w14:paraId="6040F6A6" w14:textId="35E55C36" w:rsidR="00A66B3A" w:rsidRDefault="00A66B3A" w:rsidP="00A66B3A"/>
    <w:p w14:paraId="3B0F5032" w14:textId="3A2902FF" w:rsidR="00A66B3A" w:rsidRDefault="00A66B3A" w:rsidP="00A66B3A"/>
    <w:p w14:paraId="5264C5E8" w14:textId="01B3639E" w:rsidR="00A66B3A" w:rsidRDefault="00A66B3A" w:rsidP="00A66B3A"/>
    <w:p w14:paraId="5A0160CA" w14:textId="1E66B368" w:rsidR="00A66B3A" w:rsidRDefault="00A66B3A" w:rsidP="00A66B3A"/>
    <w:p w14:paraId="64FD5CEB" w14:textId="219A4F29" w:rsidR="00A66B3A" w:rsidRDefault="00A66B3A" w:rsidP="00A66B3A"/>
    <w:p w14:paraId="37DB8FF1" w14:textId="0ED548FA" w:rsidR="00A66B3A" w:rsidRDefault="00A66B3A" w:rsidP="00A66B3A"/>
    <w:p w14:paraId="0FA83CC5" w14:textId="2787D5E2" w:rsidR="00A66B3A" w:rsidRDefault="00A66B3A" w:rsidP="00A66B3A"/>
    <w:p w14:paraId="2124F9B3" w14:textId="77777777" w:rsidR="00A66B3A" w:rsidRPr="00A66B3A" w:rsidRDefault="00A66B3A" w:rsidP="00A66B3A"/>
    <w:p w14:paraId="109D151F" w14:textId="77777777" w:rsidR="00CF7B51" w:rsidRDefault="00CF7B51" w:rsidP="00012F48">
      <w:pPr>
        <w:pStyle w:val="Heading1"/>
      </w:pPr>
      <w:bookmarkStart w:id="236" w:name="_Toc310579475"/>
    </w:p>
    <w:p w14:paraId="330BF172" w14:textId="77777777" w:rsidR="00CF7B51" w:rsidRDefault="00CF7B51" w:rsidP="00012F48">
      <w:pPr>
        <w:pStyle w:val="Heading1"/>
      </w:pPr>
    </w:p>
    <w:p w14:paraId="1781C089" w14:textId="77777777" w:rsidR="00CF7B51" w:rsidRDefault="00CF7B51" w:rsidP="00012F48">
      <w:pPr>
        <w:pStyle w:val="Heading1"/>
      </w:pPr>
    </w:p>
    <w:p w14:paraId="6422F636" w14:textId="77777777" w:rsidR="00CF7B51" w:rsidRDefault="00CF7B51" w:rsidP="00012F48">
      <w:pPr>
        <w:pStyle w:val="Heading1"/>
      </w:pPr>
    </w:p>
    <w:p w14:paraId="6FBE69B2" w14:textId="77777777" w:rsidR="00CF7B51" w:rsidRDefault="00CF7B51" w:rsidP="00CC595D">
      <w:pPr>
        <w:pStyle w:val="Heading1"/>
        <w:jc w:val="left"/>
      </w:pPr>
    </w:p>
    <w:p w14:paraId="5A73D834" w14:textId="7EC27314" w:rsidR="000071DB" w:rsidRPr="000071DB" w:rsidRDefault="00AA0B13" w:rsidP="00012F48">
      <w:pPr>
        <w:pStyle w:val="Heading1"/>
      </w:pPr>
      <w:bookmarkStart w:id="237" w:name="_Toc39868209"/>
      <w:r>
        <w:lastRenderedPageBreak/>
        <w:t xml:space="preserve">Appendix </w:t>
      </w:r>
      <w:bookmarkEnd w:id="236"/>
      <w:r w:rsidR="001D73DA">
        <w:t>1: Chapter 2</w:t>
      </w:r>
      <w:r w:rsidR="008D32AC">
        <w:t xml:space="preserve"> Supplemental </w:t>
      </w:r>
      <w:r w:rsidR="000071DB">
        <w:tab/>
      </w:r>
      <w:r w:rsidR="000071DB">
        <w:rPr>
          <w:noProof/>
        </w:rPr>
        <mc:AlternateContent>
          <mc:Choice Requires="wps">
            <w:drawing>
              <wp:anchor distT="45720" distB="45720" distL="114300" distR="114300" simplePos="0" relativeHeight="251678720" behindDoc="0" locked="0" layoutInCell="1" allowOverlap="1" wp14:anchorId="7945AB68" wp14:editId="54980CF9">
                <wp:simplePos x="0" y="0"/>
                <wp:positionH relativeFrom="margin">
                  <wp:posOffset>-89535</wp:posOffset>
                </wp:positionH>
                <wp:positionV relativeFrom="paragraph">
                  <wp:posOffset>412115</wp:posOffset>
                </wp:positionV>
                <wp:extent cx="5362575" cy="7024370"/>
                <wp:effectExtent l="0" t="0" r="28575" b="24130"/>
                <wp:wrapSquare wrapText="bothSides"/>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7024370"/>
                        </a:xfrm>
                        <a:prstGeom prst="rect">
                          <a:avLst/>
                        </a:prstGeom>
                        <a:solidFill>
                          <a:srgbClr val="FFFFFF"/>
                        </a:solidFill>
                        <a:ln w="9525">
                          <a:solidFill>
                            <a:srgbClr val="000000"/>
                          </a:solidFill>
                          <a:miter lim="800000"/>
                          <a:headEnd/>
                          <a:tailEnd/>
                        </a:ln>
                      </wps:spPr>
                      <wps:txbx>
                        <w:txbxContent>
                          <w:p w14:paraId="2259CDE0" w14:textId="7DDB7CB2" w:rsidR="00730B8F" w:rsidRDefault="00730B8F" w:rsidP="002E625F">
                            <w:pPr>
                              <w:keepNext/>
                            </w:pPr>
                            <w:r w:rsidRPr="00F46386">
                              <w:rPr>
                                <w:noProof/>
                              </w:rPr>
                              <w:drawing>
                                <wp:inline distT="0" distB="0" distL="0" distR="0" wp14:anchorId="5988EF6F" wp14:editId="5A5F9C3C">
                                  <wp:extent cx="5174428" cy="6411507"/>
                                  <wp:effectExtent l="0" t="0" r="7620" b="889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183902" cy="6423246"/>
                                          </a:xfrm>
                                          <a:prstGeom prst="rect">
                                            <a:avLst/>
                                          </a:prstGeom>
                                          <a:noFill/>
                                          <a:ln>
                                            <a:noFill/>
                                          </a:ln>
                                        </pic:spPr>
                                      </pic:pic>
                                    </a:graphicData>
                                  </a:graphic>
                                </wp:inline>
                              </w:drawing>
                            </w:r>
                          </w:p>
                          <w:p w14:paraId="6A3BC93D" w14:textId="712D4FA7" w:rsidR="00730B8F" w:rsidRDefault="00730B8F" w:rsidP="002E625F">
                            <w:pPr>
                              <w:pStyle w:val="Caption"/>
                            </w:pPr>
                            <w:bookmarkStart w:id="238" w:name="_Toc39868244"/>
                            <w:r>
                              <w:t xml:space="preserve">Figure </w:t>
                            </w:r>
                            <w:r w:rsidR="009425BE">
                              <w:fldChar w:fldCharType="begin"/>
                            </w:r>
                            <w:r w:rsidR="009425BE">
                              <w:instrText xml:space="preserve"> SEQ Figure \* ARABIC </w:instrText>
                            </w:r>
                            <w:r w:rsidR="009425BE">
                              <w:fldChar w:fldCharType="separate"/>
                            </w:r>
                            <w:r>
                              <w:rPr>
                                <w:noProof/>
                              </w:rPr>
                              <w:t>31</w:t>
                            </w:r>
                            <w:r w:rsidR="009425BE">
                              <w:rPr>
                                <w:noProof/>
                              </w:rPr>
                              <w:fldChar w:fldCharType="end"/>
                            </w:r>
                            <w:r>
                              <w:t xml:space="preserve">: </w:t>
                            </w:r>
                            <w:r w:rsidRPr="00E24A05">
                              <w:rPr>
                                <w:b w:val="0"/>
                                <w:bCs w:val="0"/>
                              </w:rPr>
                              <w:t xml:space="preserve">Full blots from </w:t>
                            </w:r>
                            <w:r w:rsidR="000B0F43">
                              <w:rPr>
                                <w:b w:val="0"/>
                                <w:bCs w:val="0"/>
                              </w:rPr>
                              <w:t>Figure 5</w:t>
                            </w:r>
                            <w:bookmarkEnd w:id="238"/>
                          </w:p>
                          <w:p w14:paraId="12A41236" w14:textId="77777777" w:rsidR="00730B8F" w:rsidRDefault="00730B8F"/>
                          <w:p w14:paraId="3B5B6E6B" w14:textId="77777777" w:rsidR="00730B8F" w:rsidRDefault="00730B8F"/>
                          <w:p w14:paraId="52D564E4" w14:textId="3DA7DFAE" w:rsidR="00730B8F" w:rsidRDefault="00730B8F" w:rsidP="002E625F">
                            <w:pPr>
                              <w:keepNext/>
                            </w:pPr>
                            <w:r w:rsidRPr="00F46386">
                              <w:rPr>
                                <w:noProof/>
                              </w:rPr>
                              <w:drawing>
                                <wp:inline distT="0" distB="0" distL="0" distR="0" wp14:anchorId="5988EF6F" wp14:editId="5A5F9C3C">
                                  <wp:extent cx="5174428" cy="6411507"/>
                                  <wp:effectExtent l="0" t="0" r="7620" b="889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183902" cy="6423246"/>
                                          </a:xfrm>
                                          <a:prstGeom prst="rect">
                                            <a:avLst/>
                                          </a:prstGeom>
                                          <a:noFill/>
                                          <a:ln>
                                            <a:noFill/>
                                          </a:ln>
                                        </pic:spPr>
                                      </pic:pic>
                                    </a:graphicData>
                                  </a:graphic>
                                </wp:inline>
                              </w:drawing>
                            </w:r>
                          </w:p>
                          <w:p w14:paraId="5F8C5AB0" w14:textId="01F8B4E8" w:rsidR="00730B8F" w:rsidRDefault="00730B8F" w:rsidP="002E625F">
                            <w:pPr>
                              <w:pStyle w:val="Caption"/>
                            </w:pPr>
                            <w:r>
                              <w:t xml:space="preserve">Figure </w:t>
                            </w:r>
                            <w:r>
                              <w:fldChar w:fldCharType="begin"/>
                            </w:r>
                            <w:r>
                              <w:instrText xml:space="preserve">  \* ARABIC </w:instrText>
                            </w:r>
                            <w:r>
                              <w:fldChar w:fldCharType="separate"/>
                            </w:r>
                            <w:r>
                              <w:rPr>
                                <w:noProof/>
                              </w:rPr>
                              <w:t>50</w:t>
                            </w:r>
                            <w:r>
                              <w:rPr>
                                <w:noProof/>
                              </w:rPr>
                              <w:fldChar w:fldCharType="end"/>
                            </w:r>
                            <w:r>
                              <w:t xml:space="preserve">: </w:t>
                            </w:r>
                            <w:r w:rsidRPr="00E24A05">
                              <w:rPr>
                                <w:b w:val="0"/>
                                <w:bCs w:val="0"/>
                              </w:rPr>
                              <w:t xml:space="preserve">Full blots from </w:t>
                            </w:r>
                            <w:r w:rsidRPr="00E24A05">
                              <w:rPr>
                                <w:b w:val="0"/>
                                <w:bCs w:val="0"/>
                              </w:rPr>
                              <w:fldChar w:fldCharType="begin"/>
                            </w:r>
                            <w:r w:rsidRPr="00E24A05">
                              <w:rPr>
                                <w:b w:val="0"/>
                                <w:bCs w:val="0"/>
                              </w:rPr>
                              <w:instrText xml:space="preserve"> REF _Ref34052173 \h </w:instrText>
                            </w:r>
                            <w:r>
                              <w:rPr>
                                <w:b w:val="0"/>
                                <w:bCs w:val="0"/>
                              </w:rPr>
                              <w:instrText xml:space="preserve"> \* MERGEFORMAT </w:instrText>
                            </w:r>
                            <w:r w:rsidRPr="00E24A05">
                              <w:rPr>
                                <w:b w:val="0"/>
                                <w:bCs w:val="0"/>
                              </w:rPr>
                            </w:r>
                            <w:r w:rsidRPr="00E24A05">
                              <w:rPr>
                                <w:b w:val="0"/>
                                <w:bCs w:val="0"/>
                              </w:rPr>
                              <w:fldChar w:fldCharType="separate"/>
                            </w:r>
                            <w:r w:rsidRPr="00E24A05">
                              <w:rPr>
                                <w:b w:val="0"/>
                                <w:bCs w:val="0"/>
                              </w:rPr>
                              <w:t xml:space="preserve">Figure </w:t>
                            </w:r>
                            <w:r w:rsidRPr="00E24A05">
                              <w:rPr>
                                <w:b w:val="0"/>
                                <w:bCs w:val="0"/>
                                <w:noProof/>
                              </w:rPr>
                              <w:t>3</w:t>
                            </w:r>
                            <w:r w:rsidRPr="00E24A05">
                              <w:rPr>
                                <w:b w:val="0"/>
                                <w:bCs w:val="0"/>
                              </w:rPr>
                              <w:fldChar w:fldCharType="end"/>
                            </w:r>
                          </w:p>
                          <w:p w14:paraId="012D7E7B" w14:textId="1EAC4B67"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5AB68" id="_x0000_s1056" type="#_x0000_t202" style="position:absolute;left:0;text-align:left;margin-left:-7.05pt;margin-top:32.45pt;width:422.25pt;height:553.1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">
                <v:textbox>
                  <w:txbxContent>
                    <w:p w14:paraId="2259CDE0" w14:textId="7DDB7CB2" w:rsidR="00730B8F" w:rsidRDefault="00730B8F" w:rsidP="002E625F">
                      <w:pPr>
                        <w:keepNext/>
                      </w:pPr>
                      <w:r w:rsidRPr="00F46386">
                        <w:rPr>
                          <w:noProof/>
                        </w:rPr>
                        <w:drawing>
                          <wp:inline distT="0" distB="0" distL="0" distR="0" wp14:anchorId="5988EF6F" wp14:editId="5A5F9C3C">
                            <wp:extent cx="5174428" cy="6411507"/>
                            <wp:effectExtent l="0" t="0" r="7620" b="889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183902" cy="6423246"/>
                                    </a:xfrm>
                                    <a:prstGeom prst="rect">
                                      <a:avLst/>
                                    </a:prstGeom>
                                    <a:noFill/>
                                    <a:ln>
                                      <a:noFill/>
                                    </a:ln>
                                  </pic:spPr>
                                </pic:pic>
                              </a:graphicData>
                            </a:graphic>
                          </wp:inline>
                        </w:drawing>
                      </w:r>
                    </w:p>
                    <w:p w14:paraId="6A3BC93D" w14:textId="712D4FA7" w:rsidR="00730B8F" w:rsidRDefault="00730B8F" w:rsidP="002E625F">
                      <w:pPr>
                        <w:pStyle w:val="Caption"/>
                      </w:pPr>
                      <w:bookmarkStart w:id="239" w:name="_Toc39868244"/>
                      <w:r>
                        <w:t xml:space="preserve">Figure </w:t>
                      </w:r>
                      <w:r w:rsidR="009425BE">
                        <w:fldChar w:fldCharType="begin"/>
                      </w:r>
                      <w:r w:rsidR="009425BE">
                        <w:instrText xml:space="preserve"> SEQ Figure \* ARABIC </w:instrText>
                      </w:r>
                      <w:r w:rsidR="009425BE">
                        <w:fldChar w:fldCharType="separate"/>
                      </w:r>
                      <w:r>
                        <w:rPr>
                          <w:noProof/>
                        </w:rPr>
                        <w:t>31</w:t>
                      </w:r>
                      <w:r w:rsidR="009425BE">
                        <w:rPr>
                          <w:noProof/>
                        </w:rPr>
                        <w:fldChar w:fldCharType="end"/>
                      </w:r>
                      <w:r>
                        <w:t xml:space="preserve">: </w:t>
                      </w:r>
                      <w:r w:rsidRPr="00E24A05">
                        <w:rPr>
                          <w:b w:val="0"/>
                          <w:bCs w:val="0"/>
                        </w:rPr>
                        <w:t xml:space="preserve">Full blots from </w:t>
                      </w:r>
                      <w:r w:rsidR="000B0F43">
                        <w:rPr>
                          <w:b w:val="0"/>
                          <w:bCs w:val="0"/>
                        </w:rPr>
                        <w:t>Figure 5</w:t>
                      </w:r>
                      <w:bookmarkEnd w:id="239"/>
                    </w:p>
                    <w:p w14:paraId="12A41236" w14:textId="77777777" w:rsidR="00730B8F" w:rsidRDefault="00730B8F"/>
                    <w:p w14:paraId="3B5B6E6B" w14:textId="77777777" w:rsidR="00730B8F" w:rsidRDefault="00730B8F"/>
                    <w:p w14:paraId="52D564E4" w14:textId="3DA7DFAE" w:rsidR="00730B8F" w:rsidRDefault="00730B8F" w:rsidP="002E625F">
                      <w:pPr>
                        <w:keepNext/>
                      </w:pPr>
                      <w:r w:rsidRPr="00F46386">
                        <w:rPr>
                          <w:noProof/>
                        </w:rPr>
                        <w:drawing>
                          <wp:inline distT="0" distB="0" distL="0" distR="0" wp14:anchorId="5988EF6F" wp14:editId="5A5F9C3C">
                            <wp:extent cx="5174428" cy="6411507"/>
                            <wp:effectExtent l="0" t="0" r="7620" b="889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183902" cy="6423246"/>
                                    </a:xfrm>
                                    <a:prstGeom prst="rect">
                                      <a:avLst/>
                                    </a:prstGeom>
                                    <a:noFill/>
                                    <a:ln>
                                      <a:noFill/>
                                    </a:ln>
                                  </pic:spPr>
                                </pic:pic>
                              </a:graphicData>
                            </a:graphic>
                          </wp:inline>
                        </w:drawing>
                      </w:r>
                    </w:p>
                    <w:p w14:paraId="5F8C5AB0" w14:textId="01F8B4E8" w:rsidR="00730B8F" w:rsidRDefault="00730B8F" w:rsidP="002E625F">
                      <w:pPr>
                        <w:pStyle w:val="Caption"/>
                      </w:pPr>
                      <w:r>
                        <w:t xml:space="preserve">Figure </w:t>
                      </w:r>
                      <w:r>
                        <w:fldChar w:fldCharType="begin"/>
                      </w:r>
                      <w:r>
                        <w:instrText xml:space="preserve">  \* ARABIC </w:instrText>
                      </w:r>
                      <w:r>
                        <w:fldChar w:fldCharType="separate"/>
                      </w:r>
                      <w:r>
                        <w:rPr>
                          <w:noProof/>
                        </w:rPr>
                        <w:t>50</w:t>
                      </w:r>
                      <w:r>
                        <w:rPr>
                          <w:noProof/>
                        </w:rPr>
                        <w:fldChar w:fldCharType="end"/>
                      </w:r>
                      <w:r>
                        <w:t xml:space="preserve">: </w:t>
                      </w:r>
                      <w:r w:rsidRPr="00E24A05">
                        <w:rPr>
                          <w:b w:val="0"/>
                          <w:bCs w:val="0"/>
                        </w:rPr>
                        <w:t xml:space="preserve">Full blots from </w:t>
                      </w:r>
                      <w:r w:rsidRPr="00E24A05">
                        <w:rPr>
                          <w:b w:val="0"/>
                          <w:bCs w:val="0"/>
                        </w:rPr>
                        <w:fldChar w:fldCharType="begin"/>
                      </w:r>
                      <w:r w:rsidRPr="00E24A05">
                        <w:rPr>
                          <w:b w:val="0"/>
                          <w:bCs w:val="0"/>
                        </w:rPr>
                        <w:instrText xml:space="preserve"> REF _Ref34052173 \h </w:instrText>
                      </w:r>
                      <w:r>
                        <w:rPr>
                          <w:b w:val="0"/>
                          <w:bCs w:val="0"/>
                        </w:rPr>
                        <w:instrText xml:space="preserve"> \* MERGEFORMAT </w:instrText>
                      </w:r>
                      <w:r w:rsidRPr="00E24A05">
                        <w:rPr>
                          <w:b w:val="0"/>
                          <w:bCs w:val="0"/>
                        </w:rPr>
                      </w:r>
                      <w:r w:rsidRPr="00E24A05">
                        <w:rPr>
                          <w:b w:val="0"/>
                          <w:bCs w:val="0"/>
                        </w:rPr>
                        <w:fldChar w:fldCharType="separate"/>
                      </w:r>
                      <w:r w:rsidRPr="00E24A05">
                        <w:rPr>
                          <w:b w:val="0"/>
                          <w:bCs w:val="0"/>
                        </w:rPr>
                        <w:t xml:space="preserve">Figure </w:t>
                      </w:r>
                      <w:r w:rsidRPr="00E24A05">
                        <w:rPr>
                          <w:b w:val="0"/>
                          <w:bCs w:val="0"/>
                          <w:noProof/>
                        </w:rPr>
                        <w:t>3</w:t>
                      </w:r>
                      <w:r w:rsidRPr="00E24A05">
                        <w:rPr>
                          <w:b w:val="0"/>
                          <w:bCs w:val="0"/>
                        </w:rPr>
                        <w:fldChar w:fldCharType="end"/>
                      </w:r>
                    </w:p>
                    <w:p w14:paraId="012D7E7B" w14:textId="1EAC4B67" w:rsidR="00730B8F" w:rsidRDefault="00730B8F"/>
                  </w:txbxContent>
                </v:textbox>
                <w10:wrap type="square" anchorx="margin"/>
              </v:shape>
            </w:pict>
          </mc:Fallback>
        </mc:AlternateContent>
      </w:r>
      <w:bookmarkEnd w:id="237"/>
    </w:p>
    <w:p w14:paraId="4A6E80CD" w14:textId="77777777" w:rsidR="000071DB" w:rsidRPr="000071DB" w:rsidRDefault="000071DB" w:rsidP="000071DB"/>
    <w:p w14:paraId="1BD362EF" w14:textId="77777777" w:rsidR="006F6A1B" w:rsidRDefault="006F6A1B" w:rsidP="00AA0B13"/>
    <w:p w14:paraId="24AA6984" w14:textId="2C6E3AD2" w:rsidR="00C12934" w:rsidRDefault="00C12934" w:rsidP="00AA0B13">
      <w:r>
        <w:rPr>
          <w:noProof/>
        </w:rPr>
        <w:lastRenderedPageBreak/>
        <mc:AlternateContent>
          <mc:Choice Requires="wps">
            <w:drawing>
              <wp:anchor distT="45720" distB="45720" distL="114300" distR="114300" simplePos="0" relativeHeight="251688960" behindDoc="0" locked="0" layoutInCell="1" allowOverlap="1" wp14:anchorId="4B0B0425" wp14:editId="3F3A4158">
                <wp:simplePos x="0" y="0"/>
                <wp:positionH relativeFrom="margin">
                  <wp:align>left</wp:align>
                </wp:positionH>
                <wp:positionV relativeFrom="paragraph">
                  <wp:posOffset>396875</wp:posOffset>
                </wp:positionV>
                <wp:extent cx="5362575" cy="5916295"/>
                <wp:effectExtent l="0" t="0" r="28575" b="2730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5916706"/>
                        </a:xfrm>
                        <a:prstGeom prst="rect">
                          <a:avLst/>
                        </a:prstGeom>
                        <a:solidFill>
                          <a:srgbClr val="FFFFFF"/>
                        </a:solidFill>
                        <a:ln w="9525">
                          <a:solidFill>
                            <a:srgbClr val="000000"/>
                          </a:solidFill>
                          <a:miter lim="800000"/>
                          <a:headEnd/>
                          <a:tailEnd/>
                        </a:ln>
                      </wps:spPr>
                      <wps:txbx>
                        <w:txbxContent>
                          <w:p w14:paraId="21EB7BB4" w14:textId="0DA34EAA" w:rsidR="00730B8F" w:rsidRDefault="00730B8F" w:rsidP="00C12934">
                            <w:pPr>
                              <w:keepNext/>
                            </w:pPr>
                            <w:r w:rsidRPr="006F6A1B">
                              <w:rPr>
                                <w:noProof/>
                              </w:rPr>
                              <w:drawing>
                                <wp:inline distT="0" distB="0" distL="0" distR="0" wp14:anchorId="55851D1C" wp14:editId="13E0AA90">
                                  <wp:extent cx="5174428" cy="5257170"/>
                                  <wp:effectExtent l="0" t="0" r="7620" b="635"/>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81575" cy="5264431"/>
                                          </a:xfrm>
                                          <a:prstGeom prst="rect">
                                            <a:avLst/>
                                          </a:prstGeom>
                                          <a:noFill/>
                                          <a:ln>
                                            <a:noFill/>
                                          </a:ln>
                                        </pic:spPr>
                                      </pic:pic>
                                    </a:graphicData>
                                  </a:graphic>
                                </wp:inline>
                              </w:drawing>
                            </w:r>
                          </w:p>
                          <w:p w14:paraId="118BF3CB" w14:textId="77777777" w:rsidR="000B0F43" w:rsidRDefault="00730B8F" w:rsidP="000B0F43">
                            <w:pPr>
                              <w:pStyle w:val="Caption"/>
                            </w:pPr>
                            <w:bookmarkStart w:id="240" w:name="_Toc39868245"/>
                            <w:r>
                              <w:t xml:space="preserve">Figure </w:t>
                            </w:r>
                            <w:r w:rsidR="009425BE">
                              <w:fldChar w:fldCharType="begin"/>
                            </w:r>
                            <w:r w:rsidR="009425BE">
                              <w:instrText xml:space="preserve"> SEQ Figure \* ARABIC </w:instrText>
                            </w:r>
                            <w:r w:rsidR="009425BE">
                              <w:fldChar w:fldCharType="separate"/>
                            </w:r>
                            <w:r>
                              <w:rPr>
                                <w:noProof/>
                              </w:rPr>
                              <w:t>32</w:t>
                            </w:r>
                            <w:r w:rsidR="009425BE">
                              <w:rPr>
                                <w:noProof/>
                              </w:rPr>
                              <w:fldChar w:fldCharType="end"/>
                            </w:r>
                            <w:r>
                              <w:t xml:space="preserve">: </w:t>
                            </w:r>
                            <w:r w:rsidR="000B0F43" w:rsidRPr="00E24A05">
                              <w:rPr>
                                <w:b w:val="0"/>
                                <w:bCs w:val="0"/>
                              </w:rPr>
                              <w:t xml:space="preserve">Full blots from </w:t>
                            </w:r>
                            <w:r w:rsidR="000B0F43">
                              <w:rPr>
                                <w:b w:val="0"/>
                                <w:bCs w:val="0"/>
                              </w:rPr>
                              <w:t>Figure 5</w:t>
                            </w:r>
                            <w:bookmarkEnd w:id="240"/>
                          </w:p>
                          <w:p w14:paraId="61F571AB" w14:textId="53B01203" w:rsidR="00730B8F" w:rsidRDefault="00730B8F" w:rsidP="00C12934">
                            <w:pPr>
                              <w:pStyle w:val="Caption"/>
                            </w:pPr>
                          </w:p>
                          <w:p w14:paraId="20169FB0" w14:textId="77777777" w:rsidR="00730B8F" w:rsidRDefault="00730B8F" w:rsidP="00C12934"/>
                          <w:p w14:paraId="1EF8F25D" w14:textId="77777777" w:rsidR="00730B8F" w:rsidRDefault="00730B8F"/>
                          <w:p w14:paraId="5CC04E25" w14:textId="4F76A1F1" w:rsidR="00730B8F" w:rsidRDefault="00730B8F" w:rsidP="00C12934">
                            <w:pPr>
                              <w:keepNext/>
                            </w:pPr>
                            <w:r w:rsidRPr="006F6A1B">
                              <w:rPr>
                                <w:noProof/>
                              </w:rPr>
                              <w:drawing>
                                <wp:inline distT="0" distB="0" distL="0" distR="0" wp14:anchorId="55851D1C" wp14:editId="13E0AA90">
                                  <wp:extent cx="5174428" cy="5257170"/>
                                  <wp:effectExtent l="0" t="0" r="7620" b="635"/>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81575" cy="5264431"/>
                                          </a:xfrm>
                                          <a:prstGeom prst="rect">
                                            <a:avLst/>
                                          </a:prstGeom>
                                          <a:noFill/>
                                          <a:ln>
                                            <a:noFill/>
                                          </a:ln>
                                        </pic:spPr>
                                      </pic:pic>
                                    </a:graphicData>
                                  </a:graphic>
                                </wp:inline>
                              </w:drawing>
                            </w:r>
                          </w:p>
                          <w:p w14:paraId="5882D953" w14:textId="0FBF39F7" w:rsidR="00730B8F" w:rsidRDefault="00730B8F" w:rsidP="00C12934">
                            <w:pPr>
                              <w:pStyle w:val="Caption"/>
                            </w:pPr>
                            <w:r>
                              <w:t xml:space="preserve">Figure </w:t>
                            </w:r>
                            <w:r>
                              <w:fldChar w:fldCharType="begin"/>
                            </w:r>
                            <w:r>
                              <w:instrText xml:space="preserve">  \* ARABIC </w:instrText>
                            </w:r>
                            <w:r>
                              <w:fldChar w:fldCharType="separate"/>
                            </w:r>
                            <w:r>
                              <w:rPr>
                                <w:noProof/>
                              </w:rPr>
                              <w:t>52</w:t>
                            </w:r>
                            <w:r>
                              <w:rPr>
                                <w:noProof/>
                              </w:rPr>
                              <w:fldChar w:fldCharType="end"/>
                            </w:r>
                            <w:r>
                              <w:t xml:space="preserve">: </w:t>
                            </w:r>
                            <w:r w:rsidRPr="00E24A05">
                              <w:rPr>
                                <w:b w:val="0"/>
                                <w:bCs w:val="0"/>
                              </w:rPr>
                              <w:t xml:space="preserve">Full blots from </w:t>
                            </w:r>
                            <w:r w:rsidRPr="00E24A05">
                              <w:rPr>
                                <w:b w:val="0"/>
                                <w:bCs w:val="0"/>
                              </w:rPr>
                              <w:fldChar w:fldCharType="begin"/>
                            </w:r>
                            <w:r w:rsidRPr="00E24A05">
                              <w:rPr>
                                <w:b w:val="0"/>
                                <w:bCs w:val="0"/>
                              </w:rPr>
                              <w:instrText xml:space="preserve"> REF _Ref34052173 \h </w:instrText>
                            </w:r>
                            <w:r>
                              <w:rPr>
                                <w:b w:val="0"/>
                                <w:bCs w:val="0"/>
                              </w:rPr>
                              <w:instrText xml:space="preserve"> \* MERGEFORMAT </w:instrText>
                            </w:r>
                            <w:r w:rsidRPr="00E24A05">
                              <w:rPr>
                                <w:b w:val="0"/>
                                <w:bCs w:val="0"/>
                              </w:rPr>
                            </w:r>
                            <w:r w:rsidRPr="00E24A05">
                              <w:rPr>
                                <w:b w:val="0"/>
                                <w:bCs w:val="0"/>
                              </w:rPr>
                              <w:fldChar w:fldCharType="separate"/>
                            </w:r>
                            <w:r w:rsidRPr="00E24A05">
                              <w:rPr>
                                <w:b w:val="0"/>
                                <w:bCs w:val="0"/>
                              </w:rPr>
                              <w:t xml:space="preserve">Figure </w:t>
                            </w:r>
                            <w:r w:rsidRPr="00E24A05">
                              <w:rPr>
                                <w:b w:val="0"/>
                                <w:bCs w:val="0"/>
                                <w:noProof/>
                              </w:rPr>
                              <w:t>3</w:t>
                            </w:r>
                            <w:r w:rsidRPr="00E24A05">
                              <w:rPr>
                                <w:b w:val="0"/>
                                <w:bCs w:val="0"/>
                              </w:rPr>
                              <w:fldChar w:fldCharType="end"/>
                            </w:r>
                          </w:p>
                          <w:p w14:paraId="2ED836F8" w14:textId="77777777" w:rsidR="00730B8F" w:rsidRDefault="00730B8F" w:rsidP="00C129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B0425" id="_x0000_s1057" type="#_x0000_t202" style="position:absolute;margin-left:0;margin-top:31.25pt;width:422.25pt;height:465.85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">
                <v:textbox>
                  <w:txbxContent>
                    <w:p w14:paraId="21EB7BB4" w14:textId="0DA34EAA" w:rsidR="00730B8F" w:rsidRDefault="00730B8F" w:rsidP="00C12934">
                      <w:pPr>
                        <w:keepNext/>
                      </w:pPr>
                      <w:r w:rsidRPr="006F6A1B">
                        <w:rPr>
                          <w:noProof/>
                        </w:rPr>
                        <w:drawing>
                          <wp:inline distT="0" distB="0" distL="0" distR="0" wp14:anchorId="55851D1C" wp14:editId="13E0AA90">
                            <wp:extent cx="5174428" cy="5257170"/>
                            <wp:effectExtent l="0" t="0" r="7620" b="635"/>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81575" cy="5264431"/>
                                    </a:xfrm>
                                    <a:prstGeom prst="rect">
                                      <a:avLst/>
                                    </a:prstGeom>
                                    <a:noFill/>
                                    <a:ln>
                                      <a:noFill/>
                                    </a:ln>
                                  </pic:spPr>
                                </pic:pic>
                              </a:graphicData>
                            </a:graphic>
                          </wp:inline>
                        </w:drawing>
                      </w:r>
                    </w:p>
                    <w:p w14:paraId="118BF3CB" w14:textId="77777777" w:rsidR="000B0F43" w:rsidRDefault="00730B8F" w:rsidP="000B0F43">
                      <w:pPr>
                        <w:pStyle w:val="Caption"/>
                      </w:pPr>
                      <w:bookmarkStart w:id="241" w:name="_Toc39868245"/>
                      <w:r>
                        <w:t xml:space="preserve">Figure </w:t>
                      </w:r>
                      <w:r w:rsidR="009425BE">
                        <w:fldChar w:fldCharType="begin"/>
                      </w:r>
                      <w:r w:rsidR="009425BE">
                        <w:instrText xml:space="preserve"> SEQ Figure \* ARABIC </w:instrText>
                      </w:r>
                      <w:r w:rsidR="009425BE">
                        <w:fldChar w:fldCharType="separate"/>
                      </w:r>
                      <w:r>
                        <w:rPr>
                          <w:noProof/>
                        </w:rPr>
                        <w:t>32</w:t>
                      </w:r>
                      <w:r w:rsidR="009425BE">
                        <w:rPr>
                          <w:noProof/>
                        </w:rPr>
                        <w:fldChar w:fldCharType="end"/>
                      </w:r>
                      <w:r>
                        <w:t xml:space="preserve">: </w:t>
                      </w:r>
                      <w:r w:rsidR="000B0F43" w:rsidRPr="00E24A05">
                        <w:rPr>
                          <w:b w:val="0"/>
                          <w:bCs w:val="0"/>
                        </w:rPr>
                        <w:t xml:space="preserve">Full blots from </w:t>
                      </w:r>
                      <w:r w:rsidR="000B0F43">
                        <w:rPr>
                          <w:b w:val="0"/>
                          <w:bCs w:val="0"/>
                        </w:rPr>
                        <w:t>Figure 5</w:t>
                      </w:r>
                      <w:bookmarkEnd w:id="241"/>
                    </w:p>
                    <w:p w14:paraId="61F571AB" w14:textId="53B01203" w:rsidR="00730B8F" w:rsidRDefault="00730B8F" w:rsidP="00C12934">
                      <w:pPr>
                        <w:pStyle w:val="Caption"/>
                      </w:pPr>
                    </w:p>
                    <w:p w14:paraId="20169FB0" w14:textId="77777777" w:rsidR="00730B8F" w:rsidRDefault="00730B8F" w:rsidP="00C12934"/>
                    <w:p w14:paraId="1EF8F25D" w14:textId="77777777" w:rsidR="00730B8F" w:rsidRDefault="00730B8F"/>
                    <w:p w14:paraId="5CC04E25" w14:textId="4F76A1F1" w:rsidR="00730B8F" w:rsidRDefault="00730B8F" w:rsidP="00C12934">
                      <w:pPr>
                        <w:keepNext/>
                      </w:pPr>
                      <w:r w:rsidRPr="006F6A1B">
                        <w:rPr>
                          <w:noProof/>
                        </w:rPr>
                        <w:drawing>
                          <wp:inline distT="0" distB="0" distL="0" distR="0" wp14:anchorId="55851D1C" wp14:editId="13E0AA90">
                            <wp:extent cx="5174428" cy="5257170"/>
                            <wp:effectExtent l="0" t="0" r="7620" b="635"/>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81575" cy="5264431"/>
                                    </a:xfrm>
                                    <a:prstGeom prst="rect">
                                      <a:avLst/>
                                    </a:prstGeom>
                                    <a:noFill/>
                                    <a:ln>
                                      <a:noFill/>
                                    </a:ln>
                                  </pic:spPr>
                                </pic:pic>
                              </a:graphicData>
                            </a:graphic>
                          </wp:inline>
                        </w:drawing>
                      </w:r>
                    </w:p>
                    <w:p w14:paraId="5882D953" w14:textId="0FBF39F7" w:rsidR="00730B8F" w:rsidRDefault="00730B8F" w:rsidP="00C12934">
                      <w:pPr>
                        <w:pStyle w:val="Caption"/>
                      </w:pPr>
                      <w:r>
                        <w:t xml:space="preserve">Figure </w:t>
                      </w:r>
                      <w:r>
                        <w:fldChar w:fldCharType="begin"/>
                      </w:r>
                      <w:r>
                        <w:instrText xml:space="preserve">  \* ARABIC </w:instrText>
                      </w:r>
                      <w:r>
                        <w:fldChar w:fldCharType="separate"/>
                      </w:r>
                      <w:r>
                        <w:rPr>
                          <w:noProof/>
                        </w:rPr>
                        <w:t>52</w:t>
                      </w:r>
                      <w:r>
                        <w:rPr>
                          <w:noProof/>
                        </w:rPr>
                        <w:fldChar w:fldCharType="end"/>
                      </w:r>
                      <w:r>
                        <w:t xml:space="preserve">: </w:t>
                      </w:r>
                      <w:r w:rsidRPr="00E24A05">
                        <w:rPr>
                          <w:b w:val="0"/>
                          <w:bCs w:val="0"/>
                        </w:rPr>
                        <w:t xml:space="preserve">Full blots from </w:t>
                      </w:r>
                      <w:r w:rsidRPr="00E24A05">
                        <w:rPr>
                          <w:b w:val="0"/>
                          <w:bCs w:val="0"/>
                        </w:rPr>
                        <w:fldChar w:fldCharType="begin"/>
                      </w:r>
                      <w:r w:rsidRPr="00E24A05">
                        <w:rPr>
                          <w:b w:val="0"/>
                          <w:bCs w:val="0"/>
                        </w:rPr>
                        <w:instrText xml:space="preserve"> REF _Ref34052173 \h </w:instrText>
                      </w:r>
                      <w:r>
                        <w:rPr>
                          <w:b w:val="0"/>
                          <w:bCs w:val="0"/>
                        </w:rPr>
                        <w:instrText xml:space="preserve"> \* MERGEFORMAT </w:instrText>
                      </w:r>
                      <w:r w:rsidRPr="00E24A05">
                        <w:rPr>
                          <w:b w:val="0"/>
                          <w:bCs w:val="0"/>
                        </w:rPr>
                      </w:r>
                      <w:r w:rsidRPr="00E24A05">
                        <w:rPr>
                          <w:b w:val="0"/>
                          <w:bCs w:val="0"/>
                        </w:rPr>
                        <w:fldChar w:fldCharType="separate"/>
                      </w:r>
                      <w:r w:rsidRPr="00E24A05">
                        <w:rPr>
                          <w:b w:val="0"/>
                          <w:bCs w:val="0"/>
                        </w:rPr>
                        <w:t xml:space="preserve">Figure </w:t>
                      </w:r>
                      <w:r w:rsidRPr="00E24A05">
                        <w:rPr>
                          <w:b w:val="0"/>
                          <w:bCs w:val="0"/>
                          <w:noProof/>
                        </w:rPr>
                        <w:t>3</w:t>
                      </w:r>
                      <w:r w:rsidRPr="00E24A05">
                        <w:rPr>
                          <w:b w:val="0"/>
                          <w:bCs w:val="0"/>
                        </w:rPr>
                        <w:fldChar w:fldCharType="end"/>
                      </w:r>
                    </w:p>
                    <w:p w14:paraId="2ED836F8" w14:textId="77777777" w:rsidR="00730B8F" w:rsidRDefault="00730B8F" w:rsidP="00C12934"/>
                  </w:txbxContent>
                </v:textbox>
                <w10:wrap type="square" anchorx="margin"/>
              </v:shape>
            </w:pict>
          </mc:Fallback>
        </mc:AlternateContent>
      </w:r>
    </w:p>
    <w:p w14:paraId="38D9697F" w14:textId="77777777" w:rsidR="00C12934" w:rsidRDefault="00C12934" w:rsidP="00AA0B13"/>
    <w:p w14:paraId="2AD0543D" w14:textId="77777777" w:rsidR="00C12934" w:rsidRDefault="00C12934" w:rsidP="00AA0B13"/>
    <w:p w14:paraId="4B939FD9" w14:textId="77777777" w:rsidR="00C12934" w:rsidRDefault="00C12934" w:rsidP="00AA0B13"/>
    <w:p w14:paraId="3387899A" w14:textId="5E502C4E" w:rsidR="00C12934" w:rsidRDefault="00C12934" w:rsidP="00AA0B13"/>
    <w:p w14:paraId="1E234704" w14:textId="61EB7DFB" w:rsidR="0004311C" w:rsidRDefault="00A27F75" w:rsidP="00AA0B13">
      <w:r>
        <w:rPr>
          <w:noProof/>
        </w:rPr>
        <w:lastRenderedPageBreak/>
        <mc:AlternateContent>
          <mc:Choice Requires="wps">
            <w:drawing>
              <wp:anchor distT="45720" distB="45720" distL="114300" distR="114300" simplePos="0" relativeHeight="251680768" behindDoc="0" locked="0" layoutInCell="1" allowOverlap="1" wp14:anchorId="12D2A895" wp14:editId="2E9B16E3">
                <wp:simplePos x="0" y="0"/>
                <wp:positionH relativeFrom="margin">
                  <wp:posOffset>-129540</wp:posOffset>
                </wp:positionH>
                <wp:positionV relativeFrom="paragraph">
                  <wp:posOffset>0</wp:posOffset>
                </wp:positionV>
                <wp:extent cx="5379085" cy="7422515"/>
                <wp:effectExtent l="0" t="0" r="12065" b="26035"/>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085" cy="7422515"/>
                        </a:xfrm>
                        <a:prstGeom prst="rect">
                          <a:avLst/>
                        </a:prstGeom>
                        <a:solidFill>
                          <a:srgbClr val="FFFFFF"/>
                        </a:solidFill>
                        <a:ln w="9525">
                          <a:solidFill>
                            <a:srgbClr val="000000"/>
                          </a:solidFill>
                          <a:miter lim="800000"/>
                          <a:headEnd/>
                          <a:tailEnd/>
                        </a:ln>
                      </wps:spPr>
                      <wps:txbx>
                        <w:txbxContent>
                          <w:p w14:paraId="37F4F461" w14:textId="7ECBA64E" w:rsidR="00730B8F" w:rsidRDefault="00730B8F" w:rsidP="0004311C">
                            <w:pPr>
                              <w:keepNext/>
                            </w:pPr>
                            <w:r w:rsidRPr="00A27F75">
                              <w:rPr>
                                <w:noProof/>
                              </w:rPr>
                              <w:drawing>
                                <wp:inline distT="0" distB="0" distL="0" distR="0" wp14:anchorId="0D7D34F2" wp14:editId="34F32118">
                                  <wp:extent cx="5174428" cy="6797596"/>
                                  <wp:effectExtent l="0" t="0" r="7620" b="381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183095" cy="6808981"/>
                                          </a:xfrm>
                                          <a:prstGeom prst="rect">
                                            <a:avLst/>
                                          </a:prstGeom>
                                          <a:noFill/>
                                          <a:ln>
                                            <a:noFill/>
                                          </a:ln>
                                        </pic:spPr>
                                      </pic:pic>
                                    </a:graphicData>
                                  </a:graphic>
                                </wp:inline>
                              </w:drawing>
                            </w:r>
                          </w:p>
                          <w:p w14:paraId="73E39F45" w14:textId="77777777" w:rsidR="000B0F43" w:rsidRDefault="00730B8F" w:rsidP="000B0F43">
                            <w:pPr>
                              <w:pStyle w:val="Caption"/>
                            </w:pPr>
                            <w:bookmarkStart w:id="242" w:name="_Toc39868246"/>
                            <w:r>
                              <w:t xml:space="preserve">Figure </w:t>
                            </w:r>
                            <w:r w:rsidR="009425BE">
                              <w:fldChar w:fldCharType="begin"/>
                            </w:r>
                            <w:r w:rsidR="009425BE">
                              <w:instrText xml:space="preserve"> SEQ Figure \* ARABIC </w:instrText>
                            </w:r>
                            <w:r w:rsidR="009425BE">
                              <w:fldChar w:fldCharType="separate"/>
                            </w:r>
                            <w:r>
                              <w:rPr>
                                <w:noProof/>
                              </w:rPr>
                              <w:t>33</w:t>
                            </w:r>
                            <w:r w:rsidR="009425BE">
                              <w:rPr>
                                <w:noProof/>
                              </w:rPr>
                              <w:fldChar w:fldCharType="end"/>
                            </w:r>
                            <w:r>
                              <w:t xml:space="preserve">: </w:t>
                            </w:r>
                            <w:r w:rsidR="000B0F43" w:rsidRPr="00E24A05">
                              <w:rPr>
                                <w:b w:val="0"/>
                                <w:bCs w:val="0"/>
                              </w:rPr>
                              <w:t xml:space="preserve">Full blots from </w:t>
                            </w:r>
                            <w:r w:rsidR="000B0F43">
                              <w:rPr>
                                <w:b w:val="0"/>
                                <w:bCs w:val="0"/>
                              </w:rPr>
                              <w:t>Figure 5</w:t>
                            </w:r>
                            <w:bookmarkEnd w:id="242"/>
                          </w:p>
                          <w:p w14:paraId="4B5004AD" w14:textId="0897B306" w:rsidR="00730B8F" w:rsidRDefault="00730B8F" w:rsidP="0004311C">
                            <w:pPr>
                              <w:pStyle w:val="Caption"/>
                            </w:pPr>
                          </w:p>
                          <w:p w14:paraId="57D03212" w14:textId="77777777" w:rsidR="00730B8F" w:rsidRDefault="00730B8F"/>
                          <w:p w14:paraId="691DB27B" w14:textId="77777777" w:rsidR="00730B8F" w:rsidRDefault="00730B8F"/>
                          <w:p w14:paraId="2D255EE3" w14:textId="3354FFA3" w:rsidR="00730B8F" w:rsidRDefault="00730B8F" w:rsidP="0004311C">
                            <w:pPr>
                              <w:keepNext/>
                            </w:pPr>
                            <w:r w:rsidRPr="00A27F75">
                              <w:rPr>
                                <w:noProof/>
                              </w:rPr>
                              <w:drawing>
                                <wp:inline distT="0" distB="0" distL="0" distR="0" wp14:anchorId="0D7D34F2" wp14:editId="34F32118">
                                  <wp:extent cx="5174428" cy="6797596"/>
                                  <wp:effectExtent l="0" t="0" r="7620" b="381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183095" cy="6808981"/>
                                          </a:xfrm>
                                          <a:prstGeom prst="rect">
                                            <a:avLst/>
                                          </a:prstGeom>
                                          <a:noFill/>
                                          <a:ln>
                                            <a:noFill/>
                                          </a:ln>
                                        </pic:spPr>
                                      </pic:pic>
                                    </a:graphicData>
                                  </a:graphic>
                                </wp:inline>
                              </w:drawing>
                            </w:r>
                          </w:p>
                          <w:p w14:paraId="0DB5E822" w14:textId="4014EF6A" w:rsidR="00730B8F" w:rsidRDefault="00730B8F" w:rsidP="0004311C">
                            <w:pPr>
                              <w:pStyle w:val="Caption"/>
                            </w:pPr>
                            <w:r>
                              <w:t xml:space="preserve">Figure </w:t>
                            </w:r>
                            <w:r>
                              <w:fldChar w:fldCharType="begin"/>
                            </w:r>
                            <w:r>
                              <w:instrText xml:space="preserve">  \* ARABIC </w:instrText>
                            </w:r>
                            <w:r>
                              <w:fldChar w:fldCharType="separate"/>
                            </w:r>
                            <w:r>
                              <w:rPr>
                                <w:noProof/>
                              </w:rPr>
                              <w:t>54</w:t>
                            </w:r>
                            <w:r>
                              <w:rPr>
                                <w:noProof/>
                              </w:rPr>
                              <w:fldChar w:fldCharType="end"/>
                            </w:r>
                            <w:r>
                              <w:t xml:space="preserve">: </w:t>
                            </w:r>
                            <w:r w:rsidRPr="00E24A05">
                              <w:rPr>
                                <w:b w:val="0"/>
                                <w:bCs w:val="0"/>
                              </w:rPr>
                              <w:t xml:space="preserve">Full blots from </w:t>
                            </w:r>
                            <w:r w:rsidRPr="00E24A05">
                              <w:rPr>
                                <w:b w:val="0"/>
                                <w:bCs w:val="0"/>
                              </w:rPr>
                              <w:fldChar w:fldCharType="begin"/>
                            </w:r>
                            <w:r w:rsidRPr="00E24A05">
                              <w:rPr>
                                <w:b w:val="0"/>
                                <w:bCs w:val="0"/>
                              </w:rPr>
                              <w:instrText xml:space="preserve"> REF _Ref34052173 \h </w:instrText>
                            </w:r>
                            <w:r>
                              <w:rPr>
                                <w:b w:val="0"/>
                                <w:bCs w:val="0"/>
                              </w:rPr>
                              <w:instrText xml:space="preserve"> \* MERGEFORMAT </w:instrText>
                            </w:r>
                            <w:r w:rsidRPr="00E24A05">
                              <w:rPr>
                                <w:b w:val="0"/>
                                <w:bCs w:val="0"/>
                              </w:rPr>
                            </w:r>
                            <w:r w:rsidRPr="00E24A05">
                              <w:rPr>
                                <w:b w:val="0"/>
                                <w:bCs w:val="0"/>
                              </w:rPr>
                              <w:fldChar w:fldCharType="separate"/>
                            </w:r>
                            <w:r w:rsidRPr="00E24A05">
                              <w:rPr>
                                <w:b w:val="0"/>
                                <w:bCs w:val="0"/>
                              </w:rPr>
                              <w:t xml:space="preserve">Figure </w:t>
                            </w:r>
                            <w:r w:rsidRPr="00E24A05">
                              <w:rPr>
                                <w:b w:val="0"/>
                                <w:bCs w:val="0"/>
                                <w:noProof/>
                              </w:rPr>
                              <w:t>3</w:t>
                            </w:r>
                            <w:r w:rsidRPr="00E24A05">
                              <w:rPr>
                                <w:b w:val="0"/>
                                <w:bCs w:val="0"/>
                              </w:rPr>
                              <w:fldChar w:fldCharType="end"/>
                            </w:r>
                          </w:p>
                          <w:p w14:paraId="42AD0D27" w14:textId="2320673D"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2A895" id="_x0000_s1058" type="#_x0000_t202" style="position:absolute;margin-left:-10.2pt;margin-top:0;width:423.55pt;height:584.4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">
                <v:textbox>
                  <w:txbxContent>
                    <w:p w14:paraId="37F4F461" w14:textId="7ECBA64E" w:rsidR="00730B8F" w:rsidRDefault="00730B8F" w:rsidP="0004311C">
                      <w:pPr>
                        <w:keepNext/>
                      </w:pPr>
                      <w:r w:rsidRPr="00A27F75">
                        <w:rPr>
                          <w:noProof/>
                        </w:rPr>
                        <w:drawing>
                          <wp:inline distT="0" distB="0" distL="0" distR="0" wp14:anchorId="0D7D34F2" wp14:editId="34F32118">
                            <wp:extent cx="5174428" cy="6797596"/>
                            <wp:effectExtent l="0" t="0" r="7620" b="381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183095" cy="6808981"/>
                                    </a:xfrm>
                                    <a:prstGeom prst="rect">
                                      <a:avLst/>
                                    </a:prstGeom>
                                    <a:noFill/>
                                    <a:ln>
                                      <a:noFill/>
                                    </a:ln>
                                  </pic:spPr>
                                </pic:pic>
                              </a:graphicData>
                            </a:graphic>
                          </wp:inline>
                        </w:drawing>
                      </w:r>
                    </w:p>
                    <w:p w14:paraId="73E39F45" w14:textId="77777777" w:rsidR="000B0F43" w:rsidRDefault="00730B8F" w:rsidP="000B0F43">
                      <w:pPr>
                        <w:pStyle w:val="Caption"/>
                      </w:pPr>
                      <w:bookmarkStart w:id="243" w:name="_Toc39868246"/>
                      <w:r>
                        <w:t xml:space="preserve">Figure </w:t>
                      </w:r>
                      <w:r w:rsidR="009425BE">
                        <w:fldChar w:fldCharType="begin"/>
                      </w:r>
                      <w:r w:rsidR="009425BE">
                        <w:instrText xml:space="preserve"> SEQ Figure \* ARABIC </w:instrText>
                      </w:r>
                      <w:r w:rsidR="009425BE">
                        <w:fldChar w:fldCharType="separate"/>
                      </w:r>
                      <w:r>
                        <w:rPr>
                          <w:noProof/>
                        </w:rPr>
                        <w:t>33</w:t>
                      </w:r>
                      <w:r w:rsidR="009425BE">
                        <w:rPr>
                          <w:noProof/>
                        </w:rPr>
                        <w:fldChar w:fldCharType="end"/>
                      </w:r>
                      <w:r>
                        <w:t xml:space="preserve">: </w:t>
                      </w:r>
                      <w:r w:rsidR="000B0F43" w:rsidRPr="00E24A05">
                        <w:rPr>
                          <w:b w:val="0"/>
                          <w:bCs w:val="0"/>
                        </w:rPr>
                        <w:t xml:space="preserve">Full blots from </w:t>
                      </w:r>
                      <w:r w:rsidR="000B0F43">
                        <w:rPr>
                          <w:b w:val="0"/>
                          <w:bCs w:val="0"/>
                        </w:rPr>
                        <w:t>Figure 5</w:t>
                      </w:r>
                      <w:bookmarkEnd w:id="243"/>
                    </w:p>
                    <w:p w14:paraId="4B5004AD" w14:textId="0897B306" w:rsidR="00730B8F" w:rsidRDefault="00730B8F" w:rsidP="0004311C">
                      <w:pPr>
                        <w:pStyle w:val="Caption"/>
                      </w:pPr>
                    </w:p>
                    <w:p w14:paraId="57D03212" w14:textId="77777777" w:rsidR="00730B8F" w:rsidRDefault="00730B8F"/>
                    <w:p w14:paraId="691DB27B" w14:textId="77777777" w:rsidR="00730B8F" w:rsidRDefault="00730B8F"/>
                    <w:p w14:paraId="2D255EE3" w14:textId="3354FFA3" w:rsidR="00730B8F" w:rsidRDefault="00730B8F" w:rsidP="0004311C">
                      <w:pPr>
                        <w:keepNext/>
                      </w:pPr>
                      <w:r w:rsidRPr="00A27F75">
                        <w:rPr>
                          <w:noProof/>
                        </w:rPr>
                        <w:drawing>
                          <wp:inline distT="0" distB="0" distL="0" distR="0" wp14:anchorId="0D7D34F2" wp14:editId="34F32118">
                            <wp:extent cx="5174428" cy="6797596"/>
                            <wp:effectExtent l="0" t="0" r="7620" b="381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183095" cy="6808981"/>
                                    </a:xfrm>
                                    <a:prstGeom prst="rect">
                                      <a:avLst/>
                                    </a:prstGeom>
                                    <a:noFill/>
                                    <a:ln>
                                      <a:noFill/>
                                    </a:ln>
                                  </pic:spPr>
                                </pic:pic>
                              </a:graphicData>
                            </a:graphic>
                          </wp:inline>
                        </w:drawing>
                      </w:r>
                    </w:p>
                    <w:p w14:paraId="0DB5E822" w14:textId="4014EF6A" w:rsidR="00730B8F" w:rsidRDefault="00730B8F" w:rsidP="0004311C">
                      <w:pPr>
                        <w:pStyle w:val="Caption"/>
                      </w:pPr>
                      <w:r>
                        <w:t xml:space="preserve">Figure </w:t>
                      </w:r>
                      <w:r>
                        <w:fldChar w:fldCharType="begin"/>
                      </w:r>
                      <w:r>
                        <w:instrText xml:space="preserve">  \* ARABIC </w:instrText>
                      </w:r>
                      <w:r>
                        <w:fldChar w:fldCharType="separate"/>
                      </w:r>
                      <w:r>
                        <w:rPr>
                          <w:noProof/>
                        </w:rPr>
                        <w:t>54</w:t>
                      </w:r>
                      <w:r>
                        <w:rPr>
                          <w:noProof/>
                        </w:rPr>
                        <w:fldChar w:fldCharType="end"/>
                      </w:r>
                      <w:r>
                        <w:t xml:space="preserve">: </w:t>
                      </w:r>
                      <w:r w:rsidRPr="00E24A05">
                        <w:rPr>
                          <w:b w:val="0"/>
                          <w:bCs w:val="0"/>
                        </w:rPr>
                        <w:t xml:space="preserve">Full blots from </w:t>
                      </w:r>
                      <w:r w:rsidRPr="00E24A05">
                        <w:rPr>
                          <w:b w:val="0"/>
                          <w:bCs w:val="0"/>
                        </w:rPr>
                        <w:fldChar w:fldCharType="begin"/>
                      </w:r>
                      <w:r w:rsidRPr="00E24A05">
                        <w:rPr>
                          <w:b w:val="0"/>
                          <w:bCs w:val="0"/>
                        </w:rPr>
                        <w:instrText xml:space="preserve"> REF _Ref34052173 \h </w:instrText>
                      </w:r>
                      <w:r>
                        <w:rPr>
                          <w:b w:val="0"/>
                          <w:bCs w:val="0"/>
                        </w:rPr>
                        <w:instrText xml:space="preserve"> \* MERGEFORMAT </w:instrText>
                      </w:r>
                      <w:r w:rsidRPr="00E24A05">
                        <w:rPr>
                          <w:b w:val="0"/>
                          <w:bCs w:val="0"/>
                        </w:rPr>
                      </w:r>
                      <w:r w:rsidRPr="00E24A05">
                        <w:rPr>
                          <w:b w:val="0"/>
                          <w:bCs w:val="0"/>
                        </w:rPr>
                        <w:fldChar w:fldCharType="separate"/>
                      </w:r>
                      <w:r w:rsidRPr="00E24A05">
                        <w:rPr>
                          <w:b w:val="0"/>
                          <w:bCs w:val="0"/>
                        </w:rPr>
                        <w:t xml:space="preserve">Figure </w:t>
                      </w:r>
                      <w:r w:rsidRPr="00E24A05">
                        <w:rPr>
                          <w:b w:val="0"/>
                          <w:bCs w:val="0"/>
                          <w:noProof/>
                        </w:rPr>
                        <w:t>3</w:t>
                      </w:r>
                      <w:r w:rsidRPr="00E24A05">
                        <w:rPr>
                          <w:b w:val="0"/>
                          <w:bCs w:val="0"/>
                        </w:rPr>
                        <w:fldChar w:fldCharType="end"/>
                      </w:r>
                    </w:p>
                    <w:p w14:paraId="42AD0D27" w14:textId="2320673D" w:rsidR="00730B8F" w:rsidRDefault="00730B8F"/>
                  </w:txbxContent>
                </v:textbox>
                <w10:wrap type="square" anchorx="margin"/>
              </v:shape>
            </w:pict>
          </mc:Fallback>
        </mc:AlternateContent>
      </w:r>
    </w:p>
    <w:p w14:paraId="08731592" w14:textId="4C037F2A" w:rsidR="004162E0" w:rsidRDefault="0004311C" w:rsidP="00AA0B13">
      <w:r>
        <w:rPr>
          <w:noProof/>
        </w:rPr>
        <w:lastRenderedPageBreak/>
        <mc:AlternateContent>
          <mc:Choice Requires="wps">
            <w:drawing>
              <wp:anchor distT="45720" distB="45720" distL="114300" distR="114300" simplePos="0" relativeHeight="251682816" behindDoc="0" locked="0" layoutInCell="1" allowOverlap="1" wp14:anchorId="75ABB3CB" wp14:editId="7FB95D14">
                <wp:simplePos x="0" y="0"/>
                <wp:positionH relativeFrom="margin">
                  <wp:align>left</wp:align>
                </wp:positionH>
                <wp:positionV relativeFrom="paragraph">
                  <wp:posOffset>0</wp:posOffset>
                </wp:positionV>
                <wp:extent cx="4442460" cy="8025130"/>
                <wp:effectExtent l="0" t="0" r="15240" b="1397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2908" cy="8025130"/>
                        </a:xfrm>
                        <a:prstGeom prst="rect">
                          <a:avLst/>
                        </a:prstGeom>
                        <a:solidFill>
                          <a:srgbClr val="FFFFFF"/>
                        </a:solidFill>
                        <a:ln w="9525">
                          <a:solidFill>
                            <a:srgbClr val="000000"/>
                          </a:solidFill>
                          <a:miter lim="800000"/>
                          <a:headEnd/>
                          <a:tailEnd/>
                        </a:ln>
                      </wps:spPr>
                      <wps:txbx>
                        <w:txbxContent>
                          <w:p w14:paraId="707FDA3F" w14:textId="046582F8" w:rsidR="00730B8F" w:rsidRDefault="00730B8F" w:rsidP="00E24A05">
                            <w:pPr>
                              <w:keepNext/>
                            </w:pPr>
                            <w:r w:rsidRPr="004A469C">
                              <w:rPr>
                                <w:noProof/>
                              </w:rPr>
                              <w:drawing>
                                <wp:inline distT="0" distB="0" distL="0" distR="0" wp14:anchorId="65E9432B" wp14:editId="0270FF5D">
                                  <wp:extent cx="4152452" cy="7329161"/>
                                  <wp:effectExtent l="0" t="0" r="635" b="5715"/>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164542" cy="7350500"/>
                                          </a:xfrm>
                                          <a:prstGeom prst="rect">
                                            <a:avLst/>
                                          </a:prstGeom>
                                          <a:noFill/>
                                          <a:ln>
                                            <a:noFill/>
                                          </a:ln>
                                        </pic:spPr>
                                      </pic:pic>
                                    </a:graphicData>
                                  </a:graphic>
                                </wp:inline>
                              </w:drawing>
                            </w:r>
                          </w:p>
                          <w:p w14:paraId="701C2A5D" w14:textId="77777777" w:rsidR="000B0F43" w:rsidRDefault="00730B8F" w:rsidP="000B0F43">
                            <w:pPr>
                              <w:pStyle w:val="Caption"/>
                            </w:pPr>
                            <w:bookmarkStart w:id="244" w:name="_Toc39868247"/>
                            <w:r>
                              <w:t xml:space="preserve">Figure </w:t>
                            </w:r>
                            <w:r w:rsidR="009425BE">
                              <w:fldChar w:fldCharType="begin"/>
                            </w:r>
                            <w:r w:rsidR="009425BE">
                              <w:instrText xml:space="preserve"> SEQ Figure \* ARABIC </w:instrText>
                            </w:r>
                            <w:r w:rsidR="009425BE">
                              <w:fldChar w:fldCharType="separate"/>
                            </w:r>
                            <w:r>
                              <w:rPr>
                                <w:noProof/>
                              </w:rPr>
                              <w:t>34</w:t>
                            </w:r>
                            <w:r w:rsidR="009425BE">
                              <w:rPr>
                                <w:noProof/>
                              </w:rPr>
                              <w:fldChar w:fldCharType="end"/>
                            </w:r>
                            <w:r>
                              <w:t xml:space="preserve">: </w:t>
                            </w:r>
                            <w:r w:rsidR="000B0F43" w:rsidRPr="00E24A05">
                              <w:rPr>
                                <w:b w:val="0"/>
                                <w:bCs w:val="0"/>
                              </w:rPr>
                              <w:t xml:space="preserve">Full blots from </w:t>
                            </w:r>
                            <w:r w:rsidR="000B0F43">
                              <w:rPr>
                                <w:b w:val="0"/>
                                <w:bCs w:val="0"/>
                              </w:rPr>
                              <w:t>Figure 5</w:t>
                            </w:r>
                            <w:bookmarkEnd w:id="244"/>
                          </w:p>
                          <w:p w14:paraId="73E49560" w14:textId="1FB517C1" w:rsidR="00730B8F" w:rsidRDefault="00730B8F" w:rsidP="00E24A05">
                            <w:pPr>
                              <w:pStyle w:val="Caption"/>
                            </w:pPr>
                          </w:p>
                          <w:p w14:paraId="234372B2" w14:textId="77777777" w:rsidR="00730B8F" w:rsidRDefault="00730B8F"/>
                          <w:p w14:paraId="6D93E303" w14:textId="77777777" w:rsidR="00730B8F" w:rsidRDefault="00730B8F"/>
                          <w:p w14:paraId="28EAA13C" w14:textId="5D78EDD0" w:rsidR="00730B8F" w:rsidRDefault="00730B8F" w:rsidP="00E24A05">
                            <w:pPr>
                              <w:keepNext/>
                            </w:pPr>
                            <w:r w:rsidRPr="004A469C">
                              <w:rPr>
                                <w:noProof/>
                              </w:rPr>
                              <w:drawing>
                                <wp:inline distT="0" distB="0" distL="0" distR="0" wp14:anchorId="65E9432B" wp14:editId="0270FF5D">
                                  <wp:extent cx="4152452" cy="7329161"/>
                                  <wp:effectExtent l="0" t="0" r="635" b="5715"/>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164542" cy="7350500"/>
                                          </a:xfrm>
                                          <a:prstGeom prst="rect">
                                            <a:avLst/>
                                          </a:prstGeom>
                                          <a:noFill/>
                                          <a:ln>
                                            <a:noFill/>
                                          </a:ln>
                                        </pic:spPr>
                                      </pic:pic>
                                    </a:graphicData>
                                  </a:graphic>
                                </wp:inline>
                              </w:drawing>
                            </w:r>
                          </w:p>
                          <w:p w14:paraId="4C384F64" w14:textId="0CF513F4" w:rsidR="00730B8F" w:rsidRDefault="00730B8F" w:rsidP="00E24A05">
                            <w:pPr>
                              <w:pStyle w:val="Caption"/>
                            </w:pPr>
                            <w:r>
                              <w:t xml:space="preserve">Figure </w:t>
                            </w:r>
                            <w:r>
                              <w:fldChar w:fldCharType="begin"/>
                            </w:r>
                            <w:r>
                              <w:instrText xml:space="preserve">  \* ARABIC </w:instrText>
                            </w:r>
                            <w:r>
                              <w:fldChar w:fldCharType="separate"/>
                            </w:r>
                            <w:r>
                              <w:rPr>
                                <w:noProof/>
                              </w:rPr>
                              <w:t>56</w:t>
                            </w:r>
                            <w:r>
                              <w:rPr>
                                <w:noProof/>
                              </w:rPr>
                              <w:fldChar w:fldCharType="end"/>
                            </w:r>
                            <w:r>
                              <w:t xml:space="preserve">: </w:t>
                            </w:r>
                            <w:r w:rsidRPr="00E24A05">
                              <w:rPr>
                                <w:b w:val="0"/>
                                <w:bCs w:val="0"/>
                              </w:rPr>
                              <w:t xml:space="preserve">Full Blots from </w:t>
                            </w:r>
                            <w:r w:rsidRPr="00E24A05">
                              <w:rPr>
                                <w:b w:val="0"/>
                                <w:bCs w:val="0"/>
                              </w:rPr>
                              <w:fldChar w:fldCharType="begin"/>
                            </w:r>
                            <w:r w:rsidRPr="00E24A05">
                              <w:rPr>
                                <w:b w:val="0"/>
                                <w:bCs w:val="0"/>
                              </w:rPr>
                              <w:instrText xml:space="preserve"> REF _Ref34052173 \h </w:instrText>
                            </w:r>
                            <w:r>
                              <w:rPr>
                                <w:b w:val="0"/>
                                <w:bCs w:val="0"/>
                              </w:rPr>
                              <w:instrText xml:space="preserve"> \* MERGEFORMAT </w:instrText>
                            </w:r>
                            <w:r w:rsidRPr="00E24A05">
                              <w:rPr>
                                <w:b w:val="0"/>
                                <w:bCs w:val="0"/>
                              </w:rPr>
                            </w:r>
                            <w:r w:rsidRPr="00E24A05">
                              <w:rPr>
                                <w:b w:val="0"/>
                                <w:bCs w:val="0"/>
                              </w:rPr>
                              <w:fldChar w:fldCharType="separate"/>
                            </w:r>
                            <w:r w:rsidRPr="00E24A05">
                              <w:rPr>
                                <w:b w:val="0"/>
                                <w:bCs w:val="0"/>
                              </w:rPr>
                              <w:t xml:space="preserve">Figure </w:t>
                            </w:r>
                            <w:r w:rsidRPr="00E24A05">
                              <w:rPr>
                                <w:b w:val="0"/>
                                <w:bCs w:val="0"/>
                                <w:noProof/>
                              </w:rPr>
                              <w:t>3</w:t>
                            </w:r>
                            <w:r w:rsidRPr="00E24A05">
                              <w:rPr>
                                <w:b w:val="0"/>
                                <w:bCs w:val="0"/>
                              </w:rPr>
                              <w:fldChar w:fldCharType="end"/>
                            </w:r>
                            <w:r w:rsidRPr="00E24A05">
                              <w:rPr>
                                <w:b w:val="0"/>
                                <w:bCs w:val="0"/>
                              </w:rPr>
                              <w:t>.</w:t>
                            </w:r>
                          </w:p>
                          <w:p w14:paraId="456B96F7" w14:textId="7160C821"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BB3CB" id="_x0000_s1059" type="#_x0000_t202" style="position:absolute;margin-left:0;margin-top:0;width:349.8pt;height:631.9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">
                <v:textbox>
                  <w:txbxContent>
                    <w:p w14:paraId="707FDA3F" w14:textId="046582F8" w:rsidR="00730B8F" w:rsidRDefault="00730B8F" w:rsidP="00E24A05">
                      <w:pPr>
                        <w:keepNext/>
                      </w:pPr>
                      <w:r w:rsidRPr="004A469C">
                        <w:rPr>
                          <w:noProof/>
                        </w:rPr>
                        <w:drawing>
                          <wp:inline distT="0" distB="0" distL="0" distR="0" wp14:anchorId="65E9432B" wp14:editId="0270FF5D">
                            <wp:extent cx="4152452" cy="7329161"/>
                            <wp:effectExtent l="0" t="0" r="635" b="5715"/>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164542" cy="7350500"/>
                                    </a:xfrm>
                                    <a:prstGeom prst="rect">
                                      <a:avLst/>
                                    </a:prstGeom>
                                    <a:noFill/>
                                    <a:ln>
                                      <a:noFill/>
                                    </a:ln>
                                  </pic:spPr>
                                </pic:pic>
                              </a:graphicData>
                            </a:graphic>
                          </wp:inline>
                        </w:drawing>
                      </w:r>
                    </w:p>
                    <w:p w14:paraId="701C2A5D" w14:textId="77777777" w:rsidR="000B0F43" w:rsidRDefault="00730B8F" w:rsidP="000B0F43">
                      <w:pPr>
                        <w:pStyle w:val="Caption"/>
                      </w:pPr>
                      <w:bookmarkStart w:id="245" w:name="_Toc39868247"/>
                      <w:r>
                        <w:t xml:space="preserve">Figure </w:t>
                      </w:r>
                      <w:r w:rsidR="009425BE">
                        <w:fldChar w:fldCharType="begin"/>
                      </w:r>
                      <w:r w:rsidR="009425BE">
                        <w:instrText xml:space="preserve"> SEQ Figure \* ARABIC </w:instrText>
                      </w:r>
                      <w:r w:rsidR="009425BE">
                        <w:fldChar w:fldCharType="separate"/>
                      </w:r>
                      <w:r>
                        <w:rPr>
                          <w:noProof/>
                        </w:rPr>
                        <w:t>34</w:t>
                      </w:r>
                      <w:r w:rsidR="009425BE">
                        <w:rPr>
                          <w:noProof/>
                        </w:rPr>
                        <w:fldChar w:fldCharType="end"/>
                      </w:r>
                      <w:r>
                        <w:t xml:space="preserve">: </w:t>
                      </w:r>
                      <w:r w:rsidR="000B0F43" w:rsidRPr="00E24A05">
                        <w:rPr>
                          <w:b w:val="0"/>
                          <w:bCs w:val="0"/>
                        </w:rPr>
                        <w:t xml:space="preserve">Full blots from </w:t>
                      </w:r>
                      <w:r w:rsidR="000B0F43">
                        <w:rPr>
                          <w:b w:val="0"/>
                          <w:bCs w:val="0"/>
                        </w:rPr>
                        <w:t>Figure 5</w:t>
                      </w:r>
                      <w:bookmarkEnd w:id="245"/>
                    </w:p>
                    <w:p w14:paraId="73E49560" w14:textId="1FB517C1" w:rsidR="00730B8F" w:rsidRDefault="00730B8F" w:rsidP="00E24A05">
                      <w:pPr>
                        <w:pStyle w:val="Caption"/>
                      </w:pPr>
                    </w:p>
                    <w:p w14:paraId="234372B2" w14:textId="77777777" w:rsidR="00730B8F" w:rsidRDefault="00730B8F"/>
                    <w:p w14:paraId="6D93E303" w14:textId="77777777" w:rsidR="00730B8F" w:rsidRDefault="00730B8F"/>
                    <w:p w14:paraId="28EAA13C" w14:textId="5D78EDD0" w:rsidR="00730B8F" w:rsidRDefault="00730B8F" w:rsidP="00E24A05">
                      <w:pPr>
                        <w:keepNext/>
                      </w:pPr>
                      <w:r w:rsidRPr="004A469C">
                        <w:rPr>
                          <w:noProof/>
                        </w:rPr>
                        <w:drawing>
                          <wp:inline distT="0" distB="0" distL="0" distR="0" wp14:anchorId="65E9432B" wp14:editId="0270FF5D">
                            <wp:extent cx="4152452" cy="7329161"/>
                            <wp:effectExtent l="0" t="0" r="635" b="5715"/>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164542" cy="7350500"/>
                                    </a:xfrm>
                                    <a:prstGeom prst="rect">
                                      <a:avLst/>
                                    </a:prstGeom>
                                    <a:noFill/>
                                    <a:ln>
                                      <a:noFill/>
                                    </a:ln>
                                  </pic:spPr>
                                </pic:pic>
                              </a:graphicData>
                            </a:graphic>
                          </wp:inline>
                        </w:drawing>
                      </w:r>
                    </w:p>
                    <w:p w14:paraId="4C384F64" w14:textId="0CF513F4" w:rsidR="00730B8F" w:rsidRDefault="00730B8F" w:rsidP="00E24A05">
                      <w:pPr>
                        <w:pStyle w:val="Caption"/>
                      </w:pPr>
                      <w:r>
                        <w:t xml:space="preserve">Figure </w:t>
                      </w:r>
                      <w:r>
                        <w:fldChar w:fldCharType="begin"/>
                      </w:r>
                      <w:r>
                        <w:instrText xml:space="preserve">  \* ARABIC </w:instrText>
                      </w:r>
                      <w:r>
                        <w:fldChar w:fldCharType="separate"/>
                      </w:r>
                      <w:r>
                        <w:rPr>
                          <w:noProof/>
                        </w:rPr>
                        <w:t>56</w:t>
                      </w:r>
                      <w:r>
                        <w:rPr>
                          <w:noProof/>
                        </w:rPr>
                        <w:fldChar w:fldCharType="end"/>
                      </w:r>
                      <w:r>
                        <w:t xml:space="preserve">: </w:t>
                      </w:r>
                      <w:r w:rsidRPr="00E24A05">
                        <w:rPr>
                          <w:b w:val="0"/>
                          <w:bCs w:val="0"/>
                        </w:rPr>
                        <w:t xml:space="preserve">Full Blots from </w:t>
                      </w:r>
                      <w:r w:rsidRPr="00E24A05">
                        <w:rPr>
                          <w:b w:val="0"/>
                          <w:bCs w:val="0"/>
                        </w:rPr>
                        <w:fldChar w:fldCharType="begin"/>
                      </w:r>
                      <w:r w:rsidRPr="00E24A05">
                        <w:rPr>
                          <w:b w:val="0"/>
                          <w:bCs w:val="0"/>
                        </w:rPr>
                        <w:instrText xml:space="preserve"> REF _Ref34052173 \h </w:instrText>
                      </w:r>
                      <w:r>
                        <w:rPr>
                          <w:b w:val="0"/>
                          <w:bCs w:val="0"/>
                        </w:rPr>
                        <w:instrText xml:space="preserve"> \* MERGEFORMAT </w:instrText>
                      </w:r>
                      <w:r w:rsidRPr="00E24A05">
                        <w:rPr>
                          <w:b w:val="0"/>
                          <w:bCs w:val="0"/>
                        </w:rPr>
                      </w:r>
                      <w:r w:rsidRPr="00E24A05">
                        <w:rPr>
                          <w:b w:val="0"/>
                          <w:bCs w:val="0"/>
                        </w:rPr>
                        <w:fldChar w:fldCharType="separate"/>
                      </w:r>
                      <w:r w:rsidRPr="00E24A05">
                        <w:rPr>
                          <w:b w:val="0"/>
                          <w:bCs w:val="0"/>
                        </w:rPr>
                        <w:t xml:space="preserve">Figure </w:t>
                      </w:r>
                      <w:r w:rsidRPr="00E24A05">
                        <w:rPr>
                          <w:b w:val="0"/>
                          <w:bCs w:val="0"/>
                          <w:noProof/>
                        </w:rPr>
                        <w:t>3</w:t>
                      </w:r>
                      <w:r w:rsidRPr="00E24A05">
                        <w:rPr>
                          <w:b w:val="0"/>
                          <w:bCs w:val="0"/>
                        </w:rPr>
                        <w:fldChar w:fldCharType="end"/>
                      </w:r>
                      <w:r w:rsidRPr="00E24A05">
                        <w:rPr>
                          <w:b w:val="0"/>
                          <w:bCs w:val="0"/>
                        </w:rPr>
                        <w:t>.</w:t>
                      </w:r>
                    </w:p>
                    <w:p w14:paraId="456B96F7" w14:textId="7160C821" w:rsidR="00730B8F" w:rsidRDefault="00730B8F"/>
                  </w:txbxContent>
                </v:textbox>
                <w10:wrap type="square" anchorx="margin"/>
              </v:shape>
            </w:pict>
          </mc:Fallback>
        </mc:AlternateContent>
      </w:r>
    </w:p>
    <w:p w14:paraId="22476815" w14:textId="77777777" w:rsidR="006B3F12" w:rsidRDefault="006B3F12" w:rsidP="00AA0B13"/>
    <w:p w14:paraId="05B8C546" w14:textId="77777777" w:rsidR="006B3F12" w:rsidRDefault="006B3F12" w:rsidP="00AA0B13"/>
    <w:p w14:paraId="4861DA62" w14:textId="77777777" w:rsidR="006B3F12" w:rsidRDefault="006B3F12" w:rsidP="00AA0B13"/>
    <w:p w14:paraId="40CDCBA8" w14:textId="77777777" w:rsidR="006B3F12" w:rsidRDefault="006B3F12" w:rsidP="00AA0B13"/>
    <w:p w14:paraId="28632A7E" w14:textId="07AE413F" w:rsidR="006B3F12" w:rsidRDefault="006B3F12" w:rsidP="00AA0B13">
      <w:r>
        <w:rPr>
          <w:noProof/>
        </w:rPr>
        <w:lastRenderedPageBreak/>
        <mc:AlternateContent>
          <mc:Choice Requires="wps">
            <w:drawing>
              <wp:anchor distT="45720" distB="45720" distL="114300" distR="114300" simplePos="0" relativeHeight="251691008" behindDoc="0" locked="0" layoutInCell="1" allowOverlap="1" wp14:anchorId="5876ABA5" wp14:editId="20DFBD6C">
                <wp:simplePos x="0" y="0"/>
                <wp:positionH relativeFrom="margin">
                  <wp:align>left</wp:align>
                </wp:positionH>
                <wp:positionV relativeFrom="paragraph">
                  <wp:posOffset>4445</wp:posOffset>
                </wp:positionV>
                <wp:extent cx="5376545" cy="8025130"/>
                <wp:effectExtent l="0" t="0" r="14605" b="1397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8025130"/>
                        </a:xfrm>
                        <a:prstGeom prst="rect">
                          <a:avLst/>
                        </a:prstGeom>
                        <a:solidFill>
                          <a:srgbClr val="FFFFFF"/>
                        </a:solidFill>
                        <a:ln w="9525">
                          <a:solidFill>
                            <a:srgbClr val="000000"/>
                          </a:solidFill>
                          <a:miter lim="800000"/>
                          <a:headEnd/>
                          <a:tailEnd/>
                        </a:ln>
                      </wps:spPr>
                      <wps:txbx>
                        <w:txbxContent>
                          <w:p w14:paraId="09146137" w14:textId="2FDEEB6A" w:rsidR="00730B8F" w:rsidRDefault="00730B8F" w:rsidP="006B3F12">
                            <w:pPr>
                              <w:keepNext/>
                            </w:pPr>
                            <w:r w:rsidRPr="006A3EC0">
                              <w:rPr>
                                <w:noProof/>
                              </w:rPr>
                              <w:drawing>
                                <wp:inline distT="0" distB="0" distL="0" distR="0" wp14:anchorId="744A5FD2" wp14:editId="57561C4A">
                                  <wp:extent cx="4195482" cy="7519862"/>
                                  <wp:effectExtent l="0" t="0" r="0" b="508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02374" cy="7532215"/>
                                          </a:xfrm>
                                          <a:prstGeom prst="rect">
                                            <a:avLst/>
                                          </a:prstGeom>
                                          <a:noFill/>
                                          <a:ln>
                                            <a:noFill/>
                                          </a:ln>
                                        </pic:spPr>
                                      </pic:pic>
                                    </a:graphicData>
                                  </a:graphic>
                                </wp:inline>
                              </w:drawing>
                            </w:r>
                          </w:p>
                          <w:p w14:paraId="4028930A" w14:textId="77777777" w:rsidR="000B0F43" w:rsidRDefault="00730B8F" w:rsidP="000B0F43">
                            <w:pPr>
                              <w:pStyle w:val="Caption"/>
                            </w:pPr>
                            <w:bookmarkStart w:id="246" w:name="_Toc39868248"/>
                            <w:r>
                              <w:t xml:space="preserve">Figure </w:t>
                            </w:r>
                            <w:r w:rsidR="009425BE">
                              <w:fldChar w:fldCharType="begin"/>
                            </w:r>
                            <w:r w:rsidR="009425BE">
                              <w:instrText xml:space="preserve"> SEQ Figure \* ARABIC </w:instrText>
                            </w:r>
                            <w:r w:rsidR="009425BE">
                              <w:fldChar w:fldCharType="separate"/>
                            </w:r>
                            <w:r>
                              <w:rPr>
                                <w:noProof/>
                              </w:rPr>
                              <w:t>35</w:t>
                            </w:r>
                            <w:r w:rsidR="009425BE">
                              <w:rPr>
                                <w:noProof/>
                              </w:rPr>
                              <w:fldChar w:fldCharType="end"/>
                            </w:r>
                            <w:r>
                              <w:t xml:space="preserve">: </w:t>
                            </w:r>
                            <w:r w:rsidR="000B0F43" w:rsidRPr="00E24A05">
                              <w:rPr>
                                <w:b w:val="0"/>
                                <w:bCs w:val="0"/>
                              </w:rPr>
                              <w:t xml:space="preserve">Full blots from </w:t>
                            </w:r>
                            <w:r w:rsidR="000B0F43">
                              <w:rPr>
                                <w:b w:val="0"/>
                                <w:bCs w:val="0"/>
                              </w:rPr>
                              <w:t>Figure 5</w:t>
                            </w:r>
                            <w:bookmarkEnd w:id="246"/>
                          </w:p>
                          <w:p w14:paraId="6DE23E90" w14:textId="48C63E9D" w:rsidR="00730B8F" w:rsidRDefault="00730B8F" w:rsidP="006B3F12">
                            <w:pPr>
                              <w:pStyle w:val="Caption"/>
                            </w:pPr>
                          </w:p>
                          <w:p w14:paraId="1B871460" w14:textId="77777777" w:rsidR="00730B8F" w:rsidRDefault="00730B8F" w:rsidP="006B3F12"/>
                          <w:p w14:paraId="2825564E" w14:textId="77777777" w:rsidR="00730B8F" w:rsidRDefault="00730B8F"/>
                          <w:p w14:paraId="7F61E6C1" w14:textId="3B6CC75A" w:rsidR="00730B8F" w:rsidRDefault="00730B8F" w:rsidP="006B3F12">
                            <w:pPr>
                              <w:keepNext/>
                            </w:pPr>
                            <w:r w:rsidRPr="006A3EC0">
                              <w:rPr>
                                <w:noProof/>
                              </w:rPr>
                              <w:drawing>
                                <wp:inline distT="0" distB="0" distL="0" distR="0" wp14:anchorId="744A5FD2" wp14:editId="57561C4A">
                                  <wp:extent cx="4195482" cy="7519862"/>
                                  <wp:effectExtent l="0" t="0" r="0" b="508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02374" cy="7532215"/>
                                          </a:xfrm>
                                          <a:prstGeom prst="rect">
                                            <a:avLst/>
                                          </a:prstGeom>
                                          <a:noFill/>
                                          <a:ln>
                                            <a:noFill/>
                                          </a:ln>
                                        </pic:spPr>
                                      </pic:pic>
                                    </a:graphicData>
                                  </a:graphic>
                                </wp:inline>
                              </w:drawing>
                            </w:r>
                          </w:p>
                          <w:p w14:paraId="69DE8926" w14:textId="49A2FEC4" w:rsidR="00730B8F" w:rsidRDefault="00730B8F" w:rsidP="006B3F12">
                            <w:pPr>
                              <w:pStyle w:val="Caption"/>
                            </w:pPr>
                            <w:r>
                              <w:t xml:space="preserve">Figure </w:t>
                            </w:r>
                            <w:r>
                              <w:fldChar w:fldCharType="begin"/>
                            </w:r>
                            <w:r>
                              <w:instrText xml:space="preserve">  \* ARABIC </w:instrText>
                            </w:r>
                            <w:r>
                              <w:fldChar w:fldCharType="separate"/>
                            </w:r>
                            <w:r>
                              <w:rPr>
                                <w:noProof/>
                              </w:rPr>
                              <w:t>58</w:t>
                            </w:r>
                            <w:r>
                              <w:rPr>
                                <w:noProof/>
                              </w:rPr>
                              <w:fldChar w:fldCharType="end"/>
                            </w:r>
                            <w:r>
                              <w:t xml:space="preserve">: </w:t>
                            </w:r>
                            <w:r w:rsidRPr="00E24A05">
                              <w:rPr>
                                <w:b w:val="0"/>
                                <w:bCs w:val="0"/>
                              </w:rPr>
                              <w:t xml:space="preserve">Full Blots from </w:t>
                            </w:r>
                            <w:r w:rsidRPr="00E24A05">
                              <w:rPr>
                                <w:b w:val="0"/>
                                <w:bCs w:val="0"/>
                              </w:rPr>
                              <w:fldChar w:fldCharType="begin"/>
                            </w:r>
                            <w:r w:rsidRPr="00E24A05">
                              <w:rPr>
                                <w:b w:val="0"/>
                                <w:bCs w:val="0"/>
                              </w:rPr>
                              <w:instrText xml:space="preserve"> REF _Ref34052173 \h </w:instrText>
                            </w:r>
                            <w:r>
                              <w:rPr>
                                <w:b w:val="0"/>
                                <w:bCs w:val="0"/>
                              </w:rPr>
                              <w:instrText xml:space="preserve"> \* MERGEFORMAT </w:instrText>
                            </w:r>
                            <w:r w:rsidRPr="00E24A05">
                              <w:rPr>
                                <w:b w:val="0"/>
                                <w:bCs w:val="0"/>
                              </w:rPr>
                            </w:r>
                            <w:r w:rsidRPr="00E24A05">
                              <w:rPr>
                                <w:b w:val="0"/>
                                <w:bCs w:val="0"/>
                              </w:rPr>
                              <w:fldChar w:fldCharType="separate"/>
                            </w:r>
                            <w:r w:rsidRPr="00E24A05">
                              <w:rPr>
                                <w:b w:val="0"/>
                                <w:bCs w:val="0"/>
                              </w:rPr>
                              <w:t xml:space="preserve">Figure </w:t>
                            </w:r>
                            <w:r w:rsidRPr="00E24A05">
                              <w:rPr>
                                <w:b w:val="0"/>
                                <w:bCs w:val="0"/>
                                <w:noProof/>
                              </w:rPr>
                              <w:t>3</w:t>
                            </w:r>
                            <w:r w:rsidRPr="00E24A05">
                              <w:rPr>
                                <w:b w:val="0"/>
                                <w:bCs w:val="0"/>
                              </w:rPr>
                              <w:fldChar w:fldCharType="end"/>
                            </w:r>
                            <w:r w:rsidRPr="00E24A05">
                              <w:rPr>
                                <w:b w:val="0"/>
                                <w:bCs w:val="0"/>
                              </w:rPr>
                              <w:t>.</w:t>
                            </w:r>
                          </w:p>
                          <w:p w14:paraId="19406D92" w14:textId="77777777" w:rsidR="00730B8F" w:rsidRDefault="00730B8F" w:rsidP="006B3F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6ABA5" id="_x0000_s1060" type="#_x0000_t202" style="position:absolute;margin-left:0;margin-top:.35pt;width:423.35pt;height:631.9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">
                <v:textbox>
                  <w:txbxContent>
                    <w:p w14:paraId="09146137" w14:textId="2FDEEB6A" w:rsidR="00730B8F" w:rsidRDefault="00730B8F" w:rsidP="006B3F12">
                      <w:pPr>
                        <w:keepNext/>
                      </w:pPr>
                      <w:r w:rsidRPr="006A3EC0">
                        <w:rPr>
                          <w:noProof/>
                        </w:rPr>
                        <w:drawing>
                          <wp:inline distT="0" distB="0" distL="0" distR="0" wp14:anchorId="744A5FD2" wp14:editId="57561C4A">
                            <wp:extent cx="4195482" cy="7519862"/>
                            <wp:effectExtent l="0" t="0" r="0" b="508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02374" cy="7532215"/>
                                    </a:xfrm>
                                    <a:prstGeom prst="rect">
                                      <a:avLst/>
                                    </a:prstGeom>
                                    <a:noFill/>
                                    <a:ln>
                                      <a:noFill/>
                                    </a:ln>
                                  </pic:spPr>
                                </pic:pic>
                              </a:graphicData>
                            </a:graphic>
                          </wp:inline>
                        </w:drawing>
                      </w:r>
                    </w:p>
                    <w:p w14:paraId="4028930A" w14:textId="77777777" w:rsidR="000B0F43" w:rsidRDefault="00730B8F" w:rsidP="000B0F43">
                      <w:pPr>
                        <w:pStyle w:val="Caption"/>
                      </w:pPr>
                      <w:bookmarkStart w:id="247" w:name="_Toc39868248"/>
                      <w:r>
                        <w:t xml:space="preserve">Figure </w:t>
                      </w:r>
                      <w:r w:rsidR="009425BE">
                        <w:fldChar w:fldCharType="begin"/>
                      </w:r>
                      <w:r w:rsidR="009425BE">
                        <w:instrText xml:space="preserve"> SEQ Figure \* ARABIC </w:instrText>
                      </w:r>
                      <w:r w:rsidR="009425BE">
                        <w:fldChar w:fldCharType="separate"/>
                      </w:r>
                      <w:r>
                        <w:rPr>
                          <w:noProof/>
                        </w:rPr>
                        <w:t>35</w:t>
                      </w:r>
                      <w:r w:rsidR="009425BE">
                        <w:rPr>
                          <w:noProof/>
                        </w:rPr>
                        <w:fldChar w:fldCharType="end"/>
                      </w:r>
                      <w:r>
                        <w:t xml:space="preserve">: </w:t>
                      </w:r>
                      <w:r w:rsidR="000B0F43" w:rsidRPr="00E24A05">
                        <w:rPr>
                          <w:b w:val="0"/>
                          <w:bCs w:val="0"/>
                        </w:rPr>
                        <w:t xml:space="preserve">Full blots from </w:t>
                      </w:r>
                      <w:r w:rsidR="000B0F43">
                        <w:rPr>
                          <w:b w:val="0"/>
                          <w:bCs w:val="0"/>
                        </w:rPr>
                        <w:t>Figure 5</w:t>
                      </w:r>
                      <w:bookmarkEnd w:id="247"/>
                    </w:p>
                    <w:p w14:paraId="6DE23E90" w14:textId="48C63E9D" w:rsidR="00730B8F" w:rsidRDefault="00730B8F" w:rsidP="006B3F12">
                      <w:pPr>
                        <w:pStyle w:val="Caption"/>
                      </w:pPr>
                    </w:p>
                    <w:p w14:paraId="1B871460" w14:textId="77777777" w:rsidR="00730B8F" w:rsidRDefault="00730B8F" w:rsidP="006B3F12"/>
                    <w:p w14:paraId="2825564E" w14:textId="77777777" w:rsidR="00730B8F" w:rsidRDefault="00730B8F"/>
                    <w:p w14:paraId="7F61E6C1" w14:textId="3B6CC75A" w:rsidR="00730B8F" w:rsidRDefault="00730B8F" w:rsidP="006B3F12">
                      <w:pPr>
                        <w:keepNext/>
                      </w:pPr>
                      <w:r w:rsidRPr="006A3EC0">
                        <w:rPr>
                          <w:noProof/>
                        </w:rPr>
                        <w:drawing>
                          <wp:inline distT="0" distB="0" distL="0" distR="0" wp14:anchorId="744A5FD2" wp14:editId="57561C4A">
                            <wp:extent cx="4195482" cy="7519862"/>
                            <wp:effectExtent l="0" t="0" r="0" b="508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02374" cy="7532215"/>
                                    </a:xfrm>
                                    <a:prstGeom prst="rect">
                                      <a:avLst/>
                                    </a:prstGeom>
                                    <a:noFill/>
                                    <a:ln>
                                      <a:noFill/>
                                    </a:ln>
                                  </pic:spPr>
                                </pic:pic>
                              </a:graphicData>
                            </a:graphic>
                          </wp:inline>
                        </w:drawing>
                      </w:r>
                    </w:p>
                    <w:p w14:paraId="69DE8926" w14:textId="49A2FEC4" w:rsidR="00730B8F" w:rsidRDefault="00730B8F" w:rsidP="006B3F12">
                      <w:pPr>
                        <w:pStyle w:val="Caption"/>
                      </w:pPr>
                      <w:r>
                        <w:t xml:space="preserve">Figure </w:t>
                      </w:r>
                      <w:r>
                        <w:fldChar w:fldCharType="begin"/>
                      </w:r>
                      <w:r>
                        <w:instrText xml:space="preserve">  \* ARABIC </w:instrText>
                      </w:r>
                      <w:r>
                        <w:fldChar w:fldCharType="separate"/>
                      </w:r>
                      <w:r>
                        <w:rPr>
                          <w:noProof/>
                        </w:rPr>
                        <w:t>58</w:t>
                      </w:r>
                      <w:r>
                        <w:rPr>
                          <w:noProof/>
                        </w:rPr>
                        <w:fldChar w:fldCharType="end"/>
                      </w:r>
                      <w:r>
                        <w:t xml:space="preserve">: </w:t>
                      </w:r>
                      <w:r w:rsidRPr="00E24A05">
                        <w:rPr>
                          <w:b w:val="0"/>
                          <w:bCs w:val="0"/>
                        </w:rPr>
                        <w:t xml:space="preserve">Full Blots from </w:t>
                      </w:r>
                      <w:r w:rsidRPr="00E24A05">
                        <w:rPr>
                          <w:b w:val="0"/>
                          <w:bCs w:val="0"/>
                        </w:rPr>
                        <w:fldChar w:fldCharType="begin"/>
                      </w:r>
                      <w:r w:rsidRPr="00E24A05">
                        <w:rPr>
                          <w:b w:val="0"/>
                          <w:bCs w:val="0"/>
                        </w:rPr>
                        <w:instrText xml:space="preserve"> REF _Ref34052173 \h </w:instrText>
                      </w:r>
                      <w:r>
                        <w:rPr>
                          <w:b w:val="0"/>
                          <w:bCs w:val="0"/>
                        </w:rPr>
                        <w:instrText xml:space="preserve"> \* MERGEFORMAT </w:instrText>
                      </w:r>
                      <w:r w:rsidRPr="00E24A05">
                        <w:rPr>
                          <w:b w:val="0"/>
                          <w:bCs w:val="0"/>
                        </w:rPr>
                      </w:r>
                      <w:r w:rsidRPr="00E24A05">
                        <w:rPr>
                          <w:b w:val="0"/>
                          <w:bCs w:val="0"/>
                        </w:rPr>
                        <w:fldChar w:fldCharType="separate"/>
                      </w:r>
                      <w:r w:rsidRPr="00E24A05">
                        <w:rPr>
                          <w:b w:val="0"/>
                          <w:bCs w:val="0"/>
                        </w:rPr>
                        <w:t xml:space="preserve">Figure </w:t>
                      </w:r>
                      <w:r w:rsidRPr="00E24A05">
                        <w:rPr>
                          <w:b w:val="0"/>
                          <w:bCs w:val="0"/>
                          <w:noProof/>
                        </w:rPr>
                        <w:t>3</w:t>
                      </w:r>
                      <w:r w:rsidRPr="00E24A05">
                        <w:rPr>
                          <w:b w:val="0"/>
                          <w:bCs w:val="0"/>
                        </w:rPr>
                        <w:fldChar w:fldCharType="end"/>
                      </w:r>
                      <w:r w:rsidRPr="00E24A05">
                        <w:rPr>
                          <w:b w:val="0"/>
                          <w:bCs w:val="0"/>
                        </w:rPr>
                        <w:t>.</w:t>
                      </w:r>
                    </w:p>
                    <w:p w14:paraId="19406D92" w14:textId="77777777" w:rsidR="00730B8F" w:rsidRDefault="00730B8F" w:rsidP="006B3F12"/>
                  </w:txbxContent>
                </v:textbox>
                <w10:wrap type="square" anchorx="margin"/>
              </v:shape>
            </w:pict>
          </mc:Fallback>
        </mc:AlternateContent>
      </w:r>
    </w:p>
    <w:p w14:paraId="1937761A" w14:textId="62E5E3DB" w:rsidR="004162E0" w:rsidRDefault="004162E0" w:rsidP="00AA0B13">
      <w:r>
        <w:rPr>
          <w:noProof/>
        </w:rPr>
        <w:lastRenderedPageBreak/>
        <mc:AlternateContent>
          <mc:Choice Requires="wps">
            <w:drawing>
              <wp:anchor distT="45720" distB="45720" distL="114300" distR="114300" simplePos="0" relativeHeight="251684864" behindDoc="0" locked="0" layoutInCell="1" allowOverlap="1" wp14:anchorId="4AB9DFB2" wp14:editId="1DD0B194">
                <wp:simplePos x="0" y="0"/>
                <wp:positionH relativeFrom="margin">
                  <wp:align>right</wp:align>
                </wp:positionH>
                <wp:positionV relativeFrom="paragraph">
                  <wp:posOffset>0</wp:posOffset>
                </wp:positionV>
                <wp:extent cx="5378450" cy="4349750"/>
                <wp:effectExtent l="0" t="0" r="12700" b="12700"/>
                <wp:wrapSquare wrapText="bothSides"/>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0" cy="4350327"/>
                        </a:xfrm>
                        <a:prstGeom prst="rect">
                          <a:avLst/>
                        </a:prstGeom>
                        <a:solidFill>
                          <a:srgbClr val="FFFFFF"/>
                        </a:solidFill>
                        <a:ln w="9525">
                          <a:solidFill>
                            <a:srgbClr val="000000"/>
                          </a:solidFill>
                          <a:miter lim="800000"/>
                          <a:headEnd/>
                          <a:tailEnd/>
                        </a:ln>
                      </wps:spPr>
                      <wps:txbx>
                        <w:txbxContent>
                          <w:p w14:paraId="33F37F32" w14:textId="77777777" w:rsidR="00730B8F" w:rsidRDefault="00730B8F" w:rsidP="004162E0">
                            <w:pPr>
                              <w:keepNext/>
                            </w:pPr>
                            <w:r w:rsidRPr="004162E0">
                              <w:rPr>
                                <w:noProof/>
                              </w:rPr>
                              <w:drawing>
                                <wp:inline distT="0" distB="0" distL="0" distR="0" wp14:anchorId="1BAF267E" wp14:editId="20F10B8C">
                                  <wp:extent cx="5186680" cy="3627120"/>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186680" cy="3627120"/>
                                          </a:xfrm>
                                          <a:prstGeom prst="rect">
                                            <a:avLst/>
                                          </a:prstGeom>
                                          <a:noFill/>
                                          <a:ln>
                                            <a:noFill/>
                                          </a:ln>
                                        </pic:spPr>
                                      </pic:pic>
                                    </a:graphicData>
                                  </a:graphic>
                                </wp:inline>
                              </w:drawing>
                            </w:r>
                          </w:p>
                          <w:p w14:paraId="1F637DDA" w14:textId="785CD9AF" w:rsidR="00730B8F" w:rsidRDefault="00730B8F" w:rsidP="004162E0">
                            <w:pPr>
                              <w:pStyle w:val="Caption"/>
                            </w:pPr>
                            <w:bookmarkStart w:id="248" w:name="_Toc39868249"/>
                            <w:r>
                              <w:t xml:space="preserve">Figure </w:t>
                            </w:r>
                            <w:r w:rsidR="009425BE">
                              <w:fldChar w:fldCharType="begin"/>
                            </w:r>
                            <w:r w:rsidR="009425BE">
                              <w:instrText xml:space="preserve"> SEQ Figure \* ARABIC </w:instrText>
                            </w:r>
                            <w:r w:rsidR="009425BE">
                              <w:fldChar w:fldCharType="separate"/>
                            </w:r>
                            <w:r>
                              <w:rPr>
                                <w:noProof/>
                              </w:rPr>
                              <w:t>36</w:t>
                            </w:r>
                            <w:r w:rsidR="009425BE">
                              <w:rPr>
                                <w:noProof/>
                              </w:rPr>
                              <w:fldChar w:fldCharType="end"/>
                            </w:r>
                            <w:r>
                              <w:t xml:space="preserve">: </w:t>
                            </w:r>
                            <w:r w:rsidRPr="004162E0">
                              <w:rPr>
                                <w:b w:val="0"/>
                                <w:bCs w:val="0"/>
                              </w:rPr>
                              <w:t xml:space="preserve">Zoomed out spectra of </w:t>
                            </w:r>
                            <w:r w:rsidR="000B0F43">
                              <w:rPr>
                                <w:b w:val="0"/>
                                <w:bCs w:val="0"/>
                              </w:rPr>
                              <w:t>Figure 8</w:t>
                            </w:r>
                            <w:r w:rsidRPr="004162E0">
                              <w:rPr>
                                <w:b w:val="0"/>
                                <w:bCs w:val="0"/>
                              </w:rPr>
                              <w:t>.</w:t>
                            </w:r>
                            <w:bookmarkEnd w:id="248"/>
                            <w:r>
                              <w:t xml:space="preserve"> </w:t>
                            </w:r>
                          </w:p>
                          <w:p w14:paraId="46DFE21F" w14:textId="77777777" w:rsidR="00730B8F" w:rsidRDefault="00730B8F"/>
                          <w:p w14:paraId="15F29582" w14:textId="77777777" w:rsidR="00730B8F" w:rsidRDefault="00730B8F"/>
                          <w:p w14:paraId="04377EFC" w14:textId="165E5254" w:rsidR="00730B8F" w:rsidRDefault="00730B8F" w:rsidP="004162E0">
                            <w:pPr>
                              <w:keepNext/>
                            </w:pPr>
                            <w:r w:rsidRPr="004162E0">
                              <w:rPr>
                                <w:noProof/>
                              </w:rPr>
                              <w:drawing>
                                <wp:inline distT="0" distB="0" distL="0" distR="0" wp14:anchorId="1BAF267E" wp14:editId="20F10B8C">
                                  <wp:extent cx="5186680" cy="3627120"/>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186680" cy="3627120"/>
                                          </a:xfrm>
                                          <a:prstGeom prst="rect">
                                            <a:avLst/>
                                          </a:prstGeom>
                                          <a:noFill/>
                                          <a:ln>
                                            <a:noFill/>
                                          </a:ln>
                                        </pic:spPr>
                                      </pic:pic>
                                    </a:graphicData>
                                  </a:graphic>
                                </wp:inline>
                              </w:drawing>
                            </w:r>
                          </w:p>
                          <w:p w14:paraId="600F45CA" w14:textId="376C416D" w:rsidR="00730B8F" w:rsidRDefault="00730B8F" w:rsidP="004162E0">
                            <w:pPr>
                              <w:pStyle w:val="Caption"/>
                            </w:pPr>
                            <w:r>
                              <w:t xml:space="preserve">Figure </w:t>
                            </w:r>
                            <w:r>
                              <w:fldChar w:fldCharType="begin"/>
                            </w:r>
                            <w:r>
                              <w:instrText xml:space="preserve">  \* ARABIC </w:instrText>
                            </w:r>
                            <w:r>
                              <w:fldChar w:fldCharType="separate"/>
                            </w:r>
                            <w:r>
                              <w:rPr>
                                <w:noProof/>
                              </w:rPr>
                              <w:t>60</w:t>
                            </w:r>
                            <w:r>
                              <w:rPr>
                                <w:noProof/>
                              </w:rPr>
                              <w:fldChar w:fldCharType="end"/>
                            </w:r>
                            <w:r>
                              <w:t xml:space="preserve">: </w:t>
                            </w:r>
                            <w:r w:rsidRPr="004162E0">
                              <w:rPr>
                                <w:b w:val="0"/>
                                <w:bCs w:val="0"/>
                              </w:rPr>
                              <w:t xml:space="preserve">Zoomed out spectra of </w:t>
                            </w:r>
                            <w:r w:rsidRPr="004162E0">
                              <w:rPr>
                                <w:b w:val="0"/>
                                <w:bCs w:val="0"/>
                              </w:rPr>
                              <w:fldChar w:fldCharType="begin"/>
                            </w:r>
                            <w:r w:rsidRPr="004162E0">
                              <w:rPr>
                                <w:b w:val="0"/>
                                <w:bCs w:val="0"/>
                              </w:rPr>
                              <w:instrText xml:space="preserve"> REF _Ref33174682 \h </w:instrText>
                            </w:r>
                            <w:r>
                              <w:rPr>
                                <w:b w:val="0"/>
                                <w:bCs w:val="0"/>
                              </w:rPr>
                              <w:instrText xml:space="preserve"> \* MERGEFORMAT </w:instrText>
                            </w:r>
                            <w:r w:rsidRPr="004162E0">
                              <w:rPr>
                                <w:b w:val="0"/>
                                <w:bCs w:val="0"/>
                              </w:rPr>
                            </w:r>
                            <w:r w:rsidRPr="004162E0">
                              <w:rPr>
                                <w:b w:val="0"/>
                                <w:bCs w:val="0"/>
                              </w:rPr>
                              <w:fldChar w:fldCharType="separate"/>
                            </w:r>
                            <w:r w:rsidRPr="004162E0">
                              <w:rPr>
                                <w:b w:val="0"/>
                                <w:bCs w:val="0"/>
                              </w:rPr>
                              <w:t xml:space="preserve">Figure </w:t>
                            </w:r>
                            <w:r w:rsidRPr="004162E0">
                              <w:rPr>
                                <w:b w:val="0"/>
                                <w:bCs w:val="0"/>
                                <w:noProof/>
                              </w:rPr>
                              <w:t>5</w:t>
                            </w:r>
                            <w:r w:rsidRPr="004162E0">
                              <w:rPr>
                                <w:b w:val="0"/>
                                <w:bCs w:val="0"/>
                              </w:rPr>
                              <w:fldChar w:fldCharType="end"/>
                            </w:r>
                            <w:r w:rsidRPr="004162E0">
                              <w:rPr>
                                <w:b w:val="0"/>
                                <w:bCs w:val="0"/>
                              </w:rPr>
                              <w:t>.</w:t>
                            </w:r>
                            <w:r>
                              <w:t xml:space="preserve"> </w:t>
                            </w:r>
                          </w:p>
                          <w:p w14:paraId="40B046F7" w14:textId="520AD26D"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9DFB2" id="_x0000_s1061" type="#_x0000_t202" style="position:absolute;margin-left:372.3pt;margin-top:0;width:423.5pt;height:342.5pt;z-index:251684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">
                <v:textbox>
                  <w:txbxContent>
                    <w:p w14:paraId="33F37F32" w14:textId="77777777" w:rsidR="00730B8F" w:rsidRDefault="00730B8F" w:rsidP="004162E0">
                      <w:pPr>
                        <w:keepNext/>
                      </w:pPr>
                      <w:r w:rsidRPr="004162E0">
                        <w:rPr>
                          <w:noProof/>
                        </w:rPr>
                        <w:drawing>
                          <wp:inline distT="0" distB="0" distL="0" distR="0" wp14:anchorId="1BAF267E" wp14:editId="20F10B8C">
                            <wp:extent cx="5186680" cy="3627120"/>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186680" cy="3627120"/>
                                    </a:xfrm>
                                    <a:prstGeom prst="rect">
                                      <a:avLst/>
                                    </a:prstGeom>
                                    <a:noFill/>
                                    <a:ln>
                                      <a:noFill/>
                                    </a:ln>
                                  </pic:spPr>
                                </pic:pic>
                              </a:graphicData>
                            </a:graphic>
                          </wp:inline>
                        </w:drawing>
                      </w:r>
                    </w:p>
                    <w:p w14:paraId="1F637DDA" w14:textId="785CD9AF" w:rsidR="00730B8F" w:rsidRDefault="00730B8F" w:rsidP="004162E0">
                      <w:pPr>
                        <w:pStyle w:val="Caption"/>
                      </w:pPr>
                      <w:bookmarkStart w:id="249" w:name="_Toc39868249"/>
                      <w:r>
                        <w:t xml:space="preserve">Figure </w:t>
                      </w:r>
                      <w:r w:rsidR="009425BE">
                        <w:fldChar w:fldCharType="begin"/>
                      </w:r>
                      <w:r w:rsidR="009425BE">
                        <w:instrText xml:space="preserve"> SEQ Figure \* ARABIC </w:instrText>
                      </w:r>
                      <w:r w:rsidR="009425BE">
                        <w:fldChar w:fldCharType="separate"/>
                      </w:r>
                      <w:r>
                        <w:rPr>
                          <w:noProof/>
                        </w:rPr>
                        <w:t>36</w:t>
                      </w:r>
                      <w:r w:rsidR="009425BE">
                        <w:rPr>
                          <w:noProof/>
                        </w:rPr>
                        <w:fldChar w:fldCharType="end"/>
                      </w:r>
                      <w:r>
                        <w:t xml:space="preserve">: </w:t>
                      </w:r>
                      <w:r w:rsidRPr="004162E0">
                        <w:rPr>
                          <w:b w:val="0"/>
                          <w:bCs w:val="0"/>
                        </w:rPr>
                        <w:t xml:space="preserve">Zoomed out spectra of </w:t>
                      </w:r>
                      <w:r w:rsidR="000B0F43">
                        <w:rPr>
                          <w:b w:val="0"/>
                          <w:bCs w:val="0"/>
                        </w:rPr>
                        <w:t>Figure 8</w:t>
                      </w:r>
                      <w:r w:rsidRPr="004162E0">
                        <w:rPr>
                          <w:b w:val="0"/>
                          <w:bCs w:val="0"/>
                        </w:rPr>
                        <w:t>.</w:t>
                      </w:r>
                      <w:bookmarkEnd w:id="249"/>
                      <w:r>
                        <w:t xml:space="preserve"> </w:t>
                      </w:r>
                    </w:p>
                    <w:p w14:paraId="46DFE21F" w14:textId="77777777" w:rsidR="00730B8F" w:rsidRDefault="00730B8F"/>
                    <w:p w14:paraId="15F29582" w14:textId="77777777" w:rsidR="00730B8F" w:rsidRDefault="00730B8F"/>
                    <w:p w14:paraId="04377EFC" w14:textId="165E5254" w:rsidR="00730B8F" w:rsidRDefault="00730B8F" w:rsidP="004162E0">
                      <w:pPr>
                        <w:keepNext/>
                      </w:pPr>
                      <w:r w:rsidRPr="004162E0">
                        <w:rPr>
                          <w:noProof/>
                        </w:rPr>
                        <w:drawing>
                          <wp:inline distT="0" distB="0" distL="0" distR="0" wp14:anchorId="1BAF267E" wp14:editId="20F10B8C">
                            <wp:extent cx="5186680" cy="3627120"/>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186680" cy="3627120"/>
                                    </a:xfrm>
                                    <a:prstGeom prst="rect">
                                      <a:avLst/>
                                    </a:prstGeom>
                                    <a:noFill/>
                                    <a:ln>
                                      <a:noFill/>
                                    </a:ln>
                                  </pic:spPr>
                                </pic:pic>
                              </a:graphicData>
                            </a:graphic>
                          </wp:inline>
                        </w:drawing>
                      </w:r>
                    </w:p>
                    <w:p w14:paraId="600F45CA" w14:textId="376C416D" w:rsidR="00730B8F" w:rsidRDefault="00730B8F" w:rsidP="004162E0">
                      <w:pPr>
                        <w:pStyle w:val="Caption"/>
                      </w:pPr>
                      <w:r>
                        <w:t xml:space="preserve">Figure </w:t>
                      </w:r>
                      <w:r>
                        <w:fldChar w:fldCharType="begin"/>
                      </w:r>
                      <w:r>
                        <w:instrText xml:space="preserve">  \* ARABIC </w:instrText>
                      </w:r>
                      <w:r>
                        <w:fldChar w:fldCharType="separate"/>
                      </w:r>
                      <w:r>
                        <w:rPr>
                          <w:noProof/>
                        </w:rPr>
                        <w:t>60</w:t>
                      </w:r>
                      <w:r>
                        <w:rPr>
                          <w:noProof/>
                        </w:rPr>
                        <w:fldChar w:fldCharType="end"/>
                      </w:r>
                      <w:r>
                        <w:t xml:space="preserve">: </w:t>
                      </w:r>
                      <w:r w:rsidRPr="004162E0">
                        <w:rPr>
                          <w:b w:val="0"/>
                          <w:bCs w:val="0"/>
                        </w:rPr>
                        <w:t xml:space="preserve">Zoomed out spectra of </w:t>
                      </w:r>
                      <w:r w:rsidRPr="004162E0">
                        <w:rPr>
                          <w:b w:val="0"/>
                          <w:bCs w:val="0"/>
                        </w:rPr>
                        <w:fldChar w:fldCharType="begin"/>
                      </w:r>
                      <w:r w:rsidRPr="004162E0">
                        <w:rPr>
                          <w:b w:val="0"/>
                          <w:bCs w:val="0"/>
                        </w:rPr>
                        <w:instrText xml:space="preserve"> REF _Ref33174682 \h </w:instrText>
                      </w:r>
                      <w:r>
                        <w:rPr>
                          <w:b w:val="0"/>
                          <w:bCs w:val="0"/>
                        </w:rPr>
                        <w:instrText xml:space="preserve"> \* MERGEFORMAT </w:instrText>
                      </w:r>
                      <w:r w:rsidRPr="004162E0">
                        <w:rPr>
                          <w:b w:val="0"/>
                          <w:bCs w:val="0"/>
                        </w:rPr>
                      </w:r>
                      <w:r w:rsidRPr="004162E0">
                        <w:rPr>
                          <w:b w:val="0"/>
                          <w:bCs w:val="0"/>
                        </w:rPr>
                        <w:fldChar w:fldCharType="separate"/>
                      </w:r>
                      <w:r w:rsidRPr="004162E0">
                        <w:rPr>
                          <w:b w:val="0"/>
                          <w:bCs w:val="0"/>
                        </w:rPr>
                        <w:t xml:space="preserve">Figure </w:t>
                      </w:r>
                      <w:r w:rsidRPr="004162E0">
                        <w:rPr>
                          <w:b w:val="0"/>
                          <w:bCs w:val="0"/>
                          <w:noProof/>
                        </w:rPr>
                        <w:t>5</w:t>
                      </w:r>
                      <w:r w:rsidRPr="004162E0">
                        <w:rPr>
                          <w:b w:val="0"/>
                          <w:bCs w:val="0"/>
                        </w:rPr>
                        <w:fldChar w:fldCharType="end"/>
                      </w:r>
                      <w:r w:rsidRPr="004162E0">
                        <w:rPr>
                          <w:b w:val="0"/>
                          <w:bCs w:val="0"/>
                        </w:rPr>
                        <w:t>.</w:t>
                      </w:r>
                      <w:r>
                        <w:t xml:space="preserve"> </w:t>
                      </w:r>
                    </w:p>
                    <w:p w14:paraId="40B046F7" w14:textId="520AD26D" w:rsidR="00730B8F" w:rsidRDefault="00730B8F"/>
                  </w:txbxContent>
                </v:textbox>
                <w10:wrap type="square" anchorx="margin"/>
              </v:shape>
            </w:pict>
          </mc:Fallback>
        </mc:AlternateContent>
      </w:r>
    </w:p>
    <w:p w14:paraId="5E50C5EE" w14:textId="77777777" w:rsidR="004162E0" w:rsidRDefault="004162E0" w:rsidP="00AA0B13"/>
    <w:p w14:paraId="1FB66C18" w14:textId="77777777" w:rsidR="004162E0" w:rsidRDefault="004162E0" w:rsidP="00AA0B13"/>
    <w:p w14:paraId="07242AF7" w14:textId="77777777" w:rsidR="004162E0" w:rsidRDefault="004162E0" w:rsidP="00AA0B13"/>
    <w:p w14:paraId="000EAAF1" w14:textId="77777777" w:rsidR="004162E0" w:rsidRDefault="004162E0" w:rsidP="00AA0B13"/>
    <w:p w14:paraId="6E9073D4" w14:textId="77777777" w:rsidR="004162E0" w:rsidRDefault="004162E0" w:rsidP="00AA0B13"/>
    <w:p w14:paraId="5DEE546F" w14:textId="77777777" w:rsidR="004162E0" w:rsidRDefault="004162E0" w:rsidP="00AA0B13"/>
    <w:p w14:paraId="3A0986BE" w14:textId="77777777" w:rsidR="004162E0" w:rsidRDefault="004162E0" w:rsidP="00AA0B13"/>
    <w:p w14:paraId="2EA55162" w14:textId="77777777" w:rsidR="004162E0" w:rsidRDefault="004162E0" w:rsidP="00AA0B13"/>
    <w:p w14:paraId="21C75B07" w14:textId="4FA58D1F" w:rsidR="004162E0" w:rsidRDefault="00B0110A" w:rsidP="00AA0B13">
      <w:r>
        <w:rPr>
          <w:noProof/>
        </w:rPr>
        <w:lastRenderedPageBreak/>
        <mc:AlternateContent>
          <mc:Choice Requires="wps">
            <w:drawing>
              <wp:anchor distT="45720" distB="45720" distL="114300" distR="114300" simplePos="0" relativeHeight="251686912" behindDoc="0" locked="0" layoutInCell="1" allowOverlap="1" wp14:anchorId="530CB19E" wp14:editId="6B522984">
                <wp:simplePos x="0" y="0"/>
                <wp:positionH relativeFrom="margin">
                  <wp:align>right</wp:align>
                </wp:positionH>
                <wp:positionV relativeFrom="paragraph">
                  <wp:posOffset>0</wp:posOffset>
                </wp:positionV>
                <wp:extent cx="5361305" cy="3088005"/>
                <wp:effectExtent l="0" t="0" r="10795" b="1714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305" cy="3088341"/>
                        </a:xfrm>
                        <a:prstGeom prst="rect">
                          <a:avLst/>
                        </a:prstGeom>
                        <a:solidFill>
                          <a:srgbClr val="FFFFFF"/>
                        </a:solidFill>
                        <a:ln w="9525">
                          <a:solidFill>
                            <a:srgbClr val="000000"/>
                          </a:solidFill>
                          <a:miter lim="800000"/>
                          <a:headEnd/>
                          <a:tailEnd/>
                        </a:ln>
                      </wps:spPr>
                      <wps:txbx>
                        <w:txbxContent>
                          <w:p w14:paraId="35CE9F75" w14:textId="77777777" w:rsidR="00730B8F" w:rsidRDefault="00730B8F" w:rsidP="00B0110A">
                            <w:pPr>
                              <w:keepNext/>
                            </w:pPr>
                            <w:r w:rsidRPr="00B0110A">
                              <w:rPr>
                                <w:noProof/>
                              </w:rPr>
                              <w:drawing>
                                <wp:inline distT="0" distB="0" distL="0" distR="0" wp14:anchorId="080E5D7F" wp14:editId="13F884DF">
                                  <wp:extent cx="5169535" cy="2564130"/>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69535" cy="2564130"/>
                                          </a:xfrm>
                                          <a:prstGeom prst="rect">
                                            <a:avLst/>
                                          </a:prstGeom>
                                          <a:noFill/>
                                          <a:ln>
                                            <a:noFill/>
                                          </a:ln>
                                        </pic:spPr>
                                      </pic:pic>
                                    </a:graphicData>
                                  </a:graphic>
                                </wp:inline>
                              </w:drawing>
                            </w:r>
                          </w:p>
                          <w:p w14:paraId="52C80EB7" w14:textId="4F16CFBC" w:rsidR="00730B8F" w:rsidRPr="006A41D9" w:rsidRDefault="00730B8F" w:rsidP="00B0110A">
                            <w:pPr>
                              <w:pStyle w:val="Caption"/>
                              <w:rPr>
                                <w:b w:val="0"/>
                                <w:bCs w:val="0"/>
                              </w:rPr>
                            </w:pPr>
                            <w:bookmarkStart w:id="250" w:name="_Toc39868250"/>
                            <w:r>
                              <w:t xml:space="preserve">Figure </w:t>
                            </w:r>
                            <w:r w:rsidR="009425BE">
                              <w:fldChar w:fldCharType="begin"/>
                            </w:r>
                            <w:r w:rsidR="009425BE">
                              <w:instrText xml:space="preserve"> SEQ Figure \* ARABIC </w:instrText>
                            </w:r>
                            <w:r w:rsidR="009425BE">
                              <w:fldChar w:fldCharType="separate"/>
                            </w:r>
                            <w:r>
                              <w:rPr>
                                <w:noProof/>
                              </w:rPr>
                              <w:t>37</w:t>
                            </w:r>
                            <w:r w:rsidR="009425BE">
                              <w:rPr>
                                <w:noProof/>
                              </w:rPr>
                              <w:fldChar w:fldCharType="end"/>
                            </w:r>
                            <w:r>
                              <w:t xml:space="preserve">: </w:t>
                            </w:r>
                            <w:r w:rsidRPr="006A41D9">
                              <w:rPr>
                                <w:b w:val="0"/>
                                <w:bCs w:val="0"/>
                              </w:rPr>
                              <w:t>Spectra of LCMS 100pM OSW-1 sample for limit of quantification</w:t>
                            </w:r>
                            <w:bookmarkEnd w:id="250"/>
                          </w:p>
                          <w:p w14:paraId="5FE959B2" w14:textId="77777777" w:rsidR="00730B8F" w:rsidRDefault="00730B8F"/>
                          <w:p w14:paraId="1622EBFD" w14:textId="77777777" w:rsidR="00730B8F" w:rsidRDefault="00730B8F"/>
                          <w:p w14:paraId="7C7F3002" w14:textId="54C41915" w:rsidR="00730B8F" w:rsidRDefault="00730B8F" w:rsidP="00B0110A">
                            <w:pPr>
                              <w:keepNext/>
                            </w:pPr>
                            <w:r w:rsidRPr="00B0110A">
                              <w:rPr>
                                <w:noProof/>
                              </w:rPr>
                              <w:drawing>
                                <wp:inline distT="0" distB="0" distL="0" distR="0" wp14:anchorId="080E5D7F" wp14:editId="13F884DF">
                                  <wp:extent cx="5169535" cy="2564130"/>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69535" cy="2564130"/>
                                          </a:xfrm>
                                          <a:prstGeom prst="rect">
                                            <a:avLst/>
                                          </a:prstGeom>
                                          <a:noFill/>
                                          <a:ln>
                                            <a:noFill/>
                                          </a:ln>
                                        </pic:spPr>
                                      </pic:pic>
                                    </a:graphicData>
                                  </a:graphic>
                                </wp:inline>
                              </w:drawing>
                            </w:r>
                          </w:p>
                          <w:p w14:paraId="3661C998" w14:textId="08E91CFC" w:rsidR="00730B8F" w:rsidRPr="006A41D9" w:rsidRDefault="00730B8F" w:rsidP="00B0110A">
                            <w:pPr>
                              <w:pStyle w:val="Caption"/>
                              <w:rPr>
                                <w:b w:val="0"/>
                                <w:bCs w:val="0"/>
                              </w:rPr>
                            </w:pPr>
                            <w:r>
                              <w:t xml:space="preserve">Figure </w:t>
                            </w:r>
                            <w:r>
                              <w:fldChar w:fldCharType="begin"/>
                            </w:r>
                            <w:r>
                              <w:instrText xml:space="preserve">  \* ARABIC </w:instrText>
                            </w:r>
                            <w:r>
                              <w:fldChar w:fldCharType="separate"/>
                            </w:r>
                            <w:r>
                              <w:rPr>
                                <w:noProof/>
                              </w:rPr>
                              <w:t>62</w:t>
                            </w:r>
                            <w:r>
                              <w:rPr>
                                <w:noProof/>
                              </w:rPr>
                              <w:fldChar w:fldCharType="end"/>
                            </w:r>
                            <w:r>
                              <w:t xml:space="preserve">: </w:t>
                            </w:r>
                            <w:r w:rsidRPr="006A41D9">
                              <w:rPr>
                                <w:b w:val="0"/>
                                <w:bCs w:val="0"/>
                              </w:rPr>
                              <w:t>Spectra of LCMS 100pM OSW-1 sample for limit of quantification</w:t>
                            </w:r>
                          </w:p>
                          <w:p w14:paraId="4FA7FDDB" w14:textId="270817A1"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CB19E" id="_x0000_s1062" type="#_x0000_t202" style="position:absolute;margin-left:370.95pt;margin-top:0;width:422.15pt;height:243.15pt;z-index:251686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">
                <v:textbox>
                  <w:txbxContent>
                    <w:p w14:paraId="35CE9F75" w14:textId="77777777" w:rsidR="00730B8F" w:rsidRDefault="00730B8F" w:rsidP="00B0110A">
                      <w:pPr>
                        <w:keepNext/>
                      </w:pPr>
                      <w:r w:rsidRPr="00B0110A">
                        <w:rPr>
                          <w:noProof/>
                        </w:rPr>
                        <w:drawing>
                          <wp:inline distT="0" distB="0" distL="0" distR="0" wp14:anchorId="080E5D7F" wp14:editId="13F884DF">
                            <wp:extent cx="5169535" cy="2564130"/>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69535" cy="2564130"/>
                                    </a:xfrm>
                                    <a:prstGeom prst="rect">
                                      <a:avLst/>
                                    </a:prstGeom>
                                    <a:noFill/>
                                    <a:ln>
                                      <a:noFill/>
                                    </a:ln>
                                  </pic:spPr>
                                </pic:pic>
                              </a:graphicData>
                            </a:graphic>
                          </wp:inline>
                        </w:drawing>
                      </w:r>
                    </w:p>
                    <w:p w14:paraId="52C80EB7" w14:textId="4F16CFBC" w:rsidR="00730B8F" w:rsidRPr="006A41D9" w:rsidRDefault="00730B8F" w:rsidP="00B0110A">
                      <w:pPr>
                        <w:pStyle w:val="Caption"/>
                        <w:rPr>
                          <w:b w:val="0"/>
                          <w:bCs w:val="0"/>
                        </w:rPr>
                      </w:pPr>
                      <w:bookmarkStart w:id="251" w:name="_Toc39868250"/>
                      <w:r>
                        <w:t xml:space="preserve">Figure </w:t>
                      </w:r>
                      <w:r w:rsidR="009425BE">
                        <w:fldChar w:fldCharType="begin"/>
                      </w:r>
                      <w:r w:rsidR="009425BE">
                        <w:instrText xml:space="preserve"> SEQ Figure \* ARABIC </w:instrText>
                      </w:r>
                      <w:r w:rsidR="009425BE">
                        <w:fldChar w:fldCharType="separate"/>
                      </w:r>
                      <w:r>
                        <w:rPr>
                          <w:noProof/>
                        </w:rPr>
                        <w:t>37</w:t>
                      </w:r>
                      <w:r w:rsidR="009425BE">
                        <w:rPr>
                          <w:noProof/>
                        </w:rPr>
                        <w:fldChar w:fldCharType="end"/>
                      </w:r>
                      <w:r>
                        <w:t xml:space="preserve">: </w:t>
                      </w:r>
                      <w:r w:rsidRPr="006A41D9">
                        <w:rPr>
                          <w:b w:val="0"/>
                          <w:bCs w:val="0"/>
                        </w:rPr>
                        <w:t>Spectra of LCMS 100pM OSW-1 sample for limit of quantification</w:t>
                      </w:r>
                      <w:bookmarkEnd w:id="251"/>
                    </w:p>
                    <w:p w14:paraId="5FE959B2" w14:textId="77777777" w:rsidR="00730B8F" w:rsidRDefault="00730B8F"/>
                    <w:p w14:paraId="1622EBFD" w14:textId="77777777" w:rsidR="00730B8F" w:rsidRDefault="00730B8F"/>
                    <w:p w14:paraId="7C7F3002" w14:textId="54C41915" w:rsidR="00730B8F" w:rsidRDefault="00730B8F" w:rsidP="00B0110A">
                      <w:pPr>
                        <w:keepNext/>
                      </w:pPr>
                      <w:r w:rsidRPr="00B0110A">
                        <w:rPr>
                          <w:noProof/>
                        </w:rPr>
                        <w:drawing>
                          <wp:inline distT="0" distB="0" distL="0" distR="0" wp14:anchorId="080E5D7F" wp14:editId="13F884DF">
                            <wp:extent cx="5169535" cy="2564130"/>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69535" cy="2564130"/>
                                    </a:xfrm>
                                    <a:prstGeom prst="rect">
                                      <a:avLst/>
                                    </a:prstGeom>
                                    <a:noFill/>
                                    <a:ln>
                                      <a:noFill/>
                                    </a:ln>
                                  </pic:spPr>
                                </pic:pic>
                              </a:graphicData>
                            </a:graphic>
                          </wp:inline>
                        </w:drawing>
                      </w:r>
                    </w:p>
                    <w:p w14:paraId="3661C998" w14:textId="08E91CFC" w:rsidR="00730B8F" w:rsidRPr="006A41D9" w:rsidRDefault="00730B8F" w:rsidP="00B0110A">
                      <w:pPr>
                        <w:pStyle w:val="Caption"/>
                        <w:rPr>
                          <w:b w:val="0"/>
                          <w:bCs w:val="0"/>
                        </w:rPr>
                      </w:pPr>
                      <w:r>
                        <w:t xml:space="preserve">Figure </w:t>
                      </w:r>
                      <w:r>
                        <w:fldChar w:fldCharType="begin"/>
                      </w:r>
                      <w:r>
                        <w:instrText xml:space="preserve">  \* ARABIC </w:instrText>
                      </w:r>
                      <w:r>
                        <w:fldChar w:fldCharType="separate"/>
                      </w:r>
                      <w:r>
                        <w:rPr>
                          <w:noProof/>
                        </w:rPr>
                        <w:t>62</w:t>
                      </w:r>
                      <w:r>
                        <w:rPr>
                          <w:noProof/>
                        </w:rPr>
                        <w:fldChar w:fldCharType="end"/>
                      </w:r>
                      <w:r>
                        <w:t xml:space="preserve">: </w:t>
                      </w:r>
                      <w:r w:rsidRPr="006A41D9">
                        <w:rPr>
                          <w:b w:val="0"/>
                          <w:bCs w:val="0"/>
                        </w:rPr>
                        <w:t>Spectra of LCMS 100pM OSW-1 sample for limit of quantification</w:t>
                      </w:r>
                    </w:p>
                    <w:p w14:paraId="4FA7FDDB" w14:textId="270817A1" w:rsidR="00730B8F" w:rsidRDefault="00730B8F"/>
                  </w:txbxContent>
                </v:textbox>
                <w10:wrap type="square" anchorx="margin"/>
              </v:shape>
            </w:pict>
          </mc:Fallback>
        </mc:AlternateContent>
      </w:r>
    </w:p>
    <w:p w14:paraId="221398FB" w14:textId="77777777" w:rsidR="001E6AA0" w:rsidRDefault="001E6AA0" w:rsidP="00AA0B13"/>
    <w:p w14:paraId="14D64DD8" w14:textId="77777777" w:rsidR="001E6AA0" w:rsidRDefault="001E6AA0" w:rsidP="00AA0B13"/>
    <w:p w14:paraId="34D50DAF" w14:textId="77777777" w:rsidR="001E6AA0" w:rsidRDefault="001E6AA0" w:rsidP="00AA0B13"/>
    <w:p w14:paraId="3F14C3C4" w14:textId="77777777" w:rsidR="001E6AA0" w:rsidRDefault="001E6AA0" w:rsidP="00AA0B13"/>
    <w:p w14:paraId="1447DCE1" w14:textId="77777777" w:rsidR="001E6AA0" w:rsidRDefault="001E6AA0" w:rsidP="00AA0B13"/>
    <w:p w14:paraId="0026C291" w14:textId="77777777" w:rsidR="001E6AA0" w:rsidRDefault="001E6AA0" w:rsidP="00AA0B13"/>
    <w:p w14:paraId="0AC50689" w14:textId="77777777" w:rsidR="001E6AA0" w:rsidRDefault="001E6AA0" w:rsidP="00AA0B13"/>
    <w:p w14:paraId="4C350317" w14:textId="77777777" w:rsidR="001E6AA0" w:rsidRDefault="001E6AA0" w:rsidP="00AA0B13"/>
    <w:p w14:paraId="0F5DDB04" w14:textId="77777777" w:rsidR="001E6AA0" w:rsidRDefault="001E6AA0" w:rsidP="00AA0B13"/>
    <w:p w14:paraId="27375BF2" w14:textId="77777777" w:rsidR="001E6AA0" w:rsidRDefault="001E6AA0" w:rsidP="00AA0B13"/>
    <w:p w14:paraId="53AFBCE3" w14:textId="77777777" w:rsidR="001E6AA0" w:rsidRDefault="001E6AA0" w:rsidP="00AA0B13"/>
    <w:p w14:paraId="2A1B5E81" w14:textId="77777777" w:rsidR="001E6AA0" w:rsidRDefault="001E6AA0" w:rsidP="00AA0B13"/>
    <w:p w14:paraId="6246E25D" w14:textId="77777777" w:rsidR="000071DB" w:rsidRDefault="000071DB" w:rsidP="00AA0B13"/>
    <w:p w14:paraId="187194A5" w14:textId="65488C3C" w:rsidR="00830D72" w:rsidRDefault="000071DB" w:rsidP="00012F48">
      <w:pPr>
        <w:pStyle w:val="Heading1"/>
      </w:pPr>
      <w:bookmarkStart w:id="252" w:name="_Toc39868210"/>
      <w:r>
        <w:lastRenderedPageBreak/>
        <w:t xml:space="preserve">Appendix 2: Chapter 3 Supplemental </w:t>
      </w:r>
      <w:r>
        <w:rPr>
          <w:noProof/>
        </w:rPr>
        <mc:AlternateContent>
          <mc:Choice Requires="wps">
            <w:drawing>
              <wp:anchor distT="45720" distB="45720" distL="114300" distR="114300" simplePos="0" relativeHeight="251693056" behindDoc="0" locked="0" layoutInCell="1" allowOverlap="1" wp14:anchorId="19603CA8" wp14:editId="37BD879D">
                <wp:simplePos x="0" y="0"/>
                <wp:positionH relativeFrom="margin">
                  <wp:posOffset>156210</wp:posOffset>
                </wp:positionH>
                <wp:positionV relativeFrom="paragraph">
                  <wp:posOffset>274320</wp:posOffset>
                </wp:positionV>
                <wp:extent cx="5365115" cy="5889625"/>
                <wp:effectExtent l="0" t="0" r="26035" b="1587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115" cy="5889625"/>
                        </a:xfrm>
                        <a:prstGeom prst="rect">
                          <a:avLst/>
                        </a:prstGeom>
                        <a:solidFill>
                          <a:srgbClr val="FFFFFF"/>
                        </a:solidFill>
                        <a:ln w="9525">
                          <a:solidFill>
                            <a:srgbClr val="000000"/>
                          </a:solidFill>
                          <a:miter lim="800000"/>
                          <a:headEnd/>
                          <a:tailEnd/>
                        </a:ln>
                      </wps:spPr>
                      <wps:txbx>
                        <w:txbxContent>
                          <w:p w14:paraId="5626F323" w14:textId="77777777" w:rsidR="00730B8F" w:rsidRDefault="00730B8F" w:rsidP="00621934">
                            <w:pPr>
                              <w:keepNext/>
                            </w:pPr>
                            <w:r w:rsidRPr="00621934">
                              <w:rPr>
                                <w:noProof/>
                              </w:rPr>
                              <w:drawing>
                                <wp:inline distT="0" distB="0" distL="0" distR="0" wp14:anchorId="47DBD4DD" wp14:editId="144E8A35">
                                  <wp:extent cx="5173345" cy="4689475"/>
                                  <wp:effectExtent l="0" t="0" r="8255"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173345" cy="4689475"/>
                                          </a:xfrm>
                                          <a:prstGeom prst="rect">
                                            <a:avLst/>
                                          </a:prstGeom>
                                          <a:noFill/>
                                          <a:ln>
                                            <a:noFill/>
                                          </a:ln>
                                        </pic:spPr>
                                      </pic:pic>
                                    </a:graphicData>
                                  </a:graphic>
                                </wp:inline>
                              </w:drawing>
                            </w:r>
                          </w:p>
                          <w:p w14:paraId="2F4A60C1" w14:textId="7209B381" w:rsidR="00730B8F" w:rsidRDefault="00730B8F" w:rsidP="00621934">
                            <w:pPr>
                              <w:pStyle w:val="Caption"/>
                            </w:pPr>
                            <w:bookmarkStart w:id="253" w:name="_Toc39868251"/>
                            <w:r>
                              <w:t xml:space="preserve">Figure </w:t>
                            </w:r>
                            <w:r w:rsidR="009425BE">
                              <w:fldChar w:fldCharType="begin"/>
                            </w:r>
                            <w:r w:rsidR="009425BE">
                              <w:instrText xml:space="preserve"> SEQ Figure \* ARABIC </w:instrText>
                            </w:r>
                            <w:r w:rsidR="009425BE">
                              <w:fldChar w:fldCharType="separate"/>
                            </w:r>
                            <w:r>
                              <w:rPr>
                                <w:noProof/>
                              </w:rPr>
                              <w:t>38</w:t>
                            </w:r>
                            <w:r w:rsidR="009425BE">
                              <w:rPr>
                                <w:noProof/>
                              </w:rPr>
                              <w:fldChar w:fldCharType="end"/>
                            </w:r>
                            <w:r>
                              <w:t xml:space="preserve">: </w:t>
                            </w:r>
                            <w:r w:rsidRPr="001C0E67">
                              <w:rPr>
                                <w:b w:val="0"/>
                                <w:bCs w:val="0"/>
                              </w:rPr>
                              <w:t>Spheroid Cytotoxicity and Protein levels. A) Spheroid images of SKOV-3 and OVCAR-8 treated with the provided concentration of compound at the provided times. B) Protein quantification of OSBP and ORP4L spheroid (3D) levels relative to monolayer (2D).</w:t>
                            </w:r>
                            <w:bookmarkEnd w:id="253"/>
                          </w:p>
                          <w:p w14:paraId="536E9A30" w14:textId="77777777" w:rsidR="00730B8F" w:rsidRDefault="00730B8F"/>
                          <w:p w14:paraId="551E079E" w14:textId="77777777" w:rsidR="00730B8F" w:rsidRDefault="00730B8F"/>
                          <w:p w14:paraId="78C37D49" w14:textId="7C170C9D" w:rsidR="00730B8F" w:rsidRDefault="00730B8F" w:rsidP="00621934">
                            <w:pPr>
                              <w:keepNext/>
                            </w:pPr>
                            <w:r w:rsidRPr="00621934">
                              <w:rPr>
                                <w:noProof/>
                              </w:rPr>
                              <w:drawing>
                                <wp:inline distT="0" distB="0" distL="0" distR="0" wp14:anchorId="47DBD4DD" wp14:editId="144E8A35">
                                  <wp:extent cx="5173345" cy="4689475"/>
                                  <wp:effectExtent l="0" t="0" r="8255"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173345" cy="4689475"/>
                                          </a:xfrm>
                                          <a:prstGeom prst="rect">
                                            <a:avLst/>
                                          </a:prstGeom>
                                          <a:noFill/>
                                          <a:ln>
                                            <a:noFill/>
                                          </a:ln>
                                        </pic:spPr>
                                      </pic:pic>
                                    </a:graphicData>
                                  </a:graphic>
                                </wp:inline>
                              </w:drawing>
                            </w:r>
                          </w:p>
                          <w:p w14:paraId="7EAA438A" w14:textId="757330E6" w:rsidR="00730B8F" w:rsidRDefault="00730B8F" w:rsidP="00621934">
                            <w:pPr>
                              <w:pStyle w:val="Caption"/>
                            </w:pPr>
                            <w:r>
                              <w:t xml:space="preserve">Figure </w:t>
                            </w:r>
                            <w:r>
                              <w:fldChar w:fldCharType="begin"/>
                            </w:r>
                            <w:r>
                              <w:instrText xml:space="preserve">  \* ARABIC </w:instrText>
                            </w:r>
                            <w:r>
                              <w:fldChar w:fldCharType="separate"/>
                            </w:r>
                            <w:r>
                              <w:rPr>
                                <w:noProof/>
                              </w:rPr>
                              <w:t>64</w:t>
                            </w:r>
                            <w:r>
                              <w:rPr>
                                <w:noProof/>
                              </w:rPr>
                              <w:fldChar w:fldCharType="end"/>
                            </w:r>
                            <w:r>
                              <w:t xml:space="preserve">: </w:t>
                            </w:r>
                            <w:r w:rsidRPr="001C0E67">
                              <w:rPr>
                                <w:b w:val="0"/>
                                <w:bCs w:val="0"/>
                              </w:rPr>
                              <w:t>Spheroid Cytotoxicity and Protein levels. A) Spheroid images of SKOV-3 and OVCAR-8 treated with the provided concentration of compound at the provided times. B) Protein quantification of OSBP and ORP4L spheroid (3D) levels relative to monolayer (2D).</w:t>
                            </w:r>
                          </w:p>
                          <w:p w14:paraId="270908FE" w14:textId="1C54B57F"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03CA8" id="_x0000_s1063" type="#_x0000_t202" style="position:absolute;left:0;text-align:left;margin-left:12.3pt;margin-top:21.6pt;width:422.45pt;height:463.7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">
                <v:textbox>
                  <w:txbxContent>
                    <w:p w14:paraId="5626F323" w14:textId="77777777" w:rsidR="00730B8F" w:rsidRDefault="00730B8F" w:rsidP="00621934">
                      <w:pPr>
                        <w:keepNext/>
                      </w:pPr>
                      <w:r w:rsidRPr="00621934">
                        <w:rPr>
                          <w:noProof/>
                        </w:rPr>
                        <w:drawing>
                          <wp:inline distT="0" distB="0" distL="0" distR="0" wp14:anchorId="47DBD4DD" wp14:editId="144E8A35">
                            <wp:extent cx="5173345" cy="4689475"/>
                            <wp:effectExtent l="0" t="0" r="8255"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173345" cy="4689475"/>
                                    </a:xfrm>
                                    <a:prstGeom prst="rect">
                                      <a:avLst/>
                                    </a:prstGeom>
                                    <a:noFill/>
                                    <a:ln>
                                      <a:noFill/>
                                    </a:ln>
                                  </pic:spPr>
                                </pic:pic>
                              </a:graphicData>
                            </a:graphic>
                          </wp:inline>
                        </w:drawing>
                      </w:r>
                    </w:p>
                    <w:p w14:paraId="2F4A60C1" w14:textId="7209B381" w:rsidR="00730B8F" w:rsidRDefault="00730B8F" w:rsidP="00621934">
                      <w:pPr>
                        <w:pStyle w:val="Caption"/>
                      </w:pPr>
                      <w:bookmarkStart w:id="254" w:name="_Toc39868251"/>
                      <w:r>
                        <w:t xml:space="preserve">Figure </w:t>
                      </w:r>
                      <w:r w:rsidR="009425BE">
                        <w:fldChar w:fldCharType="begin"/>
                      </w:r>
                      <w:r w:rsidR="009425BE">
                        <w:instrText xml:space="preserve"> SEQ Figure \* ARABIC </w:instrText>
                      </w:r>
                      <w:r w:rsidR="009425BE">
                        <w:fldChar w:fldCharType="separate"/>
                      </w:r>
                      <w:r>
                        <w:rPr>
                          <w:noProof/>
                        </w:rPr>
                        <w:t>38</w:t>
                      </w:r>
                      <w:r w:rsidR="009425BE">
                        <w:rPr>
                          <w:noProof/>
                        </w:rPr>
                        <w:fldChar w:fldCharType="end"/>
                      </w:r>
                      <w:r>
                        <w:t xml:space="preserve">: </w:t>
                      </w:r>
                      <w:r w:rsidRPr="001C0E67">
                        <w:rPr>
                          <w:b w:val="0"/>
                          <w:bCs w:val="0"/>
                        </w:rPr>
                        <w:t>Spheroid Cytotoxicity and Protein levels. A) Spheroid images of SKOV-3 and OVCAR-8 treated with the provided concentration of compound at the provided times. B) Protein quantification of OSBP and ORP4L spheroid (3D) levels relative to monolayer (2D).</w:t>
                      </w:r>
                      <w:bookmarkEnd w:id="254"/>
                    </w:p>
                    <w:p w14:paraId="536E9A30" w14:textId="77777777" w:rsidR="00730B8F" w:rsidRDefault="00730B8F"/>
                    <w:p w14:paraId="551E079E" w14:textId="77777777" w:rsidR="00730B8F" w:rsidRDefault="00730B8F"/>
                    <w:p w14:paraId="78C37D49" w14:textId="7C170C9D" w:rsidR="00730B8F" w:rsidRDefault="00730B8F" w:rsidP="00621934">
                      <w:pPr>
                        <w:keepNext/>
                      </w:pPr>
                      <w:r w:rsidRPr="00621934">
                        <w:rPr>
                          <w:noProof/>
                        </w:rPr>
                        <w:drawing>
                          <wp:inline distT="0" distB="0" distL="0" distR="0" wp14:anchorId="47DBD4DD" wp14:editId="144E8A35">
                            <wp:extent cx="5173345" cy="4689475"/>
                            <wp:effectExtent l="0" t="0" r="8255"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173345" cy="4689475"/>
                                    </a:xfrm>
                                    <a:prstGeom prst="rect">
                                      <a:avLst/>
                                    </a:prstGeom>
                                    <a:noFill/>
                                    <a:ln>
                                      <a:noFill/>
                                    </a:ln>
                                  </pic:spPr>
                                </pic:pic>
                              </a:graphicData>
                            </a:graphic>
                          </wp:inline>
                        </w:drawing>
                      </w:r>
                    </w:p>
                    <w:p w14:paraId="7EAA438A" w14:textId="757330E6" w:rsidR="00730B8F" w:rsidRDefault="00730B8F" w:rsidP="00621934">
                      <w:pPr>
                        <w:pStyle w:val="Caption"/>
                      </w:pPr>
                      <w:r>
                        <w:t xml:space="preserve">Figure </w:t>
                      </w:r>
                      <w:r>
                        <w:fldChar w:fldCharType="begin"/>
                      </w:r>
                      <w:r>
                        <w:instrText xml:space="preserve">  \* ARABIC </w:instrText>
                      </w:r>
                      <w:r>
                        <w:fldChar w:fldCharType="separate"/>
                      </w:r>
                      <w:r>
                        <w:rPr>
                          <w:noProof/>
                        </w:rPr>
                        <w:t>64</w:t>
                      </w:r>
                      <w:r>
                        <w:rPr>
                          <w:noProof/>
                        </w:rPr>
                        <w:fldChar w:fldCharType="end"/>
                      </w:r>
                      <w:r>
                        <w:t xml:space="preserve">: </w:t>
                      </w:r>
                      <w:r w:rsidRPr="001C0E67">
                        <w:rPr>
                          <w:b w:val="0"/>
                          <w:bCs w:val="0"/>
                        </w:rPr>
                        <w:t>Spheroid Cytotoxicity and Protein levels. A) Spheroid images of SKOV-3 and OVCAR-8 treated with the provided concentration of compound at the provided times. B) Protein quantification of OSBP and ORP4L spheroid (3D) levels relative to monolayer (2D).</w:t>
                      </w:r>
                    </w:p>
                    <w:p w14:paraId="270908FE" w14:textId="1C54B57F" w:rsidR="00730B8F" w:rsidRDefault="00730B8F"/>
                  </w:txbxContent>
                </v:textbox>
                <w10:wrap type="square" anchorx="margin"/>
              </v:shape>
            </w:pict>
          </mc:Fallback>
        </mc:AlternateContent>
      </w:r>
      <w:bookmarkEnd w:id="252"/>
    </w:p>
    <w:p w14:paraId="00AD4102" w14:textId="77777777" w:rsidR="00830D72" w:rsidRDefault="00830D72" w:rsidP="00AA0B13"/>
    <w:p w14:paraId="7338D756" w14:textId="77777777" w:rsidR="00830D72" w:rsidRDefault="00830D72" w:rsidP="00AA0B13"/>
    <w:p w14:paraId="75D7BD73" w14:textId="241C66EF" w:rsidR="00830D72" w:rsidRDefault="00830D72" w:rsidP="00AA0B13">
      <w:r>
        <w:rPr>
          <w:noProof/>
        </w:rPr>
        <w:lastRenderedPageBreak/>
        <mc:AlternateContent>
          <mc:Choice Requires="wps">
            <w:drawing>
              <wp:anchor distT="45720" distB="45720" distL="114300" distR="114300" simplePos="0" relativeHeight="251656192" behindDoc="0" locked="0" layoutInCell="1" allowOverlap="1" wp14:anchorId="70A599CA" wp14:editId="5E0D4831">
                <wp:simplePos x="0" y="0"/>
                <wp:positionH relativeFrom="margin">
                  <wp:align>right</wp:align>
                </wp:positionH>
                <wp:positionV relativeFrom="paragraph">
                  <wp:posOffset>69</wp:posOffset>
                </wp:positionV>
                <wp:extent cx="5375275" cy="3889375"/>
                <wp:effectExtent l="0" t="0" r="15875" b="15875"/>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275" cy="3889829"/>
                        </a:xfrm>
                        <a:prstGeom prst="rect">
                          <a:avLst/>
                        </a:prstGeom>
                        <a:solidFill>
                          <a:srgbClr val="FFFFFF"/>
                        </a:solidFill>
                        <a:ln w="9525">
                          <a:solidFill>
                            <a:srgbClr val="000000"/>
                          </a:solidFill>
                          <a:miter lim="800000"/>
                          <a:headEnd/>
                          <a:tailEnd/>
                        </a:ln>
                      </wps:spPr>
                      <wps:txbx>
                        <w:txbxContent>
                          <w:p w14:paraId="5116A1FD" w14:textId="77777777" w:rsidR="00730B8F" w:rsidRDefault="00730B8F" w:rsidP="00830D72">
                            <w:pPr>
                              <w:keepNext/>
                            </w:pPr>
                            <w:r w:rsidRPr="00830D72">
                              <w:rPr>
                                <w:noProof/>
                              </w:rPr>
                              <w:drawing>
                                <wp:inline distT="0" distB="0" distL="0" distR="0" wp14:anchorId="50B3B562" wp14:editId="29719D37">
                                  <wp:extent cx="4291931" cy="3306445"/>
                                  <wp:effectExtent l="0" t="0" r="0" b="8255"/>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4291931" cy="3306445"/>
                                          </a:xfrm>
                                          <a:prstGeom prst="rect">
                                            <a:avLst/>
                                          </a:prstGeom>
                                          <a:noFill/>
                                          <a:ln>
                                            <a:noFill/>
                                          </a:ln>
                                        </pic:spPr>
                                      </pic:pic>
                                    </a:graphicData>
                                  </a:graphic>
                                </wp:inline>
                              </w:drawing>
                            </w:r>
                          </w:p>
                          <w:p w14:paraId="6C51411F" w14:textId="1D1807D0" w:rsidR="00730B8F" w:rsidRDefault="00730B8F" w:rsidP="00830D72">
                            <w:pPr>
                              <w:pStyle w:val="Caption"/>
                            </w:pPr>
                            <w:bookmarkStart w:id="255" w:name="_Toc39868252"/>
                            <w:r>
                              <w:t xml:space="preserve">Figure </w:t>
                            </w:r>
                            <w:r w:rsidR="009425BE">
                              <w:fldChar w:fldCharType="begin"/>
                            </w:r>
                            <w:r w:rsidR="009425BE">
                              <w:instrText xml:space="preserve"> SEQ Figure \* ARABIC </w:instrText>
                            </w:r>
                            <w:r w:rsidR="009425BE">
                              <w:fldChar w:fldCharType="separate"/>
                            </w:r>
                            <w:r>
                              <w:rPr>
                                <w:noProof/>
                              </w:rPr>
                              <w:t>39</w:t>
                            </w:r>
                            <w:r w:rsidR="009425BE">
                              <w:rPr>
                                <w:noProof/>
                              </w:rPr>
                              <w:fldChar w:fldCharType="end"/>
                            </w:r>
                            <w:r>
                              <w:t xml:space="preserve">: </w:t>
                            </w:r>
                            <w:r w:rsidRPr="000071DB">
                              <w:rPr>
                                <w:b w:val="0"/>
                                <w:bCs w:val="0"/>
                              </w:rPr>
                              <w:t xml:space="preserve">Full blot of </w:t>
                            </w:r>
                            <w:r w:rsidR="000B0F43">
                              <w:rPr>
                                <w:b w:val="0"/>
                                <w:bCs w:val="0"/>
                              </w:rPr>
                              <w:t>Figure 15</w:t>
                            </w:r>
                            <w:r w:rsidRPr="000071DB">
                              <w:rPr>
                                <w:b w:val="0"/>
                                <w:bCs w:val="0"/>
                              </w:rPr>
                              <w:t>.</w:t>
                            </w:r>
                            <w:bookmarkEnd w:id="255"/>
                          </w:p>
                          <w:p w14:paraId="043C36C7" w14:textId="77777777" w:rsidR="00730B8F" w:rsidRDefault="00730B8F"/>
                          <w:p w14:paraId="150E3528" w14:textId="77777777" w:rsidR="00730B8F" w:rsidRDefault="00730B8F"/>
                          <w:p w14:paraId="1CF56DDC" w14:textId="5D19F03C" w:rsidR="00730B8F" w:rsidRDefault="00730B8F" w:rsidP="00830D72">
                            <w:pPr>
                              <w:keepNext/>
                            </w:pPr>
                            <w:r w:rsidRPr="00830D72">
                              <w:rPr>
                                <w:noProof/>
                              </w:rPr>
                              <w:drawing>
                                <wp:inline distT="0" distB="0" distL="0" distR="0" wp14:anchorId="50B3B562" wp14:editId="29719D37">
                                  <wp:extent cx="4291931" cy="3306445"/>
                                  <wp:effectExtent l="0" t="0" r="0" b="8255"/>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4291931" cy="3306445"/>
                                          </a:xfrm>
                                          <a:prstGeom prst="rect">
                                            <a:avLst/>
                                          </a:prstGeom>
                                          <a:noFill/>
                                          <a:ln>
                                            <a:noFill/>
                                          </a:ln>
                                        </pic:spPr>
                                      </pic:pic>
                                    </a:graphicData>
                                  </a:graphic>
                                </wp:inline>
                              </w:drawing>
                            </w:r>
                          </w:p>
                          <w:p w14:paraId="0E8447FF" w14:textId="38AFB929" w:rsidR="00730B8F" w:rsidRDefault="00730B8F" w:rsidP="00830D72">
                            <w:pPr>
                              <w:pStyle w:val="Caption"/>
                            </w:pPr>
                            <w:r>
                              <w:t xml:space="preserve">Figure </w:t>
                            </w:r>
                            <w:r>
                              <w:fldChar w:fldCharType="begin"/>
                            </w:r>
                            <w:r>
                              <w:instrText xml:space="preserve">  \* ARABIC </w:instrText>
                            </w:r>
                            <w:r>
                              <w:fldChar w:fldCharType="separate"/>
                            </w:r>
                            <w:r>
                              <w:rPr>
                                <w:noProof/>
                              </w:rPr>
                              <w:t>66</w:t>
                            </w:r>
                            <w:r>
                              <w:rPr>
                                <w:noProof/>
                              </w:rPr>
                              <w:fldChar w:fldCharType="end"/>
                            </w:r>
                            <w:r>
                              <w:t xml:space="preserve">: </w:t>
                            </w:r>
                            <w:r w:rsidRPr="000071DB">
                              <w:rPr>
                                <w:b w:val="0"/>
                                <w:bCs w:val="0"/>
                              </w:rPr>
                              <w:t xml:space="preserve">Full blot of </w:t>
                            </w:r>
                            <w:r w:rsidRPr="000071DB">
                              <w:rPr>
                                <w:b w:val="0"/>
                                <w:bCs w:val="0"/>
                              </w:rPr>
                              <w:fldChar w:fldCharType="begin"/>
                            </w:r>
                            <w:r w:rsidRPr="000071DB">
                              <w:rPr>
                                <w:b w:val="0"/>
                                <w:bCs w:val="0"/>
                              </w:rPr>
                              <w:instrText xml:space="preserve"> REF _Ref37253703 \h </w:instrText>
                            </w:r>
                            <w:r>
                              <w:rPr>
                                <w:b w:val="0"/>
                                <w:bCs w:val="0"/>
                              </w:rPr>
                              <w:instrText xml:space="preserve"> \* MERGEFORMAT </w:instrText>
                            </w:r>
                            <w:r w:rsidRPr="000071DB">
                              <w:rPr>
                                <w:b w:val="0"/>
                                <w:bCs w:val="0"/>
                              </w:rPr>
                            </w:r>
                            <w:r w:rsidRPr="000071DB">
                              <w:rPr>
                                <w:b w:val="0"/>
                                <w:bCs w:val="0"/>
                              </w:rPr>
                              <w:fldChar w:fldCharType="separate"/>
                            </w:r>
                            <w:r w:rsidRPr="000071DB">
                              <w:rPr>
                                <w:b w:val="0"/>
                                <w:bCs w:val="0"/>
                              </w:rPr>
                              <w:t xml:space="preserve">Figure </w:t>
                            </w:r>
                            <w:r w:rsidRPr="000071DB">
                              <w:rPr>
                                <w:b w:val="0"/>
                                <w:bCs w:val="0"/>
                                <w:noProof/>
                              </w:rPr>
                              <w:t>12</w:t>
                            </w:r>
                            <w:r w:rsidRPr="000071DB">
                              <w:rPr>
                                <w:b w:val="0"/>
                                <w:bCs w:val="0"/>
                              </w:rPr>
                              <w:fldChar w:fldCharType="end"/>
                            </w:r>
                            <w:r w:rsidRPr="000071DB">
                              <w:rPr>
                                <w:b w:val="0"/>
                                <w:bCs w:val="0"/>
                              </w:rPr>
                              <w:t>.</w:t>
                            </w:r>
                          </w:p>
                          <w:p w14:paraId="0F90E165" w14:textId="6C6FED74"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599CA" id="_x0000_s1064" type="#_x0000_t202" style="position:absolute;margin-left:372.05pt;margin-top:0;width:423.25pt;height:306.25pt;z-index:251656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">
                <v:textbox>
                  <w:txbxContent>
                    <w:p w14:paraId="5116A1FD" w14:textId="77777777" w:rsidR="00730B8F" w:rsidRDefault="00730B8F" w:rsidP="00830D72">
                      <w:pPr>
                        <w:keepNext/>
                      </w:pPr>
                      <w:r w:rsidRPr="00830D72">
                        <w:rPr>
                          <w:noProof/>
                        </w:rPr>
                        <w:drawing>
                          <wp:inline distT="0" distB="0" distL="0" distR="0" wp14:anchorId="50B3B562" wp14:editId="29719D37">
                            <wp:extent cx="4291931" cy="3306445"/>
                            <wp:effectExtent l="0" t="0" r="0" b="8255"/>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4291931" cy="3306445"/>
                                    </a:xfrm>
                                    <a:prstGeom prst="rect">
                                      <a:avLst/>
                                    </a:prstGeom>
                                    <a:noFill/>
                                    <a:ln>
                                      <a:noFill/>
                                    </a:ln>
                                  </pic:spPr>
                                </pic:pic>
                              </a:graphicData>
                            </a:graphic>
                          </wp:inline>
                        </w:drawing>
                      </w:r>
                    </w:p>
                    <w:p w14:paraId="6C51411F" w14:textId="1D1807D0" w:rsidR="00730B8F" w:rsidRDefault="00730B8F" w:rsidP="00830D72">
                      <w:pPr>
                        <w:pStyle w:val="Caption"/>
                      </w:pPr>
                      <w:bookmarkStart w:id="256" w:name="_Toc39868252"/>
                      <w:r>
                        <w:t xml:space="preserve">Figure </w:t>
                      </w:r>
                      <w:r w:rsidR="009425BE">
                        <w:fldChar w:fldCharType="begin"/>
                      </w:r>
                      <w:r w:rsidR="009425BE">
                        <w:instrText xml:space="preserve"> SEQ Figure \* ARABIC </w:instrText>
                      </w:r>
                      <w:r w:rsidR="009425BE">
                        <w:fldChar w:fldCharType="separate"/>
                      </w:r>
                      <w:r>
                        <w:rPr>
                          <w:noProof/>
                        </w:rPr>
                        <w:t>39</w:t>
                      </w:r>
                      <w:r w:rsidR="009425BE">
                        <w:rPr>
                          <w:noProof/>
                        </w:rPr>
                        <w:fldChar w:fldCharType="end"/>
                      </w:r>
                      <w:r>
                        <w:t xml:space="preserve">: </w:t>
                      </w:r>
                      <w:r w:rsidRPr="000071DB">
                        <w:rPr>
                          <w:b w:val="0"/>
                          <w:bCs w:val="0"/>
                        </w:rPr>
                        <w:t xml:space="preserve">Full blot of </w:t>
                      </w:r>
                      <w:r w:rsidR="000B0F43">
                        <w:rPr>
                          <w:b w:val="0"/>
                          <w:bCs w:val="0"/>
                        </w:rPr>
                        <w:t>Figure 15</w:t>
                      </w:r>
                      <w:r w:rsidRPr="000071DB">
                        <w:rPr>
                          <w:b w:val="0"/>
                          <w:bCs w:val="0"/>
                        </w:rPr>
                        <w:t>.</w:t>
                      </w:r>
                      <w:bookmarkEnd w:id="256"/>
                    </w:p>
                    <w:p w14:paraId="043C36C7" w14:textId="77777777" w:rsidR="00730B8F" w:rsidRDefault="00730B8F"/>
                    <w:p w14:paraId="150E3528" w14:textId="77777777" w:rsidR="00730B8F" w:rsidRDefault="00730B8F"/>
                    <w:p w14:paraId="1CF56DDC" w14:textId="5D19F03C" w:rsidR="00730B8F" w:rsidRDefault="00730B8F" w:rsidP="00830D72">
                      <w:pPr>
                        <w:keepNext/>
                      </w:pPr>
                      <w:r w:rsidRPr="00830D72">
                        <w:rPr>
                          <w:noProof/>
                        </w:rPr>
                        <w:drawing>
                          <wp:inline distT="0" distB="0" distL="0" distR="0" wp14:anchorId="50B3B562" wp14:editId="29719D37">
                            <wp:extent cx="4291931" cy="3306445"/>
                            <wp:effectExtent l="0" t="0" r="0" b="8255"/>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4291931" cy="3306445"/>
                                    </a:xfrm>
                                    <a:prstGeom prst="rect">
                                      <a:avLst/>
                                    </a:prstGeom>
                                    <a:noFill/>
                                    <a:ln>
                                      <a:noFill/>
                                    </a:ln>
                                  </pic:spPr>
                                </pic:pic>
                              </a:graphicData>
                            </a:graphic>
                          </wp:inline>
                        </w:drawing>
                      </w:r>
                    </w:p>
                    <w:p w14:paraId="0E8447FF" w14:textId="38AFB929" w:rsidR="00730B8F" w:rsidRDefault="00730B8F" w:rsidP="00830D72">
                      <w:pPr>
                        <w:pStyle w:val="Caption"/>
                      </w:pPr>
                      <w:r>
                        <w:t xml:space="preserve">Figure </w:t>
                      </w:r>
                      <w:r>
                        <w:fldChar w:fldCharType="begin"/>
                      </w:r>
                      <w:r>
                        <w:instrText xml:space="preserve">  \* ARABIC </w:instrText>
                      </w:r>
                      <w:r>
                        <w:fldChar w:fldCharType="separate"/>
                      </w:r>
                      <w:r>
                        <w:rPr>
                          <w:noProof/>
                        </w:rPr>
                        <w:t>66</w:t>
                      </w:r>
                      <w:r>
                        <w:rPr>
                          <w:noProof/>
                        </w:rPr>
                        <w:fldChar w:fldCharType="end"/>
                      </w:r>
                      <w:r>
                        <w:t xml:space="preserve">: </w:t>
                      </w:r>
                      <w:r w:rsidRPr="000071DB">
                        <w:rPr>
                          <w:b w:val="0"/>
                          <w:bCs w:val="0"/>
                        </w:rPr>
                        <w:t xml:space="preserve">Full blot of </w:t>
                      </w:r>
                      <w:r w:rsidRPr="000071DB">
                        <w:rPr>
                          <w:b w:val="0"/>
                          <w:bCs w:val="0"/>
                        </w:rPr>
                        <w:fldChar w:fldCharType="begin"/>
                      </w:r>
                      <w:r w:rsidRPr="000071DB">
                        <w:rPr>
                          <w:b w:val="0"/>
                          <w:bCs w:val="0"/>
                        </w:rPr>
                        <w:instrText xml:space="preserve"> REF _Ref37253703 \h </w:instrText>
                      </w:r>
                      <w:r>
                        <w:rPr>
                          <w:b w:val="0"/>
                          <w:bCs w:val="0"/>
                        </w:rPr>
                        <w:instrText xml:space="preserve"> \* MERGEFORMAT </w:instrText>
                      </w:r>
                      <w:r w:rsidRPr="000071DB">
                        <w:rPr>
                          <w:b w:val="0"/>
                          <w:bCs w:val="0"/>
                        </w:rPr>
                      </w:r>
                      <w:r w:rsidRPr="000071DB">
                        <w:rPr>
                          <w:b w:val="0"/>
                          <w:bCs w:val="0"/>
                        </w:rPr>
                        <w:fldChar w:fldCharType="separate"/>
                      </w:r>
                      <w:r w:rsidRPr="000071DB">
                        <w:rPr>
                          <w:b w:val="0"/>
                          <w:bCs w:val="0"/>
                        </w:rPr>
                        <w:t xml:space="preserve">Figure </w:t>
                      </w:r>
                      <w:r w:rsidRPr="000071DB">
                        <w:rPr>
                          <w:b w:val="0"/>
                          <w:bCs w:val="0"/>
                          <w:noProof/>
                        </w:rPr>
                        <w:t>12</w:t>
                      </w:r>
                      <w:r w:rsidRPr="000071DB">
                        <w:rPr>
                          <w:b w:val="0"/>
                          <w:bCs w:val="0"/>
                        </w:rPr>
                        <w:fldChar w:fldCharType="end"/>
                      </w:r>
                      <w:r w:rsidRPr="000071DB">
                        <w:rPr>
                          <w:b w:val="0"/>
                          <w:bCs w:val="0"/>
                        </w:rPr>
                        <w:t>.</w:t>
                      </w:r>
                    </w:p>
                    <w:p w14:paraId="0F90E165" w14:textId="6C6FED74" w:rsidR="00730B8F" w:rsidRDefault="00730B8F"/>
                  </w:txbxContent>
                </v:textbox>
                <w10:wrap type="square" anchorx="margin"/>
              </v:shape>
            </w:pict>
          </mc:Fallback>
        </mc:AlternateContent>
      </w:r>
    </w:p>
    <w:p w14:paraId="15B69F65" w14:textId="77777777" w:rsidR="001C0E67" w:rsidRDefault="001C0E67" w:rsidP="00AA0B13"/>
    <w:p w14:paraId="16581CB1" w14:textId="77777777" w:rsidR="001C0E67" w:rsidRDefault="001C0E67" w:rsidP="00AA0B13"/>
    <w:p w14:paraId="52DD51A4" w14:textId="77777777" w:rsidR="00830D72" w:rsidRDefault="00830D72" w:rsidP="00AA0B13"/>
    <w:p w14:paraId="6AF07B78" w14:textId="77777777" w:rsidR="00830D72" w:rsidRDefault="00830D72" w:rsidP="00AA0B13"/>
    <w:p w14:paraId="54347287" w14:textId="77777777" w:rsidR="00830D72" w:rsidRDefault="00830D72" w:rsidP="00AA0B13"/>
    <w:p w14:paraId="4684A79B" w14:textId="77777777" w:rsidR="00830D72" w:rsidRDefault="00830D72" w:rsidP="00AA0B13"/>
    <w:p w14:paraId="3686FE46" w14:textId="77777777" w:rsidR="00830D72" w:rsidRDefault="00830D72" w:rsidP="00AA0B13"/>
    <w:p w14:paraId="63950208" w14:textId="77777777" w:rsidR="00830D72" w:rsidRDefault="00830D72" w:rsidP="00AA0B13"/>
    <w:p w14:paraId="3886BC66" w14:textId="77777777" w:rsidR="00830D72" w:rsidRDefault="00830D72" w:rsidP="00AA0B13"/>
    <w:p w14:paraId="412E4BAC" w14:textId="77777777" w:rsidR="00830D72" w:rsidRDefault="00830D72" w:rsidP="00AA0B13"/>
    <w:p w14:paraId="758B270C" w14:textId="77777777" w:rsidR="00830D72" w:rsidRDefault="00830D72" w:rsidP="00AA0B13"/>
    <w:p w14:paraId="0587513D" w14:textId="5EFA2EE9" w:rsidR="00830D72" w:rsidRDefault="002A6B91" w:rsidP="00AA0B13">
      <w:r>
        <w:rPr>
          <w:noProof/>
        </w:rPr>
        <w:lastRenderedPageBreak/>
        <mc:AlternateContent>
          <mc:Choice Requires="wps">
            <w:drawing>
              <wp:anchor distT="45720" distB="45720" distL="114300" distR="114300" simplePos="0" relativeHeight="251661312" behindDoc="0" locked="0" layoutInCell="1" allowOverlap="1" wp14:anchorId="3EE694B5" wp14:editId="131A088B">
                <wp:simplePos x="0" y="0"/>
                <wp:positionH relativeFrom="margin">
                  <wp:align>right</wp:align>
                </wp:positionH>
                <wp:positionV relativeFrom="paragraph">
                  <wp:posOffset>0</wp:posOffset>
                </wp:positionV>
                <wp:extent cx="5362575" cy="5400675"/>
                <wp:effectExtent l="0" t="0" r="28575" b="2857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5400675"/>
                        </a:xfrm>
                        <a:prstGeom prst="rect">
                          <a:avLst/>
                        </a:prstGeom>
                        <a:solidFill>
                          <a:srgbClr val="FFFFFF"/>
                        </a:solidFill>
                        <a:ln w="9525">
                          <a:solidFill>
                            <a:srgbClr val="000000"/>
                          </a:solidFill>
                          <a:miter lim="800000"/>
                          <a:headEnd/>
                          <a:tailEnd/>
                        </a:ln>
                      </wps:spPr>
                      <wps:txbx>
                        <w:txbxContent>
                          <w:p w14:paraId="305EAA76" w14:textId="77777777" w:rsidR="00730B8F" w:rsidRDefault="00730B8F" w:rsidP="000071DB">
                            <w:pPr>
                              <w:keepNext/>
                            </w:pPr>
                            <w:r w:rsidRPr="000071DB">
                              <w:rPr>
                                <w:noProof/>
                              </w:rPr>
                              <w:drawing>
                                <wp:inline distT="0" distB="0" distL="0" distR="0" wp14:anchorId="3C456648" wp14:editId="02DB1794">
                                  <wp:extent cx="5170805" cy="4180205"/>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170805" cy="4180205"/>
                                          </a:xfrm>
                                          <a:prstGeom prst="rect">
                                            <a:avLst/>
                                          </a:prstGeom>
                                          <a:noFill/>
                                          <a:ln>
                                            <a:noFill/>
                                          </a:ln>
                                        </pic:spPr>
                                      </pic:pic>
                                    </a:graphicData>
                                  </a:graphic>
                                </wp:inline>
                              </w:drawing>
                            </w:r>
                          </w:p>
                          <w:p w14:paraId="3ABE49BC" w14:textId="4A8B5A07" w:rsidR="00730B8F" w:rsidRPr="000071DB" w:rsidRDefault="00730B8F" w:rsidP="000071DB">
                            <w:pPr>
                              <w:pStyle w:val="Caption"/>
                              <w:rPr>
                                <w:b w:val="0"/>
                                <w:bCs w:val="0"/>
                              </w:rPr>
                            </w:pPr>
                            <w:bookmarkStart w:id="257" w:name="_Toc39868253"/>
                            <w:r>
                              <w:t xml:space="preserve">Figure </w:t>
                            </w:r>
                            <w:r w:rsidR="009425BE">
                              <w:fldChar w:fldCharType="begin"/>
                            </w:r>
                            <w:r w:rsidR="009425BE">
                              <w:instrText xml:space="preserve"> SEQ Figure \* ARABIC </w:instrText>
                            </w:r>
                            <w:r w:rsidR="009425BE">
                              <w:fldChar w:fldCharType="separate"/>
                            </w:r>
                            <w:r>
                              <w:rPr>
                                <w:noProof/>
                              </w:rPr>
                              <w:t>40</w:t>
                            </w:r>
                            <w:r w:rsidR="009425BE">
                              <w:rPr>
                                <w:noProof/>
                              </w:rPr>
                              <w:fldChar w:fldCharType="end"/>
                            </w:r>
                            <w:r>
                              <w:t xml:space="preserve">: </w:t>
                            </w:r>
                            <w:r w:rsidRPr="000071DB">
                              <w:rPr>
                                <w:b w:val="0"/>
                                <w:bCs w:val="0"/>
                              </w:rPr>
                              <w:t>Full blots of</w:t>
                            </w:r>
                            <w:r w:rsidR="000B0F43">
                              <w:rPr>
                                <w:b w:val="0"/>
                                <w:bCs w:val="0"/>
                              </w:rPr>
                              <w:t xml:space="preserve"> Figure 20</w:t>
                            </w:r>
                            <w:r w:rsidRPr="000071DB">
                              <w:rPr>
                                <w:b w:val="0"/>
                                <w:bCs w:val="0"/>
                              </w:rPr>
                              <w:t>.</w:t>
                            </w:r>
                            <w:bookmarkEnd w:id="257"/>
                            <w:r w:rsidRPr="000071DB">
                              <w:rPr>
                                <w:b w:val="0"/>
                                <w:bCs w:val="0"/>
                              </w:rPr>
                              <w:t xml:space="preserve"> </w:t>
                            </w:r>
                          </w:p>
                          <w:p w14:paraId="311F751C" w14:textId="77777777" w:rsidR="00730B8F" w:rsidRDefault="00730B8F"/>
                          <w:p w14:paraId="1EDC7569" w14:textId="77777777" w:rsidR="00730B8F" w:rsidRDefault="00730B8F"/>
                          <w:p w14:paraId="11B0A5C1" w14:textId="0A910681" w:rsidR="00730B8F" w:rsidRDefault="00730B8F" w:rsidP="000071DB">
                            <w:pPr>
                              <w:keepNext/>
                            </w:pPr>
                            <w:r w:rsidRPr="000071DB">
                              <w:rPr>
                                <w:noProof/>
                              </w:rPr>
                              <w:drawing>
                                <wp:inline distT="0" distB="0" distL="0" distR="0" wp14:anchorId="3C456648" wp14:editId="02DB1794">
                                  <wp:extent cx="5170805" cy="4180205"/>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170805" cy="4180205"/>
                                          </a:xfrm>
                                          <a:prstGeom prst="rect">
                                            <a:avLst/>
                                          </a:prstGeom>
                                          <a:noFill/>
                                          <a:ln>
                                            <a:noFill/>
                                          </a:ln>
                                        </pic:spPr>
                                      </pic:pic>
                                    </a:graphicData>
                                  </a:graphic>
                                </wp:inline>
                              </w:drawing>
                            </w:r>
                          </w:p>
                          <w:p w14:paraId="40D38B7F" w14:textId="293D2E60" w:rsidR="00730B8F" w:rsidRPr="000071DB" w:rsidRDefault="00730B8F" w:rsidP="000071DB">
                            <w:pPr>
                              <w:pStyle w:val="Caption"/>
                              <w:rPr>
                                <w:b w:val="0"/>
                                <w:bCs w:val="0"/>
                              </w:rPr>
                            </w:pPr>
                            <w:r>
                              <w:t xml:space="preserve">Figure </w:t>
                            </w:r>
                            <w:r>
                              <w:fldChar w:fldCharType="begin"/>
                            </w:r>
                            <w:r>
                              <w:instrText xml:space="preserve">  \* ARABIC </w:instrText>
                            </w:r>
                            <w:r>
                              <w:fldChar w:fldCharType="separate"/>
                            </w:r>
                            <w:r>
                              <w:rPr>
                                <w:noProof/>
                              </w:rPr>
                              <w:t>68</w:t>
                            </w:r>
                            <w:r>
                              <w:rPr>
                                <w:noProof/>
                              </w:rPr>
                              <w:fldChar w:fldCharType="end"/>
                            </w:r>
                            <w:r>
                              <w:t xml:space="preserve">: </w:t>
                            </w:r>
                            <w:r w:rsidRPr="000071DB">
                              <w:rPr>
                                <w:b w:val="0"/>
                                <w:bCs w:val="0"/>
                              </w:rPr>
                              <w:t xml:space="preserve">Full blots of </w:t>
                            </w:r>
                            <w:r w:rsidRPr="000071DB">
                              <w:rPr>
                                <w:b w:val="0"/>
                                <w:bCs w:val="0"/>
                              </w:rPr>
                              <w:fldChar w:fldCharType="begin"/>
                            </w:r>
                            <w:r w:rsidRPr="000071DB">
                              <w:rPr>
                                <w:b w:val="0"/>
                                <w:bCs w:val="0"/>
                              </w:rPr>
                              <w:instrText xml:space="preserve"> REF _Ref37254054 \h </w:instrText>
                            </w:r>
                            <w:r>
                              <w:rPr>
                                <w:b w:val="0"/>
                                <w:bCs w:val="0"/>
                              </w:rPr>
                              <w:instrText xml:space="preserve"> \* MERGEFORMAT </w:instrText>
                            </w:r>
                            <w:r w:rsidRPr="000071DB">
                              <w:rPr>
                                <w:b w:val="0"/>
                                <w:bCs w:val="0"/>
                              </w:rPr>
                            </w:r>
                            <w:r w:rsidRPr="000071DB">
                              <w:rPr>
                                <w:b w:val="0"/>
                                <w:bCs w:val="0"/>
                              </w:rPr>
                              <w:fldChar w:fldCharType="separate"/>
                            </w:r>
                            <w:r w:rsidRPr="000071DB">
                              <w:rPr>
                                <w:b w:val="0"/>
                                <w:bCs w:val="0"/>
                              </w:rPr>
                              <w:t xml:space="preserve">Figure </w:t>
                            </w:r>
                            <w:r w:rsidRPr="000071DB">
                              <w:rPr>
                                <w:b w:val="0"/>
                                <w:bCs w:val="0"/>
                                <w:noProof/>
                              </w:rPr>
                              <w:t>17</w:t>
                            </w:r>
                            <w:r w:rsidRPr="000071DB">
                              <w:rPr>
                                <w:b w:val="0"/>
                                <w:bCs w:val="0"/>
                              </w:rPr>
                              <w:fldChar w:fldCharType="end"/>
                            </w:r>
                            <w:r w:rsidRPr="000071DB">
                              <w:rPr>
                                <w:b w:val="0"/>
                                <w:bCs w:val="0"/>
                              </w:rPr>
                              <w:t xml:space="preserve">. </w:t>
                            </w:r>
                          </w:p>
                          <w:p w14:paraId="1475F07F" w14:textId="564AE143" w:rsidR="00730B8F"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694B5" id="_x0000_s1065" type="#_x0000_t202" style="position:absolute;margin-left:371.05pt;margin-top:0;width:422.25pt;height:425.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">
                <v:textbox>
                  <w:txbxContent>
                    <w:p w14:paraId="305EAA76" w14:textId="77777777" w:rsidR="00730B8F" w:rsidRDefault="00730B8F" w:rsidP="000071DB">
                      <w:pPr>
                        <w:keepNext/>
                      </w:pPr>
                      <w:r w:rsidRPr="000071DB">
                        <w:rPr>
                          <w:noProof/>
                        </w:rPr>
                        <w:drawing>
                          <wp:inline distT="0" distB="0" distL="0" distR="0" wp14:anchorId="3C456648" wp14:editId="02DB1794">
                            <wp:extent cx="5170805" cy="4180205"/>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170805" cy="4180205"/>
                                    </a:xfrm>
                                    <a:prstGeom prst="rect">
                                      <a:avLst/>
                                    </a:prstGeom>
                                    <a:noFill/>
                                    <a:ln>
                                      <a:noFill/>
                                    </a:ln>
                                  </pic:spPr>
                                </pic:pic>
                              </a:graphicData>
                            </a:graphic>
                          </wp:inline>
                        </w:drawing>
                      </w:r>
                    </w:p>
                    <w:p w14:paraId="3ABE49BC" w14:textId="4A8B5A07" w:rsidR="00730B8F" w:rsidRPr="000071DB" w:rsidRDefault="00730B8F" w:rsidP="000071DB">
                      <w:pPr>
                        <w:pStyle w:val="Caption"/>
                        <w:rPr>
                          <w:b w:val="0"/>
                          <w:bCs w:val="0"/>
                        </w:rPr>
                      </w:pPr>
                      <w:bookmarkStart w:id="258" w:name="_Toc39868253"/>
                      <w:r>
                        <w:t xml:space="preserve">Figure </w:t>
                      </w:r>
                      <w:r w:rsidR="009425BE">
                        <w:fldChar w:fldCharType="begin"/>
                      </w:r>
                      <w:r w:rsidR="009425BE">
                        <w:instrText xml:space="preserve"> SEQ Figure \* ARABIC </w:instrText>
                      </w:r>
                      <w:r w:rsidR="009425BE">
                        <w:fldChar w:fldCharType="separate"/>
                      </w:r>
                      <w:r>
                        <w:rPr>
                          <w:noProof/>
                        </w:rPr>
                        <w:t>40</w:t>
                      </w:r>
                      <w:r w:rsidR="009425BE">
                        <w:rPr>
                          <w:noProof/>
                        </w:rPr>
                        <w:fldChar w:fldCharType="end"/>
                      </w:r>
                      <w:r>
                        <w:t xml:space="preserve">: </w:t>
                      </w:r>
                      <w:r w:rsidRPr="000071DB">
                        <w:rPr>
                          <w:b w:val="0"/>
                          <w:bCs w:val="0"/>
                        </w:rPr>
                        <w:t>Full blots of</w:t>
                      </w:r>
                      <w:r w:rsidR="000B0F43">
                        <w:rPr>
                          <w:b w:val="0"/>
                          <w:bCs w:val="0"/>
                        </w:rPr>
                        <w:t xml:space="preserve"> Figure 20</w:t>
                      </w:r>
                      <w:r w:rsidRPr="000071DB">
                        <w:rPr>
                          <w:b w:val="0"/>
                          <w:bCs w:val="0"/>
                        </w:rPr>
                        <w:t>.</w:t>
                      </w:r>
                      <w:bookmarkEnd w:id="258"/>
                      <w:r w:rsidRPr="000071DB">
                        <w:rPr>
                          <w:b w:val="0"/>
                          <w:bCs w:val="0"/>
                        </w:rPr>
                        <w:t xml:space="preserve"> </w:t>
                      </w:r>
                    </w:p>
                    <w:p w14:paraId="311F751C" w14:textId="77777777" w:rsidR="00730B8F" w:rsidRDefault="00730B8F"/>
                    <w:p w14:paraId="1EDC7569" w14:textId="77777777" w:rsidR="00730B8F" w:rsidRDefault="00730B8F"/>
                    <w:p w14:paraId="11B0A5C1" w14:textId="0A910681" w:rsidR="00730B8F" w:rsidRDefault="00730B8F" w:rsidP="000071DB">
                      <w:pPr>
                        <w:keepNext/>
                      </w:pPr>
                      <w:r w:rsidRPr="000071DB">
                        <w:rPr>
                          <w:noProof/>
                        </w:rPr>
                        <w:drawing>
                          <wp:inline distT="0" distB="0" distL="0" distR="0" wp14:anchorId="3C456648" wp14:editId="02DB1794">
                            <wp:extent cx="5170805" cy="4180205"/>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170805" cy="4180205"/>
                                    </a:xfrm>
                                    <a:prstGeom prst="rect">
                                      <a:avLst/>
                                    </a:prstGeom>
                                    <a:noFill/>
                                    <a:ln>
                                      <a:noFill/>
                                    </a:ln>
                                  </pic:spPr>
                                </pic:pic>
                              </a:graphicData>
                            </a:graphic>
                          </wp:inline>
                        </w:drawing>
                      </w:r>
                    </w:p>
                    <w:p w14:paraId="40D38B7F" w14:textId="293D2E60" w:rsidR="00730B8F" w:rsidRPr="000071DB" w:rsidRDefault="00730B8F" w:rsidP="000071DB">
                      <w:pPr>
                        <w:pStyle w:val="Caption"/>
                        <w:rPr>
                          <w:b w:val="0"/>
                          <w:bCs w:val="0"/>
                        </w:rPr>
                      </w:pPr>
                      <w:r>
                        <w:t xml:space="preserve">Figure </w:t>
                      </w:r>
                      <w:r>
                        <w:fldChar w:fldCharType="begin"/>
                      </w:r>
                      <w:r>
                        <w:instrText xml:space="preserve">  \* ARABIC </w:instrText>
                      </w:r>
                      <w:r>
                        <w:fldChar w:fldCharType="separate"/>
                      </w:r>
                      <w:r>
                        <w:rPr>
                          <w:noProof/>
                        </w:rPr>
                        <w:t>68</w:t>
                      </w:r>
                      <w:r>
                        <w:rPr>
                          <w:noProof/>
                        </w:rPr>
                        <w:fldChar w:fldCharType="end"/>
                      </w:r>
                      <w:r>
                        <w:t xml:space="preserve">: </w:t>
                      </w:r>
                      <w:r w:rsidRPr="000071DB">
                        <w:rPr>
                          <w:b w:val="0"/>
                          <w:bCs w:val="0"/>
                        </w:rPr>
                        <w:t xml:space="preserve">Full blots of </w:t>
                      </w:r>
                      <w:r w:rsidRPr="000071DB">
                        <w:rPr>
                          <w:b w:val="0"/>
                          <w:bCs w:val="0"/>
                        </w:rPr>
                        <w:fldChar w:fldCharType="begin"/>
                      </w:r>
                      <w:r w:rsidRPr="000071DB">
                        <w:rPr>
                          <w:b w:val="0"/>
                          <w:bCs w:val="0"/>
                        </w:rPr>
                        <w:instrText xml:space="preserve"> REF _Ref37254054 \h </w:instrText>
                      </w:r>
                      <w:r>
                        <w:rPr>
                          <w:b w:val="0"/>
                          <w:bCs w:val="0"/>
                        </w:rPr>
                        <w:instrText xml:space="preserve"> \* MERGEFORMAT </w:instrText>
                      </w:r>
                      <w:r w:rsidRPr="000071DB">
                        <w:rPr>
                          <w:b w:val="0"/>
                          <w:bCs w:val="0"/>
                        </w:rPr>
                      </w:r>
                      <w:r w:rsidRPr="000071DB">
                        <w:rPr>
                          <w:b w:val="0"/>
                          <w:bCs w:val="0"/>
                        </w:rPr>
                        <w:fldChar w:fldCharType="separate"/>
                      </w:r>
                      <w:r w:rsidRPr="000071DB">
                        <w:rPr>
                          <w:b w:val="0"/>
                          <w:bCs w:val="0"/>
                        </w:rPr>
                        <w:t xml:space="preserve">Figure </w:t>
                      </w:r>
                      <w:r w:rsidRPr="000071DB">
                        <w:rPr>
                          <w:b w:val="0"/>
                          <w:bCs w:val="0"/>
                          <w:noProof/>
                        </w:rPr>
                        <w:t>17</w:t>
                      </w:r>
                      <w:r w:rsidRPr="000071DB">
                        <w:rPr>
                          <w:b w:val="0"/>
                          <w:bCs w:val="0"/>
                        </w:rPr>
                        <w:fldChar w:fldCharType="end"/>
                      </w:r>
                      <w:r w:rsidRPr="000071DB">
                        <w:rPr>
                          <w:b w:val="0"/>
                          <w:bCs w:val="0"/>
                        </w:rPr>
                        <w:t xml:space="preserve">. </w:t>
                      </w:r>
                    </w:p>
                    <w:p w14:paraId="1475F07F" w14:textId="564AE143" w:rsidR="00730B8F" w:rsidRDefault="00730B8F"/>
                  </w:txbxContent>
                </v:textbox>
                <w10:wrap type="square" anchorx="margin"/>
              </v:shape>
            </w:pict>
          </mc:Fallback>
        </mc:AlternateContent>
      </w:r>
    </w:p>
    <w:p w14:paraId="611372FE" w14:textId="77777777" w:rsidR="001C0E67" w:rsidRDefault="001C0E67" w:rsidP="00AA0B13"/>
    <w:p w14:paraId="3E9B7E82" w14:textId="77777777" w:rsidR="001C0E67" w:rsidRDefault="001C0E67" w:rsidP="00AA0B13"/>
    <w:p w14:paraId="3C27852B" w14:textId="77777777" w:rsidR="000071DB" w:rsidRDefault="000071DB" w:rsidP="00AA0B13"/>
    <w:p w14:paraId="70645915" w14:textId="67236805" w:rsidR="000071DB" w:rsidRDefault="000071DB" w:rsidP="00AA0B13"/>
    <w:p w14:paraId="545A8146" w14:textId="2F1E4521" w:rsidR="005E233C" w:rsidRDefault="005E233C" w:rsidP="00AA0B13"/>
    <w:p w14:paraId="374ECFA4" w14:textId="77777777" w:rsidR="005E233C" w:rsidRDefault="005E233C" w:rsidP="00AA0B13"/>
    <w:p w14:paraId="0DA0163D" w14:textId="77777777" w:rsidR="000071DB" w:rsidRDefault="000071DB" w:rsidP="00AA0B13"/>
    <w:p w14:paraId="00041C54" w14:textId="215415BD" w:rsidR="000071DB" w:rsidRDefault="005E233C" w:rsidP="00012F48">
      <w:pPr>
        <w:pStyle w:val="Heading1"/>
      </w:pPr>
      <w:bookmarkStart w:id="259" w:name="_Toc39868211"/>
      <w:r>
        <w:lastRenderedPageBreak/>
        <w:t>Appendix 3: Chapter 4 Supplemental</w:t>
      </w:r>
      <w:bookmarkEnd w:id="259"/>
      <w:r>
        <w:t xml:space="preserve"> </w:t>
      </w:r>
    </w:p>
    <w:p w14:paraId="08F6E17D" w14:textId="51AF3E63" w:rsidR="00CA2C91" w:rsidRDefault="00A2047D" w:rsidP="00AA0B13">
      <w:r>
        <w:rPr>
          <w:noProof/>
        </w:rPr>
        <mc:AlternateContent>
          <mc:Choice Requires="wps">
            <w:drawing>
              <wp:anchor distT="45720" distB="45720" distL="114300" distR="114300" simplePos="0" relativeHeight="251694080" behindDoc="0" locked="0" layoutInCell="1" allowOverlap="1" wp14:anchorId="20C5CE9D" wp14:editId="50D993B0">
                <wp:simplePos x="0" y="0"/>
                <wp:positionH relativeFrom="margin">
                  <wp:align>right</wp:align>
                </wp:positionH>
                <wp:positionV relativeFrom="paragraph">
                  <wp:posOffset>11430</wp:posOffset>
                </wp:positionV>
                <wp:extent cx="5391150" cy="7053580"/>
                <wp:effectExtent l="0" t="0" r="19050" b="13970"/>
                <wp:wrapSquare wrapText="bothSides"/>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7053580"/>
                        </a:xfrm>
                        <a:prstGeom prst="rect">
                          <a:avLst/>
                        </a:prstGeom>
                        <a:solidFill>
                          <a:srgbClr val="FFFFFF"/>
                        </a:solidFill>
                        <a:ln w="9525">
                          <a:solidFill>
                            <a:srgbClr val="000000"/>
                          </a:solidFill>
                          <a:miter lim="800000"/>
                          <a:headEnd/>
                          <a:tailEnd/>
                        </a:ln>
                      </wps:spPr>
                      <wps:txbx>
                        <w:txbxContent>
                          <w:p w14:paraId="077D52C8" w14:textId="77777777" w:rsidR="00730B8F" w:rsidRDefault="00730B8F" w:rsidP="0070545C">
                            <w:pPr>
                              <w:keepNext/>
                            </w:pPr>
                            <w:r>
                              <w:rPr>
                                <w:noProof/>
                              </w:rPr>
                              <w:drawing>
                                <wp:inline distT="0" distB="0" distL="0" distR="0" wp14:anchorId="405C5501" wp14:editId="480D95E9">
                                  <wp:extent cx="5199380" cy="3032972"/>
                                  <wp:effectExtent l="0" t="0" r="127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199380" cy="3032972"/>
                                          </a:xfrm>
                                          <a:prstGeom prst="rect">
                                            <a:avLst/>
                                          </a:prstGeom>
                                        </pic:spPr>
                                      </pic:pic>
                                    </a:graphicData>
                                  </a:graphic>
                                </wp:inline>
                              </w:drawing>
                            </w:r>
                            <w:r>
                              <w:rPr>
                                <w:noProof/>
                              </w:rPr>
                              <w:drawing>
                                <wp:inline distT="0" distB="0" distL="0" distR="0" wp14:anchorId="704C1992" wp14:editId="43EA65B4">
                                  <wp:extent cx="5228100" cy="3051958"/>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265955" cy="3074056"/>
                                          </a:xfrm>
                                          <a:prstGeom prst="rect">
                                            <a:avLst/>
                                          </a:prstGeom>
                                        </pic:spPr>
                                      </pic:pic>
                                    </a:graphicData>
                                  </a:graphic>
                                </wp:inline>
                              </w:drawing>
                            </w:r>
                          </w:p>
                          <w:p w14:paraId="6DDD72AF" w14:textId="2B28DD5C" w:rsidR="00730B8F" w:rsidRPr="00807857" w:rsidRDefault="00730B8F" w:rsidP="0070545C">
                            <w:pPr>
                              <w:pStyle w:val="Caption"/>
                              <w:rPr>
                                <w:b w:val="0"/>
                                <w:bCs w:val="0"/>
                              </w:rPr>
                            </w:pPr>
                            <w:bookmarkStart w:id="260" w:name="_Toc39868254"/>
                            <w:r>
                              <w:t xml:space="preserve">Figure </w:t>
                            </w:r>
                            <w:r w:rsidR="009425BE">
                              <w:fldChar w:fldCharType="begin"/>
                            </w:r>
                            <w:r w:rsidR="009425BE">
                              <w:instrText xml:space="preserve"> SEQ Figure \* ARABIC </w:instrText>
                            </w:r>
                            <w:r w:rsidR="009425BE">
                              <w:fldChar w:fldCharType="separate"/>
                            </w:r>
                            <w:r>
                              <w:rPr>
                                <w:noProof/>
                              </w:rPr>
                              <w:t>41</w:t>
                            </w:r>
                            <w:r w:rsidR="009425BE">
                              <w:rPr>
                                <w:noProof/>
                              </w:rPr>
                              <w:fldChar w:fldCharType="end"/>
                            </w:r>
                            <w:r>
                              <w:t>:</w:t>
                            </w:r>
                            <w:r w:rsidRPr="00807857">
                              <w:t xml:space="preserve"> </w:t>
                            </w:r>
                            <w:r w:rsidRPr="00807857">
                              <w:rPr>
                                <w:b w:val="0"/>
                                <w:bCs w:val="0"/>
                              </w:rPr>
                              <w:t>MS/MS verification of lipids with 10-40 manufacturer’s unit energy</w:t>
                            </w:r>
                            <w:r>
                              <w:rPr>
                                <w:b w:val="0"/>
                                <w:bCs w:val="0"/>
                              </w:rPr>
                              <w:t>.</w:t>
                            </w:r>
                            <w:bookmarkEnd w:id="260"/>
                          </w:p>
                          <w:p w14:paraId="63858DF8" w14:textId="77777777" w:rsidR="00730B8F" w:rsidRPr="00807857" w:rsidRDefault="00730B8F"/>
                          <w:p w14:paraId="15A4609A" w14:textId="77777777" w:rsidR="00730B8F" w:rsidRDefault="00730B8F"/>
                          <w:p w14:paraId="6EE5DFA2" w14:textId="5E1AB0EF" w:rsidR="00730B8F" w:rsidRDefault="00730B8F" w:rsidP="0070545C">
                            <w:pPr>
                              <w:keepNext/>
                            </w:pPr>
                            <w:r>
                              <w:rPr>
                                <w:noProof/>
                              </w:rPr>
                              <w:drawing>
                                <wp:inline distT="0" distB="0" distL="0" distR="0" wp14:anchorId="405C5501" wp14:editId="480D95E9">
                                  <wp:extent cx="5199380" cy="3032972"/>
                                  <wp:effectExtent l="0" t="0" r="1270" b="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199380" cy="3032972"/>
                                          </a:xfrm>
                                          <a:prstGeom prst="rect">
                                            <a:avLst/>
                                          </a:prstGeom>
                                        </pic:spPr>
                                      </pic:pic>
                                    </a:graphicData>
                                  </a:graphic>
                                </wp:inline>
                              </w:drawing>
                            </w:r>
                            <w:r>
                              <w:rPr>
                                <w:noProof/>
                              </w:rPr>
                              <w:drawing>
                                <wp:inline distT="0" distB="0" distL="0" distR="0" wp14:anchorId="704C1992" wp14:editId="43EA65B4">
                                  <wp:extent cx="5228100" cy="3051958"/>
                                  <wp:effectExtent l="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265955" cy="3074056"/>
                                          </a:xfrm>
                                          <a:prstGeom prst="rect">
                                            <a:avLst/>
                                          </a:prstGeom>
                                        </pic:spPr>
                                      </pic:pic>
                                    </a:graphicData>
                                  </a:graphic>
                                </wp:inline>
                              </w:drawing>
                            </w:r>
                          </w:p>
                          <w:p w14:paraId="03C1353A" w14:textId="0F00801A" w:rsidR="00730B8F" w:rsidRPr="00807857" w:rsidRDefault="00730B8F" w:rsidP="0070545C">
                            <w:pPr>
                              <w:pStyle w:val="Caption"/>
                              <w:rPr>
                                <w:b w:val="0"/>
                                <w:bCs w:val="0"/>
                              </w:rPr>
                            </w:pPr>
                            <w:r>
                              <w:t xml:space="preserve">Figure </w:t>
                            </w:r>
                            <w:r>
                              <w:fldChar w:fldCharType="begin"/>
                            </w:r>
                            <w:r>
                              <w:instrText xml:space="preserve">  \* ARABIC </w:instrText>
                            </w:r>
                            <w:r>
                              <w:fldChar w:fldCharType="separate"/>
                            </w:r>
                            <w:r>
                              <w:rPr>
                                <w:noProof/>
                              </w:rPr>
                              <w:t>70</w:t>
                            </w:r>
                            <w:r>
                              <w:rPr>
                                <w:noProof/>
                              </w:rPr>
                              <w:fldChar w:fldCharType="end"/>
                            </w:r>
                            <w:r>
                              <w:t>:</w:t>
                            </w:r>
                            <w:r w:rsidRPr="00807857">
                              <w:t xml:space="preserve"> </w:t>
                            </w:r>
                            <w:r w:rsidRPr="00807857">
                              <w:rPr>
                                <w:b w:val="0"/>
                                <w:bCs w:val="0"/>
                              </w:rPr>
                              <w:t>MS/MS verification of lipids with 10-40 manufacturer’s unit energy</w:t>
                            </w:r>
                            <w:r>
                              <w:rPr>
                                <w:b w:val="0"/>
                                <w:bCs w:val="0"/>
                              </w:rPr>
                              <w:t>.</w:t>
                            </w:r>
                          </w:p>
                          <w:p w14:paraId="7381E13A" w14:textId="1E4F9A79" w:rsidR="00730B8F" w:rsidRPr="00807857" w:rsidRDefault="0073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5CE9D" id="_x0000_s1066" type="#_x0000_t202" style="position:absolute;margin-left:373.3pt;margin-top:.9pt;width:424.5pt;height:555.4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">
                <v:textbox>
                  <w:txbxContent>
                    <w:p w14:paraId="077D52C8" w14:textId="77777777" w:rsidR="00730B8F" w:rsidRDefault="00730B8F" w:rsidP="0070545C">
                      <w:pPr>
                        <w:keepNext/>
                      </w:pPr>
                      <w:r>
                        <w:rPr>
                          <w:noProof/>
                        </w:rPr>
                        <w:drawing>
                          <wp:inline distT="0" distB="0" distL="0" distR="0" wp14:anchorId="405C5501" wp14:editId="480D95E9">
                            <wp:extent cx="5199380" cy="3032972"/>
                            <wp:effectExtent l="0" t="0" r="127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199380" cy="3032972"/>
                                    </a:xfrm>
                                    <a:prstGeom prst="rect">
                                      <a:avLst/>
                                    </a:prstGeom>
                                  </pic:spPr>
                                </pic:pic>
                              </a:graphicData>
                            </a:graphic>
                          </wp:inline>
                        </w:drawing>
                      </w:r>
                      <w:r>
                        <w:rPr>
                          <w:noProof/>
                        </w:rPr>
                        <w:drawing>
                          <wp:inline distT="0" distB="0" distL="0" distR="0" wp14:anchorId="704C1992" wp14:editId="43EA65B4">
                            <wp:extent cx="5228100" cy="3051958"/>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265955" cy="3074056"/>
                                    </a:xfrm>
                                    <a:prstGeom prst="rect">
                                      <a:avLst/>
                                    </a:prstGeom>
                                  </pic:spPr>
                                </pic:pic>
                              </a:graphicData>
                            </a:graphic>
                          </wp:inline>
                        </w:drawing>
                      </w:r>
                    </w:p>
                    <w:p w14:paraId="6DDD72AF" w14:textId="2B28DD5C" w:rsidR="00730B8F" w:rsidRPr="00807857" w:rsidRDefault="00730B8F" w:rsidP="0070545C">
                      <w:pPr>
                        <w:pStyle w:val="Caption"/>
                        <w:rPr>
                          <w:b w:val="0"/>
                          <w:bCs w:val="0"/>
                        </w:rPr>
                      </w:pPr>
                      <w:bookmarkStart w:id="261" w:name="_Toc39868254"/>
                      <w:r>
                        <w:t xml:space="preserve">Figure </w:t>
                      </w:r>
                      <w:r w:rsidR="009425BE">
                        <w:fldChar w:fldCharType="begin"/>
                      </w:r>
                      <w:r w:rsidR="009425BE">
                        <w:instrText xml:space="preserve"> SEQ Figure \* ARABIC </w:instrText>
                      </w:r>
                      <w:r w:rsidR="009425BE">
                        <w:fldChar w:fldCharType="separate"/>
                      </w:r>
                      <w:r>
                        <w:rPr>
                          <w:noProof/>
                        </w:rPr>
                        <w:t>41</w:t>
                      </w:r>
                      <w:r w:rsidR="009425BE">
                        <w:rPr>
                          <w:noProof/>
                        </w:rPr>
                        <w:fldChar w:fldCharType="end"/>
                      </w:r>
                      <w:r>
                        <w:t>:</w:t>
                      </w:r>
                      <w:r w:rsidRPr="00807857">
                        <w:t xml:space="preserve"> </w:t>
                      </w:r>
                      <w:r w:rsidRPr="00807857">
                        <w:rPr>
                          <w:b w:val="0"/>
                          <w:bCs w:val="0"/>
                        </w:rPr>
                        <w:t>MS/MS verification of lipids with 10-40 manufacturer’s unit energy</w:t>
                      </w:r>
                      <w:r>
                        <w:rPr>
                          <w:b w:val="0"/>
                          <w:bCs w:val="0"/>
                        </w:rPr>
                        <w:t>.</w:t>
                      </w:r>
                      <w:bookmarkEnd w:id="261"/>
                    </w:p>
                    <w:p w14:paraId="63858DF8" w14:textId="77777777" w:rsidR="00730B8F" w:rsidRPr="00807857" w:rsidRDefault="00730B8F"/>
                    <w:p w14:paraId="15A4609A" w14:textId="77777777" w:rsidR="00730B8F" w:rsidRDefault="00730B8F"/>
                    <w:p w14:paraId="6EE5DFA2" w14:textId="5E1AB0EF" w:rsidR="00730B8F" w:rsidRDefault="00730B8F" w:rsidP="0070545C">
                      <w:pPr>
                        <w:keepNext/>
                      </w:pPr>
                      <w:r>
                        <w:rPr>
                          <w:noProof/>
                        </w:rPr>
                        <w:drawing>
                          <wp:inline distT="0" distB="0" distL="0" distR="0" wp14:anchorId="405C5501" wp14:editId="480D95E9">
                            <wp:extent cx="5199380" cy="3032972"/>
                            <wp:effectExtent l="0" t="0" r="1270" b="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199380" cy="3032972"/>
                                    </a:xfrm>
                                    <a:prstGeom prst="rect">
                                      <a:avLst/>
                                    </a:prstGeom>
                                  </pic:spPr>
                                </pic:pic>
                              </a:graphicData>
                            </a:graphic>
                          </wp:inline>
                        </w:drawing>
                      </w:r>
                      <w:r>
                        <w:rPr>
                          <w:noProof/>
                        </w:rPr>
                        <w:drawing>
                          <wp:inline distT="0" distB="0" distL="0" distR="0" wp14:anchorId="704C1992" wp14:editId="43EA65B4">
                            <wp:extent cx="5228100" cy="3051958"/>
                            <wp:effectExtent l="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265955" cy="3074056"/>
                                    </a:xfrm>
                                    <a:prstGeom prst="rect">
                                      <a:avLst/>
                                    </a:prstGeom>
                                  </pic:spPr>
                                </pic:pic>
                              </a:graphicData>
                            </a:graphic>
                          </wp:inline>
                        </w:drawing>
                      </w:r>
                    </w:p>
                    <w:p w14:paraId="03C1353A" w14:textId="0F00801A" w:rsidR="00730B8F" w:rsidRPr="00807857" w:rsidRDefault="00730B8F" w:rsidP="0070545C">
                      <w:pPr>
                        <w:pStyle w:val="Caption"/>
                        <w:rPr>
                          <w:b w:val="0"/>
                          <w:bCs w:val="0"/>
                        </w:rPr>
                      </w:pPr>
                      <w:r>
                        <w:t xml:space="preserve">Figure </w:t>
                      </w:r>
                      <w:r>
                        <w:fldChar w:fldCharType="begin"/>
                      </w:r>
                      <w:r>
                        <w:instrText xml:space="preserve">  \* ARABIC </w:instrText>
                      </w:r>
                      <w:r>
                        <w:fldChar w:fldCharType="separate"/>
                      </w:r>
                      <w:r>
                        <w:rPr>
                          <w:noProof/>
                        </w:rPr>
                        <w:t>70</w:t>
                      </w:r>
                      <w:r>
                        <w:rPr>
                          <w:noProof/>
                        </w:rPr>
                        <w:fldChar w:fldCharType="end"/>
                      </w:r>
                      <w:r>
                        <w:t>:</w:t>
                      </w:r>
                      <w:r w:rsidRPr="00807857">
                        <w:t xml:space="preserve"> </w:t>
                      </w:r>
                      <w:r w:rsidRPr="00807857">
                        <w:rPr>
                          <w:b w:val="0"/>
                          <w:bCs w:val="0"/>
                        </w:rPr>
                        <w:t>MS/MS verification of lipids with 10-40 manufacturer’s unit energy</w:t>
                      </w:r>
                      <w:r>
                        <w:rPr>
                          <w:b w:val="0"/>
                          <w:bCs w:val="0"/>
                        </w:rPr>
                        <w:t>.</w:t>
                      </w:r>
                    </w:p>
                    <w:p w14:paraId="7381E13A" w14:textId="1E4F9A79" w:rsidR="00730B8F" w:rsidRPr="00807857" w:rsidRDefault="00730B8F"/>
                  </w:txbxContent>
                </v:textbox>
                <w10:wrap type="square" anchorx="margin"/>
              </v:shape>
            </w:pict>
          </mc:Fallback>
        </mc:AlternateContent>
      </w:r>
    </w:p>
    <w:p w14:paraId="4BB96D49" w14:textId="77777777" w:rsidR="00A64106" w:rsidRDefault="00A64106" w:rsidP="00AA0B13"/>
    <w:p w14:paraId="6D3A8514" w14:textId="0E6E3368" w:rsidR="00A64106" w:rsidRDefault="00E67008" w:rsidP="005E233C">
      <w:r>
        <w:rPr>
          <w:noProof/>
        </w:rPr>
        <w:lastRenderedPageBreak/>
        <mc:AlternateContent>
          <mc:Choice Requires="wps">
            <w:drawing>
              <wp:anchor distT="45720" distB="45720" distL="114300" distR="114300" simplePos="0" relativeHeight="251695104" behindDoc="0" locked="0" layoutInCell="1" allowOverlap="1" wp14:anchorId="1A883660" wp14:editId="03FCFE00">
                <wp:simplePos x="0" y="0"/>
                <wp:positionH relativeFrom="margin">
                  <wp:align>left</wp:align>
                </wp:positionH>
                <wp:positionV relativeFrom="paragraph">
                  <wp:posOffset>3175</wp:posOffset>
                </wp:positionV>
                <wp:extent cx="5391150" cy="7018020"/>
                <wp:effectExtent l="0" t="0" r="19050" b="11430"/>
                <wp:wrapSquare wrapText="bothSides"/>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7018020"/>
                        </a:xfrm>
                        <a:prstGeom prst="rect">
                          <a:avLst/>
                        </a:prstGeom>
                        <a:solidFill>
                          <a:srgbClr val="FFFFFF"/>
                        </a:solidFill>
                        <a:ln w="9525">
                          <a:solidFill>
                            <a:srgbClr val="000000"/>
                          </a:solidFill>
                          <a:miter lim="800000"/>
                          <a:headEnd/>
                          <a:tailEnd/>
                        </a:ln>
                      </wps:spPr>
                      <wps:txbx>
                        <w:txbxContent>
                          <w:p w14:paraId="0F5AAC4D" w14:textId="77777777" w:rsidR="00730B8F" w:rsidRDefault="00730B8F" w:rsidP="00807857">
                            <w:pPr>
                              <w:keepNext/>
                            </w:pPr>
                            <w:r>
                              <w:rPr>
                                <w:noProof/>
                              </w:rPr>
                              <w:drawing>
                                <wp:inline distT="0" distB="0" distL="0" distR="0" wp14:anchorId="6EBDCE41" wp14:editId="442BA87A">
                                  <wp:extent cx="5199380" cy="3002308"/>
                                  <wp:effectExtent l="0" t="0" r="127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2">
                                            <a:extLst>
                                              <a:ext uri="{28A0092B-C50C-407E-A947-70E740481C1C}">
                                                <a14:useLocalDpi xmlns:a14="http://schemas.microsoft.com/office/drawing/2010/main" val="0"/>
                                              </a:ext>
                                            </a:extLst>
                                          </a:blip>
                                          <a:stretch>
                                            <a:fillRect/>
                                          </a:stretch>
                                        </pic:blipFill>
                                        <pic:spPr>
                                          <a:xfrm>
                                            <a:off x="0" y="0"/>
                                            <a:ext cx="5199380" cy="3002308"/>
                                          </a:xfrm>
                                          <a:prstGeom prst="rect">
                                            <a:avLst/>
                                          </a:prstGeom>
                                        </pic:spPr>
                                      </pic:pic>
                                    </a:graphicData>
                                  </a:graphic>
                                </wp:inline>
                              </w:drawing>
                            </w:r>
                            <w:r>
                              <w:rPr>
                                <w:noProof/>
                              </w:rPr>
                              <w:drawing>
                                <wp:inline distT="0" distB="0" distL="0" distR="0" wp14:anchorId="18D5E7E2" wp14:editId="58E124A5">
                                  <wp:extent cx="5194461" cy="3074056"/>
                                  <wp:effectExtent l="0" t="0" r="6350" b="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3">
                                            <a:extLst>
                                              <a:ext uri="{28A0092B-C50C-407E-A947-70E740481C1C}">
                                                <a14:useLocalDpi xmlns:a14="http://schemas.microsoft.com/office/drawing/2010/main" val="0"/>
                                              </a:ext>
                                            </a:extLst>
                                          </a:blip>
                                          <a:stretch>
                                            <a:fillRect/>
                                          </a:stretch>
                                        </pic:blipFill>
                                        <pic:spPr>
                                          <a:xfrm>
                                            <a:off x="0" y="0"/>
                                            <a:ext cx="5194461" cy="3074056"/>
                                          </a:xfrm>
                                          <a:prstGeom prst="rect">
                                            <a:avLst/>
                                          </a:prstGeom>
                                        </pic:spPr>
                                      </pic:pic>
                                    </a:graphicData>
                                  </a:graphic>
                                </wp:inline>
                              </w:drawing>
                            </w:r>
                          </w:p>
                          <w:p w14:paraId="2490B8A0" w14:textId="213F0C56" w:rsidR="00730B8F" w:rsidRDefault="00730B8F" w:rsidP="00807857">
                            <w:pPr>
                              <w:pStyle w:val="Caption"/>
                            </w:pPr>
                            <w:bookmarkStart w:id="262" w:name="_Toc39868255"/>
                            <w:r>
                              <w:t xml:space="preserve">Figure </w:t>
                            </w:r>
                            <w:r w:rsidR="009425BE">
                              <w:fldChar w:fldCharType="begin"/>
                            </w:r>
                            <w:r w:rsidR="009425BE">
                              <w:instrText xml:space="preserve"> SEQ Figure \* ARABIC </w:instrText>
                            </w:r>
                            <w:r w:rsidR="009425BE">
                              <w:fldChar w:fldCharType="separate"/>
                            </w:r>
                            <w:r>
                              <w:rPr>
                                <w:noProof/>
                              </w:rPr>
                              <w:t>42</w:t>
                            </w:r>
                            <w:r w:rsidR="009425BE">
                              <w:rPr>
                                <w:noProof/>
                              </w:rPr>
                              <w:fldChar w:fldCharType="end"/>
                            </w:r>
                            <w:r>
                              <w:t>:</w:t>
                            </w:r>
                            <w:r w:rsidRPr="00807857">
                              <w:t xml:space="preserve"> </w:t>
                            </w:r>
                            <w:r w:rsidRPr="00807857">
                              <w:rPr>
                                <w:b w:val="0"/>
                                <w:bCs w:val="0"/>
                              </w:rPr>
                              <w:t>MS/MS verification of lipids with 10-40 manufacturer’s unit energy</w:t>
                            </w:r>
                            <w:r>
                              <w:rPr>
                                <w:b w:val="0"/>
                                <w:bCs w:val="0"/>
                              </w:rPr>
                              <w:t>.</w:t>
                            </w:r>
                            <w:bookmarkEnd w:id="262"/>
                          </w:p>
                          <w:p w14:paraId="5F07A3DF" w14:textId="77777777" w:rsidR="00730B8F" w:rsidRDefault="00730B8F" w:rsidP="00E67008"/>
                          <w:p w14:paraId="4326825F" w14:textId="77777777" w:rsidR="00730B8F" w:rsidRDefault="00730B8F"/>
                          <w:p w14:paraId="5733B8F5" w14:textId="3764409E" w:rsidR="00730B8F" w:rsidRDefault="00730B8F" w:rsidP="00807857">
                            <w:pPr>
                              <w:keepNext/>
                            </w:pPr>
                            <w:r>
                              <w:rPr>
                                <w:noProof/>
                              </w:rPr>
                              <w:drawing>
                                <wp:inline distT="0" distB="0" distL="0" distR="0" wp14:anchorId="6EBDCE41" wp14:editId="442BA87A">
                                  <wp:extent cx="5199380" cy="3002308"/>
                                  <wp:effectExtent l="0" t="0" r="127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2">
                                            <a:extLst>
                                              <a:ext uri="{28A0092B-C50C-407E-A947-70E740481C1C}">
                                                <a14:useLocalDpi xmlns:a14="http://schemas.microsoft.com/office/drawing/2010/main" val="0"/>
                                              </a:ext>
                                            </a:extLst>
                                          </a:blip>
                                          <a:stretch>
                                            <a:fillRect/>
                                          </a:stretch>
                                        </pic:blipFill>
                                        <pic:spPr>
                                          <a:xfrm>
                                            <a:off x="0" y="0"/>
                                            <a:ext cx="5199380" cy="3002308"/>
                                          </a:xfrm>
                                          <a:prstGeom prst="rect">
                                            <a:avLst/>
                                          </a:prstGeom>
                                        </pic:spPr>
                                      </pic:pic>
                                    </a:graphicData>
                                  </a:graphic>
                                </wp:inline>
                              </w:drawing>
                            </w:r>
                            <w:r>
                              <w:rPr>
                                <w:noProof/>
                              </w:rPr>
                              <w:drawing>
                                <wp:inline distT="0" distB="0" distL="0" distR="0" wp14:anchorId="18D5E7E2" wp14:editId="58E124A5">
                                  <wp:extent cx="5194461" cy="3074056"/>
                                  <wp:effectExtent l="0" t="0" r="6350" b="0"/>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3">
                                            <a:extLst>
                                              <a:ext uri="{28A0092B-C50C-407E-A947-70E740481C1C}">
                                                <a14:useLocalDpi xmlns:a14="http://schemas.microsoft.com/office/drawing/2010/main" val="0"/>
                                              </a:ext>
                                            </a:extLst>
                                          </a:blip>
                                          <a:stretch>
                                            <a:fillRect/>
                                          </a:stretch>
                                        </pic:blipFill>
                                        <pic:spPr>
                                          <a:xfrm>
                                            <a:off x="0" y="0"/>
                                            <a:ext cx="5194461" cy="3074056"/>
                                          </a:xfrm>
                                          <a:prstGeom prst="rect">
                                            <a:avLst/>
                                          </a:prstGeom>
                                        </pic:spPr>
                                      </pic:pic>
                                    </a:graphicData>
                                  </a:graphic>
                                </wp:inline>
                              </w:drawing>
                            </w:r>
                          </w:p>
                          <w:p w14:paraId="764B7BDF" w14:textId="6C3A1D58" w:rsidR="00730B8F" w:rsidRDefault="00730B8F" w:rsidP="00807857">
                            <w:pPr>
                              <w:pStyle w:val="Caption"/>
                            </w:pPr>
                            <w:r>
                              <w:t xml:space="preserve">Figure </w:t>
                            </w:r>
                            <w:r>
                              <w:fldChar w:fldCharType="begin"/>
                            </w:r>
                            <w:r>
                              <w:instrText xml:space="preserve">  \* ARABIC </w:instrText>
                            </w:r>
                            <w:r>
                              <w:fldChar w:fldCharType="separate"/>
                            </w:r>
                            <w:r>
                              <w:rPr>
                                <w:noProof/>
                              </w:rPr>
                              <w:t>72</w:t>
                            </w:r>
                            <w:r>
                              <w:rPr>
                                <w:noProof/>
                              </w:rPr>
                              <w:fldChar w:fldCharType="end"/>
                            </w:r>
                            <w:r>
                              <w:t>:</w:t>
                            </w:r>
                            <w:r w:rsidRPr="00807857">
                              <w:t xml:space="preserve"> </w:t>
                            </w:r>
                            <w:r w:rsidRPr="00807857">
                              <w:rPr>
                                <w:b w:val="0"/>
                                <w:bCs w:val="0"/>
                              </w:rPr>
                              <w:t>MS/MS verification of lipids with 10-40 manufacturer’s unit energy</w:t>
                            </w:r>
                            <w:r>
                              <w:rPr>
                                <w:b w:val="0"/>
                                <w:bCs w:val="0"/>
                              </w:rPr>
                              <w:t>.</w:t>
                            </w:r>
                          </w:p>
                          <w:p w14:paraId="64EB809B" w14:textId="4FA71093" w:rsidR="00730B8F" w:rsidRDefault="00730B8F" w:rsidP="00E670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83660" id="_x0000_s1067" type="#_x0000_t202" style="position:absolute;margin-left:0;margin-top:.25pt;width:424.5pt;height:552.6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">
                <v:textbox>
                  <w:txbxContent>
                    <w:p w14:paraId="0F5AAC4D" w14:textId="77777777" w:rsidR="00730B8F" w:rsidRDefault="00730B8F" w:rsidP="00807857">
                      <w:pPr>
                        <w:keepNext/>
                      </w:pPr>
                      <w:r>
                        <w:rPr>
                          <w:noProof/>
                        </w:rPr>
                        <w:drawing>
                          <wp:inline distT="0" distB="0" distL="0" distR="0" wp14:anchorId="6EBDCE41" wp14:editId="442BA87A">
                            <wp:extent cx="5199380" cy="3002308"/>
                            <wp:effectExtent l="0" t="0" r="127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2">
                                      <a:extLst>
                                        <a:ext uri="{28A0092B-C50C-407E-A947-70E740481C1C}">
                                          <a14:useLocalDpi xmlns:a14="http://schemas.microsoft.com/office/drawing/2010/main" val="0"/>
                                        </a:ext>
                                      </a:extLst>
                                    </a:blip>
                                    <a:stretch>
                                      <a:fillRect/>
                                    </a:stretch>
                                  </pic:blipFill>
                                  <pic:spPr>
                                    <a:xfrm>
                                      <a:off x="0" y="0"/>
                                      <a:ext cx="5199380" cy="3002308"/>
                                    </a:xfrm>
                                    <a:prstGeom prst="rect">
                                      <a:avLst/>
                                    </a:prstGeom>
                                  </pic:spPr>
                                </pic:pic>
                              </a:graphicData>
                            </a:graphic>
                          </wp:inline>
                        </w:drawing>
                      </w:r>
                      <w:r>
                        <w:rPr>
                          <w:noProof/>
                        </w:rPr>
                        <w:drawing>
                          <wp:inline distT="0" distB="0" distL="0" distR="0" wp14:anchorId="18D5E7E2" wp14:editId="58E124A5">
                            <wp:extent cx="5194461" cy="3074056"/>
                            <wp:effectExtent l="0" t="0" r="6350" b="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3">
                                      <a:extLst>
                                        <a:ext uri="{28A0092B-C50C-407E-A947-70E740481C1C}">
                                          <a14:useLocalDpi xmlns:a14="http://schemas.microsoft.com/office/drawing/2010/main" val="0"/>
                                        </a:ext>
                                      </a:extLst>
                                    </a:blip>
                                    <a:stretch>
                                      <a:fillRect/>
                                    </a:stretch>
                                  </pic:blipFill>
                                  <pic:spPr>
                                    <a:xfrm>
                                      <a:off x="0" y="0"/>
                                      <a:ext cx="5194461" cy="3074056"/>
                                    </a:xfrm>
                                    <a:prstGeom prst="rect">
                                      <a:avLst/>
                                    </a:prstGeom>
                                  </pic:spPr>
                                </pic:pic>
                              </a:graphicData>
                            </a:graphic>
                          </wp:inline>
                        </w:drawing>
                      </w:r>
                    </w:p>
                    <w:p w14:paraId="2490B8A0" w14:textId="213F0C56" w:rsidR="00730B8F" w:rsidRDefault="00730B8F" w:rsidP="00807857">
                      <w:pPr>
                        <w:pStyle w:val="Caption"/>
                      </w:pPr>
                      <w:bookmarkStart w:id="263" w:name="_Toc39868255"/>
                      <w:r>
                        <w:t xml:space="preserve">Figure </w:t>
                      </w:r>
                      <w:r w:rsidR="009425BE">
                        <w:fldChar w:fldCharType="begin"/>
                      </w:r>
                      <w:r w:rsidR="009425BE">
                        <w:instrText xml:space="preserve"> SEQ Figure \* ARABIC </w:instrText>
                      </w:r>
                      <w:r w:rsidR="009425BE">
                        <w:fldChar w:fldCharType="separate"/>
                      </w:r>
                      <w:r>
                        <w:rPr>
                          <w:noProof/>
                        </w:rPr>
                        <w:t>42</w:t>
                      </w:r>
                      <w:r w:rsidR="009425BE">
                        <w:rPr>
                          <w:noProof/>
                        </w:rPr>
                        <w:fldChar w:fldCharType="end"/>
                      </w:r>
                      <w:r>
                        <w:t>:</w:t>
                      </w:r>
                      <w:r w:rsidRPr="00807857">
                        <w:t xml:space="preserve"> </w:t>
                      </w:r>
                      <w:r w:rsidRPr="00807857">
                        <w:rPr>
                          <w:b w:val="0"/>
                          <w:bCs w:val="0"/>
                        </w:rPr>
                        <w:t>MS/MS verification of lipids with 10-40 manufacturer’s unit energy</w:t>
                      </w:r>
                      <w:r>
                        <w:rPr>
                          <w:b w:val="0"/>
                          <w:bCs w:val="0"/>
                        </w:rPr>
                        <w:t>.</w:t>
                      </w:r>
                      <w:bookmarkEnd w:id="263"/>
                    </w:p>
                    <w:p w14:paraId="5F07A3DF" w14:textId="77777777" w:rsidR="00730B8F" w:rsidRDefault="00730B8F" w:rsidP="00E67008"/>
                    <w:p w14:paraId="4326825F" w14:textId="77777777" w:rsidR="00730B8F" w:rsidRDefault="00730B8F"/>
                    <w:p w14:paraId="5733B8F5" w14:textId="3764409E" w:rsidR="00730B8F" w:rsidRDefault="00730B8F" w:rsidP="00807857">
                      <w:pPr>
                        <w:keepNext/>
                      </w:pPr>
                      <w:r>
                        <w:rPr>
                          <w:noProof/>
                        </w:rPr>
                        <w:drawing>
                          <wp:inline distT="0" distB="0" distL="0" distR="0" wp14:anchorId="6EBDCE41" wp14:editId="442BA87A">
                            <wp:extent cx="5199380" cy="3002308"/>
                            <wp:effectExtent l="0" t="0" r="127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2">
                                      <a:extLst>
                                        <a:ext uri="{28A0092B-C50C-407E-A947-70E740481C1C}">
                                          <a14:useLocalDpi xmlns:a14="http://schemas.microsoft.com/office/drawing/2010/main" val="0"/>
                                        </a:ext>
                                      </a:extLst>
                                    </a:blip>
                                    <a:stretch>
                                      <a:fillRect/>
                                    </a:stretch>
                                  </pic:blipFill>
                                  <pic:spPr>
                                    <a:xfrm>
                                      <a:off x="0" y="0"/>
                                      <a:ext cx="5199380" cy="3002308"/>
                                    </a:xfrm>
                                    <a:prstGeom prst="rect">
                                      <a:avLst/>
                                    </a:prstGeom>
                                  </pic:spPr>
                                </pic:pic>
                              </a:graphicData>
                            </a:graphic>
                          </wp:inline>
                        </w:drawing>
                      </w:r>
                      <w:r>
                        <w:rPr>
                          <w:noProof/>
                        </w:rPr>
                        <w:drawing>
                          <wp:inline distT="0" distB="0" distL="0" distR="0" wp14:anchorId="18D5E7E2" wp14:editId="58E124A5">
                            <wp:extent cx="5194461" cy="3074056"/>
                            <wp:effectExtent l="0" t="0" r="6350" b="0"/>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3">
                                      <a:extLst>
                                        <a:ext uri="{28A0092B-C50C-407E-A947-70E740481C1C}">
                                          <a14:useLocalDpi xmlns:a14="http://schemas.microsoft.com/office/drawing/2010/main" val="0"/>
                                        </a:ext>
                                      </a:extLst>
                                    </a:blip>
                                    <a:stretch>
                                      <a:fillRect/>
                                    </a:stretch>
                                  </pic:blipFill>
                                  <pic:spPr>
                                    <a:xfrm>
                                      <a:off x="0" y="0"/>
                                      <a:ext cx="5194461" cy="3074056"/>
                                    </a:xfrm>
                                    <a:prstGeom prst="rect">
                                      <a:avLst/>
                                    </a:prstGeom>
                                  </pic:spPr>
                                </pic:pic>
                              </a:graphicData>
                            </a:graphic>
                          </wp:inline>
                        </w:drawing>
                      </w:r>
                    </w:p>
                    <w:p w14:paraId="764B7BDF" w14:textId="6C3A1D58" w:rsidR="00730B8F" w:rsidRDefault="00730B8F" w:rsidP="00807857">
                      <w:pPr>
                        <w:pStyle w:val="Caption"/>
                      </w:pPr>
                      <w:r>
                        <w:t xml:space="preserve">Figure </w:t>
                      </w:r>
                      <w:r>
                        <w:fldChar w:fldCharType="begin"/>
                      </w:r>
                      <w:r>
                        <w:instrText xml:space="preserve">  \* ARABIC </w:instrText>
                      </w:r>
                      <w:r>
                        <w:fldChar w:fldCharType="separate"/>
                      </w:r>
                      <w:r>
                        <w:rPr>
                          <w:noProof/>
                        </w:rPr>
                        <w:t>72</w:t>
                      </w:r>
                      <w:r>
                        <w:rPr>
                          <w:noProof/>
                        </w:rPr>
                        <w:fldChar w:fldCharType="end"/>
                      </w:r>
                      <w:r>
                        <w:t>:</w:t>
                      </w:r>
                      <w:r w:rsidRPr="00807857">
                        <w:t xml:space="preserve"> </w:t>
                      </w:r>
                      <w:r w:rsidRPr="00807857">
                        <w:rPr>
                          <w:b w:val="0"/>
                          <w:bCs w:val="0"/>
                        </w:rPr>
                        <w:t>MS/MS verification of lipids with 10-40 manufacturer’s unit energy</w:t>
                      </w:r>
                      <w:r>
                        <w:rPr>
                          <w:b w:val="0"/>
                          <w:bCs w:val="0"/>
                        </w:rPr>
                        <w:t>.</w:t>
                      </w:r>
                    </w:p>
                    <w:p w14:paraId="64EB809B" w14:textId="4FA71093" w:rsidR="00730B8F" w:rsidRDefault="00730B8F" w:rsidP="00E67008"/>
                  </w:txbxContent>
                </v:textbox>
                <w10:wrap type="square" anchorx="margin"/>
              </v:shape>
            </w:pict>
          </mc:Fallback>
        </mc:AlternateContent>
      </w:r>
    </w:p>
    <w:p w14:paraId="16459846" w14:textId="006C3D1F" w:rsidR="00A64106" w:rsidRPr="00A64106" w:rsidRDefault="00A64106" w:rsidP="00A64106">
      <w:r>
        <w:rPr>
          <w:noProof/>
        </w:rPr>
        <w:lastRenderedPageBreak/>
        <mc:AlternateContent>
          <mc:Choice Requires="wps">
            <w:drawing>
              <wp:anchor distT="45720" distB="45720" distL="114300" distR="114300" simplePos="0" relativeHeight="251696128" behindDoc="0" locked="0" layoutInCell="1" allowOverlap="1" wp14:anchorId="53717872" wp14:editId="5F16A718">
                <wp:simplePos x="0" y="0"/>
                <wp:positionH relativeFrom="margin">
                  <wp:align>left</wp:align>
                </wp:positionH>
                <wp:positionV relativeFrom="paragraph">
                  <wp:posOffset>0</wp:posOffset>
                </wp:positionV>
                <wp:extent cx="5391150" cy="6697345"/>
                <wp:effectExtent l="0" t="0" r="19050" b="27305"/>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697345"/>
                        </a:xfrm>
                        <a:prstGeom prst="rect">
                          <a:avLst/>
                        </a:prstGeom>
                        <a:solidFill>
                          <a:srgbClr val="FFFFFF"/>
                        </a:solidFill>
                        <a:ln w="9525">
                          <a:solidFill>
                            <a:srgbClr val="000000"/>
                          </a:solidFill>
                          <a:miter lim="800000"/>
                          <a:headEnd/>
                          <a:tailEnd/>
                        </a:ln>
                      </wps:spPr>
                      <wps:txbx>
                        <w:txbxContent>
                          <w:p w14:paraId="3DB0B328" w14:textId="77777777" w:rsidR="00730B8F" w:rsidRDefault="00730B8F" w:rsidP="00807857">
                            <w:pPr>
                              <w:keepNext/>
                            </w:pPr>
                            <w:r>
                              <w:rPr>
                                <w:noProof/>
                              </w:rPr>
                              <w:drawing>
                                <wp:inline distT="0" distB="0" distL="0" distR="0" wp14:anchorId="07E462A8" wp14:editId="2EF697E8">
                                  <wp:extent cx="4961440" cy="3002308"/>
                                  <wp:effectExtent l="0" t="0" r="0" b="0"/>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4">
                                            <a:extLst>
                                              <a:ext uri="{28A0092B-C50C-407E-A947-70E740481C1C}">
                                                <a14:useLocalDpi xmlns:a14="http://schemas.microsoft.com/office/drawing/2010/main" val="0"/>
                                              </a:ext>
                                            </a:extLst>
                                          </a:blip>
                                          <a:stretch>
                                            <a:fillRect/>
                                          </a:stretch>
                                        </pic:blipFill>
                                        <pic:spPr>
                                          <a:xfrm>
                                            <a:off x="0" y="0"/>
                                            <a:ext cx="4961440" cy="3002308"/>
                                          </a:xfrm>
                                          <a:prstGeom prst="rect">
                                            <a:avLst/>
                                          </a:prstGeom>
                                        </pic:spPr>
                                      </pic:pic>
                                    </a:graphicData>
                                  </a:graphic>
                                </wp:inline>
                              </w:drawing>
                            </w:r>
                            <w:r>
                              <w:rPr>
                                <w:noProof/>
                              </w:rPr>
                              <w:drawing>
                                <wp:inline distT="0" distB="0" distL="0" distR="0" wp14:anchorId="048596A0" wp14:editId="05FE9861">
                                  <wp:extent cx="5194461" cy="3026106"/>
                                  <wp:effectExtent l="0" t="0" r="6350" b="0"/>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5">
                                            <a:extLst>
                                              <a:ext uri="{28A0092B-C50C-407E-A947-70E740481C1C}">
                                                <a14:useLocalDpi xmlns:a14="http://schemas.microsoft.com/office/drawing/2010/main" val="0"/>
                                              </a:ext>
                                            </a:extLst>
                                          </a:blip>
                                          <a:stretch>
                                            <a:fillRect/>
                                          </a:stretch>
                                        </pic:blipFill>
                                        <pic:spPr>
                                          <a:xfrm>
                                            <a:off x="0" y="0"/>
                                            <a:ext cx="5194461" cy="3026106"/>
                                          </a:xfrm>
                                          <a:prstGeom prst="rect">
                                            <a:avLst/>
                                          </a:prstGeom>
                                        </pic:spPr>
                                      </pic:pic>
                                    </a:graphicData>
                                  </a:graphic>
                                </wp:inline>
                              </w:drawing>
                            </w:r>
                          </w:p>
                          <w:p w14:paraId="3ED5E8BD" w14:textId="0C84A8B1" w:rsidR="00730B8F" w:rsidRDefault="00730B8F" w:rsidP="00807857">
                            <w:pPr>
                              <w:pStyle w:val="Caption"/>
                            </w:pPr>
                            <w:bookmarkStart w:id="264" w:name="_Toc39868256"/>
                            <w:r>
                              <w:t xml:space="preserve">Figure </w:t>
                            </w:r>
                            <w:r w:rsidR="009425BE">
                              <w:fldChar w:fldCharType="begin"/>
                            </w:r>
                            <w:r w:rsidR="009425BE">
                              <w:instrText xml:space="preserve"> SEQ Figure \* ARABIC </w:instrText>
                            </w:r>
                            <w:r w:rsidR="009425BE">
                              <w:fldChar w:fldCharType="separate"/>
                            </w:r>
                            <w:r>
                              <w:rPr>
                                <w:noProof/>
                              </w:rPr>
                              <w:t>43</w:t>
                            </w:r>
                            <w:r w:rsidR="009425BE">
                              <w:rPr>
                                <w:noProof/>
                              </w:rPr>
                              <w:fldChar w:fldCharType="end"/>
                            </w:r>
                            <w:r>
                              <w:t>:</w:t>
                            </w:r>
                            <w:r w:rsidRPr="00807857">
                              <w:rPr>
                                <w:b w:val="0"/>
                                <w:bCs w:val="0"/>
                              </w:rPr>
                              <w:t xml:space="preserve"> MS/MS verification of lipids with 10-40 manufacturer’s unit energy</w:t>
                            </w:r>
                            <w:r>
                              <w:rPr>
                                <w:b w:val="0"/>
                                <w:bCs w:val="0"/>
                              </w:rPr>
                              <w:t>.</w:t>
                            </w:r>
                            <w:bookmarkEnd w:id="264"/>
                          </w:p>
                          <w:p w14:paraId="2F4E6C7C" w14:textId="77777777" w:rsidR="00730B8F" w:rsidRDefault="00730B8F" w:rsidP="00A64106"/>
                          <w:p w14:paraId="6EA49202" w14:textId="77777777" w:rsidR="00730B8F" w:rsidRDefault="00730B8F"/>
                          <w:p w14:paraId="793D0984" w14:textId="3A824313" w:rsidR="00730B8F" w:rsidRDefault="00730B8F" w:rsidP="00807857">
                            <w:pPr>
                              <w:keepNext/>
                            </w:pPr>
                            <w:r>
                              <w:rPr>
                                <w:noProof/>
                              </w:rPr>
                              <w:drawing>
                                <wp:inline distT="0" distB="0" distL="0" distR="0" wp14:anchorId="07E462A8" wp14:editId="2EF697E8">
                                  <wp:extent cx="4961440" cy="3002308"/>
                                  <wp:effectExtent l="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4">
                                            <a:extLst>
                                              <a:ext uri="{28A0092B-C50C-407E-A947-70E740481C1C}">
                                                <a14:useLocalDpi xmlns:a14="http://schemas.microsoft.com/office/drawing/2010/main" val="0"/>
                                              </a:ext>
                                            </a:extLst>
                                          </a:blip>
                                          <a:stretch>
                                            <a:fillRect/>
                                          </a:stretch>
                                        </pic:blipFill>
                                        <pic:spPr>
                                          <a:xfrm>
                                            <a:off x="0" y="0"/>
                                            <a:ext cx="4961440" cy="3002308"/>
                                          </a:xfrm>
                                          <a:prstGeom prst="rect">
                                            <a:avLst/>
                                          </a:prstGeom>
                                        </pic:spPr>
                                      </pic:pic>
                                    </a:graphicData>
                                  </a:graphic>
                                </wp:inline>
                              </w:drawing>
                            </w:r>
                            <w:r>
                              <w:rPr>
                                <w:noProof/>
                              </w:rPr>
                              <w:drawing>
                                <wp:inline distT="0" distB="0" distL="0" distR="0" wp14:anchorId="048596A0" wp14:editId="05FE9861">
                                  <wp:extent cx="5194461" cy="3026106"/>
                                  <wp:effectExtent l="0" t="0" r="6350"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5">
                                            <a:extLst>
                                              <a:ext uri="{28A0092B-C50C-407E-A947-70E740481C1C}">
                                                <a14:useLocalDpi xmlns:a14="http://schemas.microsoft.com/office/drawing/2010/main" val="0"/>
                                              </a:ext>
                                            </a:extLst>
                                          </a:blip>
                                          <a:stretch>
                                            <a:fillRect/>
                                          </a:stretch>
                                        </pic:blipFill>
                                        <pic:spPr>
                                          <a:xfrm>
                                            <a:off x="0" y="0"/>
                                            <a:ext cx="5194461" cy="3026106"/>
                                          </a:xfrm>
                                          <a:prstGeom prst="rect">
                                            <a:avLst/>
                                          </a:prstGeom>
                                        </pic:spPr>
                                      </pic:pic>
                                    </a:graphicData>
                                  </a:graphic>
                                </wp:inline>
                              </w:drawing>
                            </w:r>
                          </w:p>
                          <w:p w14:paraId="35A2F9D3" w14:textId="01A9FE8C" w:rsidR="00730B8F" w:rsidRDefault="00730B8F" w:rsidP="00807857">
                            <w:pPr>
                              <w:pStyle w:val="Caption"/>
                            </w:pPr>
                            <w:r>
                              <w:t xml:space="preserve">Figure </w:t>
                            </w:r>
                            <w:r>
                              <w:fldChar w:fldCharType="begin"/>
                            </w:r>
                            <w:r>
                              <w:instrText xml:space="preserve">  \* ARABIC </w:instrText>
                            </w:r>
                            <w:r>
                              <w:fldChar w:fldCharType="separate"/>
                            </w:r>
                            <w:r>
                              <w:rPr>
                                <w:noProof/>
                              </w:rPr>
                              <w:t>74</w:t>
                            </w:r>
                            <w:r>
                              <w:rPr>
                                <w:noProof/>
                              </w:rPr>
                              <w:fldChar w:fldCharType="end"/>
                            </w:r>
                            <w:r>
                              <w:t>:</w:t>
                            </w:r>
                            <w:r w:rsidRPr="00807857">
                              <w:rPr>
                                <w:b w:val="0"/>
                                <w:bCs w:val="0"/>
                              </w:rPr>
                              <w:t xml:space="preserve"> MS/MS verification of lipids with 10-40 manufacturer’s unit energy</w:t>
                            </w:r>
                            <w:r>
                              <w:rPr>
                                <w:b w:val="0"/>
                                <w:bCs w:val="0"/>
                              </w:rPr>
                              <w:t>.</w:t>
                            </w:r>
                          </w:p>
                          <w:p w14:paraId="06EF8336" w14:textId="74A1AB7E" w:rsidR="00730B8F" w:rsidRDefault="00730B8F" w:rsidP="00A641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17872" id="_x0000_s1068" type="#_x0000_t202" style="position:absolute;margin-left:0;margin-top:0;width:424.5pt;height:527.35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">
                <v:textbox>
                  <w:txbxContent>
                    <w:p w14:paraId="3DB0B328" w14:textId="77777777" w:rsidR="00730B8F" w:rsidRDefault="00730B8F" w:rsidP="00807857">
                      <w:pPr>
                        <w:keepNext/>
                      </w:pPr>
                      <w:r>
                        <w:rPr>
                          <w:noProof/>
                        </w:rPr>
                        <w:drawing>
                          <wp:inline distT="0" distB="0" distL="0" distR="0" wp14:anchorId="07E462A8" wp14:editId="2EF697E8">
                            <wp:extent cx="4961440" cy="3002308"/>
                            <wp:effectExtent l="0" t="0" r="0" b="0"/>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4">
                                      <a:extLst>
                                        <a:ext uri="{28A0092B-C50C-407E-A947-70E740481C1C}">
                                          <a14:useLocalDpi xmlns:a14="http://schemas.microsoft.com/office/drawing/2010/main" val="0"/>
                                        </a:ext>
                                      </a:extLst>
                                    </a:blip>
                                    <a:stretch>
                                      <a:fillRect/>
                                    </a:stretch>
                                  </pic:blipFill>
                                  <pic:spPr>
                                    <a:xfrm>
                                      <a:off x="0" y="0"/>
                                      <a:ext cx="4961440" cy="3002308"/>
                                    </a:xfrm>
                                    <a:prstGeom prst="rect">
                                      <a:avLst/>
                                    </a:prstGeom>
                                  </pic:spPr>
                                </pic:pic>
                              </a:graphicData>
                            </a:graphic>
                          </wp:inline>
                        </w:drawing>
                      </w:r>
                      <w:r>
                        <w:rPr>
                          <w:noProof/>
                        </w:rPr>
                        <w:drawing>
                          <wp:inline distT="0" distB="0" distL="0" distR="0" wp14:anchorId="048596A0" wp14:editId="05FE9861">
                            <wp:extent cx="5194461" cy="3026106"/>
                            <wp:effectExtent l="0" t="0" r="6350" b="0"/>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5">
                                      <a:extLst>
                                        <a:ext uri="{28A0092B-C50C-407E-A947-70E740481C1C}">
                                          <a14:useLocalDpi xmlns:a14="http://schemas.microsoft.com/office/drawing/2010/main" val="0"/>
                                        </a:ext>
                                      </a:extLst>
                                    </a:blip>
                                    <a:stretch>
                                      <a:fillRect/>
                                    </a:stretch>
                                  </pic:blipFill>
                                  <pic:spPr>
                                    <a:xfrm>
                                      <a:off x="0" y="0"/>
                                      <a:ext cx="5194461" cy="3026106"/>
                                    </a:xfrm>
                                    <a:prstGeom prst="rect">
                                      <a:avLst/>
                                    </a:prstGeom>
                                  </pic:spPr>
                                </pic:pic>
                              </a:graphicData>
                            </a:graphic>
                          </wp:inline>
                        </w:drawing>
                      </w:r>
                    </w:p>
                    <w:p w14:paraId="3ED5E8BD" w14:textId="0C84A8B1" w:rsidR="00730B8F" w:rsidRDefault="00730B8F" w:rsidP="00807857">
                      <w:pPr>
                        <w:pStyle w:val="Caption"/>
                      </w:pPr>
                      <w:bookmarkStart w:id="265" w:name="_Toc39868256"/>
                      <w:r>
                        <w:t xml:space="preserve">Figure </w:t>
                      </w:r>
                      <w:r w:rsidR="009425BE">
                        <w:fldChar w:fldCharType="begin"/>
                      </w:r>
                      <w:r w:rsidR="009425BE">
                        <w:instrText xml:space="preserve"> SEQ Figure \* ARABIC </w:instrText>
                      </w:r>
                      <w:r w:rsidR="009425BE">
                        <w:fldChar w:fldCharType="separate"/>
                      </w:r>
                      <w:r>
                        <w:rPr>
                          <w:noProof/>
                        </w:rPr>
                        <w:t>43</w:t>
                      </w:r>
                      <w:r w:rsidR="009425BE">
                        <w:rPr>
                          <w:noProof/>
                        </w:rPr>
                        <w:fldChar w:fldCharType="end"/>
                      </w:r>
                      <w:r>
                        <w:t>:</w:t>
                      </w:r>
                      <w:r w:rsidRPr="00807857">
                        <w:rPr>
                          <w:b w:val="0"/>
                          <w:bCs w:val="0"/>
                        </w:rPr>
                        <w:t xml:space="preserve"> MS/MS verification of lipids with 10-40 manufacturer’s unit energy</w:t>
                      </w:r>
                      <w:r>
                        <w:rPr>
                          <w:b w:val="0"/>
                          <w:bCs w:val="0"/>
                        </w:rPr>
                        <w:t>.</w:t>
                      </w:r>
                      <w:bookmarkEnd w:id="265"/>
                    </w:p>
                    <w:p w14:paraId="2F4E6C7C" w14:textId="77777777" w:rsidR="00730B8F" w:rsidRDefault="00730B8F" w:rsidP="00A64106"/>
                    <w:p w14:paraId="6EA49202" w14:textId="77777777" w:rsidR="00730B8F" w:rsidRDefault="00730B8F"/>
                    <w:p w14:paraId="793D0984" w14:textId="3A824313" w:rsidR="00730B8F" w:rsidRDefault="00730B8F" w:rsidP="00807857">
                      <w:pPr>
                        <w:keepNext/>
                      </w:pPr>
                      <w:r>
                        <w:rPr>
                          <w:noProof/>
                        </w:rPr>
                        <w:drawing>
                          <wp:inline distT="0" distB="0" distL="0" distR="0" wp14:anchorId="07E462A8" wp14:editId="2EF697E8">
                            <wp:extent cx="4961440" cy="3002308"/>
                            <wp:effectExtent l="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4">
                                      <a:extLst>
                                        <a:ext uri="{28A0092B-C50C-407E-A947-70E740481C1C}">
                                          <a14:useLocalDpi xmlns:a14="http://schemas.microsoft.com/office/drawing/2010/main" val="0"/>
                                        </a:ext>
                                      </a:extLst>
                                    </a:blip>
                                    <a:stretch>
                                      <a:fillRect/>
                                    </a:stretch>
                                  </pic:blipFill>
                                  <pic:spPr>
                                    <a:xfrm>
                                      <a:off x="0" y="0"/>
                                      <a:ext cx="4961440" cy="3002308"/>
                                    </a:xfrm>
                                    <a:prstGeom prst="rect">
                                      <a:avLst/>
                                    </a:prstGeom>
                                  </pic:spPr>
                                </pic:pic>
                              </a:graphicData>
                            </a:graphic>
                          </wp:inline>
                        </w:drawing>
                      </w:r>
                      <w:r>
                        <w:rPr>
                          <w:noProof/>
                        </w:rPr>
                        <w:drawing>
                          <wp:inline distT="0" distB="0" distL="0" distR="0" wp14:anchorId="048596A0" wp14:editId="05FE9861">
                            <wp:extent cx="5194461" cy="3026106"/>
                            <wp:effectExtent l="0" t="0" r="6350"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5">
                                      <a:extLst>
                                        <a:ext uri="{28A0092B-C50C-407E-A947-70E740481C1C}">
                                          <a14:useLocalDpi xmlns:a14="http://schemas.microsoft.com/office/drawing/2010/main" val="0"/>
                                        </a:ext>
                                      </a:extLst>
                                    </a:blip>
                                    <a:stretch>
                                      <a:fillRect/>
                                    </a:stretch>
                                  </pic:blipFill>
                                  <pic:spPr>
                                    <a:xfrm>
                                      <a:off x="0" y="0"/>
                                      <a:ext cx="5194461" cy="3026106"/>
                                    </a:xfrm>
                                    <a:prstGeom prst="rect">
                                      <a:avLst/>
                                    </a:prstGeom>
                                  </pic:spPr>
                                </pic:pic>
                              </a:graphicData>
                            </a:graphic>
                          </wp:inline>
                        </w:drawing>
                      </w:r>
                    </w:p>
                    <w:p w14:paraId="35A2F9D3" w14:textId="01A9FE8C" w:rsidR="00730B8F" w:rsidRDefault="00730B8F" w:rsidP="00807857">
                      <w:pPr>
                        <w:pStyle w:val="Caption"/>
                      </w:pPr>
                      <w:r>
                        <w:t xml:space="preserve">Figure </w:t>
                      </w:r>
                      <w:r>
                        <w:fldChar w:fldCharType="begin"/>
                      </w:r>
                      <w:r>
                        <w:instrText xml:space="preserve">  \* ARABIC </w:instrText>
                      </w:r>
                      <w:r>
                        <w:fldChar w:fldCharType="separate"/>
                      </w:r>
                      <w:r>
                        <w:rPr>
                          <w:noProof/>
                        </w:rPr>
                        <w:t>74</w:t>
                      </w:r>
                      <w:r>
                        <w:rPr>
                          <w:noProof/>
                        </w:rPr>
                        <w:fldChar w:fldCharType="end"/>
                      </w:r>
                      <w:r>
                        <w:t>:</w:t>
                      </w:r>
                      <w:r w:rsidRPr="00807857">
                        <w:rPr>
                          <w:b w:val="0"/>
                          <w:bCs w:val="0"/>
                        </w:rPr>
                        <w:t xml:space="preserve"> MS/MS verification of lipids with 10-40 manufacturer’s unit energy</w:t>
                      </w:r>
                      <w:r>
                        <w:rPr>
                          <w:b w:val="0"/>
                          <w:bCs w:val="0"/>
                        </w:rPr>
                        <w:t>.</w:t>
                      </w:r>
                    </w:p>
                    <w:p w14:paraId="06EF8336" w14:textId="74A1AB7E" w:rsidR="00730B8F" w:rsidRDefault="00730B8F" w:rsidP="00A64106"/>
                  </w:txbxContent>
                </v:textbox>
                <w10:wrap type="square" anchorx="margin"/>
              </v:shape>
            </w:pict>
          </mc:Fallback>
        </mc:AlternateContent>
      </w:r>
    </w:p>
    <w:p w14:paraId="0036F101" w14:textId="6AA6C0B8" w:rsidR="00A64106" w:rsidRDefault="00A64106" w:rsidP="00A64106"/>
    <w:p w14:paraId="1A3C3E85" w14:textId="14372878" w:rsidR="008B7EFC" w:rsidRDefault="008B7EFC" w:rsidP="00A64106"/>
    <w:p w14:paraId="23184742" w14:textId="75726346" w:rsidR="008B7EFC" w:rsidRDefault="008B7EFC" w:rsidP="00A64106"/>
    <w:p w14:paraId="40576C64" w14:textId="1B732F4F" w:rsidR="008B7EFC" w:rsidRPr="00A64106" w:rsidRDefault="008B7EFC" w:rsidP="00A64106">
      <w:r>
        <w:rPr>
          <w:noProof/>
        </w:rPr>
        <w:lastRenderedPageBreak/>
        <mc:AlternateContent>
          <mc:Choice Requires="wps">
            <w:drawing>
              <wp:anchor distT="45720" distB="45720" distL="114300" distR="114300" simplePos="0" relativeHeight="251697152" behindDoc="0" locked="0" layoutInCell="1" allowOverlap="1" wp14:anchorId="2CEABD78" wp14:editId="332AB52F">
                <wp:simplePos x="0" y="0"/>
                <wp:positionH relativeFrom="margin">
                  <wp:align>left</wp:align>
                </wp:positionH>
                <wp:positionV relativeFrom="paragraph">
                  <wp:posOffset>397510</wp:posOffset>
                </wp:positionV>
                <wp:extent cx="5391150" cy="6661785"/>
                <wp:effectExtent l="0" t="0" r="19050" b="24765"/>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661785"/>
                        </a:xfrm>
                        <a:prstGeom prst="rect">
                          <a:avLst/>
                        </a:prstGeom>
                        <a:solidFill>
                          <a:srgbClr val="FFFFFF"/>
                        </a:solidFill>
                        <a:ln w="9525">
                          <a:solidFill>
                            <a:srgbClr val="000000"/>
                          </a:solidFill>
                          <a:miter lim="800000"/>
                          <a:headEnd/>
                          <a:tailEnd/>
                        </a:ln>
                      </wps:spPr>
                      <wps:txbx>
                        <w:txbxContent>
                          <w:p w14:paraId="0ABCE3EA" w14:textId="77777777" w:rsidR="00730B8F" w:rsidRDefault="00730B8F" w:rsidP="00807857">
                            <w:pPr>
                              <w:keepNext/>
                            </w:pPr>
                            <w:r>
                              <w:rPr>
                                <w:noProof/>
                              </w:rPr>
                              <w:drawing>
                                <wp:inline distT="0" distB="0" distL="0" distR="0" wp14:anchorId="2803065A" wp14:editId="29532789">
                                  <wp:extent cx="4961440" cy="2925977"/>
                                  <wp:effectExtent l="0" t="0" r="0" b="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6">
                                            <a:extLst>
                                              <a:ext uri="{28A0092B-C50C-407E-A947-70E740481C1C}">
                                                <a14:useLocalDpi xmlns:a14="http://schemas.microsoft.com/office/drawing/2010/main" val="0"/>
                                              </a:ext>
                                            </a:extLst>
                                          </a:blip>
                                          <a:stretch>
                                            <a:fillRect/>
                                          </a:stretch>
                                        </pic:blipFill>
                                        <pic:spPr>
                                          <a:xfrm>
                                            <a:off x="0" y="0"/>
                                            <a:ext cx="4961440" cy="2925977"/>
                                          </a:xfrm>
                                          <a:prstGeom prst="rect">
                                            <a:avLst/>
                                          </a:prstGeom>
                                        </pic:spPr>
                                      </pic:pic>
                                    </a:graphicData>
                                  </a:graphic>
                                </wp:inline>
                              </w:drawing>
                            </w:r>
                            <w:r>
                              <w:rPr>
                                <w:noProof/>
                              </w:rPr>
                              <w:drawing>
                                <wp:inline distT="0" distB="0" distL="0" distR="0" wp14:anchorId="7AC5FEA3" wp14:editId="13F7561A">
                                  <wp:extent cx="5149132" cy="3026106"/>
                                  <wp:effectExtent l="0" t="0" r="0"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7">
                                            <a:extLst>
                                              <a:ext uri="{28A0092B-C50C-407E-A947-70E740481C1C}">
                                                <a14:useLocalDpi xmlns:a14="http://schemas.microsoft.com/office/drawing/2010/main" val="0"/>
                                              </a:ext>
                                            </a:extLst>
                                          </a:blip>
                                          <a:stretch>
                                            <a:fillRect/>
                                          </a:stretch>
                                        </pic:blipFill>
                                        <pic:spPr>
                                          <a:xfrm>
                                            <a:off x="0" y="0"/>
                                            <a:ext cx="5149132" cy="3026106"/>
                                          </a:xfrm>
                                          <a:prstGeom prst="rect">
                                            <a:avLst/>
                                          </a:prstGeom>
                                        </pic:spPr>
                                      </pic:pic>
                                    </a:graphicData>
                                  </a:graphic>
                                </wp:inline>
                              </w:drawing>
                            </w:r>
                          </w:p>
                          <w:p w14:paraId="0B8048F9" w14:textId="7196F6F4" w:rsidR="00730B8F" w:rsidRDefault="00730B8F" w:rsidP="00807857">
                            <w:pPr>
                              <w:pStyle w:val="Caption"/>
                            </w:pPr>
                            <w:bookmarkStart w:id="266" w:name="_Toc39868257"/>
                            <w:r>
                              <w:t xml:space="preserve">Figure </w:t>
                            </w:r>
                            <w:r w:rsidR="009425BE">
                              <w:fldChar w:fldCharType="begin"/>
                            </w:r>
                            <w:r w:rsidR="009425BE">
                              <w:instrText xml:space="preserve"> SEQ Figure \* ARABIC </w:instrText>
                            </w:r>
                            <w:r w:rsidR="009425BE">
                              <w:fldChar w:fldCharType="separate"/>
                            </w:r>
                            <w:r>
                              <w:rPr>
                                <w:noProof/>
                              </w:rPr>
                              <w:t>44</w:t>
                            </w:r>
                            <w:r w:rsidR="009425BE">
                              <w:rPr>
                                <w:noProof/>
                              </w:rPr>
                              <w:fldChar w:fldCharType="end"/>
                            </w:r>
                            <w:r>
                              <w:t xml:space="preserve">: </w:t>
                            </w:r>
                            <w:r w:rsidRPr="00807857">
                              <w:rPr>
                                <w:b w:val="0"/>
                                <w:bCs w:val="0"/>
                              </w:rPr>
                              <w:t>MS/MS verification of lipids with 10-40 manufacturer’s unit energy</w:t>
                            </w:r>
                            <w:r>
                              <w:rPr>
                                <w:b w:val="0"/>
                                <w:bCs w:val="0"/>
                              </w:rPr>
                              <w:t>.</w:t>
                            </w:r>
                            <w:bookmarkEnd w:id="266"/>
                          </w:p>
                          <w:p w14:paraId="537C3E70" w14:textId="77777777" w:rsidR="00730B8F" w:rsidRDefault="00730B8F" w:rsidP="008B7EFC"/>
                          <w:p w14:paraId="6074418D" w14:textId="77777777" w:rsidR="00730B8F" w:rsidRDefault="00730B8F"/>
                          <w:p w14:paraId="0D606D62" w14:textId="6703A985" w:rsidR="00730B8F" w:rsidRDefault="00730B8F" w:rsidP="00807857">
                            <w:pPr>
                              <w:keepNext/>
                            </w:pPr>
                            <w:r>
                              <w:rPr>
                                <w:noProof/>
                              </w:rPr>
                              <w:drawing>
                                <wp:inline distT="0" distB="0" distL="0" distR="0" wp14:anchorId="2803065A" wp14:editId="29532789">
                                  <wp:extent cx="4961440" cy="2925977"/>
                                  <wp:effectExtent l="0" t="0" r="0" b="0"/>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6">
                                            <a:extLst>
                                              <a:ext uri="{28A0092B-C50C-407E-A947-70E740481C1C}">
                                                <a14:useLocalDpi xmlns:a14="http://schemas.microsoft.com/office/drawing/2010/main" val="0"/>
                                              </a:ext>
                                            </a:extLst>
                                          </a:blip>
                                          <a:stretch>
                                            <a:fillRect/>
                                          </a:stretch>
                                        </pic:blipFill>
                                        <pic:spPr>
                                          <a:xfrm>
                                            <a:off x="0" y="0"/>
                                            <a:ext cx="4961440" cy="2925977"/>
                                          </a:xfrm>
                                          <a:prstGeom prst="rect">
                                            <a:avLst/>
                                          </a:prstGeom>
                                        </pic:spPr>
                                      </pic:pic>
                                    </a:graphicData>
                                  </a:graphic>
                                </wp:inline>
                              </w:drawing>
                            </w:r>
                            <w:r>
                              <w:rPr>
                                <w:noProof/>
                              </w:rPr>
                              <w:drawing>
                                <wp:inline distT="0" distB="0" distL="0" distR="0" wp14:anchorId="7AC5FEA3" wp14:editId="13F7561A">
                                  <wp:extent cx="5149132" cy="3026106"/>
                                  <wp:effectExtent l="0" t="0" r="0" b="0"/>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7">
                                            <a:extLst>
                                              <a:ext uri="{28A0092B-C50C-407E-A947-70E740481C1C}">
                                                <a14:useLocalDpi xmlns:a14="http://schemas.microsoft.com/office/drawing/2010/main" val="0"/>
                                              </a:ext>
                                            </a:extLst>
                                          </a:blip>
                                          <a:stretch>
                                            <a:fillRect/>
                                          </a:stretch>
                                        </pic:blipFill>
                                        <pic:spPr>
                                          <a:xfrm>
                                            <a:off x="0" y="0"/>
                                            <a:ext cx="5149132" cy="3026106"/>
                                          </a:xfrm>
                                          <a:prstGeom prst="rect">
                                            <a:avLst/>
                                          </a:prstGeom>
                                        </pic:spPr>
                                      </pic:pic>
                                    </a:graphicData>
                                  </a:graphic>
                                </wp:inline>
                              </w:drawing>
                            </w:r>
                          </w:p>
                          <w:p w14:paraId="4750EE4A" w14:textId="39FD703F" w:rsidR="00730B8F" w:rsidRDefault="00730B8F" w:rsidP="00807857">
                            <w:pPr>
                              <w:pStyle w:val="Caption"/>
                            </w:pPr>
                            <w:r>
                              <w:t xml:space="preserve">Figure </w:t>
                            </w:r>
                            <w:r>
                              <w:fldChar w:fldCharType="begin"/>
                            </w:r>
                            <w:r>
                              <w:instrText xml:space="preserve">  \* ARABIC </w:instrText>
                            </w:r>
                            <w:r>
                              <w:fldChar w:fldCharType="separate"/>
                            </w:r>
                            <w:r>
                              <w:rPr>
                                <w:noProof/>
                              </w:rPr>
                              <w:t>76</w:t>
                            </w:r>
                            <w:r>
                              <w:rPr>
                                <w:noProof/>
                              </w:rPr>
                              <w:fldChar w:fldCharType="end"/>
                            </w:r>
                            <w:r>
                              <w:t xml:space="preserve">: </w:t>
                            </w:r>
                            <w:r w:rsidRPr="00807857">
                              <w:rPr>
                                <w:b w:val="0"/>
                                <w:bCs w:val="0"/>
                              </w:rPr>
                              <w:t>MS/MS verification of lipids with 10-40 manufacturer’s unit energy</w:t>
                            </w:r>
                            <w:r>
                              <w:rPr>
                                <w:b w:val="0"/>
                                <w:bCs w:val="0"/>
                              </w:rPr>
                              <w:t>.</w:t>
                            </w:r>
                          </w:p>
                          <w:p w14:paraId="74E60AD2" w14:textId="789BD5A7" w:rsidR="00730B8F" w:rsidRDefault="00730B8F" w:rsidP="008B7E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ABD78" id="_x0000_s1069" type="#_x0000_t202" style="position:absolute;margin-left:0;margin-top:31.3pt;width:424.5pt;height:524.55pt;z-index:251697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">
                <v:textbox>
                  <w:txbxContent>
                    <w:p w14:paraId="0ABCE3EA" w14:textId="77777777" w:rsidR="00730B8F" w:rsidRDefault="00730B8F" w:rsidP="00807857">
                      <w:pPr>
                        <w:keepNext/>
                      </w:pPr>
                      <w:r>
                        <w:rPr>
                          <w:noProof/>
                        </w:rPr>
                        <w:drawing>
                          <wp:inline distT="0" distB="0" distL="0" distR="0" wp14:anchorId="2803065A" wp14:editId="29532789">
                            <wp:extent cx="4961440" cy="2925977"/>
                            <wp:effectExtent l="0" t="0" r="0" b="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6">
                                      <a:extLst>
                                        <a:ext uri="{28A0092B-C50C-407E-A947-70E740481C1C}">
                                          <a14:useLocalDpi xmlns:a14="http://schemas.microsoft.com/office/drawing/2010/main" val="0"/>
                                        </a:ext>
                                      </a:extLst>
                                    </a:blip>
                                    <a:stretch>
                                      <a:fillRect/>
                                    </a:stretch>
                                  </pic:blipFill>
                                  <pic:spPr>
                                    <a:xfrm>
                                      <a:off x="0" y="0"/>
                                      <a:ext cx="4961440" cy="2925977"/>
                                    </a:xfrm>
                                    <a:prstGeom prst="rect">
                                      <a:avLst/>
                                    </a:prstGeom>
                                  </pic:spPr>
                                </pic:pic>
                              </a:graphicData>
                            </a:graphic>
                          </wp:inline>
                        </w:drawing>
                      </w:r>
                      <w:r>
                        <w:rPr>
                          <w:noProof/>
                        </w:rPr>
                        <w:drawing>
                          <wp:inline distT="0" distB="0" distL="0" distR="0" wp14:anchorId="7AC5FEA3" wp14:editId="13F7561A">
                            <wp:extent cx="5149132" cy="3026106"/>
                            <wp:effectExtent l="0" t="0" r="0"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7">
                                      <a:extLst>
                                        <a:ext uri="{28A0092B-C50C-407E-A947-70E740481C1C}">
                                          <a14:useLocalDpi xmlns:a14="http://schemas.microsoft.com/office/drawing/2010/main" val="0"/>
                                        </a:ext>
                                      </a:extLst>
                                    </a:blip>
                                    <a:stretch>
                                      <a:fillRect/>
                                    </a:stretch>
                                  </pic:blipFill>
                                  <pic:spPr>
                                    <a:xfrm>
                                      <a:off x="0" y="0"/>
                                      <a:ext cx="5149132" cy="3026106"/>
                                    </a:xfrm>
                                    <a:prstGeom prst="rect">
                                      <a:avLst/>
                                    </a:prstGeom>
                                  </pic:spPr>
                                </pic:pic>
                              </a:graphicData>
                            </a:graphic>
                          </wp:inline>
                        </w:drawing>
                      </w:r>
                    </w:p>
                    <w:p w14:paraId="0B8048F9" w14:textId="7196F6F4" w:rsidR="00730B8F" w:rsidRDefault="00730B8F" w:rsidP="00807857">
                      <w:pPr>
                        <w:pStyle w:val="Caption"/>
                      </w:pPr>
                      <w:bookmarkStart w:id="267" w:name="_Toc39868257"/>
                      <w:r>
                        <w:t xml:space="preserve">Figure </w:t>
                      </w:r>
                      <w:r w:rsidR="009425BE">
                        <w:fldChar w:fldCharType="begin"/>
                      </w:r>
                      <w:r w:rsidR="009425BE">
                        <w:instrText xml:space="preserve"> SEQ Figure \* ARABIC </w:instrText>
                      </w:r>
                      <w:r w:rsidR="009425BE">
                        <w:fldChar w:fldCharType="separate"/>
                      </w:r>
                      <w:r>
                        <w:rPr>
                          <w:noProof/>
                        </w:rPr>
                        <w:t>44</w:t>
                      </w:r>
                      <w:r w:rsidR="009425BE">
                        <w:rPr>
                          <w:noProof/>
                        </w:rPr>
                        <w:fldChar w:fldCharType="end"/>
                      </w:r>
                      <w:r>
                        <w:t xml:space="preserve">: </w:t>
                      </w:r>
                      <w:r w:rsidRPr="00807857">
                        <w:rPr>
                          <w:b w:val="0"/>
                          <w:bCs w:val="0"/>
                        </w:rPr>
                        <w:t>MS/MS verification of lipids with 10-40 manufacturer’s unit energy</w:t>
                      </w:r>
                      <w:r>
                        <w:rPr>
                          <w:b w:val="0"/>
                          <w:bCs w:val="0"/>
                        </w:rPr>
                        <w:t>.</w:t>
                      </w:r>
                      <w:bookmarkEnd w:id="267"/>
                    </w:p>
                    <w:p w14:paraId="537C3E70" w14:textId="77777777" w:rsidR="00730B8F" w:rsidRDefault="00730B8F" w:rsidP="008B7EFC"/>
                    <w:p w14:paraId="6074418D" w14:textId="77777777" w:rsidR="00730B8F" w:rsidRDefault="00730B8F"/>
                    <w:p w14:paraId="0D606D62" w14:textId="6703A985" w:rsidR="00730B8F" w:rsidRDefault="00730B8F" w:rsidP="00807857">
                      <w:pPr>
                        <w:keepNext/>
                      </w:pPr>
                      <w:r>
                        <w:rPr>
                          <w:noProof/>
                        </w:rPr>
                        <w:drawing>
                          <wp:inline distT="0" distB="0" distL="0" distR="0" wp14:anchorId="2803065A" wp14:editId="29532789">
                            <wp:extent cx="4961440" cy="2925977"/>
                            <wp:effectExtent l="0" t="0" r="0" b="0"/>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tif"/>
                                    <pic:cNvPicPr/>
                                  </pic:nvPicPr>
                                  <pic:blipFill>
                                    <a:blip r:embed="rId116">
                                      <a:extLst>
                                        <a:ext uri="{28A0092B-C50C-407E-A947-70E740481C1C}">
                                          <a14:useLocalDpi xmlns:a14="http://schemas.microsoft.com/office/drawing/2010/main" val="0"/>
                                        </a:ext>
                                      </a:extLst>
                                    </a:blip>
                                    <a:stretch>
                                      <a:fillRect/>
                                    </a:stretch>
                                  </pic:blipFill>
                                  <pic:spPr>
                                    <a:xfrm>
                                      <a:off x="0" y="0"/>
                                      <a:ext cx="4961440" cy="2925977"/>
                                    </a:xfrm>
                                    <a:prstGeom prst="rect">
                                      <a:avLst/>
                                    </a:prstGeom>
                                  </pic:spPr>
                                </pic:pic>
                              </a:graphicData>
                            </a:graphic>
                          </wp:inline>
                        </w:drawing>
                      </w:r>
                      <w:r>
                        <w:rPr>
                          <w:noProof/>
                        </w:rPr>
                        <w:drawing>
                          <wp:inline distT="0" distB="0" distL="0" distR="0" wp14:anchorId="7AC5FEA3" wp14:editId="13F7561A">
                            <wp:extent cx="5149132" cy="3026106"/>
                            <wp:effectExtent l="0" t="0" r="0" b="0"/>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if"/>
                                    <pic:cNvPicPr/>
                                  </pic:nvPicPr>
                                  <pic:blipFill>
                                    <a:blip r:embed="rId117">
                                      <a:extLst>
                                        <a:ext uri="{28A0092B-C50C-407E-A947-70E740481C1C}">
                                          <a14:useLocalDpi xmlns:a14="http://schemas.microsoft.com/office/drawing/2010/main" val="0"/>
                                        </a:ext>
                                      </a:extLst>
                                    </a:blip>
                                    <a:stretch>
                                      <a:fillRect/>
                                    </a:stretch>
                                  </pic:blipFill>
                                  <pic:spPr>
                                    <a:xfrm>
                                      <a:off x="0" y="0"/>
                                      <a:ext cx="5149132" cy="3026106"/>
                                    </a:xfrm>
                                    <a:prstGeom prst="rect">
                                      <a:avLst/>
                                    </a:prstGeom>
                                  </pic:spPr>
                                </pic:pic>
                              </a:graphicData>
                            </a:graphic>
                          </wp:inline>
                        </w:drawing>
                      </w:r>
                    </w:p>
                    <w:p w14:paraId="4750EE4A" w14:textId="39FD703F" w:rsidR="00730B8F" w:rsidRDefault="00730B8F" w:rsidP="00807857">
                      <w:pPr>
                        <w:pStyle w:val="Caption"/>
                      </w:pPr>
                      <w:r>
                        <w:t xml:space="preserve">Figure </w:t>
                      </w:r>
                      <w:r>
                        <w:fldChar w:fldCharType="begin"/>
                      </w:r>
                      <w:r>
                        <w:instrText xml:space="preserve">  \* ARABIC </w:instrText>
                      </w:r>
                      <w:r>
                        <w:fldChar w:fldCharType="separate"/>
                      </w:r>
                      <w:r>
                        <w:rPr>
                          <w:noProof/>
                        </w:rPr>
                        <w:t>76</w:t>
                      </w:r>
                      <w:r>
                        <w:rPr>
                          <w:noProof/>
                        </w:rPr>
                        <w:fldChar w:fldCharType="end"/>
                      </w:r>
                      <w:r>
                        <w:t xml:space="preserve">: </w:t>
                      </w:r>
                      <w:r w:rsidRPr="00807857">
                        <w:rPr>
                          <w:b w:val="0"/>
                          <w:bCs w:val="0"/>
                        </w:rPr>
                        <w:t>MS/MS verification of lipids with 10-40 manufacturer’s unit energy</w:t>
                      </w:r>
                      <w:r>
                        <w:rPr>
                          <w:b w:val="0"/>
                          <w:bCs w:val="0"/>
                        </w:rPr>
                        <w:t>.</w:t>
                      </w:r>
                    </w:p>
                    <w:p w14:paraId="74E60AD2" w14:textId="789BD5A7" w:rsidR="00730B8F" w:rsidRDefault="00730B8F" w:rsidP="008B7EFC"/>
                  </w:txbxContent>
                </v:textbox>
                <w10:wrap type="square" anchorx="margin"/>
              </v:shape>
            </w:pict>
          </mc:Fallback>
        </mc:AlternateContent>
      </w:r>
    </w:p>
    <w:p w14:paraId="5E3E38E2" w14:textId="14193110" w:rsidR="00A64106" w:rsidRPr="00A64106" w:rsidRDefault="00A64106" w:rsidP="00A64106"/>
    <w:p w14:paraId="67A237D6" w14:textId="71971FDF" w:rsidR="00A64106" w:rsidRPr="00A64106" w:rsidRDefault="00440D44" w:rsidP="00A64106">
      <w:r>
        <w:rPr>
          <w:noProof/>
        </w:rPr>
        <w:lastRenderedPageBreak/>
        <mc:AlternateContent>
          <mc:Choice Requires="wps">
            <w:drawing>
              <wp:anchor distT="45720" distB="45720" distL="114300" distR="114300" simplePos="0" relativeHeight="251698176" behindDoc="0" locked="0" layoutInCell="1" allowOverlap="1" wp14:anchorId="4DAEA3E0" wp14:editId="3FD19793">
                <wp:simplePos x="0" y="0"/>
                <wp:positionH relativeFrom="margin">
                  <wp:posOffset>0</wp:posOffset>
                </wp:positionH>
                <wp:positionV relativeFrom="paragraph">
                  <wp:posOffset>389255</wp:posOffset>
                </wp:positionV>
                <wp:extent cx="5391150" cy="6661785"/>
                <wp:effectExtent l="0" t="0" r="19050" b="24765"/>
                <wp:wrapSquare wrapText="bothSides"/>
                <wp:docPr id="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661785"/>
                        </a:xfrm>
                        <a:prstGeom prst="rect">
                          <a:avLst/>
                        </a:prstGeom>
                        <a:solidFill>
                          <a:srgbClr val="FFFFFF"/>
                        </a:solidFill>
                        <a:ln w="9525">
                          <a:solidFill>
                            <a:srgbClr val="000000"/>
                          </a:solidFill>
                          <a:miter lim="800000"/>
                          <a:headEnd/>
                          <a:tailEnd/>
                        </a:ln>
                      </wps:spPr>
                      <wps:txbx>
                        <w:txbxContent>
                          <w:p w14:paraId="79085FCE" w14:textId="77777777" w:rsidR="00730B8F" w:rsidRDefault="00730B8F" w:rsidP="004567CA">
                            <w:pPr>
                              <w:keepNext/>
                            </w:pPr>
                            <w:r>
                              <w:rPr>
                                <w:noProof/>
                              </w:rPr>
                              <w:drawing>
                                <wp:inline distT="0" distB="0" distL="0" distR="0" wp14:anchorId="115CF7FB" wp14:editId="53558465">
                                  <wp:extent cx="5199380" cy="5891143"/>
                                  <wp:effectExtent l="0" t="0" r="127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taboliteUpDown.png"/>
                                          <pic:cNvPicPr/>
                                        </pic:nvPicPr>
                                        <pic:blipFill>
                                          <a:blip r:embed="rId118">
                                            <a:extLst>
                                              <a:ext uri="{28A0092B-C50C-407E-A947-70E740481C1C}">
                                                <a14:useLocalDpi xmlns:a14="http://schemas.microsoft.com/office/drawing/2010/main" val="0"/>
                                              </a:ext>
                                            </a:extLst>
                                          </a:blip>
                                          <a:stretch>
                                            <a:fillRect/>
                                          </a:stretch>
                                        </pic:blipFill>
                                        <pic:spPr>
                                          <a:xfrm>
                                            <a:off x="0" y="0"/>
                                            <a:ext cx="5199380" cy="5891143"/>
                                          </a:xfrm>
                                          <a:prstGeom prst="rect">
                                            <a:avLst/>
                                          </a:prstGeom>
                                        </pic:spPr>
                                      </pic:pic>
                                    </a:graphicData>
                                  </a:graphic>
                                </wp:inline>
                              </w:drawing>
                            </w:r>
                          </w:p>
                          <w:p w14:paraId="51505AC5" w14:textId="4AC7E944" w:rsidR="00730B8F" w:rsidRPr="006C7BDB" w:rsidRDefault="00730B8F" w:rsidP="004567CA">
                            <w:pPr>
                              <w:pStyle w:val="Caption"/>
                              <w:rPr>
                                <w:b w:val="0"/>
                                <w:bCs w:val="0"/>
                              </w:rPr>
                            </w:pPr>
                            <w:bookmarkStart w:id="268" w:name="_Toc39868258"/>
                            <w:r>
                              <w:t xml:space="preserve">Figure </w:t>
                            </w:r>
                            <w:r w:rsidR="009425BE">
                              <w:fldChar w:fldCharType="begin"/>
                            </w:r>
                            <w:r w:rsidR="009425BE">
                              <w:instrText xml:space="preserve"> SEQ Figure \* ARABIC </w:instrText>
                            </w:r>
                            <w:r w:rsidR="009425BE">
                              <w:fldChar w:fldCharType="separate"/>
                            </w:r>
                            <w:r>
                              <w:rPr>
                                <w:noProof/>
                              </w:rPr>
                              <w:t>45</w:t>
                            </w:r>
                            <w:r w:rsidR="009425BE">
                              <w:rPr>
                                <w:noProof/>
                              </w:rPr>
                              <w:fldChar w:fldCharType="end"/>
                            </w:r>
                            <w:r>
                              <w:t xml:space="preserve">: </w:t>
                            </w:r>
                            <w:r w:rsidRPr="006C7BDB">
                              <w:rPr>
                                <w:b w:val="0"/>
                                <w:bCs w:val="0"/>
                              </w:rPr>
                              <w:t>MS/MS verification of lipids with 10-40 manufacturer’s unit energy</w:t>
                            </w:r>
                            <w:r>
                              <w:rPr>
                                <w:b w:val="0"/>
                                <w:bCs w:val="0"/>
                              </w:rPr>
                              <w:t>.</w:t>
                            </w:r>
                            <w:bookmarkEnd w:id="268"/>
                          </w:p>
                          <w:p w14:paraId="12B71801" w14:textId="77777777" w:rsidR="00730B8F" w:rsidRDefault="00730B8F" w:rsidP="00440D44">
                            <w:pPr>
                              <w:keepNext/>
                            </w:pPr>
                          </w:p>
                          <w:p w14:paraId="15208913" w14:textId="77777777" w:rsidR="00730B8F" w:rsidRDefault="00730B8F" w:rsidP="00440D44">
                            <w:pPr>
                              <w:pStyle w:val="Caption"/>
                            </w:pPr>
                          </w:p>
                          <w:p w14:paraId="1C3765E9" w14:textId="77777777" w:rsidR="00730B8F" w:rsidRDefault="00730B8F" w:rsidP="00440D44"/>
                          <w:p w14:paraId="144D647A" w14:textId="77777777" w:rsidR="00730B8F" w:rsidRDefault="00730B8F"/>
                          <w:p w14:paraId="46F97A30" w14:textId="78146513" w:rsidR="00730B8F" w:rsidRDefault="00730B8F" w:rsidP="004567CA">
                            <w:pPr>
                              <w:keepNext/>
                            </w:pPr>
                            <w:r>
                              <w:rPr>
                                <w:noProof/>
                              </w:rPr>
                              <w:drawing>
                                <wp:inline distT="0" distB="0" distL="0" distR="0" wp14:anchorId="115CF7FB" wp14:editId="53558465">
                                  <wp:extent cx="5199380" cy="5891143"/>
                                  <wp:effectExtent l="0" t="0" r="1270"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taboliteUpDown.png"/>
                                          <pic:cNvPicPr/>
                                        </pic:nvPicPr>
                                        <pic:blipFill>
                                          <a:blip r:embed="rId118">
                                            <a:extLst>
                                              <a:ext uri="{28A0092B-C50C-407E-A947-70E740481C1C}">
                                                <a14:useLocalDpi xmlns:a14="http://schemas.microsoft.com/office/drawing/2010/main" val="0"/>
                                              </a:ext>
                                            </a:extLst>
                                          </a:blip>
                                          <a:stretch>
                                            <a:fillRect/>
                                          </a:stretch>
                                        </pic:blipFill>
                                        <pic:spPr>
                                          <a:xfrm>
                                            <a:off x="0" y="0"/>
                                            <a:ext cx="5199380" cy="5891143"/>
                                          </a:xfrm>
                                          <a:prstGeom prst="rect">
                                            <a:avLst/>
                                          </a:prstGeom>
                                        </pic:spPr>
                                      </pic:pic>
                                    </a:graphicData>
                                  </a:graphic>
                                </wp:inline>
                              </w:drawing>
                            </w:r>
                          </w:p>
                          <w:p w14:paraId="6BD15CAD" w14:textId="69D0C06B" w:rsidR="00730B8F" w:rsidRPr="006C7BDB" w:rsidRDefault="00730B8F" w:rsidP="004567CA">
                            <w:pPr>
                              <w:pStyle w:val="Caption"/>
                              <w:rPr>
                                <w:b w:val="0"/>
                                <w:bCs w:val="0"/>
                              </w:rPr>
                            </w:pPr>
                            <w:r>
                              <w:t xml:space="preserve">Figure </w:t>
                            </w:r>
                            <w:r>
                              <w:fldChar w:fldCharType="begin"/>
                            </w:r>
                            <w:r>
                              <w:instrText xml:space="preserve">  \* ARABIC </w:instrText>
                            </w:r>
                            <w:r>
                              <w:fldChar w:fldCharType="separate"/>
                            </w:r>
                            <w:r>
                              <w:rPr>
                                <w:noProof/>
                              </w:rPr>
                              <w:t>78</w:t>
                            </w:r>
                            <w:r>
                              <w:rPr>
                                <w:noProof/>
                              </w:rPr>
                              <w:fldChar w:fldCharType="end"/>
                            </w:r>
                            <w:r>
                              <w:t xml:space="preserve">: </w:t>
                            </w:r>
                            <w:r w:rsidRPr="006C7BDB">
                              <w:rPr>
                                <w:b w:val="0"/>
                                <w:bCs w:val="0"/>
                              </w:rPr>
                              <w:t>MS/MS verification of lipids with 10-40 manufacturer’s unit energy</w:t>
                            </w:r>
                            <w:r>
                              <w:rPr>
                                <w:b w:val="0"/>
                                <w:bCs w:val="0"/>
                              </w:rPr>
                              <w:t>.</w:t>
                            </w:r>
                          </w:p>
                          <w:p w14:paraId="1D5419E3" w14:textId="78A75875" w:rsidR="00730B8F" w:rsidRDefault="00730B8F" w:rsidP="00440D44">
                            <w:pPr>
                              <w:keepNext/>
                            </w:pPr>
                          </w:p>
                          <w:p w14:paraId="3E71DEC6" w14:textId="2CB0857F" w:rsidR="00730B8F" w:rsidRDefault="00730B8F" w:rsidP="00440D44">
                            <w:pPr>
                              <w:pStyle w:val="Caption"/>
                            </w:pPr>
                          </w:p>
                          <w:p w14:paraId="317C2C72" w14:textId="77777777" w:rsidR="00730B8F" w:rsidRDefault="00730B8F" w:rsidP="00440D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EA3E0" id="_x0000_s1070" type="#_x0000_t202" style="position:absolute;margin-left:0;margin-top:30.65pt;width:424.5pt;height:524.5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">
                <v:textbox>
                  <w:txbxContent>
                    <w:p w14:paraId="79085FCE" w14:textId="77777777" w:rsidR="00730B8F" w:rsidRDefault="00730B8F" w:rsidP="004567CA">
                      <w:pPr>
                        <w:keepNext/>
                      </w:pPr>
                      <w:r>
                        <w:rPr>
                          <w:noProof/>
                        </w:rPr>
                        <w:drawing>
                          <wp:inline distT="0" distB="0" distL="0" distR="0" wp14:anchorId="115CF7FB" wp14:editId="53558465">
                            <wp:extent cx="5199380" cy="5891143"/>
                            <wp:effectExtent l="0" t="0" r="127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taboliteUpDown.png"/>
                                    <pic:cNvPicPr/>
                                  </pic:nvPicPr>
                                  <pic:blipFill>
                                    <a:blip r:embed="rId118">
                                      <a:extLst>
                                        <a:ext uri="{28A0092B-C50C-407E-A947-70E740481C1C}">
                                          <a14:useLocalDpi xmlns:a14="http://schemas.microsoft.com/office/drawing/2010/main" val="0"/>
                                        </a:ext>
                                      </a:extLst>
                                    </a:blip>
                                    <a:stretch>
                                      <a:fillRect/>
                                    </a:stretch>
                                  </pic:blipFill>
                                  <pic:spPr>
                                    <a:xfrm>
                                      <a:off x="0" y="0"/>
                                      <a:ext cx="5199380" cy="5891143"/>
                                    </a:xfrm>
                                    <a:prstGeom prst="rect">
                                      <a:avLst/>
                                    </a:prstGeom>
                                  </pic:spPr>
                                </pic:pic>
                              </a:graphicData>
                            </a:graphic>
                          </wp:inline>
                        </w:drawing>
                      </w:r>
                    </w:p>
                    <w:p w14:paraId="51505AC5" w14:textId="4AC7E944" w:rsidR="00730B8F" w:rsidRPr="006C7BDB" w:rsidRDefault="00730B8F" w:rsidP="004567CA">
                      <w:pPr>
                        <w:pStyle w:val="Caption"/>
                        <w:rPr>
                          <w:b w:val="0"/>
                          <w:bCs w:val="0"/>
                        </w:rPr>
                      </w:pPr>
                      <w:bookmarkStart w:id="269" w:name="_Toc39868258"/>
                      <w:r>
                        <w:t xml:space="preserve">Figure </w:t>
                      </w:r>
                      <w:r w:rsidR="009425BE">
                        <w:fldChar w:fldCharType="begin"/>
                      </w:r>
                      <w:r w:rsidR="009425BE">
                        <w:instrText xml:space="preserve"> SEQ Figure \* ARABIC </w:instrText>
                      </w:r>
                      <w:r w:rsidR="009425BE">
                        <w:fldChar w:fldCharType="separate"/>
                      </w:r>
                      <w:r>
                        <w:rPr>
                          <w:noProof/>
                        </w:rPr>
                        <w:t>45</w:t>
                      </w:r>
                      <w:r w:rsidR="009425BE">
                        <w:rPr>
                          <w:noProof/>
                        </w:rPr>
                        <w:fldChar w:fldCharType="end"/>
                      </w:r>
                      <w:r>
                        <w:t xml:space="preserve">: </w:t>
                      </w:r>
                      <w:r w:rsidRPr="006C7BDB">
                        <w:rPr>
                          <w:b w:val="0"/>
                          <w:bCs w:val="0"/>
                        </w:rPr>
                        <w:t>MS/MS verification of lipids with 10-40 manufacturer’s unit energy</w:t>
                      </w:r>
                      <w:r>
                        <w:rPr>
                          <w:b w:val="0"/>
                          <w:bCs w:val="0"/>
                        </w:rPr>
                        <w:t>.</w:t>
                      </w:r>
                      <w:bookmarkEnd w:id="269"/>
                    </w:p>
                    <w:p w14:paraId="12B71801" w14:textId="77777777" w:rsidR="00730B8F" w:rsidRDefault="00730B8F" w:rsidP="00440D44">
                      <w:pPr>
                        <w:keepNext/>
                      </w:pPr>
                    </w:p>
                    <w:p w14:paraId="15208913" w14:textId="77777777" w:rsidR="00730B8F" w:rsidRDefault="00730B8F" w:rsidP="00440D44">
                      <w:pPr>
                        <w:pStyle w:val="Caption"/>
                      </w:pPr>
                    </w:p>
                    <w:p w14:paraId="1C3765E9" w14:textId="77777777" w:rsidR="00730B8F" w:rsidRDefault="00730B8F" w:rsidP="00440D44"/>
                    <w:p w14:paraId="144D647A" w14:textId="77777777" w:rsidR="00730B8F" w:rsidRDefault="00730B8F"/>
                    <w:p w14:paraId="46F97A30" w14:textId="78146513" w:rsidR="00730B8F" w:rsidRDefault="00730B8F" w:rsidP="004567CA">
                      <w:pPr>
                        <w:keepNext/>
                      </w:pPr>
                      <w:r>
                        <w:rPr>
                          <w:noProof/>
                        </w:rPr>
                        <w:drawing>
                          <wp:inline distT="0" distB="0" distL="0" distR="0" wp14:anchorId="115CF7FB" wp14:editId="53558465">
                            <wp:extent cx="5199380" cy="5891143"/>
                            <wp:effectExtent l="0" t="0" r="1270"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taboliteUpDown.png"/>
                                    <pic:cNvPicPr/>
                                  </pic:nvPicPr>
                                  <pic:blipFill>
                                    <a:blip r:embed="rId118">
                                      <a:extLst>
                                        <a:ext uri="{28A0092B-C50C-407E-A947-70E740481C1C}">
                                          <a14:useLocalDpi xmlns:a14="http://schemas.microsoft.com/office/drawing/2010/main" val="0"/>
                                        </a:ext>
                                      </a:extLst>
                                    </a:blip>
                                    <a:stretch>
                                      <a:fillRect/>
                                    </a:stretch>
                                  </pic:blipFill>
                                  <pic:spPr>
                                    <a:xfrm>
                                      <a:off x="0" y="0"/>
                                      <a:ext cx="5199380" cy="5891143"/>
                                    </a:xfrm>
                                    <a:prstGeom prst="rect">
                                      <a:avLst/>
                                    </a:prstGeom>
                                  </pic:spPr>
                                </pic:pic>
                              </a:graphicData>
                            </a:graphic>
                          </wp:inline>
                        </w:drawing>
                      </w:r>
                    </w:p>
                    <w:p w14:paraId="6BD15CAD" w14:textId="69D0C06B" w:rsidR="00730B8F" w:rsidRPr="006C7BDB" w:rsidRDefault="00730B8F" w:rsidP="004567CA">
                      <w:pPr>
                        <w:pStyle w:val="Caption"/>
                        <w:rPr>
                          <w:b w:val="0"/>
                          <w:bCs w:val="0"/>
                        </w:rPr>
                      </w:pPr>
                      <w:r>
                        <w:t xml:space="preserve">Figure </w:t>
                      </w:r>
                      <w:r>
                        <w:fldChar w:fldCharType="begin"/>
                      </w:r>
                      <w:r>
                        <w:instrText xml:space="preserve">  \* ARABIC </w:instrText>
                      </w:r>
                      <w:r>
                        <w:fldChar w:fldCharType="separate"/>
                      </w:r>
                      <w:r>
                        <w:rPr>
                          <w:noProof/>
                        </w:rPr>
                        <w:t>78</w:t>
                      </w:r>
                      <w:r>
                        <w:rPr>
                          <w:noProof/>
                        </w:rPr>
                        <w:fldChar w:fldCharType="end"/>
                      </w:r>
                      <w:r>
                        <w:t xml:space="preserve">: </w:t>
                      </w:r>
                      <w:r w:rsidRPr="006C7BDB">
                        <w:rPr>
                          <w:b w:val="0"/>
                          <w:bCs w:val="0"/>
                        </w:rPr>
                        <w:t>MS/MS verification of lipids with 10-40 manufacturer’s unit energy</w:t>
                      </w:r>
                      <w:r>
                        <w:rPr>
                          <w:b w:val="0"/>
                          <w:bCs w:val="0"/>
                        </w:rPr>
                        <w:t>.</w:t>
                      </w:r>
                    </w:p>
                    <w:p w14:paraId="1D5419E3" w14:textId="78A75875" w:rsidR="00730B8F" w:rsidRDefault="00730B8F" w:rsidP="00440D44">
                      <w:pPr>
                        <w:keepNext/>
                      </w:pPr>
                    </w:p>
                    <w:p w14:paraId="3E71DEC6" w14:textId="2CB0857F" w:rsidR="00730B8F" w:rsidRDefault="00730B8F" w:rsidP="00440D44">
                      <w:pPr>
                        <w:pStyle w:val="Caption"/>
                      </w:pPr>
                    </w:p>
                    <w:p w14:paraId="317C2C72" w14:textId="77777777" w:rsidR="00730B8F" w:rsidRDefault="00730B8F" w:rsidP="00440D44"/>
                  </w:txbxContent>
                </v:textbox>
                <w10:wrap type="square" anchorx="margin"/>
              </v:shape>
            </w:pict>
          </mc:Fallback>
        </mc:AlternateContent>
      </w:r>
    </w:p>
    <w:p w14:paraId="54C0D514" w14:textId="04BB35D6" w:rsidR="00A64106" w:rsidRPr="00A64106" w:rsidRDefault="00A64106" w:rsidP="00A64106"/>
    <w:p w14:paraId="2E3CC601" w14:textId="7CA19306" w:rsidR="00A64106" w:rsidRPr="00A64106" w:rsidRDefault="002313B6" w:rsidP="00A64106">
      <w:r>
        <w:rPr>
          <w:noProof/>
        </w:rPr>
        <w:lastRenderedPageBreak/>
        <mc:AlternateContent>
          <mc:Choice Requires="wps">
            <w:drawing>
              <wp:anchor distT="45720" distB="45720" distL="114300" distR="114300" simplePos="0" relativeHeight="251699200" behindDoc="0" locked="0" layoutInCell="1" allowOverlap="1" wp14:anchorId="5D92363A" wp14:editId="584A08CA">
                <wp:simplePos x="0" y="0"/>
                <wp:positionH relativeFrom="margin">
                  <wp:align>left</wp:align>
                </wp:positionH>
                <wp:positionV relativeFrom="paragraph">
                  <wp:posOffset>398145</wp:posOffset>
                </wp:positionV>
                <wp:extent cx="5391150" cy="5189220"/>
                <wp:effectExtent l="0" t="0" r="19050" b="11430"/>
                <wp:wrapSquare wrapText="bothSides"/>
                <wp:docPr id="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189220"/>
                        </a:xfrm>
                        <a:prstGeom prst="rect">
                          <a:avLst/>
                        </a:prstGeom>
                        <a:solidFill>
                          <a:srgbClr val="FFFFFF"/>
                        </a:solidFill>
                        <a:ln w="9525">
                          <a:solidFill>
                            <a:srgbClr val="000000"/>
                          </a:solidFill>
                          <a:miter lim="800000"/>
                          <a:headEnd/>
                          <a:tailEnd/>
                        </a:ln>
                      </wps:spPr>
                      <wps:txbx>
                        <w:txbxContent>
                          <w:p w14:paraId="7439831B" w14:textId="77777777" w:rsidR="00730B8F" w:rsidRDefault="00730B8F" w:rsidP="00F834EA">
                            <w:pPr>
                              <w:keepNext/>
                            </w:pPr>
                            <w:r>
                              <w:rPr>
                                <w:noProof/>
                              </w:rPr>
                              <w:drawing>
                                <wp:inline distT="0" distB="0" distL="0" distR="0" wp14:anchorId="46AEB2D1" wp14:editId="6B70B6D2">
                                  <wp:extent cx="5199380" cy="4598035"/>
                                  <wp:effectExtent l="0" t="0" r="1270" b="0"/>
                                  <wp:docPr id="816" name="Picture 816"/>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199380" cy="4598035"/>
                                          </a:xfrm>
                                          <a:prstGeom prst="rect">
                                            <a:avLst/>
                                          </a:prstGeom>
                                          <a:noFill/>
                                        </pic:spPr>
                                      </pic:pic>
                                    </a:graphicData>
                                  </a:graphic>
                                </wp:inline>
                              </w:drawing>
                            </w:r>
                          </w:p>
                          <w:p w14:paraId="5D678A0F" w14:textId="0872C196" w:rsidR="00730B8F" w:rsidRDefault="00730B8F" w:rsidP="00F834EA">
                            <w:pPr>
                              <w:pStyle w:val="Caption"/>
                            </w:pPr>
                            <w:bookmarkStart w:id="270" w:name="_Toc39868259"/>
                            <w:r>
                              <w:t xml:space="preserve">Figure </w:t>
                            </w:r>
                            <w:r w:rsidR="009425BE">
                              <w:fldChar w:fldCharType="begin"/>
                            </w:r>
                            <w:r w:rsidR="009425BE">
                              <w:instrText xml:space="preserve"> SEQ Figure \* ARABIC </w:instrText>
                            </w:r>
                            <w:r w:rsidR="009425BE">
                              <w:fldChar w:fldCharType="separate"/>
                            </w:r>
                            <w:r>
                              <w:rPr>
                                <w:noProof/>
                              </w:rPr>
                              <w:t>46</w:t>
                            </w:r>
                            <w:r w:rsidR="009425BE">
                              <w:rPr>
                                <w:noProof/>
                              </w:rPr>
                              <w:fldChar w:fldCharType="end"/>
                            </w:r>
                            <w:r>
                              <w:t xml:space="preserve">: </w:t>
                            </w:r>
                            <w:r w:rsidRPr="00A70E4C">
                              <w:rPr>
                                <w:b w:val="0"/>
                                <w:bCs w:val="0"/>
                              </w:rPr>
                              <w:t>Synthesis of stable-isotopically labeled Gemcitabine.</w:t>
                            </w:r>
                            <w:bookmarkEnd w:id="270"/>
                          </w:p>
                          <w:p w14:paraId="682846FA" w14:textId="77777777" w:rsidR="00730B8F" w:rsidRDefault="00730B8F" w:rsidP="002313B6"/>
                          <w:p w14:paraId="6C37C361" w14:textId="77777777" w:rsidR="00730B8F" w:rsidRDefault="00730B8F"/>
                          <w:p w14:paraId="73245A7E" w14:textId="324F42EC" w:rsidR="00730B8F" w:rsidRDefault="00730B8F" w:rsidP="00F834EA">
                            <w:pPr>
                              <w:keepNext/>
                            </w:pPr>
                            <w:r>
                              <w:rPr>
                                <w:noProof/>
                              </w:rPr>
                              <w:drawing>
                                <wp:inline distT="0" distB="0" distL="0" distR="0" wp14:anchorId="46AEB2D1" wp14:editId="6B70B6D2">
                                  <wp:extent cx="5199380" cy="4598035"/>
                                  <wp:effectExtent l="0" t="0" r="1270" b="0"/>
                                  <wp:docPr id="817" name="Picture 817"/>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199380" cy="4598035"/>
                                          </a:xfrm>
                                          <a:prstGeom prst="rect">
                                            <a:avLst/>
                                          </a:prstGeom>
                                          <a:noFill/>
                                        </pic:spPr>
                                      </pic:pic>
                                    </a:graphicData>
                                  </a:graphic>
                                </wp:inline>
                              </w:drawing>
                            </w:r>
                          </w:p>
                          <w:p w14:paraId="54B093AD" w14:textId="492C22A8" w:rsidR="00730B8F" w:rsidRDefault="00730B8F" w:rsidP="00F834EA">
                            <w:pPr>
                              <w:pStyle w:val="Caption"/>
                            </w:pPr>
                            <w:r>
                              <w:t xml:space="preserve">Figure </w:t>
                            </w:r>
                            <w:r>
                              <w:fldChar w:fldCharType="begin"/>
                            </w:r>
                            <w:r>
                              <w:instrText xml:space="preserve">  \* ARABIC </w:instrText>
                            </w:r>
                            <w:r>
                              <w:fldChar w:fldCharType="separate"/>
                            </w:r>
                            <w:r>
                              <w:rPr>
                                <w:noProof/>
                              </w:rPr>
                              <w:t>80</w:t>
                            </w:r>
                            <w:r>
                              <w:rPr>
                                <w:noProof/>
                              </w:rPr>
                              <w:fldChar w:fldCharType="end"/>
                            </w:r>
                            <w:r>
                              <w:t xml:space="preserve">: </w:t>
                            </w:r>
                            <w:r w:rsidRPr="00A70E4C">
                              <w:rPr>
                                <w:b w:val="0"/>
                                <w:bCs w:val="0"/>
                              </w:rPr>
                              <w:t>Synthesis of stable-isotopically labeled Gemcitabine.</w:t>
                            </w:r>
                          </w:p>
                          <w:p w14:paraId="3237B988" w14:textId="6D4109DD" w:rsidR="00730B8F" w:rsidRDefault="00730B8F" w:rsidP="002313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2363A" id="_x0000_s1071" type="#_x0000_t202" style="position:absolute;margin-left:0;margin-top:31.35pt;width:424.5pt;height:408.6pt;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">
                <v:textbox>
                  <w:txbxContent>
                    <w:p w14:paraId="7439831B" w14:textId="77777777" w:rsidR="00730B8F" w:rsidRDefault="00730B8F" w:rsidP="00F834EA">
                      <w:pPr>
                        <w:keepNext/>
                      </w:pPr>
                      <w:r>
                        <w:rPr>
                          <w:noProof/>
                        </w:rPr>
                        <w:drawing>
                          <wp:inline distT="0" distB="0" distL="0" distR="0" wp14:anchorId="46AEB2D1" wp14:editId="6B70B6D2">
                            <wp:extent cx="5199380" cy="4598035"/>
                            <wp:effectExtent l="0" t="0" r="1270" b="0"/>
                            <wp:docPr id="816" name="Picture 816"/>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199380" cy="4598035"/>
                                    </a:xfrm>
                                    <a:prstGeom prst="rect">
                                      <a:avLst/>
                                    </a:prstGeom>
                                    <a:noFill/>
                                  </pic:spPr>
                                </pic:pic>
                              </a:graphicData>
                            </a:graphic>
                          </wp:inline>
                        </w:drawing>
                      </w:r>
                    </w:p>
                    <w:p w14:paraId="5D678A0F" w14:textId="0872C196" w:rsidR="00730B8F" w:rsidRDefault="00730B8F" w:rsidP="00F834EA">
                      <w:pPr>
                        <w:pStyle w:val="Caption"/>
                      </w:pPr>
                      <w:bookmarkStart w:id="271" w:name="_Toc39868259"/>
                      <w:r>
                        <w:t xml:space="preserve">Figure </w:t>
                      </w:r>
                      <w:r w:rsidR="009425BE">
                        <w:fldChar w:fldCharType="begin"/>
                      </w:r>
                      <w:r w:rsidR="009425BE">
                        <w:instrText xml:space="preserve"> SEQ Figure \* ARABIC </w:instrText>
                      </w:r>
                      <w:r w:rsidR="009425BE">
                        <w:fldChar w:fldCharType="separate"/>
                      </w:r>
                      <w:r>
                        <w:rPr>
                          <w:noProof/>
                        </w:rPr>
                        <w:t>46</w:t>
                      </w:r>
                      <w:r w:rsidR="009425BE">
                        <w:rPr>
                          <w:noProof/>
                        </w:rPr>
                        <w:fldChar w:fldCharType="end"/>
                      </w:r>
                      <w:r>
                        <w:t xml:space="preserve">: </w:t>
                      </w:r>
                      <w:r w:rsidRPr="00A70E4C">
                        <w:rPr>
                          <w:b w:val="0"/>
                          <w:bCs w:val="0"/>
                        </w:rPr>
                        <w:t>Synthesis of stable-isotopically labeled Gemcitabine.</w:t>
                      </w:r>
                      <w:bookmarkEnd w:id="271"/>
                    </w:p>
                    <w:p w14:paraId="682846FA" w14:textId="77777777" w:rsidR="00730B8F" w:rsidRDefault="00730B8F" w:rsidP="002313B6"/>
                    <w:p w14:paraId="6C37C361" w14:textId="77777777" w:rsidR="00730B8F" w:rsidRDefault="00730B8F"/>
                    <w:p w14:paraId="73245A7E" w14:textId="324F42EC" w:rsidR="00730B8F" w:rsidRDefault="00730B8F" w:rsidP="00F834EA">
                      <w:pPr>
                        <w:keepNext/>
                      </w:pPr>
                      <w:r>
                        <w:rPr>
                          <w:noProof/>
                        </w:rPr>
                        <w:drawing>
                          <wp:inline distT="0" distB="0" distL="0" distR="0" wp14:anchorId="46AEB2D1" wp14:editId="6B70B6D2">
                            <wp:extent cx="5199380" cy="4598035"/>
                            <wp:effectExtent l="0" t="0" r="1270" b="0"/>
                            <wp:docPr id="817" name="Picture 817"/>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199380" cy="4598035"/>
                                    </a:xfrm>
                                    <a:prstGeom prst="rect">
                                      <a:avLst/>
                                    </a:prstGeom>
                                    <a:noFill/>
                                  </pic:spPr>
                                </pic:pic>
                              </a:graphicData>
                            </a:graphic>
                          </wp:inline>
                        </w:drawing>
                      </w:r>
                    </w:p>
                    <w:p w14:paraId="54B093AD" w14:textId="492C22A8" w:rsidR="00730B8F" w:rsidRDefault="00730B8F" w:rsidP="00F834EA">
                      <w:pPr>
                        <w:pStyle w:val="Caption"/>
                      </w:pPr>
                      <w:r>
                        <w:t xml:space="preserve">Figure </w:t>
                      </w:r>
                      <w:r>
                        <w:fldChar w:fldCharType="begin"/>
                      </w:r>
                      <w:r>
                        <w:instrText xml:space="preserve">  \* ARABIC </w:instrText>
                      </w:r>
                      <w:r>
                        <w:fldChar w:fldCharType="separate"/>
                      </w:r>
                      <w:r>
                        <w:rPr>
                          <w:noProof/>
                        </w:rPr>
                        <w:t>80</w:t>
                      </w:r>
                      <w:r>
                        <w:rPr>
                          <w:noProof/>
                        </w:rPr>
                        <w:fldChar w:fldCharType="end"/>
                      </w:r>
                      <w:r>
                        <w:t xml:space="preserve">: </w:t>
                      </w:r>
                      <w:r w:rsidRPr="00A70E4C">
                        <w:rPr>
                          <w:b w:val="0"/>
                          <w:bCs w:val="0"/>
                        </w:rPr>
                        <w:t>Synthesis of stable-isotopically labeled Gemcitabine.</w:t>
                      </w:r>
                    </w:p>
                    <w:p w14:paraId="3237B988" w14:textId="6D4109DD" w:rsidR="00730B8F" w:rsidRDefault="00730B8F" w:rsidP="002313B6"/>
                  </w:txbxContent>
                </v:textbox>
                <w10:wrap type="square" anchorx="margin"/>
              </v:shape>
            </w:pict>
          </mc:Fallback>
        </mc:AlternateContent>
      </w:r>
    </w:p>
    <w:p w14:paraId="428234C3" w14:textId="182EEFA3" w:rsidR="00A64106" w:rsidRPr="00A64106" w:rsidRDefault="00A64106" w:rsidP="00A64106"/>
    <w:p w14:paraId="5BAC0F0A" w14:textId="72C9CFC4" w:rsidR="00A64106" w:rsidRPr="00A64106" w:rsidRDefault="00A64106" w:rsidP="00A64106"/>
    <w:p w14:paraId="433489F0" w14:textId="519CA037" w:rsidR="00A64106" w:rsidRPr="00A64106" w:rsidRDefault="00A64106" w:rsidP="00A64106"/>
    <w:p w14:paraId="00BB4AA1" w14:textId="2C2AC480" w:rsidR="00A64106" w:rsidRPr="00A64106" w:rsidRDefault="00A64106" w:rsidP="00A64106"/>
    <w:p w14:paraId="7FC13D50" w14:textId="335A1119" w:rsidR="00A64106" w:rsidRPr="00A64106" w:rsidRDefault="00A64106" w:rsidP="00A64106"/>
    <w:p w14:paraId="214EC506" w14:textId="72F85CBD" w:rsidR="00A64106" w:rsidRPr="00A64106" w:rsidRDefault="00016090" w:rsidP="00A64106">
      <w:r>
        <w:rPr>
          <w:noProof/>
        </w:rPr>
        <w:lastRenderedPageBreak/>
        <mc:AlternateContent>
          <mc:Choice Requires="wps">
            <w:drawing>
              <wp:anchor distT="45720" distB="45720" distL="114300" distR="114300" simplePos="0" relativeHeight="251700224" behindDoc="0" locked="0" layoutInCell="1" allowOverlap="1" wp14:anchorId="3D0AB14E" wp14:editId="3491D144">
                <wp:simplePos x="0" y="0"/>
                <wp:positionH relativeFrom="margin">
                  <wp:align>left</wp:align>
                </wp:positionH>
                <wp:positionV relativeFrom="paragraph">
                  <wp:posOffset>299</wp:posOffset>
                </wp:positionV>
                <wp:extent cx="5391150" cy="5053330"/>
                <wp:effectExtent l="0" t="0" r="19050" b="13970"/>
                <wp:wrapSquare wrapText="bothSides"/>
                <wp:docPr id="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053330"/>
                        </a:xfrm>
                        <a:prstGeom prst="rect">
                          <a:avLst/>
                        </a:prstGeom>
                        <a:solidFill>
                          <a:srgbClr val="FFFFFF"/>
                        </a:solidFill>
                        <a:ln w="9525">
                          <a:solidFill>
                            <a:srgbClr val="000000"/>
                          </a:solidFill>
                          <a:miter lim="800000"/>
                          <a:headEnd/>
                          <a:tailEnd/>
                        </a:ln>
                      </wps:spPr>
                      <wps:txbx>
                        <w:txbxContent>
                          <w:p w14:paraId="38530905" w14:textId="131D44DE" w:rsidR="00730B8F" w:rsidRDefault="00730B8F" w:rsidP="00016090">
                            <w:pPr>
                              <w:keepNext/>
                            </w:pPr>
                          </w:p>
                          <w:p w14:paraId="648DDAE8" w14:textId="77777777" w:rsidR="00730B8F" w:rsidRDefault="00730B8F" w:rsidP="00167B02">
                            <w:pPr>
                              <w:keepNext/>
                            </w:pPr>
                            <w:r>
                              <w:rPr>
                                <w:noProof/>
                              </w:rPr>
                              <w:drawing>
                                <wp:inline distT="0" distB="0" distL="0" distR="0" wp14:anchorId="46018D6D" wp14:editId="4A88F3C8">
                                  <wp:extent cx="5199380" cy="3783965"/>
                                  <wp:effectExtent l="0" t="0" r="0" b="6985"/>
                                  <wp:docPr id="818" name="Picture 81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20">
                                            <a:extLst>
                                              <a:ext uri="{28A0092B-C50C-407E-A947-70E740481C1C}">
                                                <a14:useLocalDpi xmlns:a14="http://schemas.microsoft.com/office/drawing/2010/main" val="0"/>
                                              </a:ext>
                                            </a:extLst>
                                          </a:blip>
                                          <a:srcRect r="4131"/>
                                          <a:stretch/>
                                        </pic:blipFill>
                                        <pic:spPr bwMode="auto">
                                          <a:xfrm>
                                            <a:off x="0" y="0"/>
                                            <a:ext cx="5199380" cy="3783965"/>
                                          </a:xfrm>
                                          <a:prstGeom prst="rect">
                                            <a:avLst/>
                                          </a:prstGeom>
                                          <a:noFill/>
                                          <a:ln>
                                            <a:noFill/>
                                          </a:ln>
                                          <a:extLst>
                                            <a:ext uri="{53640926-AAD7-44D8-BBD7-CCE9431645EC}">
                                              <a14:shadowObscured xmlns:a14="http://schemas.microsoft.com/office/drawing/2010/main"/>
                                            </a:ext>
                                          </a:extLst>
                                        </pic:spPr>
                                      </pic:pic>
                                    </a:graphicData>
                                  </a:graphic>
                                </wp:inline>
                              </w:drawing>
                            </w:r>
                          </w:p>
                          <w:p w14:paraId="3113EB2C" w14:textId="3D3A74F4" w:rsidR="00730B8F" w:rsidRDefault="00730B8F" w:rsidP="00167B02">
                            <w:pPr>
                              <w:pStyle w:val="Caption"/>
                            </w:pPr>
                            <w:bookmarkStart w:id="272" w:name="_Toc39868260"/>
                            <w:r>
                              <w:t xml:space="preserve">Figure </w:t>
                            </w:r>
                            <w:r w:rsidR="009425BE">
                              <w:fldChar w:fldCharType="begin"/>
                            </w:r>
                            <w:r w:rsidR="009425BE">
                              <w:instrText xml:space="preserve"> SEQ Figure \* ARABIC </w:instrText>
                            </w:r>
                            <w:r w:rsidR="009425BE">
                              <w:fldChar w:fldCharType="separate"/>
                            </w:r>
                            <w:r>
                              <w:rPr>
                                <w:noProof/>
                              </w:rPr>
                              <w:t>47</w:t>
                            </w:r>
                            <w:r w:rsidR="009425BE">
                              <w:rPr>
                                <w:noProof/>
                              </w:rPr>
                              <w:fldChar w:fldCharType="end"/>
                            </w:r>
                            <w:r>
                              <w:t xml:space="preserve">: </w:t>
                            </w:r>
                            <w:r w:rsidRPr="00237793">
                              <w:rPr>
                                <w:b w:val="0"/>
                                <w:bCs w:val="0"/>
                                <w:vertAlign w:val="superscript"/>
                              </w:rPr>
                              <w:t>1</w:t>
                            </w:r>
                            <w:r w:rsidRPr="00237793">
                              <w:rPr>
                                <w:b w:val="0"/>
                                <w:bCs w:val="0"/>
                              </w:rPr>
                              <w:t>H NMR spectra of non-labeled gemcitabine (top) and labeled gemcitabine (bottom).</w:t>
                            </w:r>
                            <w:bookmarkEnd w:id="272"/>
                          </w:p>
                          <w:p w14:paraId="6431B83F" w14:textId="77777777" w:rsidR="00730B8F" w:rsidRDefault="00730B8F" w:rsidP="00016090"/>
                          <w:p w14:paraId="62762ABE" w14:textId="77777777" w:rsidR="00730B8F" w:rsidRDefault="00730B8F"/>
                          <w:p w14:paraId="7679805B" w14:textId="6A529D67" w:rsidR="00730B8F" w:rsidRDefault="00730B8F" w:rsidP="00016090">
                            <w:pPr>
                              <w:keepNext/>
                            </w:pPr>
                          </w:p>
                          <w:p w14:paraId="63269644" w14:textId="77777777" w:rsidR="00730B8F" w:rsidRDefault="00730B8F" w:rsidP="00167B02">
                            <w:pPr>
                              <w:keepNext/>
                            </w:pPr>
                            <w:r>
                              <w:rPr>
                                <w:noProof/>
                              </w:rPr>
                              <w:drawing>
                                <wp:inline distT="0" distB="0" distL="0" distR="0" wp14:anchorId="46018D6D" wp14:editId="4A88F3C8">
                                  <wp:extent cx="5199380" cy="3783965"/>
                                  <wp:effectExtent l="0" t="0" r="0" b="6985"/>
                                  <wp:docPr id="819" name="Picture 819"/>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20">
                                            <a:extLst>
                                              <a:ext uri="{28A0092B-C50C-407E-A947-70E740481C1C}">
                                                <a14:useLocalDpi xmlns:a14="http://schemas.microsoft.com/office/drawing/2010/main" val="0"/>
                                              </a:ext>
                                            </a:extLst>
                                          </a:blip>
                                          <a:srcRect r="4131"/>
                                          <a:stretch/>
                                        </pic:blipFill>
                                        <pic:spPr bwMode="auto">
                                          <a:xfrm>
                                            <a:off x="0" y="0"/>
                                            <a:ext cx="5199380" cy="3783965"/>
                                          </a:xfrm>
                                          <a:prstGeom prst="rect">
                                            <a:avLst/>
                                          </a:prstGeom>
                                          <a:noFill/>
                                          <a:ln>
                                            <a:noFill/>
                                          </a:ln>
                                          <a:extLst>
                                            <a:ext uri="{53640926-AAD7-44D8-BBD7-CCE9431645EC}">
                                              <a14:shadowObscured xmlns:a14="http://schemas.microsoft.com/office/drawing/2010/main"/>
                                            </a:ext>
                                          </a:extLst>
                                        </pic:spPr>
                                      </pic:pic>
                                    </a:graphicData>
                                  </a:graphic>
                                </wp:inline>
                              </w:drawing>
                            </w:r>
                          </w:p>
                          <w:p w14:paraId="5A5FA11E" w14:textId="76CFD790" w:rsidR="00730B8F" w:rsidRDefault="00730B8F" w:rsidP="00167B02">
                            <w:pPr>
                              <w:pStyle w:val="Caption"/>
                            </w:pPr>
                            <w:r>
                              <w:t xml:space="preserve">Figure </w:t>
                            </w:r>
                            <w:r>
                              <w:fldChar w:fldCharType="begin"/>
                            </w:r>
                            <w:r>
                              <w:instrText xml:space="preserve">  \* ARABIC </w:instrText>
                            </w:r>
                            <w:r>
                              <w:fldChar w:fldCharType="separate"/>
                            </w:r>
                            <w:r>
                              <w:rPr>
                                <w:noProof/>
                              </w:rPr>
                              <w:t>82</w:t>
                            </w:r>
                            <w:r>
                              <w:rPr>
                                <w:noProof/>
                              </w:rPr>
                              <w:fldChar w:fldCharType="end"/>
                            </w:r>
                            <w:r>
                              <w:t xml:space="preserve">: </w:t>
                            </w:r>
                            <w:r w:rsidRPr="00237793">
                              <w:rPr>
                                <w:b w:val="0"/>
                                <w:bCs w:val="0"/>
                                <w:vertAlign w:val="superscript"/>
                              </w:rPr>
                              <w:t>1</w:t>
                            </w:r>
                            <w:r w:rsidRPr="00237793">
                              <w:rPr>
                                <w:b w:val="0"/>
                                <w:bCs w:val="0"/>
                              </w:rPr>
                              <w:t>H NMR spectra of non-labeled gemcitabine (top) and labeled gemcitabine (bottom).</w:t>
                            </w:r>
                          </w:p>
                          <w:p w14:paraId="20FB31BE" w14:textId="6B5CD364" w:rsidR="00730B8F" w:rsidRDefault="00730B8F" w:rsidP="000160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AB14E" id="_x0000_s1072" type="#_x0000_t202" style="position:absolute;margin-left:0;margin-top:0;width:424.5pt;height:397.9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">
                <v:textbox>
                  <w:txbxContent>
                    <w:p w14:paraId="38530905" w14:textId="131D44DE" w:rsidR="00730B8F" w:rsidRDefault="00730B8F" w:rsidP="00016090">
                      <w:pPr>
                        <w:keepNext/>
                      </w:pPr>
                    </w:p>
                    <w:p w14:paraId="648DDAE8" w14:textId="77777777" w:rsidR="00730B8F" w:rsidRDefault="00730B8F" w:rsidP="00167B02">
                      <w:pPr>
                        <w:keepNext/>
                      </w:pPr>
                      <w:r>
                        <w:rPr>
                          <w:noProof/>
                        </w:rPr>
                        <w:drawing>
                          <wp:inline distT="0" distB="0" distL="0" distR="0" wp14:anchorId="46018D6D" wp14:editId="4A88F3C8">
                            <wp:extent cx="5199380" cy="3783965"/>
                            <wp:effectExtent l="0" t="0" r="0" b="6985"/>
                            <wp:docPr id="818" name="Picture 81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20">
                                      <a:extLst>
                                        <a:ext uri="{28A0092B-C50C-407E-A947-70E740481C1C}">
                                          <a14:useLocalDpi xmlns:a14="http://schemas.microsoft.com/office/drawing/2010/main" val="0"/>
                                        </a:ext>
                                      </a:extLst>
                                    </a:blip>
                                    <a:srcRect r="4131"/>
                                    <a:stretch/>
                                  </pic:blipFill>
                                  <pic:spPr bwMode="auto">
                                    <a:xfrm>
                                      <a:off x="0" y="0"/>
                                      <a:ext cx="5199380" cy="3783965"/>
                                    </a:xfrm>
                                    <a:prstGeom prst="rect">
                                      <a:avLst/>
                                    </a:prstGeom>
                                    <a:noFill/>
                                    <a:ln>
                                      <a:noFill/>
                                    </a:ln>
                                    <a:extLst>
                                      <a:ext uri="{53640926-AAD7-44D8-BBD7-CCE9431645EC}">
                                        <a14:shadowObscured xmlns:a14="http://schemas.microsoft.com/office/drawing/2010/main"/>
                                      </a:ext>
                                    </a:extLst>
                                  </pic:spPr>
                                </pic:pic>
                              </a:graphicData>
                            </a:graphic>
                          </wp:inline>
                        </w:drawing>
                      </w:r>
                    </w:p>
                    <w:p w14:paraId="3113EB2C" w14:textId="3D3A74F4" w:rsidR="00730B8F" w:rsidRDefault="00730B8F" w:rsidP="00167B02">
                      <w:pPr>
                        <w:pStyle w:val="Caption"/>
                      </w:pPr>
                      <w:bookmarkStart w:id="273" w:name="_Toc39868260"/>
                      <w:r>
                        <w:t xml:space="preserve">Figure </w:t>
                      </w:r>
                      <w:r w:rsidR="009425BE">
                        <w:fldChar w:fldCharType="begin"/>
                      </w:r>
                      <w:r w:rsidR="009425BE">
                        <w:instrText xml:space="preserve"> SEQ Figure \* ARABIC </w:instrText>
                      </w:r>
                      <w:r w:rsidR="009425BE">
                        <w:fldChar w:fldCharType="separate"/>
                      </w:r>
                      <w:r>
                        <w:rPr>
                          <w:noProof/>
                        </w:rPr>
                        <w:t>47</w:t>
                      </w:r>
                      <w:r w:rsidR="009425BE">
                        <w:rPr>
                          <w:noProof/>
                        </w:rPr>
                        <w:fldChar w:fldCharType="end"/>
                      </w:r>
                      <w:r>
                        <w:t xml:space="preserve">: </w:t>
                      </w:r>
                      <w:r w:rsidRPr="00237793">
                        <w:rPr>
                          <w:b w:val="0"/>
                          <w:bCs w:val="0"/>
                          <w:vertAlign w:val="superscript"/>
                        </w:rPr>
                        <w:t>1</w:t>
                      </w:r>
                      <w:r w:rsidRPr="00237793">
                        <w:rPr>
                          <w:b w:val="0"/>
                          <w:bCs w:val="0"/>
                        </w:rPr>
                        <w:t>H NMR spectra of non-labeled gemcitabine (top) and labeled gemcitabine (bottom).</w:t>
                      </w:r>
                      <w:bookmarkEnd w:id="273"/>
                    </w:p>
                    <w:p w14:paraId="6431B83F" w14:textId="77777777" w:rsidR="00730B8F" w:rsidRDefault="00730B8F" w:rsidP="00016090"/>
                    <w:p w14:paraId="62762ABE" w14:textId="77777777" w:rsidR="00730B8F" w:rsidRDefault="00730B8F"/>
                    <w:p w14:paraId="7679805B" w14:textId="6A529D67" w:rsidR="00730B8F" w:rsidRDefault="00730B8F" w:rsidP="00016090">
                      <w:pPr>
                        <w:keepNext/>
                      </w:pPr>
                    </w:p>
                    <w:p w14:paraId="63269644" w14:textId="77777777" w:rsidR="00730B8F" w:rsidRDefault="00730B8F" w:rsidP="00167B02">
                      <w:pPr>
                        <w:keepNext/>
                      </w:pPr>
                      <w:r>
                        <w:rPr>
                          <w:noProof/>
                        </w:rPr>
                        <w:drawing>
                          <wp:inline distT="0" distB="0" distL="0" distR="0" wp14:anchorId="46018D6D" wp14:editId="4A88F3C8">
                            <wp:extent cx="5199380" cy="3783965"/>
                            <wp:effectExtent l="0" t="0" r="0" b="6985"/>
                            <wp:docPr id="819" name="Picture 819"/>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20">
                                      <a:extLst>
                                        <a:ext uri="{28A0092B-C50C-407E-A947-70E740481C1C}">
                                          <a14:useLocalDpi xmlns:a14="http://schemas.microsoft.com/office/drawing/2010/main" val="0"/>
                                        </a:ext>
                                      </a:extLst>
                                    </a:blip>
                                    <a:srcRect r="4131"/>
                                    <a:stretch/>
                                  </pic:blipFill>
                                  <pic:spPr bwMode="auto">
                                    <a:xfrm>
                                      <a:off x="0" y="0"/>
                                      <a:ext cx="5199380" cy="3783965"/>
                                    </a:xfrm>
                                    <a:prstGeom prst="rect">
                                      <a:avLst/>
                                    </a:prstGeom>
                                    <a:noFill/>
                                    <a:ln>
                                      <a:noFill/>
                                    </a:ln>
                                    <a:extLst>
                                      <a:ext uri="{53640926-AAD7-44D8-BBD7-CCE9431645EC}">
                                        <a14:shadowObscured xmlns:a14="http://schemas.microsoft.com/office/drawing/2010/main"/>
                                      </a:ext>
                                    </a:extLst>
                                  </pic:spPr>
                                </pic:pic>
                              </a:graphicData>
                            </a:graphic>
                          </wp:inline>
                        </w:drawing>
                      </w:r>
                    </w:p>
                    <w:p w14:paraId="5A5FA11E" w14:textId="76CFD790" w:rsidR="00730B8F" w:rsidRDefault="00730B8F" w:rsidP="00167B02">
                      <w:pPr>
                        <w:pStyle w:val="Caption"/>
                      </w:pPr>
                      <w:r>
                        <w:t xml:space="preserve">Figure </w:t>
                      </w:r>
                      <w:r>
                        <w:fldChar w:fldCharType="begin"/>
                      </w:r>
                      <w:r>
                        <w:instrText xml:space="preserve">  \* ARABIC </w:instrText>
                      </w:r>
                      <w:r>
                        <w:fldChar w:fldCharType="separate"/>
                      </w:r>
                      <w:r>
                        <w:rPr>
                          <w:noProof/>
                        </w:rPr>
                        <w:t>82</w:t>
                      </w:r>
                      <w:r>
                        <w:rPr>
                          <w:noProof/>
                        </w:rPr>
                        <w:fldChar w:fldCharType="end"/>
                      </w:r>
                      <w:r>
                        <w:t xml:space="preserve">: </w:t>
                      </w:r>
                      <w:r w:rsidRPr="00237793">
                        <w:rPr>
                          <w:b w:val="0"/>
                          <w:bCs w:val="0"/>
                          <w:vertAlign w:val="superscript"/>
                        </w:rPr>
                        <w:t>1</w:t>
                      </w:r>
                      <w:r w:rsidRPr="00237793">
                        <w:rPr>
                          <w:b w:val="0"/>
                          <w:bCs w:val="0"/>
                        </w:rPr>
                        <w:t>H NMR spectra of non-labeled gemcitabine (top) and labeled gemcitabine (bottom).</w:t>
                      </w:r>
                    </w:p>
                    <w:p w14:paraId="20FB31BE" w14:textId="6B5CD364" w:rsidR="00730B8F" w:rsidRDefault="00730B8F" w:rsidP="00016090"/>
                  </w:txbxContent>
                </v:textbox>
                <w10:wrap type="square" anchorx="margin"/>
              </v:shape>
            </w:pict>
          </mc:Fallback>
        </mc:AlternateContent>
      </w:r>
    </w:p>
    <w:p w14:paraId="4094387C" w14:textId="2A17FAB3" w:rsidR="00A64106" w:rsidRDefault="00A64106" w:rsidP="00A64106"/>
    <w:p w14:paraId="74F97D37" w14:textId="22459F2B" w:rsidR="00237793" w:rsidRDefault="00237793" w:rsidP="00A64106"/>
    <w:p w14:paraId="63F7F595" w14:textId="3A95417A" w:rsidR="00237793" w:rsidRDefault="00237793" w:rsidP="00A64106"/>
    <w:p w14:paraId="0AFDB1D3" w14:textId="419BB096" w:rsidR="00237793" w:rsidRDefault="00237793" w:rsidP="00A64106"/>
    <w:p w14:paraId="0CD24888" w14:textId="7A353B4E" w:rsidR="00237793" w:rsidRDefault="00237793" w:rsidP="00A64106"/>
    <w:p w14:paraId="67311E7D" w14:textId="626B84B0" w:rsidR="00237793" w:rsidRDefault="00237793" w:rsidP="00A64106"/>
    <w:p w14:paraId="51CE47A0" w14:textId="719EB058" w:rsidR="00237793" w:rsidRDefault="00237793" w:rsidP="00A64106"/>
    <w:p w14:paraId="27B47AA1" w14:textId="77777777" w:rsidR="00FE4062" w:rsidRDefault="00FE4062" w:rsidP="00A64106"/>
    <w:p w14:paraId="113ABD49" w14:textId="73325B97" w:rsidR="00237793" w:rsidRDefault="0056605F" w:rsidP="00A64106">
      <w:r>
        <w:rPr>
          <w:noProof/>
        </w:rPr>
        <w:lastRenderedPageBreak/>
        <mc:AlternateContent>
          <mc:Choice Requires="wps">
            <w:drawing>
              <wp:anchor distT="45720" distB="45720" distL="114300" distR="114300" simplePos="0" relativeHeight="251701248" behindDoc="0" locked="0" layoutInCell="1" allowOverlap="1" wp14:anchorId="7C4DA64B" wp14:editId="7EBBFC59">
                <wp:simplePos x="0" y="0"/>
                <wp:positionH relativeFrom="margin">
                  <wp:align>left</wp:align>
                </wp:positionH>
                <wp:positionV relativeFrom="paragraph">
                  <wp:posOffset>411</wp:posOffset>
                </wp:positionV>
                <wp:extent cx="5391150" cy="6562090"/>
                <wp:effectExtent l="0" t="0" r="19050" b="10160"/>
                <wp:wrapSquare wrapText="bothSides"/>
                <wp:docPr id="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562090"/>
                        </a:xfrm>
                        <a:prstGeom prst="rect">
                          <a:avLst/>
                        </a:prstGeom>
                        <a:solidFill>
                          <a:srgbClr val="FFFFFF"/>
                        </a:solidFill>
                        <a:ln w="9525">
                          <a:solidFill>
                            <a:srgbClr val="000000"/>
                          </a:solidFill>
                          <a:miter lim="800000"/>
                          <a:headEnd/>
                          <a:tailEnd/>
                        </a:ln>
                      </wps:spPr>
                      <wps:txbx>
                        <w:txbxContent>
                          <w:p w14:paraId="03C991DD" w14:textId="77777777" w:rsidR="00730B8F" w:rsidRDefault="00730B8F" w:rsidP="00BC01BD">
                            <w:pPr>
                              <w:keepNext/>
                            </w:pPr>
                            <w:r>
                              <w:rPr>
                                <w:noProof/>
                              </w:rPr>
                              <w:drawing>
                                <wp:inline distT="0" distB="0" distL="0" distR="0" wp14:anchorId="4D4B9C21" wp14:editId="7E233EC3">
                                  <wp:extent cx="5199529" cy="5558117"/>
                                  <wp:effectExtent l="0" t="0" r="1270" b="0"/>
                                  <wp:docPr id="820" name="Picture 82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14448" cy="5574065"/>
                                          </a:xfrm>
                                          <a:prstGeom prst="rect">
                                            <a:avLst/>
                                          </a:prstGeom>
                                          <a:noFill/>
                                        </pic:spPr>
                                      </pic:pic>
                                    </a:graphicData>
                                  </a:graphic>
                                </wp:inline>
                              </w:drawing>
                            </w:r>
                          </w:p>
                          <w:p w14:paraId="66ED8401" w14:textId="1E8DB7D6" w:rsidR="00730B8F" w:rsidRPr="00A2584C" w:rsidRDefault="00730B8F" w:rsidP="00BC01BD">
                            <w:pPr>
                              <w:pStyle w:val="Caption"/>
                              <w:rPr>
                                <w:b w:val="0"/>
                                <w:bCs w:val="0"/>
                              </w:rPr>
                            </w:pPr>
                            <w:bookmarkStart w:id="274" w:name="_Toc39868261"/>
                            <w:r>
                              <w:t xml:space="preserve">Figure </w:t>
                            </w:r>
                            <w:r w:rsidR="009425BE">
                              <w:fldChar w:fldCharType="begin"/>
                            </w:r>
                            <w:r w:rsidR="009425BE">
                              <w:instrText xml:space="preserve"> SEQ Figure \* ARABIC </w:instrText>
                            </w:r>
                            <w:r w:rsidR="009425BE">
                              <w:fldChar w:fldCharType="separate"/>
                            </w:r>
                            <w:r>
                              <w:rPr>
                                <w:noProof/>
                              </w:rPr>
                              <w:t>48</w:t>
                            </w:r>
                            <w:r w:rsidR="009425BE">
                              <w:rPr>
                                <w:noProof/>
                              </w:rPr>
                              <w:fldChar w:fldCharType="end"/>
                            </w:r>
                            <w:r>
                              <w:t xml:space="preserve">: </w:t>
                            </w:r>
                            <w:r w:rsidRPr="00A2584C">
                              <w:rPr>
                                <w:rFonts w:ascii="Arno Pro" w:eastAsia="Arial" w:hAnsi="Arno Pro" w:cs="Arial"/>
                                <w:b w:val="0"/>
                                <w:bCs w:val="0"/>
                                <w:sz w:val="19"/>
                                <w:szCs w:val="19"/>
                              </w:rPr>
                              <w:t>Mass spectrum of gemcitabine and</w:t>
                            </w:r>
                            <w:r w:rsidRPr="00A2584C">
                              <w:rPr>
                                <w:rFonts w:ascii="Arno Pro" w:eastAsia="Arial" w:hAnsi="Arno Pro" w:cs="Arial"/>
                                <w:b w:val="0"/>
                                <w:bCs w:val="0"/>
                                <w:sz w:val="19"/>
                                <w:szCs w:val="19"/>
                                <w:vertAlign w:val="superscript"/>
                              </w:rPr>
                              <w:t xml:space="preserve"> 15</w:t>
                            </w:r>
                            <w:r w:rsidRPr="00A2584C">
                              <w:rPr>
                                <w:rFonts w:ascii="Arno Pro" w:eastAsia="Arial" w:hAnsi="Arno Pro" w:cs="Arial"/>
                                <w:b w:val="0"/>
                                <w:bCs w:val="0"/>
                                <w:sz w:val="19"/>
                                <w:szCs w:val="19"/>
                              </w:rPr>
                              <w:t>N</w:t>
                            </w:r>
                            <w:r w:rsidRPr="00A2584C">
                              <w:rPr>
                                <w:rFonts w:ascii="Arno Pro" w:eastAsia="Arial" w:hAnsi="Arno Pro" w:cs="Arial"/>
                                <w:b w:val="0"/>
                                <w:bCs w:val="0"/>
                                <w:sz w:val="19"/>
                                <w:szCs w:val="19"/>
                                <w:vertAlign w:val="subscript"/>
                              </w:rPr>
                              <w:t>3</w:t>
                            </w:r>
                            <w:r w:rsidRPr="00A2584C">
                              <w:rPr>
                                <w:rFonts w:ascii="Arno Pro" w:eastAsia="Arial" w:hAnsi="Arno Pro" w:cs="Arial"/>
                                <w:b w:val="0"/>
                                <w:bCs w:val="0"/>
                                <w:sz w:val="19"/>
                                <w:szCs w:val="19"/>
                              </w:rPr>
                              <w:t>-gemcitabine. (A) Spectra from a single T24 cell following 1 h 10 µM Gemcitabine treatment. (B) Spectra from a single K562 cell following 1 h 10 µM Gemcitabine treatment.</w:t>
                            </w:r>
                            <w:bookmarkEnd w:id="274"/>
                          </w:p>
                          <w:p w14:paraId="40EE0776" w14:textId="77777777" w:rsidR="00730B8F" w:rsidRDefault="00730B8F" w:rsidP="0056605F">
                            <w:pPr>
                              <w:keepNext/>
                            </w:pPr>
                          </w:p>
                          <w:p w14:paraId="06A0FF54" w14:textId="77777777" w:rsidR="00730B8F" w:rsidRDefault="00730B8F" w:rsidP="0056605F"/>
                          <w:p w14:paraId="696FFB9A" w14:textId="77777777" w:rsidR="00730B8F" w:rsidRDefault="00730B8F"/>
                          <w:p w14:paraId="21E98F61" w14:textId="081424BB" w:rsidR="00730B8F" w:rsidRDefault="00730B8F" w:rsidP="00BC01BD">
                            <w:pPr>
                              <w:keepNext/>
                            </w:pPr>
                            <w:r>
                              <w:rPr>
                                <w:noProof/>
                              </w:rPr>
                              <w:drawing>
                                <wp:inline distT="0" distB="0" distL="0" distR="0" wp14:anchorId="4D4B9C21" wp14:editId="7E233EC3">
                                  <wp:extent cx="5199529" cy="5558117"/>
                                  <wp:effectExtent l="0" t="0" r="1270" b="0"/>
                                  <wp:docPr id="821" name="Picture 82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14448" cy="5574065"/>
                                          </a:xfrm>
                                          <a:prstGeom prst="rect">
                                            <a:avLst/>
                                          </a:prstGeom>
                                          <a:noFill/>
                                        </pic:spPr>
                                      </pic:pic>
                                    </a:graphicData>
                                  </a:graphic>
                                </wp:inline>
                              </w:drawing>
                            </w:r>
                          </w:p>
                          <w:p w14:paraId="182E50E9" w14:textId="14A44319" w:rsidR="00730B8F" w:rsidRDefault="00730B8F" w:rsidP="00BC01BD">
                            <w:pPr>
                              <w:pStyle w:val="Caption"/>
                            </w:pPr>
                            <w:r>
                              <w:t xml:space="preserve">Figure </w:t>
                            </w:r>
                            <w:r>
                              <w:fldChar w:fldCharType="begin"/>
                            </w:r>
                            <w:r>
                              <w:instrText xml:space="preserve">  \* ARABIC </w:instrText>
                            </w:r>
                            <w:r>
                              <w:fldChar w:fldCharType="separate"/>
                            </w:r>
                            <w:r>
                              <w:rPr>
                                <w:noProof/>
                              </w:rPr>
                              <w:t>84</w:t>
                            </w:r>
                            <w:r>
                              <w:rPr>
                                <w:noProof/>
                              </w:rPr>
                              <w:fldChar w:fldCharType="end"/>
                            </w:r>
                            <w:r>
                              <w:t xml:space="preserve">: </w:t>
                            </w:r>
                            <w:r>
                              <w:rPr>
                                <w:rFonts w:ascii="Arno Pro" w:eastAsia="Arial" w:hAnsi="Arno Pro" w:cs="Arial"/>
                                <w:sz w:val="19"/>
                                <w:szCs w:val="19"/>
                              </w:rPr>
                              <w:t>Mass spectrum of gemcitabine and</w:t>
                            </w:r>
                            <w:r>
                              <w:rPr>
                                <w:rFonts w:ascii="Arno Pro" w:eastAsia="Arial" w:hAnsi="Arno Pro" w:cs="Arial"/>
                                <w:sz w:val="19"/>
                                <w:szCs w:val="19"/>
                                <w:vertAlign w:val="superscript"/>
                              </w:rPr>
                              <w:t xml:space="preserve"> 15</w:t>
                            </w:r>
                            <w:r>
                              <w:rPr>
                                <w:rFonts w:ascii="Arno Pro" w:eastAsia="Arial" w:hAnsi="Arno Pro" w:cs="Arial"/>
                                <w:sz w:val="19"/>
                                <w:szCs w:val="19"/>
                              </w:rPr>
                              <w:t>N</w:t>
                            </w:r>
                            <w:r>
                              <w:rPr>
                                <w:rFonts w:ascii="Arno Pro" w:eastAsia="Arial" w:hAnsi="Arno Pro" w:cs="Arial"/>
                                <w:sz w:val="19"/>
                                <w:szCs w:val="19"/>
                                <w:vertAlign w:val="subscript"/>
                              </w:rPr>
                              <w:t>3</w:t>
                            </w:r>
                            <w:r>
                              <w:rPr>
                                <w:rFonts w:ascii="Arno Pro" w:eastAsia="Arial" w:hAnsi="Arno Pro" w:cs="Arial"/>
                                <w:sz w:val="19"/>
                                <w:szCs w:val="19"/>
                              </w:rPr>
                              <w:t>-gemcitabine. (A) Spectra from a single T24 cell following 1 h 10 µM Gemcitabine treatment. (B) Spectra from a single K562 cell following 1 h 10 µM Gemcitabine treatment.</w:t>
                            </w:r>
                          </w:p>
                          <w:p w14:paraId="73FD318D" w14:textId="64C98469" w:rsidR="00730B8F" w:rsidRDefault="00730B8F" w:rsidP="0056605F">
                            <w:pPr>
                              <w:keepNext/>
                            </w:pPr>
                          </w:p>
                          <w:p w14:paraId="4166B48E" w14:textId="2CB751BC" w:rsidR="00730B8F" w:rsidRDefault="00730B8F" w:rsidP="005660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DA64B" id="_x0000_s1073" type="#_x0000_t202" style="position:absolute;margin-left:0;margin-top:.05pt;width:424.5pt;height:516.7pt;z-index:251701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">
                <v:textbox>
                  <w:txbxContent>
                    <w:p w14:paraId="03C991DD" w14:textId="77777777" w:rsidR="00730B8F" w:rsidRDefault="00730B8F" w:rsidP="00BC01BD">
                      <w:pPr>
                        <w:keepNext/>
                      </w:pPr>
                      <w:r>
                        <w:rPr>
                          <w:noProof/>
                        </w:rPr>
                        <w:drawing>
                          <wp:inline distT="0" distB="0" distL="0" distR="0" wp14:anchorId="4D4B9C21" wp14:editId="7E233EC3">
                            <wp:extent cx="5199529" cy="5558117"/>
                            <wp:effectExtent l="0" t="0" r="1270" b="0"/>
                            <wp:docPr id="820" name="Picture 82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14448" cy="5574065"/>
                                    </a:xfrm>
                                    <a:prstGeom prst="rect">
                                      <a:avLst/>
                                    </a:prstGeom>
                                    <a:noFill/>
                                  </pic:spPr>
                                </pic:pic>
                              </a:graphicData>
                            </a:graphic>
                          </wp:inline>
                        </w:drawing>
                      </w:r>
                    </w:p>
                    <w:p w14:paraId="66ED8401" w14:textId="1E8DB7D6" w:rsidR="00730B8F" w:rsidRPr="00A2584C" w:rsidRDefault="00730B8F" w:rsidP="00BC01BD">
                      <w:pPr>
                        <w:pStyle w:val="Caption"/>
                        <w:rPr>
                          <w:b w:val="0"/>
                          <w:bCs w:val="0"/>
                        </w:rPr>
                      </w:pPr>
                      <w:bookmarkStart w:id="275" w:name="_Toc39868261"/>
                      <w:r>
                        <w:t xml:space="preserve">Figure </w:t>
                      </w:r>
                      <w:r w:rsidR="009425BE">
                        <w:fldChar w:fldCharType="begin"/>
                      </w:r>
                      <w:r w:rsidR="009425BE">
                        <w:instrText xml:space="preserve"> SEQ Figure \* ARABIC </w:instrText>
                      </w:r>
                      <w:r w:rsidR="009425BE">
                        <w:fldChar w:fldCharType="separate"/>
                      </w:r>
                      <w:r>
                        <w:rPr>
                          <w:noProof/>
                        </w:rPr>
                        <w:t>48</w:t>
                      </w:r>
                      <w:r w:rsidR="009425BE">
                        <w:rPr>
                          <w:noProof/>
                        </w:rPr>
                        <w:fldChar w:fldCharType="end"/>
                      </w:r>
                      <w:r>
                        <w:t xml:space="preserve">: </w:t>
                      </w:r>
                      <w:r w:rsidRPr="00A2584C">
                        <w:rPr>
                          <w:rFonts w:ascii="Arno Pro" w:eastAsia="Arial" w:hAnsi="Arno Pro" w:cs="Arial"/>
                          <w:b w:val="0"/>
                          <w:bCs w:val="0"/>
                          <w:sz w:val="19"/>
                          <w:szCs w:val="19"/>
                        </w:rPr>
                        <w:t>Mass spectrum of gemcitabine and</w:t>
                      </w:r>
                      <w:r w:rsidRPr="00A2584C">
                        <w:rPr>
                          <w:rFonts w:ascii="Arno Pro" w:eastAsia="Arial" w:hAnsi="Arno Pro" w:cs="Arial"/>
                          <w:b w:val="0"/>
                          <w:bCs w:val="0"/>
                          <w:sz w:val="19"/>
                          <w:szCs w:val="19"/>
                          <w:vertAlign w:val="superscript"/>
                        </w:rPr>
                        <w:t xml:space="preserve"> 15</w:t>
                      </w:r>
                      <w:r w:rsidRPr="00A2584C">
                        <w:rPr>
                          <w:rFonts w:ascii="Arno Pro" w:eastAsia="Arial" w:hAnsi="Arno Pro" w:cs="Arial"/>
                          <w:b w:val="0"/>
                          <w:bCs w:val="0"/>
                          <w:sz w:val="19"/>
                          <w:szCs w:val="19"/>
                        </w:rPr>
                        <w:t>N</w:t>
                      </w:r>
                      <w:r w:rsidRPr="00A2584C">
                        <w:rPr>
                          <w:rFonts w:ascii="Arno Pro" w:eastAsia="Arial" w:hAnsi="Arno Pro" w:cs="Arial"/>
                          <w:b w:val="0"/>
                          <w:bCs w:val="0"/>
                          <w:sz w:val="19"/>
                          <w:szCs w:val="19"/>
                          <w:vertAlign w:val="subscript"/>
                        </w:rPr>
                        <w:t>3</w:t>
                      </w:r>
                      <w:r w:rsidRPr="00A2584C">
                        <w:rPr>
                          <w:rFonts w:ascii="Arno Pro" w:eastAsia="Arial" w:hAnsi="Arno Pro" w:cs="Arial"/>
                          <w:b w:val="0"/>
                          <w:bCs w:val="0"/>
                          <w:sz w:val="19"/>
                          <w:szCs w:val="19"/>
                        </w:rPr>
                        <w:t>-gemcitabine. (A) Spectra from a single T24 cell following 1 h 10 µM Gemcitabine treatment. (B) Spectra from a single K562 cell following 1 h 10 µM Gemcitabine treatment.</w:t>
                      </w:r>
                      <w:bookmarkEnd w:id="275"/>
                    </w:p>
                    <w:p w14:paraId="40EE0776" w14:textId="77777777" w:rsidR="00730B8F" w:rsidRDefault="00730B8F" w:rsidP="0056605F">
                      <w:pPr>
                        <w:keepNext/>
                      </w:pPr>
                    </w:p>
                    <w:p w14:paraId="06A0FF54" w14:textId="77777777" w:rsidR="00730B8F" w:rsidRDefault="00730B8F" w:rsidP="0056605F"/>
                    <w:p w14:paraId="696FFB9A" w14:textId="77777777" w:rsidR="00730B8F" w:rsidRDefault="00730B8F"/>
                    <w:p w14:paraId="21E98F61" w14:textId="081424BB" w:rsidR="00730B8F" w:rsidRDefault="00730B8F" w:rsidP="00BC01BD">
                      <w:pPr>
                        <w:keepNext/>
                      </w:pPr>
                      <w:r>
                        <w:rPr>
                          <w:noProof/>
                        </w:rPr>
                        <w:drawing>
                          <wp:inline distT="0" distB="0" distL="0" distR="0" wp14:anchorId="4D4B9C21" wp14:editId="7E233EC3">
                            <wp:extent cx="5199529" cy="5558117"/>
                            <wp:effectExtent l="0" t="0" r="1270" b="0"/>
                            <wp:docPr id="821" name="Picture 82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14448" cy="5574065"/>
                                    </a:xfrm>
                                    <a:prstGeom prst="rect">
                                      <a:avLst/>
                                    </a:prstGeom>
                                    <a:noFill/>
                                  </pic:spPr>
                                </pic:pic>
                              </a:graphicData>
                            </a:graphic>
                          </wp:inline>
                        </w:drawing>
                      </w:r>
                    </w:p>
                    <w:p w14:paraId="182E50E9" w14:textId="14A44319" w:rsidR="00730B8F" w:rsidRDefault="00730B8F" w:rsidP="00BC01BD">
                      <w:pPr>
                        <w:pStyle w:val="Caption"/>
                      </w:pPr>
                      <w:r>
                        <w:t xml:space="preserve">Figure </w:t>
                      </w:r>
                      <w:r>
                        <w:fldChar w:fldCharType="begin"/>
                      </w:r>
                      <w:r>
                        <w:instrText xml:space="preserve">  \* ARABIC </w:instrText>
                      </w:r>
                      <w:r>
                        <w:fldChar w:fldCharType="separate"/>
                      </w:r>
                      <w:r>
                        <w:rPr>
                          <w:noProof/>
                        </w:rPr>
                        <w:t>84</w:t>
                      </w:r>
                      <w:r>
                        <w:rPr>
                          <w:noProof/>
                        </w:rPr>
                        <w:fldChar w:fldCharType="end"/>
                      </w:r>
                      <w:r>
                        <w:t xml:space="preserve">: </w:t>
                      </w:r>
                      <w:r>
                        <w:rPr>
                          <w:rFonts w:ascii="Arno Pro" w:eastAsia="Arial" w:hAnsi="Arno Pro" w:cs="Arial"/>
                          <w:sz w:val="19"/>
                          <w:szCs w:val="19"/>
                        </w:rPr>
                        <w:t>Mass spectrum of gemcitabine and</w:t>
                      </w:r>
                      <w:r>
                        <w:rPr>
                          <w:rFonts w:ascii="Arno Pro" w:eastAsia="Arial" w:hAnsi="Arno Pro" w:cs="Arial"/>
                          <w:sz w:val="19"/>
                          <w:szCs w:val="19"/>
                          <w:vertAlign w:val="superscript"/>
                        </w:rPr>
                        <w:t xml:space="preserve"> 15</w:t>
                      </w:r>
                      <w:r>
                        <w:rPr>
                          <w:rFonts w:ascii="Arno Pro" w:eastAsia="Arial" w:hAnsi="Arno Pro" w:cs="Arial"/>
                          <w:sz w:val="19"/>
                          <w:szCs w:val="19"/>
                        </w:rPr>
                        <w:t>N</w:t>
                      </w:r>
                      <w:r>
                        <w:rPr>
                          <w:rFonts w:ascii="Arno Pro" w:eastAsia="Arial" w:hAnsi="Arno Pro" w:cs="Arial"/>
                          <w:sz w:val="19"/>
                          <w:szCs w:val="19"/>
                          <w:vertAlign w:val="subscript"/>
                        </w:rPr>
                        <w:t>3</w:t>
                      </w:r>
                      <w:r>
                        <w:rPr>
                          <w:rFonts w:ascii="Arno Pro" w:eastAsia="Arial" w:hAnsi="Arno Pro" w:cs="Arial"/>
                          <w:sz w:val="19"/>
                          <w:szCs w:val="19"/>
                        </w:rPr>
                        <w:t>-gemcitabine. (A) Spectra from a single T24 cell following 1 h 10 µM Gemcitabine treatment. (B) Spectra from a single K562 cell following 1 h 10 µM Gemcitabine treatment.</w:t>
                      </w:r>
                    </w:p>
                    <w:p w14:paraId="73FD318D" w14:textId="64C98469" w:rsidR="00730B8F" w:rsidRDefault="00730B8F" w:rsidP="0056605F">
                      <w:pPr>
                        <w:keepNext/>
                      </w:pPr>
                    </w:p>
                    <w:p w14:paraId="4166B48E" w14:textId="2CB751BC" w:rsidR="00730B8F" w:rsidRDefault="00730B8F" w:rsidP="0056605F"/>
                  </w:txbxContent>
                </v:textbox>
                <w10:wrap type="square" anchorx="margin"/>
              </v:shape>
            </w:pict>
          </mc:Fallback>
        </mc:AlternateContent>
      </w:r>
    </w:p>
    <w:p w14:paraId="6DF09814" w14:textId="42072A95" w:rsidR="00FE4062" w:rsidRDefault="00FE4062" w:rsidP="00A64106"/>
    <w:p w14:paraId="27F95E96" w14:textId="24AE6CC5" w:rsidR="00FE4062" w:rsidRDefault="00FE4062" w:rsidP="00A64106"/>
    <w:p w14:paraId="528F97F5" w14:textId="69C57C66" w:rsidR="00FE4062" w:rsidRDefault="00FE4062" w:rsidP="00A64106"/>
    <w:p w14:paraId="5842528F" w14:textId="03661B4F" w:rsidR="00FE4062" w:rsidRDefault="00FE4062" w:rsidP="00A64106"/>
    <w:p w14:paraId="7F3253A0" w14:textId="29025300" w:rsidR="00FE4062" w:rsidRDefault="00FE4062" w:rsidP="00A64106">
      <w:r>
        <w:rPr>
          <w:noProof/>
        </w:rPr>
        <w:lastRenderedPageBreak/>
        <mc:AlternateContent>
          <mc:Choice Requires="wps">
            <w:drawing>
              <wp:anchor distT="45720" distB="45720" distL="114300" distR="114300" simplePos="0" relativeHeight="251702272" behindDoc="0" locked="0" layoutInCell="1" allowOverlap="1" wp14:anchorId="6902BDA8" wp14:editId="124C100D">
                <wp:simplePos x="0" y="0"/>
                <wp:positionH relativeFrom="margin">
                  <wp:align>left</wp:align>
                </wp:positionH>
                <wp:positionV relativeFrom="paragraph">
                  <wp:posOffset>0</wp:posOffset>
                </wp:positionV>
                <wp:extent cx="5391150" cy="3388360"/>
                <wp:effectExtent l="0" t="0" r="19050" b="21590"/>
                <wp:wrapSquare wrapText="bothSides"/>
                <wp:docPr id="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3388360"/>
                        </a:xfrm>
                        <a:prstGeom prst="rect">
                          <a:avLst/>
                        </a:prstGeom>
                        <a:solidFill>
                          <a:srgbClr val="FFFFFF"/>
                        </a:solidFill>
                        <a:ln w="9525">
                          <a:solidFill>
                            <a:srgbClr val="000000"/>
                          </a:solidFill>
                          <a:miter lim="800000"/>
                          <a:headEnd/>
                          <a:tailEnd/>
                        </a:ln>
                      </wps:spPr>
                      <wps:txbx>
                        <w:txbxContent>
                          <w:p w14:paraId="0FB3DB15" w14:textId="77777777" w:rsidR="00730B8F" w:rsidRDefault="00730B8F" w:rsidP="00B13DB9">
                            <w:pPr>
                              <w:keepNext/>
                            </w:pPr>
                            <w:r>
                              <w:rPr>
                                <w:noProof/>
                              </w:rPr>
                              <w:drawing>
                                <wp:inline distT="0" distB="0" distL="0" distR="0" wp14:anchorId="2CA3BDE5" wp14:editId="04EFD9DD">
                                  <wp:extent cx="5199380" cy="2366010"/>
                                  <wp:effectExtent l="0" t="0" r="1270" b="0"/>
                                  <wp:docPr id="822" name="Picture 2">
                                    <a:extLst xmlns:a="http://schemas.openxmlformats.org/drawingml/2006/main">
                                      <a:ext uri="{FF2B5EF4-FFF2-40B4-BE49-F238E27FC236}">
                                        <a16:creationId xmlns:a16="http://schemas.microsoft.com/office/drawing/2014/main" id="{393B89CE-31BD-40D1-8E8A-3FBC3EB6BA2D}"/>
                                      </a:ext>
                                    </a:extLst>
                                  </wp:docPr>
                                  <wp:cNvGraphicFramePr/>
                                  <a:graphic xmlns:a="http://schemas.openxmlformats.org/drawingml/2006/main">
                                    <a:graphicData uri="http://schemas.openxmlformats.org/drawingml/2006/picture">
                                      <pic:pic xmlns:pic="http://schemas.openxmlformats.org/drawingml/2006/picture">
                                        <pic:nvPicPr>
                                          <pic:cNvPr id="7" name="Picture 2">
                                            <a:extLst>
                                              <a:ext uri="{FF2B5EF4-FFF2-40B4-BE49-F238E27FC236}">
                                                <a16:creationId xmlns:a16="http://schemas.microsoft.com/office/drawing/2014/main" id="{393B89CE-31BD-40D1-8E8A-3FBC3EB6BA2D}"/>
                                              </a:ext>
                                            </a:extLst>
                                          </pic:cNvPr>
                                          <pic:cNvPicPr/>
                                        </pic:nvPicPr>
                                        <pic:blipFill>
                                          <a:blip r:embed="rId122"/>
                                          <a:stretch>
                                            <a:fillRect/>
                                          </a:stretch>
                                        </pic:blipFill>
                                        <pic:spPr>
                                          <a:xfrm>
                                            <a:off x="0" y="0"/>
                                            <a:ext cx="5199380" cy="2366010"/>
                                          </a:xfrm>
                                          <a:prstGeom prst="rect">
                                            <a:avLst/>
                                          </a:prstGeom>
                                        </pic:spPr>
                                      </pic:pic>
                                    </a:graphicData>
                                  </a:graphic>
                                </wp:inline>
                              </w:drawing>
                            </w:r>
                          </w:p>
                          <w:p w14:paraId="01E87DEA" w14:textId="7CAECA27" w:rsidR="00730B8F" w:rsidRPr="00A2584C" w:rsidRDefault="00730B8F" w:rsidP="00B13DB9">
                            <w:pPr>
                              <w:pStyle w:val="Caption"/>
                              <w:rPr>
                                <w:b w:val="0"/>
                                <w:bCs w:val="0"/>
                              </w:rPr>
                            </w:pPr>
                            <w:bookmarkStart w:id="276" w:name="_Toc39868262"/>
                            <w:r>
                              <w:t xml:space="preserve">Figure </w:t>
                            </w:r>
                            <w:r w:rsidR="009425BE">
                              <w:fldChar w:fldCharType="begin"/>
                            </w:r>
                            <w:r w:rsidR="009425BE">
                              <w:instrText xml:space="preserve"> SEQ Figure \* ARABIC </w:instrText>
                            </w:r>
                            <w:r w:rsidR="009425BE">
                              <w:fldChar w:fldCharType="separate"/>
                            </w:r>
                            <w:r>
                              <w:rPr>
                                <w:noProof/>
                              </w:rPr>
                              <w:t>49</w:t>
                            </w:r>
                            <w:r w:rsidR="009425BE">
                              <w:rPr>
                                <w:noProof/>
                              </w:rPr>
                              <w:fldChar w:fldCharType="end"/>
                            </w:r>
                            <w:r>
                              <w:t xml:space="preserve">: </w:t>
                            </w:r>
                            <w:r w:rsidRPr="00A2584C">
                              <w:rPr>
                                <w:rFonts w:ascii="Arno Pro" w:hAnsi="Arno Pro" w:cs="Arial"/>
                                <w:b w:val="0"/>
                                <w:bCs w:val="0"/>
                                <w:sz w:val="19"/>
                                <w:szCs w:val="19"/>
                              </w:rPr>
                              <w:t xml:space="preserve">Spectra of Gemcitabine depicting the limit of quantification (LOQ) utilizing the single probe in a 5nM gemcitabine/ 100nM </w:t>
                            </w:r>
                            <w:r w:rsidRPr="00A2584C">
                              <w:rPr>
                                <w:rFonts w:ascii="Arno Pro" w:hAnsi="Arno Pro" w:cs="Arial"/>
                                <w:b w:val="0"/>
                                <w:bCs w:val="0"/>
                                <w:sz w:val="19"/>
                                <w:szCs w:val="19"/>
                                <w:vertAlign w:val="superscript"/>
                              </w:rPr>
                              <w:t>15</w:t>
                            </w:r>
                            <w:r w:rsidRPr="00A2584C">
                              <w:rPr>
                                <w:rFonts w:ascii="Arno Pro" w:hAnsi="Arno Pro" w:cs="Arial"/>
                                <w:b w:val="0"/>
                                <w:bCs w:val="0"/>
                                <w:sz w:val="19"/>
                                <w:szCs w:val="19"/>
                              </w:rPr>
                              <w:t>N</w:t>
                            </w:r>
                            <w:r w:rsidRPr="00A2584C">
                              <w:rPr>
                                <w:rFonts w:ascii="Arno Pro" w:hAnsi="Arno Pro" w:cs="Arial"/>
                                <w:b w:val="0"/>
                                <w:bCs w:val="0"/>
                                <w:sz w:val="19"/>
                                <w:szCs w:val="19"/>
                                <w:vertAlign w:val="subscript"/>
                              </w:rPr>
                              <w:t>3</w:t>
                            </w:r>
                            <w:r w:rsidRPr="00A2584C">
                              <w:rPr>
                                <w:rFonts w:ascii="Arno Pro" w:hAnsi="Arno Pro" w:cs="Arial"/>
                                <w:b w:val="0"/>
                                <w:bCs w:val="0"/>
                                <w:sz w:val="19"/>
                                <w:szCs w:val="19"/>
                              </w:rPr>
                              <w:t>-gemcitabine solution in acetonitrile.</w:t>
                            </w:r>
                            <w:bookmarkEnd w:id="276"/>
                          </w:p>
                          <w:p w14:paraId="4F331FD9" w14:textId="77777777" w:rsidR="00730B8F" w:rsidRPr="00A2584C" w:rsidRDefault="00730B8F" w:rsidP="00FE4062">
                            <w:pPr>
                              <w:keepNext/>
                            </w:pPr>
                          </w:p>
                          <w:p w14:paraId="77599741" w14:textId="77777777" w:rsidR="00730B8F" w:rsidRDefault="00730B8F" w:rsidP="00FE4062"/>
                          <w:p w14:paraId="430C9E23" w14:textId="77777777" w:rsidR="00730B8F" w:rsidRDefault="00730B8F"/>
                          <w:p w14:paraId="14CD7FCC" w14:textId="77777777" w:rsidR="00730B8F" w:rsidRDefault="00730B8F" w:rsidP="00B13DB9">
                            <w:pPr>
                              <w:keepNext/>
                            </w:pPr>
                            <w:r>
                              <w:rPr>
                                <w:noProof/>
                              </w:rPr>
                              <w:drawing>
                                <wp:inline distT="0" distB="0" distL="0" distR="0" wp14:anchorId="2CA3BDE5" wp14:editId="04EFD9DD">
                                  <wp:extent cx="5199380" cy="2366010"/>
                                  <wp:effectExtent l="0" t="0" r="1270" b="0"/>
                                  <wp:docPr id="823" name="Picture 2">
                                    <a:extLst xmlns:a="http://schemas.openxmlformats.org/drawingml/2006/main">
                                      <a:ext uri="{FF2B5EF4-FFF2-40B4-BE49-F238E27FC236}">
                                        <a16:creationId xmlns:a16="http://schemas.microsoft.com/office/drawing/2014/main" id="{393B89CE-31BD-40D1-8E8A-3FBC3EB6BA2D}"/>
                                      </a:ext>
                                    </a:extLst>
                                  </wp:docPr>
                                  <wp:cNvGraphicFramePr/>
                                  <a:graphic xmlns:a="http://schemas.openxmlformats.org/drawingml/2006/main">
                                    <a:graphicData uri="http://schemas.openxmlformats.org/drawingml/2006/picture">
                                      <pic:pic xmlns:pic="http://schemas.openxmlformats.org/drawingml/2006/picture">
                                        <pic:nvPicPr>
                                          <pic:cNvPr id="7" name="Picture 2">
                                            <a:extLst>
                                              <a:ext uri="{FF2B5EF4-FFF2-40B4-BE49-F238E27FC236}">
                                                <a16:creationId xmlns:a16="http://schemas.microsoft.com/office/drawing/2014/main" id="{393B89CE-31BD-40D1-8E8A-3FBC3EB6BA2D}"/>
                                              </a:ext>
                                            </a:extLst>
                                          </pic:cNvPr>
                                          <pic:cNvPicPr/>
                                        </pic:nvPicPr>
                                        <pic:blipFill>
                                          <a:blip r:embed="rId122"/>
                                          <a:stretch>
                                            <a:fillRect/>
                                          </a:stretch>
                                        </pic:blipFill>
                                        <pic:spPr>
                                          <a:xfrm>
                                            <a:off x="0" y="0"/>
                                            <a:ext cx="5199380" cy="2366010"/>
                                          </a:xfrm>
                                          <a:prstGeom prst="rect">
                                            <a:avLst/>
                                          </a:prstGeom>
                                        </pic:spPr>
                                      </pic:pic>
                                    </a:graphicData>
                                  </a:graphic>
                                </wp:inline>
                              </w:drawing>
                            </w:r>
                          </w:p>
                          <w:p w14:paraId="2AAC7879" w14:textId="6DDB972E" w:rsidR="00730B8F" w:rsidRDefault="00730B8F" w:rsidP="00B13DB9">
                            <w:pPr>
                              <w:pStyle w:val="Caption"/>
                            </w:pPr>
                            <w:r>
                              <w:t xml:space="preserve">Figure </w:t>
                            </w:r>
                            <w:r>
                              <w:fldChar w:fldCharType="begin"/>
                            </w:r>
                            <w:r>
                              <w:instrText xml:space="preserve">  \* ARABIC </w:instrText>
                            </w:r>
                            <w:r>
                              <w:fldChar w:fldCharType="separate"/>
                            </w:r>
                            <w:r>
                              <w:rPr>
                                <w:noProof/>
                              </w:rPr>
                              <w:t>86</w:t>
                            </w:r>
                            <w:r>
                              <w:rPr>
                                <w:noProof/>
                              </w:rPr>
                              <w:fldChar w:fldCharType="end"/>
                            </w:r>
                            <w:r>
                              <w:t xml:space="preserve">: </w:t>
                            </w:r>
                            <w:r>
                              <w:rPr>
                                <w:rFonts w:ascii="Arno Pro" w:hAnsi="Arno Pro" w:cs="Arial"/>
                                <w:sz w:val="19"/>
                                <w:szCs w:val="19"/>
                              </w:rPr>
                              <w:t xml:space="preserve">Spectra of Gemcitabine depicting the limit of quantification (LOQ) utilizing the single probe in a 5nM gemcitabine/ 100nM </w:t>
                            </w:r>
                            <w:r>
                              <w:rPr>
                                <w:rFonts w:ascii="Arno Pro" w:hAnsi="Arno Pro" w:cs="Arial"/>
                                <w:sz w:val="19"/>
                                <w:szCs w:val="19"/>
                                <w:vertAlign w:val="superscript"/>
                              </w:rPr>
                              <w:t>15</w:t>
                            </w:r>
                            <w:r>
                              <w:rPr>
                                <w:rFonts w:ascii="Arno Pro" w:hAnsi="Arno Pro" w:cs="Arial"/>
                                <w:sz w:val="19"/>
                                <w:szCs w:val="19"/>
                              </w:rPr>
                              <w:t>N</w:t>
                            </w:r>
                            <w:r>
                              <w:rPr>
                                <w:rFonts w:ascii="Arno Pro" w:hAnsi="Arno Pro" w:cs="Arial"/>
                                <w:sz w:val="19"/>
                                <w:szCs w:val="19"/>
                                <w:vertAlign w:val="subscript"/>
                              </w:rPr>
                              <w:t>3</w:t>
                            </w:r>
                            <w:r>
                              <w:rPr>
                                <w:rFonts w:ascii="Arno Pro" w:hAnsi="Arno Pro" w:cs="Arial"/>
                                <w:sz w:val="19"/>
                                <w:szCs w:val="19"/>
                              </w:rPr>
                              <w:t>-gemcitabine solution in acetonitrile.</w:t>
                            </w:r>
                          </w:p>
                          <w:p w14:paraId="2D56DA1B" w14:textId="63AD922C" w:rsidR="00730B8F" w:rsidRDefault="00730B8F" w:rsidP="00FE4062">
                            <w:pPr>
                              <w:keepNext/>
                            </w:pPr>
                          </w:p>
                          <w:p w14:paraId="77FA13D3" w14:textId="77777777" w:rsidR="00730B8F" w:rsidRDefault="00730B8F" w:rsidP="00FE40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2BDA8" id="_x0000_s1074" type="#_x0000_t202" style="position:absolute;margin-left:0;margin-top:0;width:424.5pt;height:266.8pt;z-index:251702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">
                <v:textbox>
                  <w:txbxContent>
                    <w:p w14:paraId="0FB3DB15" w14:textId="77777777" w:rsidR="00730B8F" w:rsidRDefault="00730B8F" w:rsidP="00B13DB9">
                      <w:pPr>
                        <w:keepNext/>
                      </w:pPr>
                      <w:r>
                        <w:rPr>
                          <w:noProof/>
                        </w:rPr>
                        <w:drawing>
                          <wp:inline distT="0" distB="0" distL="0" distR="0" wp14:anchorId="2CA3BDE5" wp14:editId="04EFD9DD">
                            <wp:extent cx="5199380" cy="2366010"/>
                            <wp:effectExtent l="0" t="0" r="1270" b="0"/>
                            <wp:docPr id="822" name="Picture 2">
                              <a:extLst xmlns:a="http://schemas.openxmlformats.org/drawingml/2006/main">
                                <a:ext uri="{FF2B5EF4-FFF2-40B4-BE49-F238E27FC236}">
                                  <a16:creationId xmlns:a16="http://schemas.microsoft.com/office/drawing/2014/main" id="{393B89CE-31BD-40D1-8E8A-3FBC3EB6BA2D}"/>
                                </a:ext>
                              </a:extLst>
                            </wp:docPr>
                            <wp:cNvGraphicFramePr/>
                            <a:graphic xmlns:a="http://schemas.openxmlformats.org/drawingml/2006/main">
                              <a:graphicData uri="http://schemas.openxmlformats.org/drawingml/2006/picture">
                                <pic:pic xmlns:pic="http://schemas.openxmlformats.org/drawingml/2006/picture">
                                  <pic:nvPicPr>
                                    <pic:cNvPr id="7" name="Picture 2">
                                      <a:extLst>
                                        <a:ext uri="{FF2B5EF4-FFF2-40B4-BE49-F238E27FC236}">
                                          <a16:creationId xmlns:a16="http://schemas.microsoft.com/office/drawing/2014/main" id="{393B89CE-31BD-40D1-8E8A-3FBC3EB6BA2D}"/>
                                        </a:ext>
                                      </a:extLst>
                                    </pic:cNvPr>
                                    <pic:cNvPicPr/>
                                  </pic:nvPicPr>
                                  <pic:blipFill>
                                    <a:blip r:embed="rId122"/>
                                    <a:stretch>
                                      <a:fillRect/>
                                    </a:stretch>
                                  </pic:blipFill>
                                  <pic:spPr>
                                    <a:xfrm>
                                      <a:off x="0" y="0"/>
                                      <a:ext cx="5199380" cy="2366010"/>
                                    </a:xfrm>
                                    <a:prstGeom prst="rect">
                                      <a:avLst/>
                                    </a:prstGeom>
                                  </pic:spPr>
                                </pic:pic>
                              </a:graphicData>
                            </a:graphic>
                          </wp:inline>
                        </w:drawing>
                      </w:r>
                    </w:p>
                    <w:p w14:paraId="01E87DEA" w14:textId="7CAECA27" w:rsidR="00730B8F" w:rsidRPr="00A2584C" w:rsidRDefault="00730B8F" w:rsidP="00B13DB9">
                      <w:pPr>
                        <w:pStyle w:val="Caption"/>
                        <w:rPr>
                          <w:b w:val="0"/>
                          <w:bCs w:val="0"/>
                        </w:rPr>
                      </w:pPr>
                      <w:bookmarkStart w:id="277" w:name="_Toc39868262"/>
                      <w:r>
                        <w:t xml:space="preserve">Figure </w:t>
                      </w:r>
                      <w:r w:rsidR="009425BE">
                        <w:fldChar w:fldCharType="begin"/>
                      </w:r>
                      <w:r w:rsidR="009425BE">
                        <w:instrText xml:space="preserve"> SEQ Figure \* ARABIC </w:instrText>
                      </w:r>
                      <w:r w:rsidR="009425BE">
                        <w:fldChar w:fldCharType="separate"/>
                      </w:r>
                      <w:r>
                        <w:rPr>
                          <w:noProof/>
                        </w:rPr>
                        <w:t>49</w:t>
                      </w:r>
                      <w:r w:rsidR="009425BE">
                        <w:rPr>
                          <w:noProof/>
                        </w:rPr>
                        <w:fldChar w:fldCharType="end"/>
                      </w:r>
                      <w:r>
                        <w:t xml:space="preserve">: </w:t>
                      </w:r>
                      <w:r w:rsidRPr="00A2584C">
                        <w:rPr>
                          <w:rFonts w:ascii="Arno Pro" w:hAnsi="Arno Pro" w:cs="Arial"/>
                          <w:b w:val="0"/>
                          <w:bCs w:val="0"/>
                          <w:sz w:val="19"/>
                          <w:szCs w:val="19"/>
                        </w:rPr>
                        <w:t xml:space="preserve">Spectra of Gemcitabine depicting the limit of quantification (LOQ) utilizing the single probe in a 5nM gemcitabine/ 100nM </w:t>
                      </w:r>
                      <w:r w:rsidRPr="00A2584C">
                        <w:rPr>
                          <w:rFonts w:ascii="Arno Pro" w:hAnsi="Arno Pro" w:cs="Arial"/>
                          <w:b w:val="0"/>
                          <w:bCs w:val="0"/>
                          <w:sz w:val="19"/>
                          <w:szCs w:val="19"/>
                          <w:vertAlign w:val="superscript"/>
                        </w:rPr>
                        <w:t>15</w:t>
                      </w:r>
                      <w:r w:rsidRPr="00A2584C">
                        <w:rPr>
                          <w:rFonts w:ascii="Arno Pro" w:hAnsi="Arno Pro" w:cs="Arial"/>
                          <w:b w:val="0"/>
                          <w:bCs w:val="0"/>
                          <w:sz w:val="19"/>
                          <w:szCs w:val="19"/>
                        </w:rPr>
                        <w:t>N</w:t>
                      </w:r>
                      <w:r w:rsidRPr="00A2584C">
                        <w:rPr>
                          <w:rFonts w:ascii="Arno Pro" w:hAnsi="Arno Pro" w:cs="Arial"/>
                          <w:b w:val="0"/>
                          <w:bCs w:val="0"/>
                          <w:sz w:val="19"/>
                          <w:szCs w:val="19"/>
                          <w:vertAlign w:val="subscript"/>
                        </w:rPr>
                        <w:t>3</w:t>
                      </w:r>
                      <w:r w:rsidRPr="00A2584C">
                        <w:rPr>
                          <w:rFonts w:ascii="Arno Pro" w:hAnsi="Arno Pro" w:cs="Arial"/>
                          <w:b w:val="0"/>
                          <w:bCs w:val="0"/>
                          <w:sz w:val="19"/>
                          <w:szCs w:val="19"/>
                        </w:rPr>
                        <w:t>-gemcitabine solution in acetonitrile.</w:t>
                      </w:r>
                      <w:bookmarkEnd w:id="277"/>
                    </w:p>
                    <w:p w14:paraId="4F331FD9" w14:textId="77777777" w:rsidR="00730B8F" w:rsidRPr="00A2584C" w:rsidRDefault="00730B8F" w:rsidP="00FE4062">
                      <w:pPr>
                        <w:keepNext/>
                      </w:pPr>
                    </w:p>
                    <w:p w14:paraId="77599741" w14:textId="77777777" w:rsidR="00730B8F" w:rsidRDefault="00730B8F" w:rsidP="00FE4062"/>
                    <w:p w14:paraId="430C9E23" w14:textId="77777777" w:rsidR="00730B8F" w:rsidRDefault="00730B8F"/>
                    <w:p w14:paraId="14CD7FCC" w14:textId="77777777" w:rsidR="00730B8F" w:rsidRDefault="00730B8F" w:rsidP="00B13DB9">
                      <w:pPr>
                        <w:keepNext/>
                      </w:pPr>
                      <w:r>
                        <w:rPr>
                          <w:noProof/>
                        </w:rPr>
                        <w:drawing>
                          <wp:inline distT="0" distB="0" distL="0" distR="0" wp14:anchorId="2CA3BDE5" wp14:editId="04EFD9DD">
                            <wp:extent cx="5199380" cy="2366010"/>
                            <wp:effectExtent l="0" t="0" r="1270" b="0"/>
                            <wp:docPr id="823" name="Picture 2">
                              <a:extLst xmlns:a="http://schemas.openxmlformats.org/drawingml/2006/main">
                                <a:ext uri="{FF2B5EF4-FFF2-40B4-BE49-F238E27FC236}">
                                  <a16:creationId xmlns:a16="http://schemas.microsoft.com/office/drawing/2014/main" id="{393B89CE-31BD-40D1-8E8A-3FBC3EB6BA2D}"/>
                                </a:ext>
                              </a:extLst>
                            </wp:docPr>
                            <wp:cNvGraphicFramePr/>
                            <a:graphic xmlns:a="http://schemas.openxmlformats.org/drawingml/2006/main">
                              <a:graphicData uri="http://schemas.openxmlformats.org/drawingml/2006/picture">
                                <pic:pic xmlns:pic="http://schemas.openxmlformats.org/drawingml/2006/picture">
                                  <pic:nvPicPr>
                                    <pic:cNvPr id="7" name="Picture 2">
                                      <a:extLst>
                                        <a:ext uri="{FF2B5EF4-FFF2-40B4-BE49-F238E27FC236}">
                                          <a16:creationId xmlns:a16="http://schemas.microsoft.com/office/drawing/2014/main" id="{393B89CE-31BD-40D1-8E8A-3FBC3EB6BA2D}"/>
                                        </a:ext>
                                      </a:extLst>
                                    </pic:cNvPr>
                                    <pic:cNvPicPr/>
                                  </pic:nvPicPr>
                                  <pic:blipFill>
                                    <a:blip r:embed="rId122"/>
                                    <a:stretch>
                                      <a:fillRect/>
                                    </a:stretch>
                                  </pic:blipFill>
                                  <pic:spPr>
                                    <a:xfrm>
                                      <a:off x="0" y="0"/>
                                      <a:ext cx="5199380" cy="2366010"/>
                                    </a:xfrm>
                                    <a:prstGeom prst="rect">
                                      <a:avLst/>
                                    </a:prstGeom>
                                  </pic:spPr>
                                </pic:pic>
                              </a:graphicData>
                            </a:graphic>
                          </wp:inline>
                        </w:drawing>
                      </w:r>
                    </w:p>
                    <w:p w14:paraId="2AAC7879" w14:textId="6DDB972E" w:rsidR="00730B8F" w:rsidRDefault="00730B8F" w:rsidP="00B13DB9">
                      <w:pPr>
                        <w:pStyle w:val="Caption"/>
                      </w:pPr>
                      <w:r>
                        <w:t xml:space="preserve">Figure </w:t>
                      </w:r>
                      <w:r>
                        <w:fldChar w:fldCharType="begin"/>
                      </w:r>
                      <w:r>
                        <w:instrText xml:space="preserve">  \* ARABIC </w:instrText>
                      </w:r>
                      <w:r>
                        <w:fldChar w:fldCharType="separate"/>
                      </w:r>
                      <w:r>
                        <w:rPr>
                          <w:noProof/>
                        </w:rPr>
                        <w:t>86</w:t>
                      </w:r>
                      <w:r>
                        <w:rPr>
                          <w:noProof/>
                        </w:rPr>
                        <w:fldChar w:fldCharType="end"/>
                      </w:r>
                      <w:r>
                        <w:t xml:space="preserve">: </w:t>
                      </w:r>
                      <w:r>
                        <w:rPr>
                          <w:rFonts w:ascii="Arno Pro" w:hAnsi="Arno Pro" w:cs="Arial"/>
                          <w:sz w:val="19"/>
                          <w:szCs w:val="19"/>
                        </w:rPr>
                        <w:t xml:space="preserve">Spectra of Gemcitabine depicting the limit of quantification (LOQ) utilizing the single probe in a 5nM gemcitabine/ 100nM </w:t>
                      </w:r>
                      <w:r>
                        <w:rPr>
                          <w:rFonts w:ascii="Arno Pro" w:hAnsi="Arno Pro" w:cs="Arial"/>
                          <w:sz w:val="19"/>
                          <w:szCs w:val="19"/>
                          <w:vertAlign w:val="superscript"/>
                        </w:rPr>
                        <w:t>15</w:t>
                      </w:r>
                      <w:r>
                        <w:rPr>
                          <w:rFonts w:ascii="Arno Pro" w:hAnsi="Arno Pro" w:cs="Arial"/>
                          <w:sz w:val="19"/>
                          <w:szCs w:val="19"/>
                        </w:rPr>
                        <w:t>N</w:t>
                      </w:r>
                      <w:r>
                        <w:rPr>
                          <w:rFonts w:ascii="Arno Pro" w:hAnsi="Arno Pro" w:cs="Arial"/>
                          <w:sz w:val="19"/>
                          <w:szCs w:val="19"/>
                          <w:vertAlign w:val="subscript"/>
                        </w:rPr>
                        <w:t>3</w:t>
                      </w:r>
                      <w:r>
                        <w:rPr>
                          <w:rFonts w:ascii="Arno Pro" w:hAnsi="Arno Pro" w:cs="Arial"/>
                          <w:sz w:val="19"/>
                          <w:szCs w:val="19"/>
                        </w:rPr>
                        <w:t>-gemcitabine solution in acetonitrile.</w:t>
                      </w:r>
                    </w:p>
                    <w:p w14:paraId="2D56DA1B" w14:textId="63AD922C" w:rsidR="00730B8F" w:rsidRDefault="00730B8F" w:rsidP="00FE4062">
                      <w:pPr>
                        <w:keepNext/>
                      </w:pPr>
                    </w:p>
                    <w:p w14:paraId="77FA13D3" w14:textId="77777777" w:rsidR="00730B8F" w:rsidRDefault="00730B8F" w:rsidP="00FE4062"/>
                  </w:txbxContent>
                </v:textbox>
                <w10:wrap type="square" anchorx="margin"/>
              </v:shape>
            </w:pict>
          </mc:Fallback>
        </mc:AlternateContent>
      </w:r>
    </w:p>
    <w:p w14:paraId="2AE36716" w14:textId="21CE1875" w:rsidR="00FE4062" w:rsidRDefault="00FE4062" w:rsidP="00A64106"/>
    <w:p w14:paraId="3B8FAA8A" w14:textId="5F17A42E" w:rsidR="00FE4062" w:rsidRDefault="00FE4062" w:rsidP="00A64106"/>
    <w:p w14:paraId="17C1C946" w14:textId="0053433F" w:rsidR="00FE4062" w:rsidRDefault="00FE4062" w:rsidP="00A64106"/>
    <w:p w14:paraId="15477FF0" w14:textId="77777777" w:rsidR="00FE4062" w:rsidRPr="00A64106" w:rsidRDefault="00FE4062" w:rsidP="00A64106"/>
    <w:sectPr w:rsidR="00FE4062" w:rsidRPr="00A64106" w:rsidSect="00DA197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F5E9D" w14:textId="77777777" w:rsidR="00911DEC" w:rsidRDefault="00911DEC" w:rsidP="008E1C26">
      <w:pPr>
        <w:spacing w:line="240" w:lineRule="auto"/>
      </w:pPr>
      <w:r>
        <w:separator/>
      </w:r>
    </w:p>
  </w:endnote>
  <w:endnote w:type="continuationSeparator" w:id="0">
    <w:p w14:paraId="159E343A" w14:textId="77777777" w:rsidR="00911DEC" w:rsidRDefault="00911DEC" w:rsidP="008E1C26">
      <w:pPr>
        <w:spacing w:line="240" w:lineRule="auto"/>
      </w:pPr>
      <w:r>
        <w:continuationSeparator/>
      </w:r>
    </w:p>
  </w:endnote>
  <w:endnote w:type="continuationNotice" w:id="1">
    <w:p w14:paraId="318AA6D3" w14:textId="77777777" w:rsidR="00911DEC" w:rsidRDefault="00911D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no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DF330" w14:textId="77777777" w:rsidR="00730B8F" w:rsidRDefault="00730B8F" w:rsidP="008E1C2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A4408" w14:textId="77777777" w:rsidR="00911DEC" w:rsidRDefault="00911DEC" w:rsidP="008E1C26">
      <w:pPr>
        <w:spacing w:line="240" w:lineRule="auto"/>
      </w:pPr>
      <w:r>
        <w:separator/>
      </w:r>
    </w:p>
  </w:footnote>
  <w:footnote w:type="continuationSeparator" w:id="0">
    <w:p w14:paraId="67F9057D" w14:textId="77777777" w:rsidR="00911DEC" w:rsidRDefault="00911DEC" w:rsidP="008E1C26">
      <w:pPr>
        <w:spacing w:line="240" w:lineRule="auto"/>
      </w:pPr>
      <w:r>
        <w:continuationSeparator/>
      </w:r>
    </w:p>
  </w:footnote>
  <w:footnote w:type="continuationNotice" w:id="1">
    <w:p w14:paraId="6169B74B" w14:textId="77777777" w:rsidR="00911DEC" w:rsidRDefault="00911DE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E3FC0"/>
    <w:multiLevelType w:val="multilevel"/>
    <w:tmpl w:val="E4260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382B09"/>
    <w:multiLevelType w:val="multilevel"/>
    <w:tmpl w:val="6860A4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0"/>
  </w:num>
  <w:num w:numId="5">
    <w:abstractNumId w:val="2"/>
  </w:num>
  <w:num w:numId="6">
    <w:abstractNumId w:val="4"/>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S3sDS2MDcyMjI3sTRR0lEKTi0uzszPAykwrQUA4MzBmCwAAAA="/>
  </w:docVars>
  <w:rsids>
    <w:rsidRoot w:val="00E11D2F"/>
    <w:rsid w:val="000003D7"/>
    <w:rsid w:val="00001641"/>
    <w:rsid w:val="00002A51"/>
    <w:rsid w:val="00003445"/>
    <w:rsid w:val="00003D30"/>
    <w:rsid w:val="0000487A"/>
    <w:rsid w:val="00005FAB"/>
    <w:rsid w:val="000071DB"/>
    <w:rsid w:val="000079B0"/>
    <w:rsid w:val="00012435"/>
    <w:rsid w:val="00012F48"/>
    <w:rsid w:val="000141AA"/>
    <w:rsid w:val="0001450A"/>
    <w:rsid w:val="000147BC"/>
    <w:rsid w:val="00014A70"/>
    <w:rsid w:val="00015B5C"/>
    <w:rsid w:val="00015CDF"/>
    <w:rsid w:val="00016090"/>
    <w:rsid w:val="00020A2E"/>
    <w:rsid w:val="00020C37"/>
    <w:rsid w:val="00022925"/>
    <w:rsid w:val="00025A12"/>
    <w:rsid w:val="00026B97"/>
    <w:rsid w:val="0002766C"/>
    <w:rsid w:val="000305C9"/>
    <w:rsid w:val="00030AD9"/>
    <w:rsid w:val="0003122C"/>
    <w:rsid w:val="0003342C"/>
    <w:rsid w:val="0003523D"/>
    <w:rsid w:val="00040673"/>
    <w:rsid w:val="0004161D"/>
    <w:rsid w:val="00041B04"/>
    <w:rsid w:val="00041D0D"/>
    <w:rsid w:val="0004311C"/>
    <w:rsid w:val="00043BAD"/>
    <w:rsid w:val="00044558"/>
    <w:rsid w:val="00044AAF"/>
    <w:rsid w:val="00046AE5"/>
    <w:rsid w:val="00047C5B"/>
    <w:rsid w:val="000525E5"/>
    <w:rsid w:val="0005374D"/>
    <w:rsid w:val="00053F38"/>
    <w:rsid w:val="000604BF"/>
    <w:rsid w:val="0006200A"/>
    <w:rsid w:val="00063396"/>
    <w:rsid w:val="000633A0"/>
    <w:rsid w:val="00065816"/>
    <w:rsid w:val="000665EC"/>
    <w:rsid w:val="00067660"/>
    <w:rsid w:val="00070554"/>
    <w:rsid w:val="00070821"/>
    <w:rsid w:val="00071CA2"/>
    <w:rsid w:val="0007216C"/>
    <w:rsid w:val="00074E2C"/>
    <w:rsid w:val="00075426"/>
    <w:rsid w:val="000760BA"/>
    <w:rsid w:val="0007675D"/>
    <w:rsid w:val="00076B36"/>
    <w:rsid w:val="00077A99"/>
    <w:rsid w:val="00077F0A"/>
    <w:rsid w:val="00080A8E"/>
    <w:rsid w:val="0008176F"/>
    <w:rsid w:val="00081978"/>
    <w:rsid w:val="00081BBE"/>
    <w:rsid w:val="0008232B"/>
    <w:rsid w:val="000844BF"/>
    <w:rsid w:val="000849BF"/>
    <w:rsid w:val="00086548"/>
    <w:rsid w:val="00086F44"/>
    <w:rsid w:val="0008751A"/>
    <w:rsid w:val="000908CC"/>
    <w:rsid w:val="000942ED"/>
    <w:rsid w:val="00094465"/>
    <w:rsid w:val="00094B21"/>
    <w:rsid w:val="00095BC6"/>
    <w:rsid w:val="00096CFE"/>
    <w:rsid w:val="000A0187"/>
    <w:rsid w:val="000A04FF"/>
    <w:rsid w:val="000A32FD"/>
    <w:rsid w:val="000A41F9"/>
    <w:rsid w:val="000A520D"/>
    <w:rsid w:val="000A549B"/>
    <w:rsid w:val="000A54FD"/>
    <w:rsid w:val="000A6F35"/>
    <w:rsid w:val="000A7659"/>
    <w:rsid w:val="000B0D07"/>
    <w:rsid w:val="000B0F17"/>
    <w:rsid w:val="000B0F43"/>
    <w:rsid w:val="000C18E6"/>
    <w:rsid w:val="000C2118"/>
    <w:rsid w:val="000C24B8"/>
    <w:rsid w:val="000C3362"/>
    <w:rsid w:val="000C4204"/>
    <w:rsid w:val="000C4903"/>
    <w:rsid w:val="000C7B79"/>
    <w:rsid w:val="000D07A2"/>
    <w:rsid w:val="000D0EDF"/>
    <w:rsid w:val="000D243A"/>
    <w:rsid w:val="000D3A18"/>
    <w:rsid w:val="000D4B34"/>
    <w:rsid w:val="000D57AD"/>
    <w:rsid w:val="000D5ACA"/>
    <w:rsid w:val="000D6A9E"/>
    <w:rsid w:val="000D7EFD"/>
    <w:rsid w:val="000E162A"/>
    <w:rsid w:val="000E1DCD"/>
    <w:rsid w:val="000E290A"/>
    <w:rsid w:val="000E6675"/>
    <w:rsid w:val="000E6B37"/>
    <w:rsid w:val="000E6EE2"/>
    <w:rsid w:val="000E7A0F"/>
    <w:rsid w:val="000F146B"/>
    <w:rsid w:val="000F175F"/>
    <w:rsid w:val="000F236F"/>
    <w:rsid w:val="000F3CCC"/>
    <w:rsid w:val="000F4A99"/>
    <w:rsid w:val="000F4F82"/>
    <w:rsid w:val="000F54C8"/>
    <w:rsid w:val="000F56FF"/>
    <w:rsid w:val="000F62B4"/>
    <w:rsid w:val="00102D85"/>
    <w:rsid w:val="00102EBB"/>
    <w:rsid w:val="001038E1"/>
    <w:rsid w:val="001059DB"/>
    <w:rsid w:val="00105BBB"/>
    <w:rsid w:val="00106338"/>
    <w:rsid w:val="00106CEB"/>
    <w:rsid w:val="00111637"/>
    <w:rsid w:val="00111915"/>
    <w:rsid w:val="00111AA4"/>
    <w:rsid w:val="00111BD0"/>
    <w:rsid w:val="00111C3A"/>
    <w:rsid w:val="001177F8"/>
    <w:rsid w:val="00117864"/>
    <w:rsid w:val="00121FCB"/>
    <w:rsid w:val="001221B3"/>
    <w:rsid w:val="001234CE"/>
    <w:rsid w:val="00124699"/>
    <w:rsid w:val="00124BEC"/>
    <w:rsid w:val="00125D23"/>
    <w:rsid w:val="001266B7"/>
    <w:rsid w:val="00127EDE"/>
    <w:rsid w:val="00130217"/>
    <w:rsid w:val="00134F1C"/>
    <w:rsid w:val="001370D2"/>
    <w:rsid w:val="00141CD1"/>
    <w:rsid w:val="00142EAD"/>
    <w:rsid w:val="00143599"/>
    <w:rsid w:val="00146656"/>
    <w:rsid w:val="001504BE"/>
    <w:rsid w:val="00150978"/>
    <w:rsid w:val="0015211B"/>
    <w:rsid w:val="0015281A"/>
    <w:rsid w:val="00153D11"/>
    <w:rsid w:val="00156341"/>
    <w:rsid w:val="001578F0"/>
    <w:rsid w:val="00160102"/>
    <w:rsid w:val="00160C66"/>
    <w:rsid w:val="00161F20"/>
    <w:rsid w:val="0016375A"/>
    <w:rsid w:val="00163D61"/>
    <w:rsid w:val="0016407E"/>
    <w:rsid w:val="00165BD7"/>
    <w:rsid w:val="00167B02"/>
    <w:rsid w:val="001720BD"/>
    <w:rsid w:val="00172240"/>
    <w:rsid w:val="001735FC"/>
    <w:rsid w:val="00173ADC"/>
    <w:rsid w:val="00174763"/>
    <w:rsid w:val="001752F8"/>
    <w:rsid w:val="00177988"/>
    <w:rsid w:val="0018015F"/>
    <w:rsid w:val="00180205"/>
    <w:rsid w:val="00180E2C"/>
    <w:rsid w:val="00181322"/>
    <w:rsid w:val="00183160"/>
    <w:rsid w:val="00183F5A"/>
    <w:rsid w:val="00185434"/>
    <w:rsid w:val="00186045"/>
    <w:rsid w:val="0018628C"/>
    <w:rsid w:val="001866D4"/>
    <w:rsid w:val="00186E1C"/>
    <w:rsid w:val="00186FFA"/>
    <w:rsid w:val="00187691"/>
    <w:rsid w:val="00191DD9"/>
    <w:rsid w:val="00192822"/>
    <w:rsid w:val="001930DF"/>
    <w:rsid w:val="0019311C"/>
    <w:rsid w:val="001979A8"/>
    <w:rsid w:val="001A2204"/>
    <w:rsid w:val="001A3394"/>
    <w:rsid w:val="001A3DDE"/>
    <w:rsid w:val="001A550A"/>
    <w:rsid w:val="001A5777"/>
    <w:rsid w:val="001A57DE"/>
    <w:rsid w:val="001A5F42"/>
    <w:rsid w:val="001A639C"/>
    <w:rsid w:val="001B03A0"/>
    <w:rsid w:val="001B068A"/>
    <w:rsid w:val="001B0C68"/>
    <w:rsid w:val="001B12EF"/>
    <w:rsid w:val="001B2319"/>
    <w:rsid w:val="001B443B"/>
    <w:rsid w:val="001B4A17"/>
    <w:rsid w:val="001B521A"/>
    <w:rsid w:val="001B65B4"/>
    <w:rsid w:val="001C06AF"/>
    <w:rsid w:val="001C0E67"/>
    <w:rsid w:val="001C10A0"/>
    <w:rsid w:val="001C2D17"/>
    <w:rsid w:val="001C3546"/>
    <w:rsid w:val="001C3B63"/>
    <w:rsid w:val="001C4DEA"/>
    <w:rsid w:val="001C558B"/>
    <w:rsid w:val="001C5EC9"/>
    <w:rsid w:val="001C62F8"/>
    <w:rsid w:val="001C64EF"/>
    <w:rsid w:val="001D0C6F"/>
    <w:rsid w:val="001D1E44"/>
    <w:rsid w:val="001D3454"/>
    <w:rsid w:val="001D3674"/>
    <w:rsid w:val="001D3D1F"/>
    <w:rsid w:val="001D507F"/>
    <w:rsid w:val="001D73DA"/>
    <w:rsid w:val="001D77BD"/>
    <w:rsid w:val="001D780F"/>
    <w:rsid w:val="001D7D5A"/>
    <w:rsid w:val="001E0F52"/>
    <w:rsid w:val="001E1904"/>
    <w:rsid w:val="001E6AA0"/>
    <w:rsid w:val="001E6B33"/>
    <w:rsid w:val="001E6CCC"/>
    <w:rsid w:val="001F0736"/>
    <w:rsid w:val="001F0E68"/>
    <w:rsid w:val="001F122A"/>
    <w:rsid w:val="001F6322"/>
    <w:rsid w:val="001F7587"/>
    <w:rsid w:val="001F7A8E"/>
    <w:rsid w:val="00201ABA"/>
    <w:rsid w:val="00201E74"/>
    <w:rsid w:val="00202B3A"/>
    <w:rsid w:val="00202CA4"/>
    <w:rsid w:val="00207412"/>
    <w:rsid w:val="00210D80"/>
    <w:rsid w:val="00210E56"/>
    <w:rsid w:val="00210F1C"/>
    <w:rsid w:val="00210FE0"/>
    <w:rsid w:val="002147D8"/>
    <w:rsid w:val="00214EA7"/>
    <w:rsid w:val="00216610"/>
    <w:rsid w:val="00220527"/>
    <w:rsid w:val="00220770"/>
    <w:rsid w:val="00220C97"/>
    <w:rsid w:val="00221F98"/>
    <w:rsid w:val="0022221B"/>
    <w:rsid w:val="0022241F"/>
    <w:rsid w:val="0022243D"/>
    <w:rsid w:val="0022784B"/>
    <w:rsid w:val="00227893"/>
    <w:rsid w:val="00230453"/>
    <w:rsid w:val="002313B6"/>
    <w:rsid w:val="002320D1"/>
    <w:rsid w:val="00232169"/>
    <w:rsid w:val="0023490E"/>
    <w:rsid w:val="002350E9"/>
    <w:rsid w:val="0023658B"/>
    <w:rsid w:val="00236623"/>
    <w:rsid w:val="00237793"/>
    <w:rsid w:val="00242945"/>
    <w:rsid w:val="00244388"/>
    <w:rsid w:val="00244C26"/>
    <w:rsid w:val="00245B3F"/>
    <w:rsid w:val="00246750"/>
    <w:rsid w:val="00247BB3"/>
    <w:rsid w:val="00251CE8"/>
    <w:rsid w:val="00252A2F"/>
    <w:rsid w:val="002534BB"/>
    <w:rsid w:val="002539DB"/>
    <w:rsid w:val="00255DEB"/>
    <w:rsid w:val="00256F6F"/>
    <w:rsid w:val="00257382"/>
    <w:rsid w:val="0025754A"/>
    <w:rsid w:val="00260D8F"/>
    <w:rsid w:val="00260F9A"/>
    <w:rsid w:val="00261AF9"/>
    <w:rsid w:val="0026315F"/>
    <w:rsid w:val="00264104"/>
    <w:rsid w:val="00267851"/>
    <w:rsid w:val="00267EDE"/>
    <w:rsid w:val="00271022"/>
    <w:rsid w:val="0027134F"/>
    <w:rsid w:val="002713BD"/>
    <w:rsid w:val="00271ED6"/>
    <w:rsid w:val="00272110"/>
    <w:rsid w:val="00274D27"/>
    <w:rsid w:val="00274E2C"/>
    <w:rsid w:val="002772F9"/>
    <w:rsid w:val="002778A5"/>
    <w:rsid w:val="00277AA5"/>
    <w:rsid w:val="00281C55"/>
    <w:rsid w:val="00281F32"/>
    <w:rsid w:val="002832B6"/>
    <w:rsid w:val="002846F3"/>
    <w:rsid w:val="0028628B"/>
    <w:rsid w:val="00286A16"/>
    <w:rsid w:val="002902C7"/>
    <w:rsid w:val="0029090D"/>
    <w:rsid w:val="00291F63"/>
    <w:rsid w:val="00292FD9"/>
    <w:rsid w:val="00293F3C"/>
    <w:rsid w:val="00294672"/>
    <w:rsid w:val="00297FC6"/>
    <w:rsid w:val="002A0066"/>
    <w:rsid w:val="002A0505"/>
    <w:rsid w:val="002A0FFA"/>
    <w:rsid w:val="002A1DE2"/>
    <w:rsid w:val="002A390C"/>
    <w:rsid w:val="002A3B57"/>
    <w:rsid w:val="002A5BAB"/>
    <w:rsid w:val="002A6B91"/>
    <w:rsid w:val="002B03F0"/>
    <w:rsid w:val="002B38BC"/>
    <w:rsid w:val="002B4108"/>
    <w:rsid w:val="002B4166"/>
    <w:rsid w:val="002B62BC"/>
    <w:rsid w:val="002C1A0D"/>
    <w:rsid w:val="002C1BA0"/>
    <w:rsid w:val="002C41D5"/>
    <w:rsid w:val="002C6152"/>
    <w:rsid w:val="002C6AA7"/>
    <w:rsid w:val="002C78A8"/>
    <w:rsid w:val="002D1488"/>
    <w:rsid w:val="002D3010"/>
    <w:rsid w:val="002D3633"/>
    <w:rsid w:val="002D37D2"/>
    <w:rsid w:val="002D4E9A"/>
    <w:rsid w:val="002D67B2"/>
    <w:rsid w:val="002D6819"/>
    <w:rsid w:val="002D6E20"/>
    <w:rsid w:val="002D714B"/>
    <w:rsid w:val="002E157F"/>
    <w:rsid w:val="002E1836"/>
    <w:rsid w:val="002E408D"/>
    <w:rsid w:val="002E625F"/>
    <w:rsid w:val="002F0CEA"/>
    <w:rsid w:val="002F26BD"/>
    <w:rsid w:val="002F284E"/>
    <w:rsid w:val="002F29DF"/>
    <w:rsid w:val="002F3835"/>
    <w:rsid w:val="002F3BAC"/>
    <w:rsid w:val="002F4641"/>
    <w:rsid w:val="002F5A8B"/>
    <w:rsid w:val="002F6039"/>
    <w:rsid w:val="00300271"/>
    <w:rsid w:val="003004B1"/>
    <w:rsid w:val="00301A39"/>
    <w:rsid w:val="0030350B"/>
    <w:rsid w:val="003036AC"/>
    <w:rsid w:val="003036CF"/>
    <w:rsid w:val="00303ADA"/>
    <w:rsid w:val="003042B7"/>
    <w:rsid w:val="00304D44"/>
    <w:rsid w:val="00304FD6"/>
    <w:rsid w:val="003060FE"/>
    <w:rsid w:val="0030767B"/>
    <w:rsid w:val="00310BDB"/>
    <w:rsid w:val="00314867"/>
    <w:rsid w:val="00314F3F"/>
    <w:rsid w:val="00315157"/>
    <w:rsid w:val="003152B3"/>
    <w:rsid w:val="00315546"/>
    <w:rsid w:val="00317C3D"/>
    <w:rsid w:val="00320860"/>
    <w:rsid w:val="003218D0"/>
    <w:rsid w:val="003240AA"/>
    <w:rsid w:val="00325DE7"/>
    <w:rsid w:val="0032728E"/>
    <w:rsid w:val="003276A9"/>
    <w:rsid w:val="00331A2E"/>
    <w:rsid w:val="00331EC0"/>
    <w:rsid w:val="00332E58"/>
    <w:rsid w:val="00334003"/>
    <w:rsid w:val="00335D17"/>
    <w:rsid w:val="003402B8"/>
    <w:rsid w:val="00340708"/>
    <w:rsid w:val="00341366"/>
    <w:rsid w:val="00342FFA"/>
    <w:rsid w:val="00343673"/>
    <w:rsid w:val="00343955"/>
    <w:rsid w:val="00344315"/>
    <w:rsid w:val="003450B1"/>
    <w:rsid w:val="003457DF"/>
    <w:rsid w:val="003505A7"/>
    <w:rsid w:val="003508E5"/>
    <w:rsid w:val="0035091C"/>
    <w:rsid w:val="00350AB1"/>
    <w:rsid w:val="003510A4"/>
    <w:rsid w:val="00352EE7"/>
    <w:rsid w:val="00353904"/>
    <w:rsid w:val="00354D2C"/>
    <w:rsid w:val="00356373"/>
    <w:rsid w:val="003575AC"/>
    <w:rsid w:val="0036032B"/>
    <w:rsid w:val="00360683"/>
    <w:rsid w:val="00362BBA"/>
    <w:rsid w:val="003635D6"/>
    <w:rsid w:val="0036427F"/>
    <w:rsid w:val="003659C5"/>
    <w:rsid w:val="00366BCE"/>
    <w:rsid w:val="00372BD4"/>
    <w:rsid w:val="00373B93"/>
    <w:rsid w:val="00373C60"/>
    <w:rsid w:val="0037502A"/>
    <w:rsid w:val="00377D61"/>
    <w:rsid w:val="00380BA9"/>
    <w:rsid w:val="003836A4"/>
    <w:rsid w:val="00383EE2"/>
    <w:rsid w:val="003852F7"/>
    <w:rsid w:val="00385A5B"/>
    <w:rsid w:val="00385E9D"/>
    <w:rsid w:val="00386E26"/>
    <w:rsid w:val="003879D6"/>
    <w:rsid w:val="003912C8"/>
    <w:rsid w:val="00391BE1"/>
    <w:rsid w:val="0039211B"/>
    <w:rsid w:val="0039228E"/>
    <w:rsid w:val="003925C5"/>
    <w:rsid w:val="00392F81"/>
    <w:rsid w:val="0039303D"/>
    <w:rsid w:val="00393159"/>
    <w:rsid w:val="00393C69"/>
    <w:rsid w:val="003942E8"/>
    <w:rsid w:val="00394F2A"/>
    <w:rsid w:val="003954C3"/>
    <w:rsid w:val="00395786"/>
    <w:rsid w:val="00396207"/>
    <w:rsid w:val="00397661"/>
    <w:rsid w:val="003A060D"/>
    <w:rsid w:val="003A161A"/>
    <w:rsid w:val="003A1F9B"/>
    <w:rsid w:val="003A3738"/>
    <w:rsid w:val="003A39EC"/>
    <w:rsid w:val="003B0345"/>
    <w:rsid w:val="003B0A2F"/>
    <w:rsid w:val="003B12BA"/>
    <w:rsid w:val="003B284B"/>
    <w:rsid w:val="003B2A50"/>
    <w:rsid w:val="003B5413"/>
    <w:rsid w:val="003B6ED3"/>
    <w:rsid w:val="003B73A8"/>
    <w:rsid w:val="003C006C"/>
    <w:rsid w:val="003C0825"/>
    <w:rsid w:val="003C38FA"/>
    <w:rsid w:val="003C5D62"/>
    <w:rsid w:val="003C6A12"/>
    <w:rsid w:val="003C6B84"/>
    <w:rsid w:val="003D06CB"/>
    <w:rsid w:val="003D19AE"/>
    <w:rsid w:val="003D2872"/>
    <w:rsid w:val="003D34F2"/>
    <w:rsid w:val="003D35CE"/>
    <w:rsid w:val="003D52DC"/>
    <w:rsid w:val="003D6AB8"/>
    <w:rsid w:val="003D71DF"/>
    <w:rsid w:val="003D7CA4"/>
    <w:rsid w:val="003E126E"/>
    <w:rsid w:val="003E1E18"/>
    <w:rsid w:val="003E22B5"/>
    <w:rsid w:val="003E31E6"/>
    <w:rsid w:val="003E4DDF"/>
    <w:rsid w:val="003E51C4"/>
    <w:rsid w:val="003E5A97"/>
    <w:rsid w:val="003F0B36"/>
    <w:rsid w:val="003F0D59"/>
    <w:rsid w:val="003F10DF"/>
    <w:rsid w:val="003F1880"/>
    <w:rsid w:val="003F2D3B"/>
    <w:rsid w:val="003F3B0A"/>
    <w:rsid w:val="003F40A8"/>
    <w:rsid w:val="003F443C"/>
    <w:rsid w:val="003F6DC2"/>
    <w:rsid w:val="003F7C2C"/>
    <w:rsid w:val="00401681"/>
    <w:rsid w:val="004031F8"/>
    <w:rsid w:val="004079A8"/>
    <w:rsid w:val="00410635"/>
    <w:rsid w:val="00411406"/>
    <w:rsid w:val="00411742"/>
    <w:rsid w:val="00412A48"/>
    <w:rsid w:val="004138C2"/>
    <w:rsid w:val="00414EB4"/>
    <w:rsid w:val="004162E0"/>
    <w:rsid w:val="004173E6"/>
    <w:rsid w:val="00420D63"/>
    <w:rsid w:val="00420DFC"/>
    <w:rsid w:val="00421065"/>
    <w:rsid w:val="00422338"/>
    <w:rsid w:val="00423F54"/>
    <w:rsid w:val="00424236"/>
    <w:rsid w:val="00425DDB"/>
    <w:rsid w:val="00427669"/>
    <w:rsid w:val="00430A9F"/>
    <w:rsid w:val="00431BFD"/>
    <w:rsid w:val="00432B6C"/>
    <w:rsid w:val="00432C18"/>
    <w:rsid w:val="0043581E"/>
    <w:rsid w:val="00440608"/>
    <w:rsid w:val="00440D44"/>
    <w:rsid w:val="004418EC"/>
    <w:rsid w:val="004431F8"/>
    <w:rsid w:val="00443415"/>
    <w:rsid w:val="0044373C"/>
    <w:rsid w:val="00445196"/>
    <w:rsid w:val="00450A9B"/>
    <w:rsid w:val="00452651"/>
    <w:rsid w:val="0045322F"/>
    <w:rsid w:val="00453E21"/>
    <w:rsid w:val="00455242"/>
    <w:rsid w:val="004567CA"/>
    <w:rsid w:val="00460D14"/>
    <w:rsid w:val="00461AA9"/>
    <w:rsid w:val="004625C0"/>
    <w:rsid w:val="004627D2"/>
    <w:rsid w:val="00462FFD"/>
    <w:rsid w:val="00463B60"/>
    <w:rsid w:val="00463E68"/>
    <w:rsid w:val="0046461F"/>
    <w:rsid w:val="00464FC4"/>
    <w:rsid w:val="00465642"/>
    <w:rsid w:val="0046673F"/>
    <w:rsid w:val="00470BD6"/>
    <w:rsid w:val="00470C46"/>
    <w:rsid w:val="00471D45"/>
    <w:rsid w:val="00472B7F"/>
    <w:rsid w:val="004734A7"/>
    <w:rsid w:val="00474D78"/>
    <w:rsid w:val="0047507C"/>
    <w:rsid w:val="00475DAB"/>
    <w:rsid w:val="0048042A"/>
    <w:rsid w:val="0048048E"/>
    <w:rsid w:val="004834F9"/>
    <w:rsid w:val="0048439B"/>
    <w:rsid w:val="00487041"/>
    <w:rsid w:val="00487721"/>
    <w:rsid w:val="00492EB6"/>
    <w:rsid w:val="004948A3"/>
    <w:rsid w:val="0049492A"/>
    <w:rsid w:val="00494E90"/>
    <w:rsid w:val="004954AE"/>
    <w:rsid w:val="004958CE"/>
    <w:rsid w:val="004958DE"/>
    <w:rsid w:val="0049727A"/>
    <w:rsid w:val="004A01CC"/>
    <w:rsid w:val="004A03A9"/>
    <w:rsid w:val="004A0CB0"/>
    <w:rsid w:val="004A0FB8"/>
    <w:rsid w:val="004A22FA"/>
    <w:rsid w:val="004A2AB2"/>
    <w:rsid w:val="004A469C"/>
    <w:rsid w:val="004A4902"/>
    <w:rsid w:val="004A52B4"/>
    <w:rsid w:val="004A52E9"/>
    <w:rsid w:val="004A5CA9"/>
    <w:rsid w:val="004A67D0"/>
    <w:rsid w:val="004A7222"/>
    <w:rsid w:val="004A78FC"/>
    <w:rsid w:val="004B2848"/>
    <w:rsid w:val="004B320D"/>
    <w:rsid w:val="004B3758"/>
    <w:rsid w:val="004B38CF"/>
    <w:rsid w:val="004B46B8"/>
    <w:rsid w:val="004B52E0"/>
    <w:rsid w:val="004B59C7"/>
    <w:rsid w:val="004C0313"/>
    <w:rsid w:val="004C1CC1"/>
    <w:rsid w:val="004C1F2D"/>
    <w:rsid w:val="004C4014"/>
    <w:rsid w:val="004C45D3"/>
    <w:rsid w:val="004C4CFC"/>
    <w:rsid w:val="004C5861"/>
    <w:rsid w:val="004C736F"/>
    <w:rsid w:val="004C771B"/>
    <w:rsid w:val="004D0890"/>
    <w:rsid w:val="004D1D03"/>
    <w:rsid w:val="004D4351"/>
    <w:rsid w:val="004D609D"/>
    <w:rsid w:val="004D74F8"/>
    <w:rsid w:val="004E2F5A"/>
    <w:rsid w:val="004E3F2F"/>
    <w:rsid w:val="004E41F4"/>
    <w:rsid w:val="004E6601"/>
    <w:rsid w:val="004E66D1"/>
    <w:rsid w:val="004F1E0B"/>
    <w:rsid w:val="004F2230"/>
    <w:rsid w:val="004F2827"/>
    <w:rsid w:val="004F2C16"/>
    <w:rsid w:val="004F31BC"/>
    <w:rsid w:val="004F337A"/>
    <w:rsid w:val="004F39B1"/>
    <w:rsid w:val="004F558A"/>
    <w:rsid w:val="004F64F9"/>
    <w:rsid w:val="004F6EE7"/>
    <w:rsid w:val="00500060"/>
    <w:rsid w:val="005035E8"/>
    <w:rsid w:val="00503C70"/>
    <w:rsid w:val="005062D6"/>
    <w:rsid w:val="00507410"/>
    <w:rsid w:val="0051160A"/>
    <w:rsid w:val="00511C10"/>
    <w:rsid w:val="00511C99"/>
    <w:rsid w:val="00512237"/>
    <w:rsid w:val="005148FA"/>
    <w:rsid w:val="00515514"/>
    <w:rsid w:val="00515D47"/>
    <w:rsid w:val="005169FD"/>
    <w:rsid w:val="005171B8"/>
    <w:rsid w:val="0051772B"/>
    <w:rsid w:val="005208F7"/>
    <w:rsid w:val="00521F25"/>
    <w:rsid w:val="00523CE0"/>
    <w:rsid w:val="005249CC"/>
    <w:rsid w:val="00525B56"/>
    <w:rsid w:val="0052624A"/>
    <w:rsid w:val="00527CA9"/>
    <w:rsid w:val="0053028C"/>
    <w:rsid w:val="00532221"/>
    <w:rsid w:val="005332EB"/>
    <w:rsid w:val="005339D3"/>
    <w:rsid w:val="005354E8"/>
    <w:rsid w:val="00537927"/>
    <w:rsid w:val="00544D97"/>
    <w:rsid w:val="00544EC0"/>
    <w:rsid w:val="0054580F"/>
    <w:rsid w:val="00546637"/>
    <w:rsid w:val="00550188"/>
    <w:rsid w:val="005554AC"/>
    <w:rsid w:val="0055643B"/>
    <w:rsid w:val="00557907"/>
    <w:rsid w:val="00557B8D"/>
    <w:rsid w:val="00560A1E"/>
    <w:rsid w:val="00560C57"/>
    <w:rsid w:val="00560ED6"/>
    <w:rsid w:val="00562A8F"/>
    <w:rsid w:val="00563050"/>
    <w:rsid w:val="005630D0"/>
    <w:rsid w:val="00563C64"/>
    <w:rsid w:val="0056552C"/>
    <w:rsid w:val="0056605F"/>
    <w:rsid w:val="005661C8"/>
    <w:rsid w:val="005668C1"/>
    <w:rsid w:val="00566EF4"/>
    <w:rsid w:val="005748AA"/>
    <w:rsid w:val="00574987"/>
    <w:rsid w:val="00575A25"/>
    <w:rsid w:val="005763CA"/>
    <w:rsid w:val="00577595"/>
    <w:rsid w:val="0057775C"/>
    <w:rsid w:val="00581C70"/>
    <w:rsid w:val="00582156"/>
    <w:rsid w:val="00582872"/>
    <w:rsid w:val="00582EBC"/>
    <w:rsid w:val="00583C7E"/>
    <w:rsid w:val="00583DDB"/>
    <w:rsid w:val="0058405A"/>
    <w:rsid w:val="00585202"/>
    <w:rsid w:val="0059228B"/>
    <w:rsid w:val="0059326C"/>
    <w:rsid w:val="00593D11"/>
    <w:rsid w:val="00593FC0"/>
    <w:rsid w:val="00594E71"/>
    <w:rsid w:val="00595F26"/>
    <w:rsid w:val="005A0045"/>
    <w:rsid w:val="005A2AD6"/>
    <w:rsid w:val="005A2B79"/>
    <w:rsid w:val="005A4849"/>
    <w:rsid w:val="005A7C12"/>
    <w:rsid w:val="005B0705"/>
    <w:rsid w:val="005B16E2"/>
    <w:rsid w:val="005B173A"/>
    <w:rsid w:val="005B44FF"/>
    <w:rsid w:val="005B640B"/>
    <w:rsid w:val="005B6FEA"/>
    <w:rsid w:val="005B7171"/>
    <w:rsid w:val="005B739C"/>
    <w:rsid w:val="005C285C"/>
    <w:rsid w:val="005C342A"/>
    <w:rsid w:val="005C378D"/>
    <w:rsid w:val="005C4554"/>
    <w:rsid w:val="005C4F66"/>
    <w:rsid w:val="005C67D8"/>
    <w:rsid w:val="005D22C0"/>
    <w:rsid w:val="005D4F5B"/>
    <w:rsid w:val="005D5549"/>
    <w:rsid w:val="005D6B46"/>
    <w:rsid w:val="005E233C"/>
    <w:rsid w:val="005E3216"/>
    <w:rsid w:val="005E378F"/>
    <w:rsid w:val="005E5C88"/>
    <w:rsid w:val="005E64CF"/>
    <w:rsid w:val="005E69E6"/>
    <w:rsid w:val="005E7E38"/>
    <w:rsid w:val="005F1284"/>
    <w:rsid w:val="005F1D2D"/>
    <w:rsid w:val="005F20F8"/>
    <w:rsid w:val="005F28FD"/>
    <w:rsid w:val="005F4578"/>
    <w:rsid w:val="005F5973"/>
    <w:rsid w:val="005F67A9"/>
    <w:rsid w:val="005F731B"/>
    <w:rsid w:val="005F7386"/>
    <w:rsid w:val="005F7515"/>
    <w:rsid w:val="006010A2"/>
    <w:rsid w:val="00604E4A"/>
    <w:rsid w:val="00605D13"/>
    <w:rsid w:val="00610AA7"/>
    <w:rsid w:val="006120B0"/>
    <w:rsid w:val="00612E1C"/>
    <w:rsid w:val="006168FE"/>
    <w:rsid w:val="00620C58"/>
    <w:rsid w:val="00621934"/>
    <w:rsid w:val="006223D0"/>
    <w:rsid w:val="00622894"/>
    <w:rsid w:val="00623DE0"/>
    <w:rsid w:val="006246DF"/>
    <w:rsid w:val="00624C83"/>
    <w:rsid w:val="006273C0"/>
    <w:rsid w:val="00633601"/>
    <w:rsid w:val="006339F2"/>
    <w:rsid w:val="00633C74"/>
    <w:rsid w:val="006340EB"/>
    <w:rsid w:val="0063463E"/>
    <w:rsid w:val="00635E30"/>
    <w:rsid w:val="00640230"/>
    <w:rsid w:val="0064068E"/>
    <w:rsid w:val="00644DF4"/>
    <w:rsid w:val="00645375"/>
    <w:rsid w:val="00645591"/>
    <w:rsid w:val="00645A8F"/>
    <w:rsid w:val="00647814"/>
    <w:rsid w:val="00651A3E"/>
    <w:rsid w:val="00652A92"/>
    <w:rsid w:val="00653690"/>
    <w:rsid w:val="00653C73"/>
    <w:rsid w:val="00653ECC"/>
    <w:rsid w:val="00653FCB"/>
    <w:rsid w:val="006555D9"/>
    <w:rsid w:val="00655AD9"/>
    <w:rsid w:val="00655CA3"/>
    <w:rsid w:val="006564BF"/>
    <w:rsid w:val="00656AAD"/>
    <w:rsid w:val="00660CE8"/>
    <w:rsid w:val="006619F9"/>
    <w:rsid w:val="00661C13"/>
    <w:rsid w:val="0066203F"/>
    <w:rsid w:val="0066232A"/>
    <w:rsid w:val="00663A94"/>
    <w:rsid w:val="00664186"/>
    <w:rsid w:val="006649CC"/>
    <w:rsid w:val="00665117"/>
    <w:rsid w:val="0066562A"/>
    <w:rsid w:val="00670701"/>
    <w:rsid w:val="006722BC"/>
    <w:rsid w:val="00673519"/>
    <w:rsid w:val="006762B1"/>
    <w:rsid w:val="00677B36"/>
    <w:rsid w:val="00677D3C"/>
    <w:rsid w:val="00677FA1"/>
    <w:rsid w:val="00682470"/>
    <w:rsid w:val="006849A9"/>
    <w:rsid w:val="00685C3D"/>
    <w:rsid w:val="00686C51"/>
    <w:rsid w:val="00691553"/>
    <w:rsid w:val="0069324F"/>
    <w:rsid w:val="00693C0F"/>
    <w:rsid w:val="006949A4"/>
    <w:rsid w:val="0069549B"/>
    <w:rsid w:val="00695712"/>
    <w:rsid w:val="006A10F7"/>
    <w:rsid w:val="006A1376"/>
    <w:rsid w:val="006A1B00"/>
    <w:rsid w:val="006A3136"/>
    <w:rsid w:val="006A3EC0"/>
    <w:rsid w:val="006A41D9"/>
    <w:rsid w:val="006A46DE"/>
    <w:rsid w:val="006A4CE9"/>
    <w:rsid w:val="006A5F51"/>
    <w:rsid w:val="006A6340"/>
    <w:rsid w:val="006A6D60"/>
    <w:rsid w:val="006B01D5"/>
    <w:rsid w:val="006B02E5"/>
    <w:rsid w:val="006B1D41"/>
    <w:rsid w:val="006B300A"/>
    <w:rsid w:val="006B3A6F"/>
    <w:rsid w:val="006B3F12"/>
    <w:rsid w:val="006B4721"/>
    <w:rsid w:val="006B78E9"/>
    <w:rsid w:val="006B7BF1"/>
    <w:rsid w:val="006C011C"/>
    <w:rsid w:val="006C2489"/>
    <w:rsid w:val="006C2B01"/>
    <w:rsid w:val="006C348E"/>
    <w:rsid w:val="006C390D"/>
    <w:rsid w:val="006C52F2"/>
    <w:rsid w:val="006C6B43"/>
    <w:rsid w:val="006C7BDB"/>
    <w:rsid w:val="006D0800"/>
    <w:rsid w:val="006D1228"/>
    <w:rsid w:val="006D1B98"/>
    <w:rsid w:val="006D2A9D"/>
    <w:rsid w:val="006D3D62"/>
    <w:rsid w:val="006D454C"/>
    <w:rsid w:val="006D6380"/>
    <w:rsid w:val="006D6572"/>
    <w:rsid w:val="006D6A4D"/>
    <w:rsid w:val="006D72B5"/>
    <w:rsid w:val="006E0007"/>
    <w:rsid w:val="006E5657"/>
    <w:rsid w:val="006F03D7"/>
    <w:rsid w:val="006F10CE"/>
    <w:rsid w:val="006F11DD"/>
    <w:rsid w:val="006F2A12"/>
    <w:rsid w:val="006F3006"/>
    <w:rsid w:val="006F401C"/>
    <w:rsid w:val="006F6A1B"/>
    <w:rsid w:val="006F74BA"/>
    <w:rsid w:val="0070017B"/>
    <w:rsid w:val="00701BAD"/>
    <w:rsid w:val="00702107"/>
    <w:rsid w:val="0070272F"/>
    <w:rsid w:val="00702AED"/>
    <w:rsid w:val="00703082"/>
    <w:rsid w:val="00705086"/>
    <w:rsid w:val="0070545C"/>
    <w:rsid w:val="007077AC"/>
    <w:rsid w:val="00711DCD"/>
    <w:rsid w:val="00712778"/>
    <w:rsid w:val="0071637A"/>
    <w:rsid w:val="0071647C"/>
    <w:rsid w:val="00716912"/>
    <w:rsid w:val="00716A54"/>
    <w:rsid w:val="00716C19"/>
    <w:rsid w:val="007174EE"/>
    <w:rsid w:val="007204AB"/>
    <w:rsid w:val="00720C43"/>
    <w:rsid w:val="0072190B"/>
    <w:rsid w:val="007247B0"/>
    <w:rsid w:val="00724A27"/>
    <w:rsid w:val="00724F78"/>
    <w:rsid w:val="0072738C"/>
    <w:rsid w:val="00730B8F"/>
    <w:rsid w:val="00730F0A"/>
    <w:rsid w:val="00732729"/>
    <w:rsid w:val="00734F9B"/>
    <w:rsid w:val="00737315"/>
    <w:rsid w:val="0073747C"/>
    <w:rsid w:val="007374DD"/>
    <w:rsid w:val="007378B4"/>
    <w:rsid w:val="007409E5"/>
    <w:rsid w:val="00740A05"/>
    <w:rsid w:val="00742387"/>
    <w:rsid w:val="0074317C"/>
    <w:rsid w:val="00743547"/>
    <w:rsid w:val="007438FA"/>
    <w:rsid w:val="0074455B"/>
    <w:rsid w:val="0074536C"/>
    <w:rsid w:val="00745A39"/>
    <w:rsid w:val="00746D32"/>
    <w:rsid w:val="00746E16"/>
    <w:rsid w:val="00746FBA"/>
    <w:rsid w:val="007475F8"/>
    <w:rsid w:val="00747CC9"/>
    <w:rsid w:val="0075156D"/>
    <w:rsid w:val="007558C5"/>
    <w:rsid w:val="007559B1"/>
    <w:rsid w:val="00761FDB"/>
    <w:rsid w:val="00763D8A"/>
    <w:rsid w:val="007661FD"/>
    <w:rsid w:val="007665F1"/>
    <w:rsid w:val="00771BA7"/>
    <w:rsid w:val="007728BB"/>
    <w:rsid w:val="007739FB"/>
    <w:rsid w:val="0077448D"/>
    <w:rsid w:val="007748E1"/>
    <w:rsid w:val="00775701"/>
    <w:rsid w:val="0077715C"/>
    <w:rsid w:val="00777220"/>
    <w:rsid w:val="007804BE"/>
    <w:rsid w:val="007813AB"/>
    <w:rsid w:val="00783D30"/>
    <w:rsid w:val="00784171"/>
    <w:rsid w:val="00785FD7"/>
    <w:rsid w:val="007862AB"/>
    <w:rsid w:val="007864D2"/>
    <w:rsid w:val="0078679A"/>
    <w:rsid w:val="007923B8"/>
    <w:rsid w:val="0079352B"/>
    <w:rsid w:val="0079438C"/>
    <w:rsid w:val="00795F81"/>
    <w:rsid w:val="0079799C"/>
    <w:rsid w:val="007A0D6E"/>
    <w:rsid w:val="007A10C0"/>
    <w:rsid w:val="007A1D47"/>
    <w:rsid w:val="007A3BE6"/>
    <w:rsid w:val="007A4E71"/>
    <w:rsid w:val="007A530C"/>
    <w:rsid w:val="007A72A6"/>
    <w:rsid w:val="007B294C"/>
    <w:rsid w:val="007B399F"/>
    <w:rsid w:val="007B464B"/>
    <w:rsid w:val="007B499E"/>
    <w:rsid w:val="007B4D71"/>
    <w:rsid w:val="007B57CA"/>
    <w:rsid w:val="007B6592"/>
    <w:rsid w:val="007C0006"/>
    <w:rsid w:val="007C112F"/>
    <w:rsid w:val="007C1985"/>
    <w:rsid w:val="007C2307"/>
    <w:rsid w:val="007C3685"/>
    <w:rsid w:val="007C455C"/>
    <w:rsid w:val="007C50B0"/>
    <w:rsid w:val="007C6B86"/>
    <w:rsid w:val="007C70C6"/>
    <w:rsid w:val="007C730A"/>
    <w:rsid w:val="007C737B"/>
    <w:rsid w:val="007C7E91"/>
    <w:rsid w:val="007D0C14"/>
    <w:rsid w:val="007D2FBD"/>
    <w:rsid w:val="007D3596"/>
    <w:rsid w:val="007D4BEB"/>
    <w:rsid w:val="007D5848"/>
    <w:rsid w:val="007D5C9F"/>
    <w:rsid w:val="007D787D"/>
    <w:rsid w:val="007E1D3D"/>
    <w:rsid w:val="007E29FD"/>
    <w:rsid w:val="007E2CAE"/>
    <w:rsid w:val="007E37F9"/>
    <w:rsid w:val="007E3809"/>
    <w:rsid w:val="007E3B4C"/>
    <w:rsid w:val="007E6B4D"/>
    <w:rsid w:val="007F1773"/>
    <w:rsid w:val="007F2529"/>
    <w:rsid w:val="007F2648"/>
    <w:rsid w:val="007F3B11"/>
    <w:rsid w:val="007F4263"/>
    <w:rsid w:val="007F4E4B"/>
    <w:rsid w:val="007F58B2"/>
    <w:rsid w:val="007F5A6E"/>
    <w:rsid w:val="007F722A"/>
    <w:rsid w:val="00802447"/>
    <w:rsid w:val="00802CD2"/>
    <w:rsid w:val="00804C78"/>
    <w:rsid w:val="00807857"/>
    <w:rsid w:val="008102B4"/>
    <w:rsid w:val="00810BE9"/>
    <w:rsid w:val="00812036"/>
    <w:rsid w:val="00812554"/>
    <w:rsid w:val="00812F5B"/>
    <w:rsid w:val="008154CE"/>
    <w:rsid w:val="00816332"/>
    <w:rsid w:val="008173B8"/>
    <w:rsid w:val="00817FD7"/>
    <w:rsid w:val="008218BC"/>
    <w:rsid w:val="0082241F"/>
    <w:rsid w:val="00823437"/>
    <w:rsid w:val="00823873"/>
    <w:rsid w:val="008253D8"/>
    <w:rsid w:val="0082601C"/>
    <w:rsid w:val="008264BE"/>
    <w:rsid w:val="00826F56"/>
    <w:rsid w:val="00830837"/>
    <w:rsid w:val="00830D72"/>
    <w:rsid w:val="00833360"/>
    <w:rsid w:val="008339F7"/>
    <w:rsid w:val="008349FA"/>
    <w:rsid w:val="00835B59"/>
    <w:rsid w:val="00841129"/>
    <w:rsid w:val="00843892"/>
    <w:rsid w:val="008448CB"/>
    <w:rsid w:val="00844FD6"/>
    <w:rsid w:val="008451DF"/>
    <w:rsid w:val="00845F77"/>
    <w:rsid w:val="00846E46"/>
    <w:rsid w:val="0084798B"/>
    <w:rsid w:val="00847BF1"/>
    <w:rsid w:val="00851A73"/>
    <w:rsid w:val="00851F21"/>
    <w:rsid w:val="00852011"/>
    <w:rsid w:val="00852299"/>
    <w:rsid w:val="008536D8"/>
    <w:rsid w:val="00855342"/>
    <w:rsid w:val="00857842"/>
    <w:rsid w:val="00861CCB"/>
    <w:rsid w:val="00861E27"/>
    <w:rsid w:val="0086234A"/>
    <w:rsid w:val="008625C3"/>
    <w:rsid w:val="008642E5"/>
    <w:rsid w:val="0086443F"/>
    <w:rsid w:val="00864A6E"/>
    <w:rsid w:val="008666A2"/>
    <w:rsid w:val="00870AA6"/>
    <w:rsid w:val="00872543"/>
    <w:rsid w:val="00874063"/>
    <w:rsid w:val="008757BF"/>
    <w:rsid w:val="00875F90"/>
    <w:rsid w:val="00876224"/>
    <w:rsid w:val="00876719"/>
    <w:rsid w:val="00881260"/>
    <w:rsid w:val="00881B58"/>
    <w:rsid w:val="0088227C"/>
    <w:rsid w:val="0088381C"/>
    <w:rsid w:val="008840D3"/>
    <w:rsid w:val="00884F3E"/>
    <w:rsid w:val="00885034"/>
    <w:rsid w:val="008858BF"/>
    <w:rsid w:val="00885EB4"/>
    <w:rsid w:val="00890072"/>
    <w:rsid w:val="00892047"/>
    <w:rsid w:val="008932AE"/>
    <w:rsid w:val="00894230"/>
    <w:rsid w:val="00895218"/>
    <w:rsid w:val="00896180"/>
    <w:rsid w:val="008971AE"/>
    <w:rsid w:val="008972ED"/>
    <w:rsid w:val="008A1A17"/>
    <w:rsid w:val="008A1EE9"/>
    <w:rsid w:val="008A2772"/>
    <w:rsid w:val="008A2EC4"/>
    <w:rsid w:val="008A33C4"/>
    <w:rsid w:val="008A4708"/>
    <w:rsid w:val="008A4F22"/>
    <w:rsid w:val="008A7263"/>
    <w:rsid w:val="008A7D66"/>
    <w:rsid w:val="008B105D"/>
    <w:rsid w:val="008B358C"/>
    <w:rsid w:val="008B7EFC"/>
    <w:rsid w:val="008C27FE"/>
    <w:rsid w:val="008C46CE"/>
    <w:rsid w:val="008C4BC1"/>
    <w:rsid w:val="008D20B2"/>
    <w:rsid w:val="008D32AC"/>
    <w:rsid w:val="008D37D7"/>
    <w:rsid w:val="008D4616"/>
    <w:rsid w:val="008D4764"/>
    <w:rsid w:val="008D6B28"/>
    <w:rsid w:val="008E02DF"/>
    <w:rsid w:val="008E0D46"/>
    <w:rsid w:val="008E1C26"/>
    <w:rsid w:val="008E55DA"/>
    <w:rsid w:val="008E6B97"/>
    <w:rsid w:val="008E7E5B"/>
    <w:rsid w:val="008F1822"/>
    <w:rsid w:val="008F18DF"/>
    <w:rsid w:val="008F3C18"/>
    <w:rsid w:val="008F4FE1"/>
    <w:rsid w:val="008F65BD"/>
    <w:rsid w:val="008F6B4D"/>
    <w:rsid w:val="008F78D7"/>
    <w:rsid w:val="00902282"/>
    <w:rsid w:val="009039AF"/>
    <w:rsid w:val="00904124"/>
    <w:rsid w:val="009045DF"/>
    <w:rsid w:val="009064E0"/>
    <w:rsid w:val="00907E72"/>
    <w:rsid w:val="00911DEC"/>
    <w:rsid w:val="009127B0"/>
    <w:rsid w:val="009134FB"/>
    <w:rsid w:val="00917461"/>
    <w:rsid w:val="00917D6C"/>
    <w:rsid w:val="009209A8"/>
    <w:rsid w:val="0092134B"/>
    <w:rsid w:val="009226E0"/>
    <w:rsid w:val="009229FC"/>
    <w:rsid w:val="009245C5"/>
    <w:rsid w:val="009246C4"/>
    <w:rsid w:val="00925811"/>
    <w:rsid w:val="00926BEA"/>
    <w:rsid w:val="009274CA"/>
    <w:rsid w:val="00931BB1"/>
    <w:rsid w:val="00935149"/>
    <w:rsid w:val="009360E1"/>
    <w:rsid w:val="00936334"/>
    <w:rsid w:val="0094017E"/>
    <w:rsid w:val="009422F7"/>
    <w:rsid w:val="009425BE"/>
    <w:rsid w:val="009469A9"/>
    <w:rsid w:val="00946F28"/>
    <w:rsid w:val="00952BBC"/>
    <w:rsid w:val="00952E0F"/>
    <w:rsid w:val="00955FF1"/>
    <w:rsid w:val="00960058"/>
    <w:rsid w:val="00961AFA"/>
    <w:rsid w:val="00963453"/>
    <w:rsid w:val="00963AD3"/>
    <w:rsid w:val="00966A40"/>
    <w:rsid w:val="009671ED"/>
    <w:rsid w:val="00967A50"/>
    <w:rsid w:val="009702B8"/>
    <w:rsid w:val="00970B18"/>
    <w:rsid w:val="00975FB0"/>
    <w:rsid w:val="00976BD6"/>
    <w:rsid w:val="0098112D"/>
    <w:rsid w:val="00981C3E"/>
    <w:rsid w:val="00981DFA"/>
    <w:rsid w:val="009822E9"/>
    <w:rsid w:val="00984CDE"/>
    <w:rsid w:val="0098557A"/>
    <w:rsid w:val="00986C31"/>
    <w:rsid w:val="00987D06"/>
    <w:rsid w:val="00990406"/>
    <w:rsid w:val="00990B74"/>
    <w:rsid w:val="0099133C"/>
    <w:rsid w:val="009913E8"/>
    <w:rsid w:val="00992C28"/>
    <w:rsid w:val="00996396"/>
    <w:rsid w:val="00996C04"/>
    <w:rsid w:val="009A027F"/>
    <w:rsid w:val="009A0A13"/>
    <w:rsid w:val="009A1894"/>
    <w:rsid w:val="009A25CD"/>
    <w:rsid w:val="009A4A29"/>
    <w:rsid w:val="009A6E6F"/>
    <w:rsid w:val="009B09D5"/>
    <w:rsid w:val="009B0A28"/>
    <w:rsid w:val="009B49FC"/>
    <w:rsid w:val="009B58F9"/>
    <w:rsid w:val="009B5A3E"/>
    <w:rsid w:val="009B5F4B"/>
    <w:rsid w:val="009C0CF8"/>
    <w:rsid w:val="009C3A6C"/>
    <w:rsid w:val="009C443F"/>
    <w:rsid w:val="009C46B4"/>
    <w:rsid w:val="009C4AE2"/>
    <w:rsid w:val="009C7566"/>
    <w:rsid w:val="009D39F7"/>
    <w:rsid w:val="009D4505"/>
    <w:rsid w:val="009D4827"/>
    <w:rsid w:val="009D5041"/>
    <w:rsid w:val="009D56E2"/>
    <w:rsid w:val="009D57AD"/>
    <w:rsid w:val="009D5E01"/>
    <w:rsid w:val="009D7E4E"/>
    <w:rsid w:val="009E063D"/>
    <w:rsid w:val="009E5088"/>
    <w:rsid w:val="009E60F3"/>
    <w:rsid w:val="009E62F3"/>
    <w:rsid w:val="009E7F22"/>
    <w:rsid w:val="009F1001"/>
    <w:rsid w:val="009F152E"/>
    <w:rsid w:val="009F36E9"/>
    <w:rsid w:val="009F4A40"/>
    <w:rsid w:val="009F4A52"/>
    <w:rsid w:val="009F55CC"/>
    <w:rsid w:val="009F7A91"/>
    <w:rsid w:val="00A0094B"/>
    <w:rsid w:val="00A12D90"/>
    <w:rsid w:val="00A145E9"/>
    <w:rsid w:val="00A14921"/>
    <w:rsid w:val="00A17B2C"/>
    <w:rsid w:val="00A17F5D"/>
    <w:rsid w:val="00A2047D"/>
    <w:rsid w:val="00A2584C"/>
    <w:rsid w:val="00A273B6"/>
    <w:rsid w:val="00A27F75"/>
    <w:rsid w:val="00A327CD"/>
    <w:rsid w:val="00A34CEA"/>
    <w:rsid w:val="00A4382B"/>
    <w:rsid w:val="00A43FC7"/>
    <w:rsid w:val="00A4406A"/>
    <w:rsid w:val="00A44880"/>
    <w:rsid w:val="00A460F3"/>
    <w:rsid w:val="00A46EB0"/>
    <w:rsid w:val="00A470B6"/>
    <w:rsid w:val="00A4744C"/>
    <w:rsid w:val="00A47AB5"/>
    <w:rsid w:val="00A47F0A"/>
    <w:rsid w:val="00A50007"/>
    <w:rsid w:val="00A50759"/>
    <w:rsid w:val="00A51461"/>
    <w:rsid w:val="00A51D5B"/>
    <w:rsid w:val="00A523B9"/>
    <w:rsid w:val="00A52DB6"/>
    <w:rsid w:val="00A54411"/>
    <w:rsid w:val="00A54A54"/>
    <w:rsid w:val="00A54E8F"/>
    <w:rsid w:val="00A5607C"/>
    <w:rsid w:val="00A5626C"/>
    <w:rsid w:val="00A611A9"/>
    <w:rsid w:val="00A64106"/>
    <w:rsid w:val="00A64B13"/>
    <w:rsid w:val="00A65AAA"/>
    <w:rsid w:val="00A669C6"/>
    <w:rsid w:val="00A66B3A"/>
    <w:rsid w:val="00A70E4C"/>
    <w:rsid w:val="00A72063"/>
    <w:rsid w:val="00A72C34"/>
    <w:rsid w:val="00A7370C"/>
    <w:rsid w:val="00A7374C"/>
    <w:rsid w:val="00A74881"/>
    <w:rsid w:val="00A76F8C"/>
    <w:rsid w:val="00A77093"/>
    <w:rsid w:val="00A77FD3"/>
    <w:rsid w:val="00A81CE7"/>
    <w:rsid w:val="00A81EC6"/>
    <w:rsid w:val="00A82147"/>
    <w:rsid w:val="00A82EF0"/>
    <w:rsid w:val="00A83117"/>
    <w:rsid w:val="00A850A2"/>
    <w:rsid w:val="00A85D33"/>
    <w:rsid w:val="00A86F5A"/>
    <w:rsid w:val="00A87039"/>
    <w:rsid w:val="00A903A0"/>
    <w:rsid w:val="00A91699"/>
    <w:rsid w:val="00A91850"/>
    <w:rsid w:val="00A9305F"/>
    <w:rsid w:val="00A947A8"/>
    <w:rsid w:val="00A9573C"/>
    <w:rsid w:val="00A9747C"/>
    <w:rsid w:val="00AA0B13"/>
    <w:rsid w:val="00AA19B9"/>
    <w:rsid w:val="00AA1A85"/>
    <w:rsid w:val="00AA1B3B"/>
    <w:rsid w:val="00AA2087"/>
    <w:rsid w:val="00AA7BCD"/>
    <w:rsid w:val="00AB31BC"/>
    <w:rsid w:val="00AB59D1"/>
    <w:rsid w:val="00AB61C2"/>
    <w:rsid w:val="00AB69D2"/>
    <w:rsid w:val="00AC1558"/>
    <w:rsid w:val="00AC1947"/>
    <w:rsid w:val="00AC19AD"/>
    <w:rsid w:val="00AC31C7"/>
    <w:rsid w:val="00AC37C7"/>
    <w:rsid w:val="00AC3E02"/>
    <w:rsid w:val="00AC5E50"/>
    <w:rsid w:val="00AC5F76"/>
    <w:rsid w:val="00AD2692"/>
    <w:rsid w:val="00AD26F2"/>
    <w:rsid w:val="00AD2BA5"/>
    <w:rsid w:val="00AD52BD"/>
    <w:rsid w:val="00AE06B5"/>
    <w:rsid w:val="00AE327E"/>
    <w:rsid w:val="00AE3A25"/>
    <w:rsid w:val="00AE4FA0"/>
    <w:rsid w:val="00AE6C1A"/>
    <w:rsid w:val="00AF0550"/>
    <w:rsid w:val="00AF0BB2"/>
    <w:rsid w:val="00AF1F2E"/>
    <w:rsid w:val="00AF2EF6"/>
    <w:rsid w:val="00AF4D66"/>
    <w:rsid w:val="00AF5118"/>
    <w:rsid w:val="00AF59F3"/>
    <w:rsid w:val="00AF63C7"/>
    <w:rsid w:val="00AF77AB"/>
    <w:rsid w:val="00AF7BBE"/>
    <w:rsid w:val="00B0110A"/>
    <w:rsid w:val="00B03ED6"/>
    <w:rsid w:val="00B05AC4"/>
    <w:rsid w:val="00B0614A"/>
    <w:rsid w:val="00B0686C"/>
    <w:rsid w:val="00B1334A"/>
    <w:rsid w:val="00B13DB9"/>
    <w:rsid w:val="00B14101"/>
    <w:rsid w:val="00B1476C"/>
    <w:rsid w:val="00B20461"/>
    <w:rsid w:val="00B224CD"/>
    <w:rsid w:val="00B22B35"/>
    <w:rsid w:val="00B2555C"/>
    <w:rsid w:val="00B26394"/>
    <w:rsid w:val="00B26529"/>
    <w:rsid w:val="00B270FE"/>
    <w:rsid w:val="00B27A4C"/>
    <w:rsid w:val="00B30EDE"/>
    <w:rsid w:val="00B319DD"/>
    <w:rsid w:val="00B31ABB"/>
    <w:rsid w:val="00B36426"/>
    <w:rsid w:val="00B36E90"/>
    <w:rsid w:val="00B37C60"/>
    <w:rsid w:val="00B41065"/>
    <w:rsid w:val="00B42E1F"/>
    <w:rsid w:val="00B42FA6"/>
    <w:rsid w:val="00B43B85"/>
    <w:rsid w:val="00B449BD"/>
    <w:rsid w:val="00B46CC8"/>
    <w:rsid w:val="00B55F96"/>
    <w:rsid w:val="00B5619B"/>
    <w:rsid w:val="00B60C3D"/>
    <w:rsid w:val="00B615B9"/>
    <w:rsid w:val="00B63FA6"/>
    <w:rsid w:val="00B67311"/>
    <w:rsid w:val="00B67873"/>
    <w:rsid w:val="00B72F03"/>
    <w:rsid w:val="00B73364"/>
    <w:rsid w:val="00B734F2"/>
    <w:rsid w:val="00B73A86"/>
    <w:rsid w:val="00B752D1"/>
    <w:rsid w:val="00B75461"/>
    <w:rsid w:val="00B75618"/>
    <w:rsid w:val="00B83810"/>
    <w:rsid w:val="00B84ADB"/>
    <w:rsid w:val="00B84C53"/>
    <w:rsid w:val="00B905E2"/>
    <w:rsid w:val="00B925E4"/>
    <w:rsid w:val="00B92B29"/>
    <w:rsid w:val="00B93085"/>
    <w:rsid w:val="00B93DF6"/>
    <w:rsid w:val="00B94610"/>
    <w:rsid w:val="00B95AA4"/>
    <w:rsid w:val="00BA1A3A"/>
    <w:rsid w:val="00BA1A87"/>
    <w:rsid w:val="00BA1D10"/>
    <w:rsid w:val="00BA1E73"/>
    <w:rsid w:val="00BA3DDB"/>
    <w:rsid w:val="00BA41E4"/>
    <w:rsid w:val="00BA60B6"/>
    <w:rsid w:val="00BA6212"/>
    <w:rsid w:val="00BB2A57"/>
    <w:rsid w:val="00BB2AF5"/>
    <w:rsid w:val="00BB2F2D"/>
    <w:rsid w:val="00BB3F72"/>
    <w:rsid w:val="00BB4657"/>
    <w:rsid w:val="00BB50E5"/>
    <w:rsid w:val="00BB5637"/>
    <w:rsid w:val="00BB678C"/>
    <w:rsid w:val="00BC01BD"/>
    <w:rsid w:val="00BC1993"/>
    <w:rsid w:val="00BC2CD1"/>
    <w:rsid w:val="00BC6936"/>
    <w:rsid w:val="00BC6976"/>
    <w:rsid w:val="00BC6AEA"/>
    <w:rsid w:val="00BD0031"/>
    <w:rsid w:val="00BD0F8B"/>
    <w:rsid w:val="00BD1142"/>
    <w:rsid w:val="00BD3431"/>
    <w:rsid w:val="00BD395F"/>
    <w:rsid w:val="00BD4221"/>
    <w:rsid w:val="00BD45C8"/>
    <w:rsid w:val="00BD46AB"/>
    <w:rsid w:val="00BD4833"/>
    <w:rsid w:val="00BD498D"/>
    <w:rsid w:val="00BD4C06"/>
    <w:rsid w:val="00BD4CBA"/>
    <w:rsid w:val="00BD7222"/>
    <w:rsid w:val="00BE173D"/>
    <w:rsid w:val="00BE1C51"/>
    <w:rsid w:val="00BE2572"/>
    <w:rsid w:val="00BE3725"/>
    <w:rsid w:val="00BE5409"/>
    <w:rsid w:val="00BE5473"/>
    <w:rsid w:val="00BE56CA"/>
    <w:rsid w:val="00BE5983"/>
    <w:rsid w:val="00BF043E"/>
    <w:rsid w:val="00BF378D"/>
    <w:rsid w:val="00BF38A1"/>
    <w:rsid w:val="00BF7940"/>
    <w:rsid w:val="00BF7BC3"/>
    <w:rsid w:val="00BF7E29"/>
    <w:rsid w:val="00C02C3A"/>
    <w:rsid w:val="00C03534"/>
    <w:rsid w:val="00C05431"/>
    <w:rsid w:val="00C06683"/>
    <w:rsid w:val="00C114CA"/>
    <w:rsid w:val="00C123B0"/>
    <w:rsid w:val="00C12934"/>
    <w:rsid w:val="00C14CA2"/>
    <w:rsid w:val="00C15D0C"/>
    <w:rsid w:val="00C16C66"/>
    <w:rsid w:val="00C16CC2"/>
    <w:rsid w:val="00C17FAD"/>
    <w:rsid w:val="00C2092A"/>
    <w:rsid w:val="00C20A7B"/>
    <w:rsid w:val="00C20E5E"/>
    <w:rsid w:val="00C21A3D"/>
    <w:rsid w:val="00C21ADF"/>
    <w:rsid w:val="00C21DC2"/>
    <w:rsid w:val="00C22EB5"/>
    <w:rsid w:val="00C23719"/>
    <w:rsid w:val="00C25659"/>
    <w:rsid w:val="00C30D4F"/>
    <w:rsid w:val="00C314CD"/>
    <w:rsid w:val="00C32F5A"/>
    <w:rsid w:val="00C34A8C"/>
    <w:rsid w:val="00C36EE5"/>
    <w:rsid w:val="00C3745C"/>
    <w:rsid w:val="00C4062A"/>
    <w:rsid w:val="00C423D1"/>
    <w:rsid w:val="00C42441"/>
    <w:rsid w:val="00C4289E"/>
    <w:rsid w:val="00C43B27"/>
    <w:rsid w:val="00C45DAB"/>
    <w:rsid w:val="00C47B3E"/>
    <w:rsid w:val="00C50A8D"/>
    <w:rsid w:val="00C51430"/>
    <w:rsid w:val="00C52BC7"/>
    <w:rsid w:val="00C53932"/>
    <w:rsid w:val="00C54100"/>
    <w:rsid w:val="00C60EEC"/>
    <w:rsid w:val="00C6181D"/>
    <w:rsid w:val="00C62A07"/>
    <w:rsid w:val="00C63C23"/>
    <w:rsid w:val="00C6687C"/>
    <w:rsid w:val="00C66917"/>
    <w:rsid w:val="00C676A4"/>
    <w:rsid w:val="00C700E2"/>
    <w:rsid w:val="00C70A96"/>
    <w:rsid w:val="00C710CF"/>
    <w:rsid w:val="00C7395B"/>
    <w:rsid w:val="00C75428"/>
    <w:rsid w:val="00C802D4"/>
    <w:rsid w:val="00C823D9"/>
    <w:rsid w:val="00C8326D"/>
    <w:rsid w:val="00C840F8"/>
    <w:rsid w:val="00C8548F"/>
    <w:rsid w:val="00C874B2"/>
    <w:rsid w:val="00C90D69"/>
    <w:rsid w:val="00C90F12"/>
    <w:rsid w:val="00C92079"/>
    <w:rsid w:val="00C921CF"/>
    <w:rsid w:val="00C92984"/>
    <w:rsid w:val="00C975EA"/>
    <w:rsid w:val="00C97AB0"/>
    <w:rsid w:val="00CA1DD9"/>
    <w:rsid w:val="00CA2C91"/>
    <w:rsid w:val="00CA2F59"/>
    <w:rsid w:val="00CA3D6F"/>
    <w:rsid w:val="00CA498F"/>
    <w:rsid w:val="00CA75AC"/>
    <w:rsid w:val="00CB0A6D"/>
    <w:rsid w:val="00CB18BD"/>
    <w:rsid w:val="00CB1DA9"/>
    <w:rsid w:val="00CB7208"/>
    <w:rsid w:val="00CC059A"/>
    <w:rsid w:val="00CC4F0D"/>
    <w:rsid w:val="00CC595D"/>
    <w:rsid w:val="00CC602D"/>
    <w:rsid w:val="00CC7E26"/>
    <w:rsid w:val="00CD15C0"/>
    <w:rsid w:val="00CD31FF"/>
    <w:rsid w:val="00CD4202"/>
    <w:rsid w:val="00CD4262"/>
    <w:rsid w:val="00CE1452"/>
    <w:rsid w:val="00CE2F77"/>
    <w:rsid w:val="00CE3EFD"/>
    <w:rsid w:val="00CE6014"/>
    <w:rsid w:val="00CE6149"/>
    <w:rsid w:val="00CE61F6"/>
    <w:rsid w:val="00CE76C2"/>
    <w:rsid w:val="00CF04A9"/>
    <w:rsid w:val="00CF09B6"/>
    <w:rsid w:val="00CF4422"/>
    <w:rsid w:val="00CF69B9"/>
    <w:rsid w:val="00CF7B51"/>
    <w:rsid w:val="00CF7CDA"/>
    <w:rsid w:val="00D03BFD"/>
    <w:rsid w:val="00D04782"/>
    <w:rsid w:val="00D04F3C"/>
    <w:rsid w:val="00D05823"/>
    <w:rsid w:val="00D05835"/>
    <w:rsid w:val="00D060EF"/>
    <w:rsid w:val="00D061EA"/>
    <w:rsid w:val="00D10056"/>
    <w:rsid w:val="00D13191"/>
    <w:rsid w:val="00D13FCF"/>
    <w:rsid w:val="00D14044"/>
    <w:rsid w:val="00D1549E"/>
    <w:rsid w:val="00D176D3"/>
    <w:rsid w:val="00D17A08"/>
    <w:rsid w:val="00D20500"/>
    <w:rsid w:val="00D23A89"/>
    <w:rsid w:val="00D26016"/>
    <w:rsid w:val="00D26508"/>
    <w:rsid w:val="00D266D5"/>
    <w:rsid w:val="00D27629"/>
    <w:rsid w:val="00D323D6"/>
    <w:rsid w:val="00D32E57"/>
    <w:rsid w:val="00D34E24"/>
    <w:rsid w:val="00D41DC3"/>
    <w:rsid w:val="00D42A63"/>
    <w:rsid w:val="00D433FD"/>
    <w:rsid w:val="00D43F34"/>
    <w:rsid w:val="00D44805"/>
    <w:rsid w:val="00D44992"/>
    <w:rsid w:val="00D460B8"/>
    <w:rsid w:val="00D46DE9"/>
    <w:rsid w:val="00D47052"/>
    <w:rsid w:val="00D50278"/>
    <w:rsid w:val="00D50E14"/>
    <w:rsid w:val="00D52F0B"/>
    <w:rsid w:val="00D53D8C"/>
    <w:rsid w:val="00D54F29"/>
    <w:rsid w:val="00D572C2"/>
    <w:rsid w:val="00D57F06"/>
    <w:rsid w:val="00D619C2"/>
    <w:rsid w:val="00D62353"/>
    <w:rsid w:val="00D62518"/>
    <w:rsid w:val="00D62716"/>
    <w:rsid w:val="00D6360D"/>
    <w:rsid w:val="00D64413"/>
    <w:rsid w:val="00D6473F"/>
    <w:rsid w:val="00D65384"/>
    <w:rsid w:val="00D65C63"/>
    <w:rsid w:val="00D67ADC"/>
    <w:rsid w:val="00D70CCC"/>
    <w:rsid w:val="00D71984"/>
    <w:rsid w:val="00D71DFF"/>
    <w:rsid w:val="00D725EA"/>
    <w:rsid w:val="00D72757"/>
    <w:rsid w:val="00D75A96"/>
    <w:rsid w:val="00D75B66"/>
    <w:rsid w:val="00D75CCA"/>
    <w:rsid w:val="00D761F4"/>
    <w:rsid w:val="00D76528"/>
    <w:rsid w:val="00D818BA"/>
    <w:rsid w:val="00D81DE7"/>
    <w:rsid w:val="00D8318F"/>
    <w:rsid w:val="00D845E5"/>
    <w:rsid w:val="00D84D7D"/>
    <w:rsid w:val="00D86B0E"/>
    <w:rsid w:val="00D87019"/>
    <w:rsid w:val="00D92BB7"/>
    <w:rsid w:val="00D97CFA"/>
    <w:rsid w:val="00D97F9C"/>
    <w:rsid w:val="00DA02BF"/>
    <w:rsid w:val="00DA075A"/>
    <w:rsid w:val="00DA090C"/>
    <w:rsid w:val="00DA0C8E"/>
    <w:rsid w:val="00DA12BC"/>
    <w:rsid w:val="00DA1614"/>
    <w:rsid w:val="00DA1971"/>
    <w:rsid w:val="00DA26AA"/>
    <w:rsid w:val="00DA3683"/>
    <w:rsid w:val="00DA3F5A"/>
    <w:rsid w:val="00DA44A7"/>
    <w:rsid w:val="00DA7F51"/>
    <w:rsid w:val="00DB1487"/>
    <w:rsid w:val="00DB2BDE"/>
    <w:rsid w:val="00DB456A"/>
    <w:rsid w:val="00DB4AB7"/>
    <w:rsid w:val="00DB57AB"/>
    <w:rsid w:val="00DB63DD"/>
    <w:rsid w:val="00DB6434"/>
    <w:rsid w:val="00DB664C"/>
    <w:rsid w:val="00DB72B2"/>
    <w:rsid w:val="00DC05C2"/>
    <w:rsid w:val="00DC16AD"/>
    <w:rsid w:val="00DC3897"/>
    <w:rsid w:val="00DC6749"/>
    <w:rsid w:val="00DC6B37"/>
    <w:rsid w:val="00DD0E81"/>
    <w:rsid w:val="00DD10E8"/>
    <w:rsid w:val="00DD1DBF"/>
    <w:rsid w:val="00DD1DF2"/>
    <w:rsid w:val="00DD2613"/>
    <w:rsid w:val="00DD484C"/>
    <w:rsid w:val="00DD6181"/>
    <w:rsid w:val="00DE08B5"/>
    <w:rsid w:val="00DE0B2C"/>
    <w:rsid w:val="00DE0DBD"/>
    <w:rsid w:val="00DE1087"/>
    <w:rsid w:val="00DE1573"/>
    <w:rsid w:val="00DE1EF7"/>
    <w:rsid w:val="00DE35DE"/>
    <w:rsid w:val="00DE4B4C"/>
    <w:rsid w:val="00DE50F8"/>
    <w:rsid w:val="00DE7278"/>
    <w:rsid w:val="00DF0F21"/>
    <w:rsid w:val="00DF10BA"/>
    <w:rsid w:val="00DF43A1"/>
    <w:rsid w:val="00DF46BB"/>
    <w:rsid w:val="00DF4B88"/>
    <w:rsid w:val="00DF7F7A"/>
    <w:rsid w:val="00E00705"/>
    <w:rsid w:val="00E009C1"/>
    <w:rsid w:val="00E01348"/>
    <w:rsid w:val="00E03CD4"/>
    <w:rsid w:val="00E03D40"/>
    <w:rsid w:val="00E0501B"/>
    <w:rsid w:val="00E065C0"/>
    <w:rsid w:val="00E06609"/>
    <w:rsid w:val="00E07692"/>
    <w:rsid w:val="00E11D2F"/>
    <w:rsid w:val="00E1274D"/>
    <w:rsid w:val="00E14D31"/>
    <w:rsid w:val="00E14F5C"/>
    <w:rsid w:val="00E20B9A"/>
    <w:rsid w:val="00E2148C"/>
    <w:rsid w:val="00E227D1"/>
    <w:rsid w:val="00E23F44"/>
    <w:rsid w:val="00E248D8"/>
    <w:rsid w:val="00E24A05"/>
    <w:rsid w:val="00E252B0"/>
    <w:rsid w:val="00E27906"/>
    <w:rsid w:val="00E27927"/>
    <w:rsid w:val="00E30D75"/>
    <w:rsid w:val="00E30DA2"/>
    <w:rsid w:val="00E32224"/>
    <w:rsid w:val="00E3308A"/>
    <w:rsid w:val="00E340C1"/>
    <w:rsid w:val="00E34B0E"/>
    <w:rsid w:val="00E36B66"/>
    <w:rsid w:val="00E37872"/>
    <w:rsid w:val="00E378F7"/>
    <w:rsid w:val="00E37F11"/>
    <w:rsid w:val="00E41E0A"/>
    <w:rsid w:val="00E42539"/>
    <w:rsid w:val="00E429C0"/>
    <w:rsid w:val="00E42AF0"/>
    <w:rsid w:val="00E43969"/>
    <w:rsid w:val="00E453E8"/>
    <w:rsid w:val="00E465AB"/>
    <w:rsid w:val="00E5045C"/>
    <w:rsid w:val="00E5160A"/>
    <w:rsid w:val="00E535DA"/>
    <w:rsid w:val="00E53C85"/>
    <w:rsid w:val="00E53D7E"/>
    <w:rsid w:val="00E561B0"/>
    <w:rsid w:val="00E56A82"/>
    <w:rsid w:val="00E57044"/>
    <w:rsid w:val="00E57180"/>
    <w:rsid w:val="00E5747D"/>
    <w:rsid w:val="00E57EAC"/>
    <w:rsid w:val="00E61581"/>
    <w:rsid w:val="00E67008"/>
    <w:rsid w:val="00E67F70"/>
    <w:rsid w:val="00E70F02"/>
    <w:rsid w:val="00E71A99"/>
    <w:rsid w:val="00E73046"/>
    <w:rsid w:val="00E7402C"/>
    <w:rsid w:val="00E76050"/>
    <w:rsid w:val="00E77477"/>
    <w:rsid w:val="00E80369"/>
    <w:rsid w:val="00E80B9F"/>
    <w:rsid w:val="00E80EEE"/>
    <w:rsid w:val="00E81AEB"/>
    <w:rsid w:val="00E81B99"/>
    <w:rsid w:val="00E82A80"/>
    <w:rsid w:val="00E854C7"/>
    <w:rsid w:val="00E8565D"/>
    <w:rsid w:val="00E90549"/>
    <w:rsid w:val="00E9106F"/>
    <w:rsid w:val="00E933E1"/>
    <w:rsid w:val="00E94846"/>
    <w:rsid w:val="00E94A0C"/>
    <w:rsid w:val="00E94BB7"/>
    <w:rsid w:val="00E94DB0"/>
    <w:rsid w:val="00E9669F"/>
    <w:rsid w:val="00EA000F"/>
    <w:rsid w:val="00EA0494"/>
    <w:rsid w:val="00EA0C0D"/>
    <w:rsid w:val="00EA13D9"/>
    <w:rsid w:val="00EA1F6A"/>
    <w:rsid w:val="00EA6842"/>
    <w:rsid w:val="00EA7E4F"/>
    <w:rsid w:val="00EB0F22"/>
    <w:rsid w:val="00EB4DAA"/>
    <w:rsid w:val="00EB5072"/>
    <w:rsid w:val="00EB54AA"/>
    <w:rsid w:val="00EB6185"/>
    <w:rsid w:val="00EB692C"/>
    <w:rsid w:val="00EB7AEC"/>
    <w:rsid w:val="00EC154F"/>
    <w:rsid w:val="00EC29B5"/>
    <w:rsid w:val="00EC6065"/>
    <w:rsid w:val="00EC66B7"/>
    <w:rsid w:val="00EC75AA"/>
    <w:rsid w:val="00EC797B"/>
    <w:rsid w:val="00EC7B33"/>
    <w:rsid w:val="00ED22D1"/>
    <w:rsid w:val="00ED4FA3"/>
    <w:rsid w:val="00ED59FE"/>
    <w:rsid w:val="00ED5E98"/>
    <w:rsid w:val="00ED6F0B"/>
    <w:rsid w:val="00EE024E"/>
    <w:rsid w:val="00EE02F3"/>
    <w:rsid w:val="00EE056A"/>
    <w:rsid w:val="00EE0E7A"/>
    <w:rsid w:val="00EE1461"/>
    <w:rsid w:val="00EE2A23"/>
    <w:rsid w:val="00EE3797"/>
    <w:rsid w:val="00EE5661"/>
    <w:rsid w:val="00EE7E45"/>
    <w:rsid w:val="00EF0925"/>
    <w:rsid w:val="00EF0FA7"/>
    <w:rsid w:val="00EF2748"/>
    <w:rsid w:val="00EF38B5"/>
    <w:rsid w:val="00EF4C7D"/>
    <w:rsid w:val="00EF4DEF"/>
    <w:rsid w:val="00EF528A"/>
    <w:rsid w:val="00EF694C"/>
    <w:rsid w:val="00F00664"/>
    <w:rsid w:val="00F01888"/>
    <w:rsid w:val="00F040A7"/>
    <w:rsid w:val="00F042BC"/>
    <w:rsid w:val="00F058B4"/>
    <w:rsid w:val="00F061AA"/>
    <w:rsid w:val="00F06B97"/>
    <w:rsid w:val="00F07B27"/>
    <w:rsid w:val="00F10894"/>
    <w:rsid w:val="00F10F8D"/>
    <w:rsid w:val="00F12F50"/>
    <w:rsid w:val="00F17EF5"/>
    <w:rsid w:val="00F2070E"/>
    <w:rsid w:val="00F20F54"/>
    <w:rsid w:val="00F21580"/>
    <w:rsid w:val="00F21608"/>
    <w:rsid w:val="00F221F4"/>
    <w:rsid w:val="00F2596D"/>
    <w:rsid w:val="00F27248"/>
    <w:rsid w:val="00F277C1"/>
    <w:rsid w:val="00F279DB"/>
    <w:rsid w:val="00F27B1B"/>
    <w:rsid w:val="00F3080C"/>
    <w:rsid w:val="00F32275"/>
    <w:rsid w:val="00F32A78"/>
    <w:rsid w:val="00F33C17"/>
    <w:rsid w:val="00F340CE"/>
    <w:rsid w:val="00F34821"/>
    <w:rsid w:val="00F35310"/>
    <w:rsid w:val="00F37C3A"/>
    <w:rsid w:val="00F37F46"/>
    <w:rsid w:val="00F45574"/>
    <w:rsid w:val="00F45859"/>
    <w:rsid w:val="00F46386"/>
    <w:rsid w:val="00F46A49"/>
    <w:rsid w:val="00F47843"/>
    <w:rsid w:val="00F531A9"/>
    <w:rsid w:val="00F546EC"/>
    <w:rsid w:val="00F54BF5"/>
    <w:rsid w:val="00F562C9"/>
    <w:rsid w:val="00F6083E"/>
    <w:rsid w:val="00F618BD"/>
    <w:rsid w:val="00F61E1F"/>
    <w:rsid w:val="00F62DD9"/>
    <w:rsid w:val="00F655FC"/>
    <w:rsid w:val="00F6577F"/>
    <w:rsid w:val="00F7117D"/>
    <w:rsid w:val="00F711C3"/>
    <w:rsid w:val="00F7122D"/>
    <w:rsid w:val="00F74406"/>
    <w:rsid w:val="00F74500"/>
    <w:rsid w:val="00F74795"/>
    <w:rsid w:val="00F7493B"/>
    <w:rsid w:val="00F74C12"/>
    <w:rsid w:val="00F75F36"/>
    <w:rsid w:val="00F762D9"/>
    <w:rsid w:val="00F77133"/>
    <w:rsid w:val="00F80194"/>
    <w:rsid w:val="00F81DCE"/>
    <w:rsid w:val="00F82A25"/>
    <w:rsid w:val="00F834EA"/>
    <w:rsid w:val="00F84719"/>
    <w:rsid w:val="00F84DA6"/>
    <w:rsid w:val="00F85696"/>
    <w:rsid w:val="00F86612"/>
    <w:rsid w:val="00F86DA3"/>
    <w:rsid w:val="00F87109"/>
    <w:rsid w:val="00F921CA"/>
    <w:rsid w:val="00F93475"/>
    <w:rsid w:val="00F935BF"/>
    <w:rsid w:val="00F95C6D"/>
    <w:rsid w:val="00FA0266"/>
    <w:rsid w:val="00FA138C"/>
    <w:rsid w:val="00FA147C"/>
    <w:rsid w:val="00FA222B"/>
    <w:rsid w:val="00FA2425"/>
    <w:rsid w:val="00FA725B"/>
    <w:rsid w:val="00FB1719"/>
    <w:rsid w:val="00FB3945"/>
    <w:rsid w:val="00FB5051"/>
    <w:rsid w:val="00FB5287"/>
    <w:rsid w:val="00FB6A45"/>
    <w:rsid w:val="00FC1299"/>
    <w:rsid w:val="00FC1E58"/>
    <w:rsid w:val="00FC385A"/>
    <w:rsid w:val="00FC6A58"/>
    <w:rsid w:val="00FD0940"/>
    <w:rsid w:val="00FD194B"/>
    <w:rsid w:val="00FD4209"/>
    <w:rsid w:val="00FD568A"/>
    <w:rsid w:val="00FD74A5"/>
    <w:rsid w:val="00FD771E"/>
    <w:rsid w:val="00FE07CF"/>
    <w:rsid w:val="00FE29F0"/>
    <w:rsid w:val="00FE31FF"/>
    <w:rsid w:val="00FE354B"/>
    <w:rsid w:val="00FE3C84"/>
    <w:rsid w:val="00FE4062"/>
    <w:rsid w:val="00FE63C7"/>
    <w:rsid w:val="00FE74DD"/>
    <w:rsid w:val="00FF02DE"/>
    <w:rsid w:val="00FF0CE0"/>
    <w:rsid w:val="00FF0F0F"/>
    <w:rsid w:val="00FF14F2"/>
    <w:rsid w:val="00FF3ABC"/>
    <w:rsid w:val="00FF3FDD"/>
    <w:rsid w:val="00FF5393"/>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3E9A9A"/>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F0550"/>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12F48"/>
    <w:pPr>
      <w:tabs>
        <w:tab w:val="left" w:pos="326"/>
      </w:tabs>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01888"/>
    <w:pPr>
      <w:keepNext/>
      <w:spacing w:line="480" w:lineRule="auto"/>
      <w:jc w:val="both"/>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F4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0188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CB18BD"/>
    <w:rPr>
      <w:color w:val="800080" w:themeColor="followedHyperlink"/>
      <w:u w:val="single"/>
    </w:rPr>
  </w:style>
  <w:style w:type="character" w:styleId="UnresolvedMention">
    <w:name w:val="Unresolved Mention"/>
    <w:basedOn w:val="DefaultParagraphFont"/>
    <w:uiPriority w:val="99"/>
    <w:rsid w:val="00EF38B5"/>
    <w:rPr>
      <w:color w:val="605E5C"/>
      <w:shd w:val="clear" w:color="auto" w:fill="E1DFDD"/>
    </w:rPr>
  </w:style>
  <w:style w:type="character" w:styleId="CommentReference">
    <w:name w:val="annotation reference"/>
    <w:basedOn w:val="DefaultParagraphFont"/>
    <w:uiPriority w:val="99"/>
    <w:semiHidden/>
    <w:unhideWhenUsed/>
    <w:rsid w:val="004C1F2D"/>
    <w:rPr>
      <w:sz w:val="16"/>
      <w:szCs w:val="16"/>
    </w:rPr>
  </w:style>
  <w:style w:type="paragraph" w:styleId="CommentText">
    <w:name w:val="annotation text"/>
    <w:basedOn w:val="Normal"/>
    <w:link w:val="CommentTextChar"/>
    <w:uiPriority w:val="99"/>
    <w:semiHidden/>
    <w:unhideWhenUsed/>
    <w:rsid w:val="004C1F2D"/>
    <w:pPr>
      <w:spacing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4C1F2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8D4764"/>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8D4764"/>
    <w:rPr>
      <w:rFonts w:asciiTheme="minorHAnsi" w:eastAsiaTheme="minorHAnsi" w:hAnsiTheme="minorHAnsi" w:cstheme="minorBid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741356">
      <w:bodyDiv w:val="1"/>
      <w:marLeft w:val="0"/>
      <w:marRight w:val="0"/>
      <w:marTop w:val="0"/>
      <w:marBottom w:val="0"/>
      <w:divBdr>
        <w:top w:val="none" w:sz="0" w:space="0" w:color="auto"/>
        <w:left w:val="none" w:sz="0" w:space="0" w:color="auto"/>
        <w:bottom w:val="none" w:sz="0" w:space="0" w:color="auto"/>
        <w:right w:val="none" w:sz="0" w:space="0" w:color="auto"/>
      </w:divBdr>
    </w:div>
    <w:div w:id="947548796">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21529488">
      <w:bodyDiv w:val="1"/>
      <w:marLeft w:val="0"/>
      <w:marRight w:val="0"/>
      <w:marTop w:val="0"/>
      <w:marBottom w:val="0"/>
      <w:divBdr>
        <w:top w:val="none" w:sz="0" w:space="0" w:color="auto"/>
        <w:left w:val="none" w:sz="0" w:space="0" w:color="auto"/>
        <w:bottom w:val="none" w:sz="0" w:space="0" w:color="auto"/>
        <w:right w:val="none" w:sz="0" w:space="0" w:color="auto"/>
      </w:divBdr>
    </w:div>
    <w:div w:id="1267075477">
      <w:bodyDiv w:val="1"/>
      <w:marLeft w:val="0"/>
      <w:marRight w:val="0"/>
      <w:marTop w:val="0"/>
      <w:marBottom w:val="0"/>
      <w:divBdr>
        <w:top w:val="none" w:sz="0" w:space="0" w:color="auto"/>
        <w:left w:val="none" w:sz="0" w:space="0" w:color="auto"/>
        <w:bottom w:val="none" w:sz="0" w:space="0" w:color="auto"/>
        <w:right w:val="none" w:sz="0" w:space="0" w:color="auto"/>
      </w:divBdr>
    </w:div>
    <w:div w:id="1343241621">
      <w:bodyDiv w:val="1"/>
      <w:marLeft w:val="0"/>
      <w:marRight w:val="0"/>
      <w:marTop w:val="0"/>
      <w:marBottom w:val="0"/>
      <w:divBdr>
        <w:top w:val="none" w:sz="0" w:space="0" w:color="auto"/>
        <w:left w:val="none" w:sz="0" w:space="0" w:color="auto"/>
        <w:bottom w:val="none" w:sz="0" w:space="0" w:color="auto"/>
        <w:right w:val="none" w:sz="0" w:space="0" w:color="auto"/>
      </w:divBdr>
    </w:div>
    <w:div w:id="1450316402">
      <w:bodyDiv w:val="1"/>
      <w:marLeft w:val="0"/>
      <w:marRight w:val="0"/>
      <w:marTop w:val="0"/>
      <w:marBottom w:val="0"/>
      <w:divBdr>
        <w:top w:val="none" w:sz="0" w:space="0" w:color="auto"/>
        <w:left w:val="none" w:sz="0" w:space="0" w:color="auto"/>
        <w:bottom w:val="none" w:sz="0" w:space="0" w:color="auto"/>
        <w:right w:val="none" w:sz="0" w:space="0" w:color="auto"/>
      </w:divBdr>
    </w:div>
    <w:div w:id="1463814303">
      <w:bodyDiv w:val="1"/>
      <w:marLeft w:val="0"/>
      <w:marRight w:val="0"/>
      <w:marTop w:val="0"/>
      <w:marBottom w:val="0"/>
      <w:divBdr>
        <w:top w:val="none" w:sz="0" w:space="0" w:color="auto"/>
        <w:left w:val="none" w:sz="0" w:space="0" w:color="auto"/>
        <w:bottom w:val="none" w:sz="0" w:space="0" w:color="auto"/>
        <w:right w:val="none" w:sz="0" w:space="0" w:color="auto"/>
      </w:divBdr>
    </w:div>
    <w:div w:id="1504005831">
      <w:bodyDiv w:val="1"/>
      <w:marLeft w:val="0"/>
      <w:marRight w:val="0"/>
      <w:marTop w:val="0"/>
      <w:marBottom w:val="0"/>
      <w:divBdr>
        <w:top w:val="none" w:sz="0" w:space="0" w:color="auto"/>
        <w:left w:val="none" w:sz="0" w:space="0" w:color="auto"/>
        <w:bottom w:val="none" w:sz="0" w:space="0" w:color="auto"/>
        <w:right w:val="none" w:sz="0" w:space="0" w:color="auto"/>
      </w:divBdr>
    </w:div>
    <w:div w:id="1753697917">
      <w:bodyDiv w:val="1"/>
      <w:marLeft w:val="0"/>
      <w:marRight w:val="0"/>
      <w:marTop w:val="0"/>
      <w:marBottom w:val="0"/>
      <w:divBdr>
        <w:top w:val="none" w:sz="0" w:space="0" w:color="auto"/>
        <w:left w:val="none" w:sz="0" w:space="0" w:color="auto"/>
        <w:bottom w:val="none" w:sz="0" w:space="0" w:color="auto"/>
        <w:right w:val="none" w:sz="0" w:space="0" w:color="auto"/>
      </w:divBdr>
    </w:div>
    <w:div w:id="1840147568">
      <w:bodyDiv w:val="1"/>
      <w:marLeft w:val="0"/>
      <w:marRight w:val="0"/>
      <w:marTop w:val="0"/>
      <w:marBottom w:val="0"/>
      <w:divBdr>
        <w:top w:val="none" w:sz="0" w:space="0" w:color="auto"/>
        <w:left w:val="none" w:sz="0" w:space="0" w:color="auto"/>
        <w:bottom w:val="none" w:sz="0" w:space="0" w:color="auto"/>
        <w:right w:val="none" w:sz="0" w:space="0" w:color="auto"/>
      </w:divBdr>
    </w:div>
    <w:div w:id="1874921205">
      <w:bodyDiv w:val="1"/>
      <w:marLeft w:val="0"/>
      <w:marRight w:val="0"/>
      <w:marTop w:val="0"/>
      <w:marBottom w:val="0"/>
      <w:divBdr>
        <w:top w:val="none" w:sz="0" w:space="0" w:color="auto"/>
        <w:left w:val="none" w:sz="0" w:space="0" w:color="auto"/>
        <w:bottom w:val="none" w:sz="0" w:space="0" w:color="auto"/>
        <w:right w:val="none" w:sz="0" w:space="0" w:color="auto"/>
      </w:divBdr>
    </w:div>
    <w:div w:id="1886479719">
      <w:bodyDiv w:val="1"/>
      <w:marLeft w:val="0"/>
      <w:marRight w:val="0"/>
      <w:marTop w:val="0"/>
      <w:marBottom w:val="0"/>
      <w:divBdr>
        <w:top w:val="none" w:sz="0" w:space="0" w:color="auto"/>
        <w:left w:val="none" w:sz="0" w:space="0" w:color="auto"/>
        <w:bottom w:val="none" w:sz="0" w:space="0" w:color="auto"/>
        <w:right w:val="none" w:sz="0" w:space="0" w:color="auto"/>
      </w:divBdr>
    </w:div>
    <w:div w:id="195717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ooners-my.sharepoint.com/personal/rcbensen_ou_edu/Documents/Burgett%20Lab/Dissertation/2020_Bensen_Ryan_Dissertation.docx" TargetMode="External"/><Relationship Id="rId117" Type="http://schemas.openxmlformats.org/officeDocument/2006/relationships/image" Target="media/image49.png"/><Relationship Id="rId21" Type="http://schemas.openxmlformats.org/officeDocument/2006/relationships/hyperlink" Target="https://sooners-my.sharepoint.com/personal/rcbensen_ou_edu/Documents/Burgett%20Lab/Dissertation/2020_Bensen_Ryan_Dissertation.docx" TargetMode="External"/><Relationship Id="rId42" Type="http://schemas.openxmlformats.org/officeDocument/2006/relationships/hyperlink" Target="https://sooners-my.sharepoint.com/personal/rcbensen_ou_edu/Documents/Burgett%20Lab/Dissertation/2020_Bensen_Ryan_Dissertation.docx" TargetMode="External"/><Relationship Id="rId47" Type="http://schemas.openxmlformats.org/officeDocument/2006/relationships/hyperlink" Target="https://sooners-my.sharepoint.com/personal/rcbensen_ou_edu/Documents/Burgett%20Lab/Dissertation/2020_Bensen_Ryan_Dissertation.docx" TargetMode="External"/><Relationship Id="rId63" Type="http://schemas.openxmlformats.org/officeDocument/2006/relationships/oleObject" Target="embeddings/oleObject2.bin"/><Relationship Id="rId68" Type="http://schemas.openxmlformats.org/officeDocument/2006/relationships/image" Target="media/image4.png"/><Relationship Id="rId84" Type="http://schemas.openxmlformats.org/officeDocument/2006/relationships/image" Target="media/image16.wmf"/><Relationship Id="rId89" Type="http://schemas.openxmlformats.org/officeDocument/2006/relationships/image" Target="media/image21.png"/><Relationship Id="rId112" Type="http://schemas.openxmlformats.org/officeDocument/2006/relationships/image" Target="media/image44.png"/><Relationship Id="rId16" Type="http://schemas.openxmlformats.org/officeDocument/2006/relationships/hyperlink" Target="https://sooners-my.sharepoint.com/personal/rcbensen_ou_edu/Documents/Burgett%20Lab/Dissertation/2020_Bensen_Ryan_Dissertation.docx" TargetMode="External"/><Relationship Id="rId107" Type="http://schemas.openxmlformats.org/officeDocument/2006/relationships/image" Target="media/image39.wmf"/><Relationship Id="rId11" Type="http://schemas.openxmlformats.org/officeDocument/2006/relationships/hyperlink" Target="https://sooners-my.sharepoint.com/personal/rcbensen_ou_edu/Documents/Burgett%20Lab/Dissertation/2020_Bensen_Ryan_Dissertation.docx" TargetMode="External"/><Relationship Id="rId32" Type="http://schemas.openxmlformats.org/officeDocument/2006/relationships/hyperlink" Target="https://sooners-my.sharepoint.com/personal/rcbensen_ou_edu/Documents/Burgett%20Lab/Dissertation/2020_Bensen_Ryan_Dissertation.docx" TargetMode="External"/><Relationship Id="rId37" Type="http://schemas.openxmlformats.org/officeDocument/2006/relationships/hyperlink" Target="https://sooners-my.sharepoint.com/personal/rcbensen_ou_edu/Documents/Burgett%20Lab/Dissertation/2020_Bensen_Ryan_Dissertation.docx" TargetMode="External"/><Relationship Id="rId53" Type="http://schemas.openxmlformats.org/officeDocument/2006/relationships/hyperlink" Target="https://sooners-my.sharepoint.com/personal/rcbensen_ou_edu/Documents/Burgett%20Lab/Dissertation/2020_Bensen_Ryan_Dissertation.docx" TargetMode="External"/><Relationship Id="rId58" Type="http://schemas.openxmlformats.org/officeDocument/2006/relationships/hyperlink" Target="https://sooners-my.sharepoint.com/personal/rcbensen_ou_edu/Documents/Burgett%20Lab/Dissertation/2020_Bensen_Ryan_Dissertation.docx" TargetMode="External"/><Relationship Id="rId74" Type="http://schemas.openxmlformats.org/officeDocument/2006/relationships/image" Target="media/image10.wmf"/><Relationship Id="rId79" Type="http://schemas.openxmlformats.org/officeDocument/2006/relationships/oleObject" Target="embeddings/oleObject6.bin"/><Relationship Id="rId102" Type="http://schemas.openxmlformats.org/officeDocument/2006/relationships/image" Target="media/image34.wmf"/><Relationship Id="rId123"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1.emf"/><Relationship Id="rId82" Type="http://schemas.openxmlformats.org/officeDocument/2006/relationships/image" Target="media/image14.png"/><Relationship Id="rId90" Type="http://schemas.openxmlformats.org/officeDocument/2006/relationships/image" Target="media/image22.png"/><Relationship Id="rId95" Type="http://schemas.openxmlformats.org/officeDocument/2006/relationships/image" Target="media/image27.png"/><Relationship Id="rId19" Type="http://schemas.openxmlformats.org/officeDocument/2006/relationships/hyperlink" Target="https://sooners-my.sharepoint.com/personal/rcbensen_ou_edu/Documents/Burgett%20Lab/Dissertation/2020_Bensen_Ryan_Dissertation.docx" TargetMode="External"/><Relationship Id="rId14" Type="http://schemas.openxmlformats.org/officeDocument/2006/relationships/hyperlink" Target="https://sooners-my.sharepoint.com/personal/rcbensen_ou_edu/Documents/Burgett%20Lab/Dissertation/2020_Bensen_Ryan_Dissertation.docx" TargetMode="External"/><Relationship Id="rId22" Type="http://schemas.openxmlformats.org/officeDocument/2006/relationships/hyperlink" Target="https://sooners-my.sharepoint.com/personal/rcbensen_ou_edu/Documents/Burgett%20Lab/Dissertation/2020_Bensen_Ryan_Dissertation.docx" TargetMode="External"/><Relationship Id="rId27" Type="http://schemas.openxmlformats.org/officeDocument/2006/relationships/hyperlink" Target="https://sooners-my.sharepoint.com/personal/rcbensen_ou_edu/Documents/Burgett%20Lab/Dissertation/2020_Bensen_Ryan_Dissertation.docx" TargetMode="External"/><Relationship Id="rId30" Type="http://schemas.openxmlformats.org/officeDocument/2006/relationships/hyperlink" Target="https://sooners-my.sharepoint.com/personal/rcbensen_ou_edu/Documents/Burgett%20Lab/Dissertation/2020_Bensen_Ryan_Dissertation.docx" TargetMode="External"/><Relationship Id="rId35" Type="http://schemas.openxmlformats.org/officeDocument/2006/relationships/hyperlink" Target="https://sooners-my.sharepoint.com/personal/rcbensen_ou_edu/Documents/Burgett%20Lab/Dissertation/2020_Bensen_Ryan_Dissertation.docx" TargetMode="External"/><Relationship Id="rId43" Type="http://schemas.openxmlformats.org/officeDocument/2006/relationships/hyperlink" Target="https://sooners-my.sharepoint.com/personal/rcbensen_ou_edu/Documents/Burgett%20Lab/Dissertation/2020_Bensen_Ryan_Dissertation.docx" TargetMode="External"/><Relationship Id="rId48" Type="http://schemas.openxmlformats.org/officeDocument/2006/relationships/hyperlink" Target="https://sooners-my.sharepoint.com/personal/rcbensen_ou_edu/Documents/Burgett%20Lab/Dissertation/2020_Bensen_Ryan_Dissertation.docx" TargetMode="External"/><Relationship Id="rId56" Type="http://schemas.openxmlformats.org/officeDocument/2006/relationships/hyperlink" Target="https://sooners-my.sharepoint.com/personal/rcbensen_ou_edu/Documents/Burgett%20Lab/Dissertation/2020_Bensen_Ryan_Dissertation.docx" TargetMode="External"/><Relationship Id="rId64" Type="http://schemas.openxmlformats.org/officeDocument/2006/relationships/oleObject" Target="embeddings/oleObject3.bin"/><Relationship Id="rId69" Type="http://schemas.openxmlformats.org/officeDocument/2006/relationships/image" Target="media/image5.wmf"/><Relationship Id="rId77" Type="http://schemas.openxmlformats.org/officeDocument/2006/relationships/image" Target="media/image13.emf"/><Relationship Id="rId100" Type="http://schemas.openxmlformats.org/officeDocument/2006/relationships/image" Target="media/image32.wmf"/><Relationship Id="rId105" Type="http://schemas.openxmlformats.org/officeDocument/2006/relationships/image" Target="media/image37.wmf"/><Relationship Id="rId113" Type="http://schemas.openxmlformats.org/officeDocument/2006/relationships/image" Target="media/image45.png"/><Relationship Id="rId118" Type="http://schemas.openxmlformats.org/officeDocument/2006/relationships/image" Target="media/image50.png"/><Relationship Id="rId8" Type="http://schemas.openxmlformats.org/officeDocument/2006/relationships/webSettings" Target="webSettings.xml"/><Relationship Id="rId51" Type="http://schemas.openxmlformats.org/officeDocument/2006/relationships/hyperlink" Target="https://sooners-my.sharepoint.com/personal/rcbensen_ou_edu/Documents/Burgett%20Lab/Dissertation/2020_Bensen_Ryan_Dissertation.docx" TargetMode="External"/><Relationship Id="rId72" Type="http://schemas.openxmlformats.org/officeDocument/2006/relationships/image" Target="media/image8.wmf"/><Relationship Id="rId80" Type="http://schemas.openxmlformats.org/officeDocument/2006/relationships/oleObject" Target="embeddings/oleObject7.bin"/><Relationship Id="rId85" Type="http://schemas.openxmlformats.org/officeDocument/2006/relationships/image" Target="media/image17.wmf"/><Relationship Id="rId93" Type="http://schemas.openxmlformats.org/officeDocument/2006/relationships/image" Target="media/image25.png"/><Relationship Id="rId98" Type="http://schemas.openxmlformats.org/officeDocument/2006/relationships/image" Target="media/image30.wmf"/><Relationship Id="rId121" Type="http://schemas.openxmlformats.org/officeDocument/2006/relationships/image" Target="media/image53.png"/><Relationship Id="rId3" Type="http://schemas.openxmlformats.org/officeDocument/2006/relationships/customXml" Target="../customXml/item3.xml"/><Relationship Id="rId12" Type="http://schemas.openxmlformats.org/officeDocument/2006/relationships/hyperlink" Target="https://sooners-my.sharepoint.com/personal/rcbensen_ou_edu/Documents/Burgett%20Lab/Dissertation/2020_Bensen_Ryan_Dissertation.docx" TargetMode="External"/><Relationship Id="rId17" Type="http://schemas.openxmlformats.org/officeDocument/2006/relationships/hyperlink" Target="https://sooners-my.sharepoint.com/personal/rcbensen_ou_edu/Documents/Burgett%20Lab/Dissertation/2020_Bensen_Ryan_Dissertation.docx" TargetMode="External"/><Relationship Id="rId25" Type="http://schemas.openxmlformats.org/officeDocument/2006/relationships/hyperlink" Target="https://sooners-my.sharepoint.com/personal/rcbensen_ou_edu/Documents/Burgett%20Lab/Dissertation/2020_Bensen_Ryan_Dissertation.docx" TargetMode="External"/><Relationship Id="rId33" Type="http://schemas.openxmlformats.org/officeDocument/2006/relationships/hyperlink" Target="https://sooners-my.sharepoint.com/personal/rcbensen_ou_edu/Documents/Burgett%20Lab/Dissertation/2020_Bensen_Ryan_Dissertation.docx" TargetMode="External"/><Relationship Id="rId38" Type="http://schemas.openxmlformats.org/officeDocument/2006/relationships/hyperlink" Target="https://sooners-my.sharepoint.com/personal/rcbensen_ou_edu/Documents/Burgett%20Lab/Dissertation/2020_Bensen_Ryan_Dissertation.docx" TargetMode="External"/><Relationship Id="rId46" Type="http://schemas.openxmlformats.org/officeDocument/2006/relationships/hyperlink" Target="https://sooners-my.sharepoint.com/personal/rcbensen_ou_edu/Documents/Burgett%20Lab/Dissertation/2020_Bensen_Ryan_Dissertation.docx" TargetMode="External"/><Relationship Id="rId59" Type="http://schemas.openxmlformats.org/officeDocument/2006/relationships/hyperlink" Target="https://sooners-my.sharepoint.com/personal/rcbensen_ou_edu/Documents/Burgett%20Lab/Dissertation/2020_Bensen_Ryan_Dissertation.docx" TargetMode="External"/><Relationship Id="rId67" Type="http://schemas.openxmlformats.org/officeDocument/2006/relationships/image" Target="media/image3.wmf"/><Relationship Id="rId103" Type="http://schemas.openxmlformats.org/officeDocument/2006/relationships/image" Target="media/image35.wmf"/><Relationship Id="rId108" Type="http://schemas.openxmlformats.org/officeDocument/2006/relationships/image" Target="media/image40.png"/><Relationship Id="rId116" Type="http://schemas.openxmlformats.org/officeDocument/2006/relationships/image" Target="media/image48.png"/><Relationship Id="rId124" Type="http://schemas.openxmlformats.org/officeDocument/2006/relationships/glossaryDocument" Target="glossary/document.xml"/><Relationship Id="rId20" Type="http://schemas.openxmlformats.org/officeDocument/2006/relationships/hyperlink" Target="https://sooners-my.sharepoint.com/personal/rcbensen_ou_edu/Documents/Burgett%20Lab/Dissertation/2020_Bensen_Ryan_Dissertation.docx" TargetMode="External"/><Relationship Id="rId41" Type="http://schemas.openxmlformats.org/officeDocument/2006/relationships/hyperlink" Target="https://sooners-my.sharepoint.com/personal/rcbensen_ou_edu/Documents/Burgett%20Lab/Dissertation/2020_Bensen_Ryan_Dissertation.docx" TargetMode="External"/><Relationship Id="rId54" Type="http://schemas.openxmlformats.org/officeDocument/2006/relationships/hyperlink" Target="https://sooners-my.sharepoint.com/personal/rcbensen_ou_edu/Documents/Burgett%20Lab/Dissertation/2020_Bensen_Ryan_Dissertation.docx" TargetMode="External"/><Relationship Id="rId62" Type="http://schemas.openxmlformats.org/officeDocument/2006/relationships/oleObject" Target="embeddings/oleObject1.bin"/><Relationship Id="rId70" Type="http://schemas.openxmlformats.org/officeDocument/2006/relationships/image" Target="media/image6.png"/><Relationship Id="rId75" Type="http://schemas.openxmlformats.org/officeDocument/2006/relationships/image" Target="media/image11.wmf"/><Relationship Id="rId83" Type="http://schemas.openxmlformats.org/officeDocument/2006/relationships/image" Target="media/image15.wmf"/><Relationship Id="rId88" Type="http://schemas.openxmlformats.org/officeDocument/2006/relationships/image" Target="media/image20.wmf"/><Relationship Id="rId91" Type="http://schemas.openxmlformats.org/officeDocument/2006/relationships/image" Target="media/image23.png"/><Relationship Id="rId96" Type="http://schemas.openxmlformats.org/officeDocument/2006/relationships/image" Target="media/image28.png"/><Relationship Id="rId111" Type="http://schemas.openxmlformats.org/officeDocument/2006/relationships/image" Target="media/image43.tif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ooners-my.sharepoint.com/personal/rcbensen_ou_edu/Documents/Burgett%20Lab/Dissertation/2020_Bensen_Ryan_Dissertation.docx" TargetMode="External"/><Relationship Id="rId23" Type="http://schemas.openxmlformats.org/officeDocument/2006/relationships/hyperlink" Target="https://sooners-my.sharepoint.com/personal/rcbensen_ou_edu/Documents/Burgett%20Lab/Dissertation/2020_Bensen_Ryan_Dissertation.docx" TargetMode="External"/><Relationship Id="rId28" Type="http://schemas.openxmlformats.org/officeDocument/2006/relationships/hyperlink" Target="https://sooners-my.sharepoint.com/personal/rcbensen_ou_edu/Documents/Burgett%20Lab/Dissertation/2020_Bensen_Ryan_Dissertation.docx" TargetMode="External"/><Relationship Id="rId36" Type="http://schemas.openxmlformats.org/officeDocument/2006/relationships/hyperlink" Target="https://sooners-my.sharepoint.com/personal/rcbensen_ou_edu/Documents/Burgett%20Lab/Dissertation/2020_Bensen_Ryan_Dissertation.docx" TargetMode="External"/><Relationship Id="rId49" Type="http://schemas.openxmlformats.org/officeDocument/2006/relationships/hyperlink" Target="https://sooners-my.sharepoint.com/personal/rcbensen_ou_edu/Documents/Burgett%20Lab/Dissertation/2020_Bensen_Ryan_Dissertation.docx" TargetMode="External"/><Relationship Id="rId57" Type="http://schemas.openxmlformats.org/officeDocument/2006/relationships/hyperlink" Target="https://sooners-my.sharepoint.com/personal/rcbensen_ou_edu/Documents/Burgett%20Lab/Dissertation/2020_Bensen_Ryan_Dissertation.docx" TargetMode="External"/><Relationship Id="rId106" Type="http://schemas.openxmlformats.org/officeDocument/2006/relationships/image" Target="media/image38.wmf"/><Relationship Id="rId114" Type="http://schemas.openxmlformats.org/officeDocument/2006/relationships/image" Target="media/image46.png"/><Relationship Id="rId119" Type="http://schemas.openxmlformats.org/officeDocument/2006/relationships/image" Target="media/image51.png"/><Relationship Id="rId10" Type="http://schemas.openxmlformats.org/officeDocument/2006/relationships/endnotes" Target="endnotes.xml"/><Relationship Id="rId31" Type="http://schemas.openxmlformats.org/officeDocument/2006/relationships/hyperlink" Target="https://sooners-my.sharepoint.com/personal/rcbensen_ou_edu/Documents/Burgett%20Lab/Dissertation/2020_Bensen_Ryan_Dissertation.docx" TargetMode="External"/><Relationship Id="rId44" Type="http://schemas.openxmlformats.org/officeDocument/2006/relationships/hyperlink" Target="https://sooners-my.sharepoint.com/personal/rcbensen_ou_edu/Documents/Burgett%20Lab/Dissertation/2020_Bensen_Ryan_Dissertation.docx" TargetMode="External"/><Relationship Id="rId52" Type="http://schemas.openxmlformats.org/officeDocument/2006/relationships/hyperlink" Target="https://sooners-my.sharepoint.com/personal/rcbensen_ou_edu/Documents/Burgett%20Lab/Dissertation/2020_Bensen_Ryan_Dissertation.docx" TargetMode="External"/><Relationship Id="rId60" Type="http://schemas.openxmlformats.org/officeDocument/2006/relationships/footer" Target="footer1.xml"/><Relationship Id="rId65" Type="http://schemas.openxmlformats.org/officeDocument/2006/relationships/oleObject" Target="embeddings/oleObject4.bin"/><Relationship Id="rId73" Type="http://schemas.openxmlformats.org/officeDocument/2006/relationships/image" Target="media/image9.wmf"/><Relationship Id="rId78" Type="http://schemas.openxmlformats.org/officeDocument/2006/relationships/oleObject" Target="embeddings/oleObject5.bin"/><Relationship Id="rId81" Type="http://schemas.openxmlformats.org/officeDocument/2006/relationships/oleObject" Target="embeddings/oleObject8.bin"/><Relationship Id="rId86" Type="http://schemas.openxmlformats.org/officeDocument/2006/relationships/image" Target="media/image18.png"/><Relationship Id="rId94" Type="http://schemas.openxmlformats.org/officeDocument/2006/relationships/image" Target="media/image26.png"/><Relationship Id="rId99" Type="http://schemas.openxmlformats.org/officeDocument/2006/relationships/image" Target="media/image31.png"/><Relationship Id="rId101" Type="http://schemas.openxmlformats.org/officeDocument/2006/relationships/image" Target="media/image33.wmf"/><Relationship Id="rId122" Type="http://schemas.openxmlformats.org/officeDocument/2006/relationships/image" Target="media/image5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ooners-my.sharepoint.com/personal/rcbensen_ou_edu/Documents/Burgett%20Lab/Dissertation/2020_Bensen_Ryan_Dissertation.docx" TargetMode="External"/><Relationship Id="rId18" Type="http://schemas.openxmlformats.org/officeDocument/2006/relationships/hyperlink" Target="https://sooners-my.sharepoint.com/personal/rcbensen_ou_edu/Documents/Burgett%20Lab/Dissertation/2020_Bensen_Ryan_Dissertation.docx" TargetMode="External"/><Relationship Id="rId39" Type="http://schemas.openxmlformats.org/officeDocument/2006/relationships/hyperlink" Target="https://sooners-my.sharepoint.com/personal/rcbensen_ou_edu/Documents/Burgett%20Lab/Dissertation/2020_Bensen_Ryan_Dissertation.docx" TargetMode="External"/><Relationship Id="rId109" Type="http://schemas.openxmlformats.org/officeDocument/2006/relationships/image" Target="media/image41.wmf"/><Relationship Id="rId34" Type="http://schemas.openxmlformats.org/officeDocument/2006/relationships/hyperlink" Target="https://sooners-my.sharepoint.com/personal/rcbensen_ou_edu/Documents/Burgett%20Lab/Dissertation/2020_Bensen_Ryan_Dissertation.docx" TargetMode="External"/><Relationship Id="rId50" Type="http://schemas.openxmlformats.org/officeDocument/2006/relationships/hyperlink" Target="https://sooners-my.sharepoint.com/personal/rcbensen_ou_edu/Documents/Burgett%20Lab/Dissertation/2020_Bensen_Ryan_Dissertation.docx" TargetMode="External"/><Relationship Id="rId55" Type="http://schemas.openxmlformats.org/officeDocument/2006/relationships/hyperlink" Target="https://sooners-my.sharepoint.com/personal/rcbensen_ou_edu/Documents/Burgett%20Lab/Dissertation/2020_Bensen_Ryan_Dissertation.docx" TargetMode="External"/><Relationship Id="rId76" Type="http://schemas.openxmlformats.org/officeDocument/2006/relationships/image" Target="media/image12.wmf"/><Relationship Id="rId97" Type="http://schemas.openxmlformats.org/officeDocument/2006/relationships/image" Target="media/image29.png"/><Relationship Id="rId104" Type="http://schemas.openxmlformats.org/officeDocument/2006/relationships/image" Target="media/image36.wmf"/><Relationship Id="rId120" Type="http://schemas.openxmlformats.org/officeDocument/2006/relationships/image" Target="media/image52.emf"/><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7.wmf"/><Relationship Id="rId92" Type="http://schemas.openxmlformats.org/officeDocument/2006/relationships/image" Target="media/image24.png"/><Relationship Id="rId2" Type="http://schemas.openxmlformats.org/officeDocument/2006/relationships/customXml" Target="../customXml/item2.xml"/><Relationship Id="rId29" Type="http://schemas.openxmlformats.org/officeDocument/2006/relationships/hyperlink" Target="https://sooners-my.sharepoint.com/personal/rcbensen_ou_edu/Documents/Burgett%20Lab/Dissertation/2020_Bensen_Ryan_Dissertation.docx" TargetMode="External"/><Relationship Id="rId24" Type="http://schemas.openxmlformats.org/officeDocument/2006/relationships/hyperlink" Target="https://sooners-my.sharepoint.com/personal/rcbensen_ou_edu/Documents/Burgett%20Lab/Dissertation/2020_Bensen_Ryan_Dissertation.docx" TargetMode="External"/><Relationship Id="rId40" Type="http://schemas.openxmlformats.org/officeDocument/2006/relationships/hyperlink" Target="https://sooners-my.sharepoint.com/personal/rcbensen_ou_edu/Documents/Burgett%20Lab/Dissertation/2020_Bensen_Ryan_Dissertation.docx" TargetMode="External"/><Relationship Id="rId45" Type="http://schemas.openxmlformats.org/officeDocument/2006/relationships/hyperlink" Target="https://sooners-my.sharepoint.com/personal/rcbensen_ou_edu/Documents/Burgett%20Lab/Dissertation/2020_Bensen_Ryan_Dissertation.docx" TargetMode="External"/><Relationship Id="rId66" Type="http://schemas.openxmlformats.org/officeDocument/2006/relationships/image" Target="media/image2.wmf"/><Relationship Id="rId87" Type="http://schemas.openxmlformats.org/officeDocument/2006/relationships/image" Target="media/image19.wmf"/><Relationship Id="rId110" Type="http://schemas.openxmlformats.org/officeDocument/2006/relationships/image" Target="media/image42.tiff"/><Relationship Id="rId115" Type="http://schemas.openxmlformats.org/officeDocument/2006/relationships/image" Target="media/image4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B53555" w:rsidP="00B53555">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C4659FEE55645ECB14EE4A82C1BD231"/>
        <w:category>
          <w:name w:val="General"/>
          <w:gallery w:val="placeholder"/>
        </w:category>
        <w:types>
          <w:type w:val="bbPlcHdr"/>
        </w:types>
        <w:behaviors>
          <w:behavior w:val="content"/>
        </w:behaviors>
        <w:guid w:val="{5E84E5B2-3708-4E80-B534-E7CDD6FF965C}"/>
      </w:docPartPr>
      <w:docPartBody>
        <w:p w:rsidR="00082E9A" w:rsidRDefault="00082E9A" w:rsidP="00082E9A">
          <w:pPr>
            <w:pStyle w:val="AC4659FEE55645ECB14EE4A82C1BD231"/>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no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6071F"/>
    <w:rsid w:val="00082E9A"/>
    <w:rsid w:val="001235EE"/>
    <w:rsid w:val="00130E44"/>
    <w:rsid w:val="0015246B"/>
    <w:rsid w:val="001726D9"/>
    <w:rsid w:val="00190672"/>
    <w:rsid w:val="00193333"/>
    <w:rsid w:val="001B2B89"/>
    <w:rsid w:val="001E1A0C"/>
    <w:rsid w:val="001E4FE7"/>
    <w:rsid w:val="00276951"/>
    <w:rsid w:val="00293081"/>
    <w:rsid w:val="003617FE"/>
    <w:rsid w:val="004630BA"/>
    <w:rsid w:val="004950C2"/>
    <w:rsid w:val="00505576"/>
    <w:rsid w:val="00572AB3"/>
    <w:rsid w:val="005844EF"/>
    <w:rsid w:val="00590162"/>
    <w:rsid w:val="005902A4"/>
    <w:rsid w:val="006B53FA"/>
    <w:rsid w:val="00787914"/>
    <w:rsid w:val="007A04BC"/>
    <w:rsid w:val="00801186"/>
    <w:rsid w:val="00821C08"/>
    <w:rsid w:val="0083175E"/>
    <w:rsid w:val="00867890"/>
    <w:rsid w:val="00875ABD"/>
    <w:rsid w:val="008A7C53"/>
    <w:rsid w:val="008D7091"/>
    <w:rsid w:val="00903E98"/>
    <w:rsid w:val="009821AE"/>
    <w:rsid w:val="00A3337A"/>
    <w:rsid w:val="00A343F1"/>
    <w:rsid w:val="00A80B9E"/>
    <w:rsid w:val="00AF1D2B"/>
    <w:rsid w:val="00B46CD3"/>
    <w:rsid w:val="00B53555"/>
    <w:rsid w:val="00B7036D"/>
    <w:rsid w:val="00BB4517"/>
    <w:rsid w:val="00BC5308"/>
    <w:rsid w:val="00C0277B"/>
    <w:rsid w:val="00C54D30"/>
    <w:rsid w:val="00C738D6"/>
    <w:rsid w:val="00C917B5"/>
    <w:rsid w:val="00CA39D2"/>
    <w:rsid w:val="00CB0FCA"/>
    <w:rsid w:val="00D620BD"/>
    <w:rsid w:val="00D70D74"/>
    <w:rsid w:val="00DD6093"/>
    <w:rsid w:val="00E144A3"/>
    <w:rsid w:val="00E54DF6"/>
    <w:rsid w:val="00EC62F9"/>
    <w:rsid w:val="00EF14E5"/>
    <w:rsid w:val="00F7691A"/>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1D2B"/>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B53555"/>
    <w:pPr>
      <w:spacing w:after="0" w:line="240" w:lineRule="auto"/>
    </w:pPr>
    <w:rPr>
      <w:rFonts w:eastAsia="Times New Roman" w:cs="Times New Roman"/>
      <w:sz w:val="24"/>
      <w:szCs w:val="32"/>
      <w:lang w:bidi="en-US"/>
    </w:rPr>
  </w:style>
  <w:style w:type="paragraph" w:customStyle="1" w:styleId="E792B061B5AB4DE8A53AB68425FFA825">
    <w:name w:val="E792B061B5AB4DE8A53AB68425FFA825"/>
    <w:rsid w:val="00082E9A"/>
    <w:pPr>
      <w:spacing w:after="160" w:line="259" w:lineRule="auto"/>
    </w:pPr>
  </w:style>
  <w:style w:type="paragraph" w:customStyle="1" w:styleId="0D2C76A8E1E043519EED1B9ED2A6EE8E">
    <w:name w:val="0D2C76A8E1E043519EED1B9ED2A6EE8E"/>
    <w:rsid w:val="00082E9A"/>
    <w:pPr>
      <w:spacing w:after="160" w:line="259" w:lineRule="auto"/>
    </w:pPr>
  </w:style>
  <w:style w:type="paragraph" w:customStyle="1" w:styleId="DC0E4DD4E90A429B914365D6D6CBFA5B">
    <w:name w:val="DC0E4DD4E90A429B914365D6D6CBFA5B"/>
    <w:rsid w:val="00082E9A"/>
    <w:pPr>
      <w:spacing w:after="160" w:line="259" w:lineRule="auto"/>
    </w:pPr>
  </w:style>
  <w:style w:type="paragraph" w:customStyle="1" w:styleId="6DC7B8D9C6314BBA9A318315C2E3EB7F">
    <w:name w:val="6DC7B8D9C6314BBA9A318315C2E3EB7F"/>
    <w:rsid w:val="00082E9A"/>
    <w:pPr>
      <w:spacing w:after="160" w:line="259" w:lineRule="auto"/>
    </w:pPr>
  </w:style>
  <w:style w:type="paragraph" w:customStyle="1" w:styleId="AC4659FEE55645ECB14EE4A82C1BD231">
    <w:name w:val="AC4659FEE55645ECB14EE4A82C1BD231"/>
    <w:rsid w:val="00082E9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E843101F82584EBB341BD8077C1E41" ma:contentTypeVersion="11" ma:contentTypeDescription="Create a new document." ma:contentTypeScope="" ma:versionID="303c5220dc9b0bf865db8490d9014cd8">
  <xsd:schema xmlns:xsd="http://www.w3.org/2001/XMLSchema" xmlns:xs="http://www.w3.org/2001/XMLSchema" xmlns:p="http://schemas.microsoft.com/office/2006/metadata/properties" xmlns:ns3="7b4b2e5e-6f72-4c7e-a23e-7835a5a7d892" xmlns:ns4="c0fcee4e-6d65-40cc-b584-f46192293477" targetNamespace="http://schemas.microsoft.com/office/2006/metadata/properties" ma:root="true" ma:fieldsID="28eb4501dbe86e1e2523faeb6590ba65" ns3:_="" ns4:_="">
    <xsd:import namespace="7b4b2e5e-6f72-4c7e-a23e-7835a5a7d892"/>
    <xsd:import namespace="c0fcee4e-6d65-40cc-b584-f4619229347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EventHashCode" minOccurs="0"/>
                <xsd:element ref="ns4:MediaServiceGenerationTime" minOccurs="0"/>
                <xsd:element ref="ns4:MediaServiceAutoKeyPoints" minOccurs="0"/>
                <xsd:element ref="ns4:MediaServiceKeyPoints"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4b2e5e-6f72-4c7e-a23e-7835a5a7d89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fcee4e-6d65-40cc-b584-f4619229347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4308D-9007-46D4-9C60-AFCF48072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4b2e5e-6f72-4c7e-a23e-7835a5a7d892"/>
    <ds:schemaRef ds:uri="c0fcee4e-6d65-40cc-b584-f46192293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EEECA0-528F-4F11-B202-A924420C563C}">
  <ds:schemaRefs>
    <ds:schemaRef ds:uri="http://schemas.microsoft.com/sharepoint/v3/contenttype/forms"/>
  </ds:schemaRefs>
</ds:datastoreItem>
</file>

<file path=customXml/itemProps3.xml><?xml version="1.0" encoding="utf-8"?>
<ds:datastoreItem xmlns:ds="http://schemas.openxmlformats.org/officeDocument/2006/customXml" ds:itemID="{941879EA-C077-4EB4-8E0F-D411BAF948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D3AAD6-B02A-43A6-9DFA-EC57409A9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141</Pages>
  <Words>150885</Words>
  <Characters>860046</Characters>
  <Application>Microsoft Office Word</Application>
  <DocSecurity>0</DocSecurity>
  <Lines>7167</Lines>
  <Paragraphs>2017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1008914</CharactersWithSpaces>
  <SharedDoc>false</SharedDoc>
  <HLinks>
    <vt:vector size="462" baseType="variant">
      <vt:variant>
        <vt:i4>5111923</vt:i4>
      </vt:variant>
      <vt:variant>
        <vt:i4>467</vt:i4>
      </vt:variant>
      <vt:variant>
        <vt:i4>0</vt:i4>
      </vt:variant>
      <vt:variant>
        <vt:i4>5</vt:i4>
      </vt:variant>
      <vt:variant>
        <vt:lpwstr>https://sooners-my.sharepoint.com/personal/rcbensen_ou_edu/Documents/Burgett Lab/Dissertation/Dissertation.docx</vt:lpwstr>
      </vt:variant>
      <vt:variant>
        <vt:lpwstr>_Toc33800351</vt:lpwstr>
      </vt:variant>
      <vt:variant>
        <vt:i4>5177459</vt:i4>
      </vt:variant>
      <vt:variant>
        <vt:i4>461</vt:i4>
      </vt:variant>
      <vt:variant>
        <vt:i4>0</vt:i4>
      </vt:variant>
      <vt:variant>
        <vt:i4>5</vt:i4>
      </vt:variant>
      <vt:variant>
        <vt:lpwstr>https://sooners-my.sharepoint.com/personal/rcbensen_ou_edu/Documents/Burgett Lab/Dissertation/Dissertation.docx</vt:lpwstr>
      </vt:variant>
      <vt:variant>
        <vt:lpwstr>_Toc33800350</vt:lpwstr>
      </vt:variant>
      <vt:variant>
        <vt:i4>4587634</vt:i4>
      </vt:variant>
      <vt:variant>
        <vt:i4>455</vt:i4>
      </vt:variant>
      <vt:variant>
        <vt:i4>0</vt:i4>
      </vt:variant>
      <vt:variant>
        <vt:i4>5</vt:i4>
      </vt:variant>
      <vt:variant>
        <vt:lpwstr>https://sooners-my.sharepoint.com/personal/rcbensen_ou_edu/Documents/Burgett Lab/Dissertation/Dissertation.docx</vt:lpwstr>
      </vt:variant>
      <vt:variant>
        <vt:lpwstr>_Toc33800349</vt:lpwstr>
      </vt:variant>
      <vt:variant>
        <vt:i4>4653170</vt:i4>
      </vt:variant>
      <vt:variant>
        <vt:i4>449</vt:i4>
      </vt:variant>
      <vt:variant>
        <vt:i4>0</vt:i4>
      </vt:variant>
      <vt:variant>
        <vt:i4>5</vt:i4>
      </vt:variant>
      <vt:variant>
        <vt:lpwstr>https://sooners-my.sharepoint.com/personal/rcbensen_ou_edu/Documents/Burgett Lab/Dissertation/Dissertation.docx</vt:lpwstr>
      </vt:variant>
      <vt:variant>
        <vt:lpwstr>_Toc33800348</vt:lpwstr>
      </vt:variant>
      <vt:variant>
        <vt:i4>4718706</vt:i4>
      </vt:variant>
      <vt:variant>
        <vt:i4>443</vt:i4>
      </vt:variant>
      <vt:variant>
        <vt:i4>0</vt:i4>
      </vt:variant>
      <vt:variant>
        <vt:i4>5</vt:i4>
      </vt:variant>
      <vt:variant>
        <vt:lpwstr>https://sooners-my.sharepoint.com/personal/rcbensen_ou_edu/Documents/Burgett Lab/Dissertation/Dissertation.docx</vt:lpwstr>
      </vt:variant>
      <vt:variant>
        <vt:lpwstr>_Toc33800347</vt:lpwstr>
      </vt:variant>
      <vt:variant>
        <vt:i4>4784242</vt:i4>
      </vt:variant>
      <vt:variant>
        <vt:i4>437</vt:i4>
      </vt:variant>
      <vt:variant>
        <vt:i4>0</vt:i4>
      </vt:variant>
      <vt:variant>
        <vt:i4>5</vt:i4>
      </vt:variant>
      <vt:variant>
        <vt:lpwstr>https://sooners-my.sharepoint.com/personal/rcbensen_ou_edu/Documents/Burgett Lab/Dissertation/Dissertation.docx</vt:lpwstr>
      </vt:variant>
      <vt:variant>
        <vt:lpwstr>_Toc33800346</vt:lpwstr>
      </vt:variant>
      <vt:variant>
        <vt:i4>4849778</vt:i4>
      </vt:variant>
      <vt:variant>
        <vt:i4>431</vt:i4>
      </vt:variant>
      <vt:variant>
        <vt:i4>0</vt:i4>
      </vt:variant>
      <vt:variant>
        <vt:i4>5</vt:i4>
      </vt:variant>
      <vt:variant>
        <vt:lpwstr>https://sooners-my.sharepoint.com/personal/rcbensen_ou_edu/Documents/Burgett Lab/Dissertation/Dissertation.docx</vt:lpwstr>
      </vt:variant>
      <vt:variant>
        <vt:lpwstr>_Toc33800345</vt:lpwstr>
      </vt:variant>
      <vt:variant>
        <vt:i4>4915314</vt:i4>
      </vt:variant>
      <vt:variant>
        <vt:i4>425</vt:i4>
      </vt:variant>
      <vt:variant>
        <vt:i4>0</vt:i4>
      </vt:variant>
      <vt:variant>
        <vt:i4>5</vt:i4>
      </vt:variant>
      <vt:variant>
        <vt:lpwstr>https://sooners-my.sharepoint.com/personal/rcbensen_ou_edu/Documents/Burgett Lab/Dissertation/Dissertation.docx</vt:lpwstr>
      </vt:variant>
      <vt:variant>
        <vt:lpwstr>_Toc33800344</vt:lpwstr>
      </vt:variant>
      <vt:variant>
        <vt:i4>4980850</vt:i4>
      </vt:variant>
      <vt:variant>
        <vt:i4>419</vt:i4>
      </vt:variant>
      <vt:variant>
        <vt:i4>0</vt:i4>
      </vt:variant>
      <vt:variant>
        <vt:i4>5</vt:i4>
      </vt:variant>
      <vt:variant>
        <vt:lpwstr>https://sooners-my.sharepoint.com/personal/rcbensen_ou_edu/Documents/Burgett Lab/Dissertation/Dissertation.docx</vt:lpwstr>
      </vt:variant>
      <vt:variant>
        <vt:lpwstr>_Toc33800343</vt:lpwstr>
      </vt:variant>
      <vt:variant>
        <vt:i4>5046386</vt:i4>
      </vt:variant>
      <vt:variant>
        <vt:i4>413</vt:i4>
      </vt:variant>
      <vt:variant>
        <vt:i4>0</vt:i4>
      </vt:variant>
      <vt:variant>
        <vt:i4>5</vt:i4>
      </vt:variant>
      <vt:variant>
        <vt:lpwstr>https://sooners-my.sharepoint.com/personal/rcbensen_ou_edu/Documents/Burgett Lab/Dissertation/Dissertation.docx</vt:lpwstr>
      </vt:variant>
      <vt:variant>
        <vt:lpwstr>_Toc33800342</vt:lpwstr>
      </vt:variant>
      <vt:variant>
        <vt:i4>5111922</vt:i4>
      </vt:variant>
      <vt:variant>
        <vt:i4>407</vt:i4>
      </vt:variant>
      <vt:variant>
        <vt:i4>0</vt:i4>
      </vt:variant>
      <vt:variant>
        <vt:i4>5</vt:i4>
      </vt:variant>
      <vt:variant>
        <vt:lpwstr>https://sooners-my.sharepoint.com/personal/rcbensen_ou_edu/Documents/Burgett Lab/Dissertation/Dissertation.docx</vt:lpwstr>
      </vt:variant>
      <vt:variant>
        <vt:lpwstr>_Toc33800341</vt:lpwstr>
      </vt:variant>
      <vt:variant>
        <vt:i4>5177458</vt:i4>
      </vt:variant>
      <vt:variant>
        <vt:i4>401</vt:i4>
      </vt:variant>
      <vt:variant>
        <vt:i4>0</vt:i4>
      </vt:variant>
      <vt:variant>
        <vt:i4>5</vt:i4>
      </vt:variant>
      <vt:variant>
        <vt:lpwstr>https://sooners-my.sharepoint.com/personal/rcbensen_ou_edu/Documents/Burgett Lab/Dissertation/Dissertation.docx</vt:lpwstr>
      </vt:variant>
      <vt:variant>
        <vt:lpwstr>_Toc33800340</vt:lpwstr>
      </vt:variant>
      <vt:variant>
        <vt:i4>4587637</vt:i4>
      </vt:variant>
      <vt:variant>
        <vt:i4>395</vt:i4>
      </vt:variant>
      <vt:variant>
        <vt:i4>0</vt:i4>
      </vt:variant>
      <vt:variant>
        <vt:i4>5</vt:i4>
      </vt:variant>
      <vt:variant>
        <vt:lpwstr>https://sooners-my.sharepoint.com/personal/rcbensen_ou_edu/Documents/Burgett Lab/Dissertation/Dissertation.docx</vt:lpwstr>
      </vt:variant>
      <vt:variant>
        <vt:lpwstr>_Toc33800339</vt:lpwstr>
      </vt:variant>
      <vt:variant>
        <vt:i4>4653173</vt:i4>
      </vt:variant>
      <vt:variant>
        <vt:i4>389</vt:i4>
      </vt:variant>
      <vt:variant>
        <vt:i4>0</vt:i4>
      </vt:variant>
      <vt:variant>
        <vt:i4>5</vt:i4>
      </vt:variant>
      <vt:variant>
        <vt:lpwstr>https://sooners-my.sharepoint.com/personal/rcbensen_ou_edu/Documents/Burgett Lab/Dissertation/Dissertation.docx</vt:lpwstr>
      </vt:variant>
      <vt:variant>
        <vt:lpwstr>_Toc33800338</vt:lpwstr>
      </vt:variant>
      <vt:variant>
        <vt:i4>4718709</vt:i4>
      </vt:variant>
      <vt:variant>
        <vt:i4>383</vt:i4>
      </vt:variant>
      <vt:variant>
        <vt:i4>0</vt:i4>
      </vt:variant>
      <vt:variant>
        <vt:i4>5</vt:i4>
      </vt:variant>
      <vt:variant>
        <vt:lpwstr>https://sooners-my.sharepoint.com/personal/rcbensen_ou_edu/Documents/Burgett Lab/Dissertation/Dissertation.docx</vt:lpwstr>
      </vt:variant>
      <vt:variant>
        <vt:lpwstr>_Toc33800337</vt:lpwstr>
      </vt:variant>
      <vt:variant>
        <vt:i4>4784245</vt:i4>
      </vt:variant>
      <vt:variant>
        <vt:i4>377</vt:i4>
      </vt:variant>
      <vt:variant>
        <vt:i4>0</vt:i4>
      </vt:variant>
      <vt:variant>
        <vt:i4>5</vt:i4>
      </vt:variant>
      <vt:variant>
        <vt:lpwstr>https://sooners-my.sharepoint.com/personal/rcbensen_ou_edu/Documents/Burgett Lab/Dissertation/Dissertation.docx</vt:lpwstr>
      </vt:variant>
      <vt:variant>
        <vt:lpwstr>_Toc33800336</vt:lpwstr>
      </vt:variant>
      <vt:variant>
        <vt:i4>4849781</vt:i4>
      </vt:variant>
      <vt:variant>
        <vt:i4>371</vt:i4>
      </vt:variant>
      <vt:variant>
        <vt:i4>0</vt:i4>
      </vt:variant>
      <vt:variant>
        <vt:i4>5</vt:i4>
      </vt:variant>
      <vt:variant>
        <vt:lpwstr>https://sooners-my.sharepoint.com/personal/rcbensen_ou_edu/Documents/Burgett Lab/Dissertation/Dissertation.docx</vt:lpwstr>
      </vt:variant>
      <vt:variant>
        <vt:lpwstr>_Toc33800335</vt:lpwstr>
      </vt:variant>
      <vt:variant>
        <vt:i4>4915317</vt:i4>
      </vt:variant>
      <vt:variant>
        <vt:i4>365</vt:i4>
      </vt:variant>
      <vt:variant>
        <vt:i4>0</vt:i4>
      </vt:variant>
      <vt:variant>
        <vt:i4>5</vt:i4>
      </vt:variant>
      <vt:variant>
        <vt:lpwstr>https://sooners-my.sharepoint.com/personal/rcbensen_ou_edu/Documents/Burgett Lab/Dissertation/Dissertation.docx</vt:lpwstr>
      </vt:variant>
      <vt:variant>
        <vt:lpwstr>_Toc33800334</vt:lpwstr>
      </vt:variant>
      <vt:variant>
        <vt:i4>4980853</vt:i4>
      </vt:variant>
      <vt:variant>
        <vt:i4>359</vt:i4>
      </vt:variant>
      <vt:variant>
        <vt:i4>0</vt:i4>
      </vt:variant>
      <vt:variant>
        <vt:i4>5</vt:i4>
      </vt:variant>
      <vt:variant>
        <vt:lpwstr>https://sooners-my.sharepoint.com/personal/rcbensen_ou_edu/Documents/Burgett Lab/Dissertation/Dissertation.docx</vt:lpwstr>
      </vt:variant>
      <vt:variant>
        <vt:lpwstr>_Toc33800333</vt:lpwstr>
      </vt:variant>
      <vt:variant>
        <vt:i4>5046389</vt:i4>
      </vt:variant>
      <vt:variant>
        <vt:i4>353</vt:i4>
      </vt:variant>
      <vt:variant>
        <vt:i4>0</vt:i4>
      </vt:variant>
      <vt:variant>
        <vt:i4>5</vt:i4>
      </vt:variant>
      <vt:variant>
        <vt:lpwstr>https://sooners-my.sharepoint.com/personal/rcbensen_ou_edu/Documents/Burgett Lab/Dissertation/Dissertation.docx</vt:lpwstr>
      </vt:variant>
      <vt:variant>
        <vt:lpwstr>_Toc33800332</vt:lpwstr>
      </vt:variant>
      <vt:variant>
        <vt:i4>1638456</vt:i4>
      </vt:variant>
      <vt:variant>
        <vt:i4>344</vt:i4>
      </vt:variant>
      <vt:variant>
        <vt:i4>0</vt:i4>
      </vt:variant>
      <vt:variant>
        <vt:i4>5</vt:i4>
      </vt:variant>
      <vt:variant>
        <vt:lpwstr/>
      </vt:variant>
      <vt:variant>
        <vt:lpwstr>_Toc32506488</vt:lpwstr>
      </vt:variant>
      <vt:variant>
        <vt:i4>1441848</vt:i4>
      </vt:variant>
      <vt:variant>
        <vt:i4>338</vt:i4>
      </vt:variant>
      <vt:variant>
        <vt:i4>0</vt:i4>
      </vt:variant>
      <vt:variant>
        <vt:i4>5</vt:i4>
      </vt:variant>
      <vt:variant>
        <vt:lpwstr/>
      </vt:variant>
      <vt:variant>
        <vt:lpwstr>_Toc32506487</vt:lpwstr>
      </vt:variant>
      <vt:variant>
        <vt:i4>1114164</vt:i4>
      </vt:variant>
      <vt:variant>
        <vt:i4>329</vt:i4>
      </vt:variant>
      <vt:variant>
        <vt:i4>0</vt:i4>
      </vt:variant>
      <vt:variant>
        <vt:i4>5</vt:i4>
      </vt:variant>
      <vt:variant>
        <vt:lpwstr/>
      </vt:variant>
      <vt:variant>
        <vt:lpwstr>_Toc34917695</vt:lpwstr>
      </vt:variant>
      <vt:variant>
        <vt:i4>1048628</vt:i4>
      </vt:variant>
      <vt:variant>
        <vt:i4>323</vt:i4>
      </vt:variant>
      <vt:variant>
        <vt:i4>0</vt:i4>
      </vt:variant>
      <vt:variant>
        <vt:i4>5</vt:i4>
      </vt:variant>
      <vt:variant>
        <vt:lpwstr/>
      </vt:variant>
      <vt:variant>
        <vt:lpwstr>_Toc34917694</vt:lpwstr>
      </vt:variant>
      <vt:variant>
        <vt:i4>1507380</vt:i4>
      </vt:variant>
      <vt:variant>
        <vt:i4>317</vt:i4>
      </vt:variant>
      <vt:variant>
        <vt:i4>0</vt:i4>
      </vt:variant>
      <vt:variant>
        <vt:i4>5</vt:i4>
      </vt:variant>
      <vt:variant>
        <vt:lpwstr/>
      </vt:variant>
      <vt:variant>
        <vt:lpwstr>_Toc34917693</vt:lpwstr>
      </vt:variant>
      <vt:variant>
        <vt:i4>1441844</vt:i4>
      </vt:variant>
      <vt:variant>
        <vt:i4>311</vt:i4>
      </vt:variant>
      <vt:variant>
        <vt:i4>0</vt:i4>
      </vt:variant>
      <vt:variant>
        <vt:i4>5</vt:i4>
      </vt:variant>
      <vt:variant>
        <vt:lpwstr/>
      </vt:variant>
      <vt:variant>
        <vt:lpwstr>_Toc34917692</vt:lpwstr>
      </vt:variant>
      <vt:variant>
        <vt:i4>1376308</vt:i4>
      </vt:variant>
      <vt:variant>
        <vt:i4>305</vt:i4>
      </vt:variant>
      <vt:variant>
        <vt:i4>0</vt:i4>
      </vt:variant>
      <vt:variant>
        <vt:i4>5</vt:i4>
      </vt:variant>
      <vt:variant>
        <vt:lpwstr/>
      </vt:variant>
      <vt:variant>
        <vt:lpwstr>_Toc34917691</vt:lpwstr>
      </vt:variant>
      <vt:variant>
        <vt:i4>1310772</vt:i4>
      </vt:variant>
      <vt:variant>
        <vt:i4>299</vt:i4>
      </vt:variant>
      <vt:variant>
        <vt:i4>0</vt:i4>
      </vt:variant>
      <vt:variant>
        <vt:i4>5</vt:i4>
      </vt:variant>
      <vt:variant>
        <vt:lpwstr/>
      </vt:variant>
      <vt:variant>
        <vt:lpwstr>_Toc34917690</vt:lpwstr>
      </vt:variant>
      <vt:variant>
        <vt:i4>1900597</vt:i4>
      </vt:variant>
      <vt:variant>
        <vt:i4>293</vt:i4>
      </vt:variant>
      <vt:variant>
        <vt:i4>0</vt:i4>
      </vt:variant>
      <vt:variant>
        <vt:i4>5</vt:i4>
      </vt:variant>
      <vt:variant>
        <vt:lpwstr/>
      </vt:variant>
      <vt:variant>
        <vt:lpwstr>_Toc34917689</vt:lpwstr>
      </vt:variant>
      <vt:variant>
        <vt:i4>1835061</vt:i4>
      </vt:variant>
      <vt:variant>
        <vt:i4>287</vt:i4>
      </vt:variant>
      <vt:variant>
        <vt:i4>0</vt:i4>
      </vt:variant>
      <vt:variant>
        <vt:i4>5</vt:i4>
      </vt:variant>
      <vt:variant>
        <vt:lpwstr/>
      </vt:variant>
      <vt:variant>
        <vt:lpwstr>_Toc34917688</vt:lpwstr>
      </vt:variant>
      <vt:variant>
        <vt:i4>1245237</vt:i4>
      </vt:variant>
      <vt:variant>
        <vt:i4>281</vt:i4>
      </vt:variant>
      <vt:variant>
        <vt:i4>0</vt:i4>
      </vt:variant>
      <vt:variant>
        <vt:i4>5</vt:i4>
      </vt:variant>
      <vt:variant>
        <vt:lpwstr/>
      </vt:variant>
      <vt:variant>
        <vt:lpwstr>_Toc34917687</vt:lpwstr>
      </vt:variant>
      <vt:variant>
        <vt:i4>1179701</vt:i4>
      </vt:variant>
      <vt:variant>
        <vt:i4>275</vt:i4>
      </vt:variant>
      <vt:variant>
        <vt:i4>0</vt:i4>
      </vt:variant>
      <vt:variant>
        <vt:i4>5</vt:i4>
      </vt:variant>
      <vt:variant>
        <vt:lpwstr/>
      </vt:variant>
      <vt:variant>
        <vt:lpwstr>_Toc34917686</vt:lpwstr>
      </vt:variant>
      <vt:variant>
        <vt:i4>1114165</vt:i4>
      </vt:variant>
      <vt:variant>
        <vt:i4>269</vt:i4>
      </vt:variant>
      <vt:variant>
        <vt:i4>0</vt:i4>
      </vt:variant>
      <vt:variant>
        <vt:i4>5</vt:i4>
      </vt:variant>
      <vt:variant>
        <vt:lpwstr/>
      </vt:variant>
      <vt:variant>
        <vt:lpwstr>_Toc34917685</vt:lpwstr>
      </vt:variant>
      <vt:variant>
        <vt:i4>1048629</vt:i4>
      </vt:variant>
      <vt:variant>
        <vt:i4>263</vt:i4>
      </vt:variant>
      <vt:variant>
        <vt:i4>0</vt:i4>
      </vt:variant>
      <vt:variant>
        <vt:i4>5</vt:i4>
      </vt:variant>
      <vt:variant>
        <vt:lpwstr/>
      </vt:variant>
      <vt:variant>
        <vt:lpwstr>_Toc34917684</vt:lpwstr>
      </vt:variant>
      <vt:variant>
        <vt:i4>1507381</vt:i4>
      </vt:variant>
      <vt:variant>
        <vt:i4>257</vt:i4>
      </vt:variant>
      <vt:variant>
        <vt:i4>0</vt:i4>
      </vt:variant>
      <vt:variant>
        <vt:i4>5</vt:i4>
      </vt:variant>
      <vt:variant>
        <vt:lpwstr/>
      </vt:variant>
      <vt:variant>
        <vt:lpwstr>_Toc34917683</vt:lpwstr>
      </vt:variant>
      <vt:variant>
        <vt:i4>1441845</vt:i4>
      </vt:variant>
      <vt:variant>
        <vt:i4>251</vt:i4>
      </vt:variant>
      <vt:variant>
        <vt:i4>0</vt:i4>
      </vt:variant>
      <vt:variant>
        <vt:i4>5</vt:i4>
      </vt:variant>
      <vt:variant>
        <vt:lpwstr/>
      </vt:variant>
      <vt:variant>
        <vt:lpwstr>_Toc34917682</vt:lpwstr>
      </vt:variant>
      <vt:variant>
        <vt:i4>1376309</vt:i4>
      </vt:variant>
      <vt:variant>
        <vt:i4>245</vt:i4>
      </vt:variant>
      <vt:variant>
        <vt:i4>0</vt:i4>
      </vt:variant>
      <vt:variant>
        <vt:i4>5</vt:i4>
      </vt:variant>
      <vt:variant>
        <vt:lpwstr/>
      </vt:variant>
      <vt:variant>
        <vt:lpwstr>_Toc34917681</vt:lpwstr>
      </vt:variant>
      <vt:variant>
        <vt:i4>1310773</vt:i4>
      </vt:variant>
      <vt:variant>
        <vt:i4>239</vt:i4>
      </vt:variant>
      <vt:variant>
        <vt:i4>0</vt:i4>
      </vt:variant>
      <vt:variant>
        <vt:i4>5</vt:i4>
      </vt:variant>
      <vt:variant>
        <vt:lpwstr/>
      </vt:variant>
      <vt:variant>
        <vt:lpwstr>_Toc34917680</vt:lpwstr>
      </vt:variant>
      <vt:variant>
        <vt:i4>1900602</vt:i4>
      </vt:variant>
      <vt:variant>
        <vt:i4>233</vt:i4>
      </vt:variant>
      <vt:variant>
        <vt:i4>0</vt:i4>
      </vt:variant>
      <vt:variant>
        <vt:i4>5</vt:i4>
      </vt:variant>
      <vt:variant>
        <vt:lpwstr/>
      </vt:variant>
      <vt:variant>
        <vt:lpwstr>_Toc34917679</vt:lpwstr>
      </vt:variant>
      <vt:variant>
        <vt:i4>1835066</vt:i4>
      </vt:variant>
      <vt:variant>
        <vt:i4>227</vt:i4>
      </vt:variant>
      <vt:variant>
        <vt:i4>0</vt:i4>
      </vt:variant>
      <vt:variant>
        <vt:i4>5</vt:i4>
      </vt:variant>
      <vt:variant>
        <vt:lpwstr/>
      </vt:variant>
      <vt:variant>
        <vt:lpwstr>_Toc34917678</vt:lpwstr>
      </vt:variant>
      <vt:variant>
        <vt:i4>1245242</vt:i4>
      </vt:variant>
      <vt:variant>
        <vt:i4>221</vt:i4>
      </vt:variant>
      <vt:variant>
        <vt:i4>0</vt:i4>
      </vt:variant>
      <vt:variant>
        <vt:i4>5</vt:i4>
      </vt:variant>
      <vt:variant>
        <vt:lpwstr/>
      </vt:variant>
      <vt:variant>
        <vt:lpwstr>_Toc34917677</vt:lpwstr>
      </vt:variant>
      <vt:variant>
        <vt:i4>1179706</vt:i4>
      </vt:variant>
      <vt:variant>
        <vt:i4>215</vt:i4>
      </vt:variant>
      <vt:variant>
        <vt:i4>0</vt:i4>
      </vt:variant>
      <vt:variant>
        <vt:i4>5</vt:i4>
      </vt:variant>
      <vt:variant>
        <vt:lpwstr/>
      </vt:variant>
      <vt:variant>
        <vt:lpwstr>_Toc34917676</vt:lpwstr>
      </vt:variant>
      <vt:variant>
        <vt:i4>1114170</vt:i4>
      </vt:variant>
      <vt:variant>
        <vt:i4>209</vt:i4>
      </vt:variant>
      <vt:variant>
        <vt:i4>0</vt:i4>
      </vt:variant>
      <vt:variant>
        <vt:i4>5</vt:i4>
      </vt:variant>
      <vt:variant>
        <vt:lpwstr/>
      </vt:variant>
      <vt:variant>
        <vt:lpwstr>_Toc34917675</vt:lpwstr>
      </vt:variant>
      <vt:variant>
        <vt:i4>1048634</vt:i4>
      </vt:variant>
      <vt:variant>
        <vt:i4>203</vt:i4>
      </vt:variant>
      <vt:variant>
        <vt:i4>0</vt:i4>
      </vt:variant>
      <vt:variant>
        <vt:i4>5</vt:i4>
      </vt:variant>
      <vt:variant>
        <vt:lpwstr/>
      </vt:variant>
      <vt:variant>
        <vt:lpwstr>_Toc34917674</vt:lpwstr>
      </vt:variant>
      <vt:variant>
        <vt:i4>1507386</vt:i4>
      </vt:variant>
      <vt:variant>
        <vt:i4>197</vt:i4>
      </vt:variant>
      <vt:variant>
        <vt:i4>0</vt:i4>
      </vt:variant>
      <vt:variant>
        <vt:i4>5</vt:i4>
      </vt:variant>
      <vt:variant>
        <vt:lpwstr/>
      </vt:variant>
      <vt:variant>
        <vt:lpwstr>_Toc34917673</vt:lpwstr>
      </vt:variant>
      <vt:variant>
        <vt:i4>1441850</vt:i4>
      </vt:variant>
      <vt:variant>
        <vt:i4>191</vt:i4>
      </vt:variant>
      <vt:variant>
        <vt:i4>0</vt:i4>
      </vt:variant>
      <vt:variant>
        <vt:i4>5</vt:i4>
      </vt:variant>
      <vt:variant>
        <vt:lpwstr/>
      </vt:variant>
      <vt:variant>
        <vt:lpwstr>_Toc34917672</vt:lpwstr>
      </vt:variant>
      <vt:variant>
        <vt:i4>1376314</vt:i4>
      </vt:variant>
      <vt:variant>
        <vt:i4>185</vt:i4>
      </vt:variant>
      <vt:variant>
        <vt:i4>0</vt:i4>
      </vt:variant>
      <vt:variant>
        <vt:i4>5</vt:i4>
      </vt:variant>
      <vt:variant>
        <vt:lpwstr/>
      </vt:variant>
      <vt:variant>
        <vt:lpwstr>_Toc34917671</vt:lpwstr>
      </vt:variant>
      <vt:variant>
        <vt:i4>1310778</vt:i4>
      </vt:variant>
      <vt:variant>
        <vt:i4>179</vt:i4>
      </vt:variant>
      <vt:variant>
        <vt:i4>0</vt:i4>
      </vt:variant>
      <vt:variant>
        <vt:i4>5</vt:i4>
      </vt:variant>
      <vt:variant>
        <vt:lpwstr/>
      </vt:variant>
      <vt:variant>
        <vt:lpwstr>_Toc34917670</vt:lpwstr>
      </vt:variant>
      <vt:variant>
        <vt:i4>1900603</vt:i4>
      </vt:variant>
      <vt:variant>
        <vt:i4>173</vt:i4>
      </vt:variant>
      <vt:variant>
        <vt:i4>0</vt:i4>
      </vt:variant>
      <vt:variant>
        <vt:i4>5</vt:i4>
      </vt:variant>
      <vt:variant>
        <vt:lpwstr/>
      </vt:variant>
      <vt:variant>
        <vt:lpwstr>_Toc34917669</vt:lpwstr>
      </vt:variant>
      <vt:variant>
        <vt:i4>1835067</vt:i4>
      </vt:variant>
      <vt:variant>
        <vt:i4>167</vt:i4>
      </vt:variant>
      <vt:variant>
        <vt:i4>0</vt:i4>
      </vt:variant>
      <vt:variant>
        <vt:i4>5</vt:i4>
      </vt:variant>
      <vt:variant>
        <vt:lpwstr/>
      </vt:variant>
      <vt:variant>
        <vt:lpwstr>_Toc34917668</vt:lpwstr>
      </vt:variant>
      <vt:variant>
        <vt:i4>1245243</vt:i4>
      </vt:variant>
      <vt:variant>
        <vt:i4>161</vt:i4>
      </vt:variant>
      <vt:variant>
        <vt:i4>0</vt:i4>
      </vt:variant>
      <vt:variant>
        <vt:i4>5</vt:i4>
      </vt:variant>
      <vt:variant>
        <vt:lpwstr/>
      </vt:variant>
      <vt:variant>
        <vt:lpwstr>_Toc34917667</vt:lpwstr>
      </vt:variant>
      <vt:variant>
        <vt:i4>1179707</vt:i4>
      </vt:variant>
      <vt:variant>
        <vt:i4>155</vt:i4>
      </vt:variant>
      <vt:variant>
        <vt:i4>0</vt:i4>
      </vt:variant>
      <vt:variant>
        <vt:i4>5</vt:i4>
      </vt:variant>
      <vt:variant>
        <vt:lpwstr/>
      </vt:variant>
      <vt:variant>
        <vt:lpwstr>_Toc34917666</vt:lpwstr>
      </vt:variant>
      <vt:variant>
        <vt:i4>1114171</vt:i4>
      </vt:variant>
      <vt:variant>
        <vt:i4>149</vt:i4>
      </vt:variant>
      <vt:variant>
        <vt:i4>0</vt:i4>
      </vt:variant>
      <vt:variant>
        <vt:i4>5</vt:i4>
      </vt:variant>
      <vt:variant>
        <vt:lpwstr/>
      </vt:variant>
      <vt:variant>
        <vt:lpwstr>_Toc34917665</vt:lpwstr>
      </vt:variant>
      <vt:variant>
        <vt:i4>1048635</vt:i4>
      </vt:variant>
      <vt:variant>
        <vt:i4>143</vt:i4>
      </vt:variant>
      <vt:variant>
        <vt:i4>0</vt:i4>
      </vt:variant>
      <vt:variant>
        <vt:i4>5</vt:i4>
      </vt:variant>
      <vt:variant>
        <vt:lpwstr/>
      </vt:variant>
      <vt:variant>
        <vt:lpwstr>_Toc34917664</vt:lpwstr>
      </vt:variant>
      <vt:variant>
        <vt:i4>1507387</vt:i4>
      </vt:variant>
      <vt:variant>
        <vt:i4>137</vt:i4>
      </vt:variant>
      <vt:variant>
        <vt:i4>0</vt:i4>
      </vt:variant>
      <vt:variant>
        <vt:i4>5</vt:i4>
      </vt:variant>
      <vt:variant>
        <vt:lpwstr/>
      </vt:variant>
      <vt:variant>
        <vt:lpwstr>_Toc34917663</vt:lpwstr>
      </vt:variant>
      <vt:variant>
        <vt:i4>1441851</vt:i4>
      </vt:variant>
      <vt:variant>
        <vt:i4>131</vt:i4>
      </vt:variant>
      <vt:variant>
        <vt:i4>0</vt:i4>
      </vt:variant>
      <vt:variant>
        <vt:i4>5</vt:i4>
      </vt:variant>
      <vt:variant>
        <vt:lpwstr/>
      </vt:variant>
      <vt:variant>
        <vt:lpwstr>_Toc34917662</vt:lpwstr>
      </vt:variant>
      <vt:variant>
        <vt:i4>1376315</vt:i4>
      </vt:variant>
      <vt:variant>
        <vt:i4>125</vt:i4>
      </vt:variant>
      <vt:variant>
        <vt:i4>0</vt:i4>
      </vt:variant>
      <vt:variant>
        <vt:i4>5</vt:i4>
      </vt:variant>
      <vt:variant>
        <vt:lpwstr/>
      </vt:variant>
      <vt:variant>
        <vt:lpwstr>_Toc34917661</vt:lpwstr>
      </vt:variant>
      <vt:variant>
        <vt:i4>1310779</vt:i4>
      </vt:variant>
      <vt:variant>
        <vt:i4>119</vt:i4>
      </vt:variant>
      <vt:variant>
        <vt:i4>0</vt:i4>
      </vt:variant>
      <vt:variant>
        <vt:i4>5</vt:i4>
      </vt:variant>
      <vt:variant>
        <vt:lpwstr/>
      </vt:variant>
      <vt:variant>
        <vt:lpwstr>_Toc34917660</vt:lpwstr>
      </vt:variant>
      <vt:variant>
        <vt:i4>1900600</vt:i4>
      </vt:variant>
      <vt:variant>
        <vt:i4>113</vt:i4>
      </vt:variant>
      <vt:variant>
        <vt:i4>0</vt:i4>
      </vt:variant>
      <vt:variant>
        <vt:i4>5</vt:i4>
      </vt:variant>
      <vt:variant>
        <vt:lpwstr/>
      </vt:variant>
      <vt:variant>
        <vt:lpwstr>_Toc34917659</vt:lpwstr>
      </vt:variant>
      <vt:variant>
        <vt:i4>1835064</vt:i4>
      </vt:variant>
      <vt:variant>
        <vt:i4>107</vt:i4>
      </vt:variant>
      <vt:variant>
        <vt:i4>0</vt:i4>
      </vt:variant>
      <vt:variant>
        <vt:i4>5</vt:i4>
      </vt:variant>
      <vt:variant>
        <vt:lpwstr/>
      </vt:variant>
      <vt:variant>
        <vt:lpwstr>_Toc34917658</vt:lpwstr>
      </vt:variant>
      <vt:variant>
        <vt:i4>1245240</vt:i4>
      </vt:variant>
      <vt:variant>
        <vt:i4>101</vt:i4>
      </vt:variant>
      <vt:variant>
        <vt:i4>0</vt:i4>
      </vt:variant>
      <vt:variant>
        <vt:i4>5</vt:i4>
      </vt:variant>
      <vt:variant>
        <vt:lpwstr/>
      </vt:variant>
      <vt:variant>
        <vt:lpwstr>_Toc34917657</vt:lpwstr>
      </vt:variant>
      <vt:variant>
        <vt:i4>1179704</vt:i4>
      </vt:variant>
      <vt:variant>
        <vt:i4>95</vt:i4>
      </vt:variant>
      <vt:variant>
        <vt:i4>0</vt:i4>
      </vt:variant>
      <vt:variant>
        <vt:i4>5</vt:i4>
      </vt:variant>
      <vt:variant>
        <vt:lpwstr/>
      </vt:variant>
      <vt:variant>
        <vt:lpwstr>_Toc34917656</vt:lpwstr>
      </vt:variant>
      <vt:variant>
        <vt:i4>1114168</vt:i4>
      </vt:variant>
      <vt:variant>
        <vt:i4>89</vt:i4>
      </vt:variant>
      <vt:variant>
        <vt:i4>0</vt:i4>
      </vt:variant>
      <vt:variant>
        <vt:i4>5</vt:i4>
      </vt:variant>
      <vt:variant>
        <vt:lpwstr/>
      </vt:variant>
      <vt:variant>
        <vt:lpwstr>_Toc34917655</vt:lpwstr>
      </vt:variant>
      <vt:variant>
        <vt:i4>1048632</vt:i4>
      </vt:variant>
      <vt:variant>
        <vt:i4>83</vt:i4>
      </vt:variant>
      <vt:variant>
        <vt:i4>0</vt:i4>
      </vt:variant>
      <vt:variant>
        <vt:i4>5</vt:i4>
      </vt:variant>
      <vt:variant>
        <vt:lpwstr/>
      </vt:variant>
      <vt:variant>
        <vt:lpwstr>_Toc34917654</vt:lpwstr>
      </vt:variant>
      <vt:variant>
        <vt:i4>1507384</vt:i4>
      </vt:variant>
      <vt:variant>
        <vt:i4>77</vt:i4>
      </vt:variant>
      <vt:variant>
        <vt:i4>0</vt:i4>
      </vt:variant>
      <vt:variant>
        <vt:i4>5</vt:i4>
      </vt:variant>
      <vt:variant>
        <vt:lpwstr/>
      </vt:variant>
      <vt:variant>
        <vt:lpwstr>_Toc34917653</vt:lpwstr>
      </vt:variant>
      <vt:variant>
        <vt:i4>1441848</vt:i4>
      </vt:variant>
      <vt:variant>
        <vt:i4>71</vt:i4>
      </vt:variant>
      <vt:variant>
        <vt:i4>0</vt:i4>
      </vt:variant>
      <vt:variant>
        <vt:i4>5</vt:i4>
      </vt:variant>
      <vt:variant>
        <vt:lpwstr/>
      </vt:variant>
      <vt:variant>
        <vt:lpwstr>_Toc34917652</vt:lpwstr>
      </vt:variant>
      <vt:variant>
        <vt:i4>1376312</vt:i4>
      </vt:variant>
      <vt:variant>
        <vt:i4>65</vt:i4>
      </vt:variant>
      <vt:variant>
        <vt:i4>0</vt:i4>
      </vt:variant>
      <vt:variant>
        <vt:i4>5</vt:i4>
      </vt:variant>
      <vt:variant>
        <vt:lpwstr/>
      </vt:variant>
      <vt:variant>
        <vt:lpwstr>_Toc34917651</vt:lpwstr>
      </vt:variant>
      <vt:variant>
        <vt:i4>1310776</vt:i4>
      </vt:variant>
      <vt:variant>
        <vt:i4>59</vt:i4>
      </vt:variant>
      <vt:variant>
        <vt:i4>0</vt:i4>
      </vt:variant>
      <vt:variant>
        <vt:i4>5</vt:i4>
      </vt:variant>
      <vt:variant>
        <vt:lpwstr/>
      </vt:variant>
      <vt:variant>
        <vt:lpwstr>_Toc34917650</vt:lpwstr>
      </vt:variant>
      <vt:variant>
        <vt:i4>1900601</vt:i4>
      </vt:variant>
      <vt:variant>
        <vt:i4>53</vt:i4>
      </vt:variant>
      <vt:variant>
        <vt:i4>0</vt:i4>
      </vt:variant>
      <vt:variant>
        <vt:i4>5</vt:i4>
      </vt:variant>
      <vt:variant>
        <vt:lpwstr/>
      </vt:variant>
      <vt:variant>
        <vt:lpwstr>_Toc34917649</vt:lpwstr>
      </vt:variant>
      <vt:variant>
        <vt:i4>1835065</vt:i4>
      </vt:variant>
      <vt:variant>
        <vt:i4>47</vt:i4>
      </vt:variant>
      <vt:variant>
        <vt:i4>0</vt:i4>
      </vt:variant>
      <vt:variant>
        <vt:i4>5</vt:i4>
      </vt:variant>
      <vt:variant>
        <vt:lpwstr/>
      </vt:variant>
      <vt:variant>
        <vt:lpwstr>_Toc34917648</vt:lpwstr>
      </vt:variant>
      <vt:variant>
        <vt:i4>1245241</vt:i4>
      </vt:variant>
      <vt:variant>
        <vt:i4>41</vt:i4>
      </vt:variant>
      <vt:variant>
        <vt:i4>0</vt:i4>
      </vt:variant>
      <vt:variant>
        <vt:i4>5</vt:i4>
      </vt:variant>
      <vt:variant>
        <vt:lpwstr/>
      </vt:variant>
      <vt:variant>
        <vt:lpwstr>_Toc34917647</vt:lpwstr>
      </vt:variant>
      <vt:variant>
        <vt:i4>1179705</vt:i4>
      </vt:variant>
      <vt:variant>
        <vt:i4>35</vt:i4>
      </vt:variant>
      <vt:variant>
        <vt:i4>0</vt:i4>
      </vt:variant>
      <vt:variant>
        <vt:i4>5</vt:i4>
      </vt:variant>
      <vt:variant>
        <vt:lpwstr/>
      </vt:variant>
      <vt:variant>
        <vt:lpwstr>_Toc34917646</vt:lpwstr>
      </vt:variant>
      <vt:variant>
        <vt:i4>1114169</vt:i4>
      </vt:variant>
      <vt:variant>
        <vt:i4>29</vt:i4>
      </vt:variant>
      <vt:variant>
        <vt:i4>0</vt:i4>
      </vt:variant>
      <vt:variant>
        <vt:i4>5</vt:i4>
      </vt:variant>
      <vt:variant>
        <vt:lpwstr/>
      </vt:variant>
      <vt:variant>
        <vt:lpwstr>_Toc34917645</vt:lpwstr>
      </vt:variant>
      <vt:variant>
        <vt:i4>1048633</vt:i4>
      </vt:variant>
      <vt:variant>
        <vt:i4>23</vt:i4>
      </vt:variant>
      <vt:variant>
        <vt:i4>0</vt:i4>
      </vt:variant>
      <vt:variant>
        <vt:i4>5</vt:i4>
      </vt:variant>
      <vt:variant>
        <vt:lpwstr/>
      </vt:variant>
      <vt:variant>
        <vt:lpwstr>_Toc34917644</vt:lpwstr>
      </vt:variant>
      <vt:variant>
        <vt:i4>1507385</vt:i4>
      </vt:variant>
      <vt:variant>
        <vt:i4>17</vt:i4>
      </vt:variant>
      <vt:variant>
        <vt:i4>0</vt:i4>
      </vt:variant>
      <vt:variant>
        <vt:i4>5</vt:i4>
      </vt:variant>
      <vt:variant>
        <vt:lpwstr/>
      </vt:variant>
      <vt:variant>
        <vt:lpwstr>_Toc34917643</vt:lpwstr>
      </vt:variant>
      <vt:variant>
        <vt:i4>1441849</vt:i4>
      </vt:variant>
      <vt:variant>
        <vt:i4>11</vt:i4>
      </vt:variant>
      <vt:variant>
        <vt:i4>0</vt:i4>
      </vt:variant>
      <vt:variant>
        <vt:i4>5</vt:i4>
      </vt:variant>
      <vt:variant>
        <vt:lpwstr/>
      </vt:variant>
      <vt:variant>
        <vt:lpwstr>_Toc34917642</vt:lpwstr>
      </vt:variant>
      <vt:variant>
        <vt:i4>1376313</vt:i4>
      </vt:variant>
      <vt:variant>
        <vt:i4>5</vt:i4>
      </vt:variant>
      <vt:variant>
        <vt:i4>0</vt:i4>
      </vt:variant>
      <vt:variant>
        <vt:i4>5</vt:i4>
      </vt:variant>
      <vt:variant>
        <vt:lpwstr/>
      </vt:variant>
      <vt:variant>
        <vt:lpwstr>_Toc34917641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Ryan Bensen</cp:lastModifiedBy>
  <cp:revision>2</cp:revision>
  <cp:lastPrinted>2011-12-05T16:17:00Z</cp:lastPrinted>
  <dcterms:created xsi:type="dcterms:W3CDTF">2020-05-09T03:10:00Z</dcterms:created>
  <dcterms:modified xsi:type="dcterms:W3CDTF">2020-05-09T03:10:00Z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ContentTypeId">
    <vt:lpwstr>0x01010058E843101F82584EBB341BD8077C1E41</vt:lpwstr>
  </property>
  <property fmtid="{D5CDD505-2E9C-101B-9397-08002B2CF9AE}" pid="23" name="Mendeley Document_1">
    <vt:lpwstr>True</vt:lpwstr>
  </property>
  <property fmtid="{D5CDD505-2E9C-101B-9397-08002B2CF9AE}" pid="24" name="Mendeley Unique User Id_1">
    <vt:lpwstr>6b606a09-a6f7-3849-b0ed-a544fb05d69d</vt:lpwstr>
  </property>
  <property fmtid="{D5CDD505-2E9C-101B-9397-08002B2CF9AE}" pid="25" name="Mendeley Citation Style_1">
    <vt:lpwstr>http://www.zotero.org/styles/american-chemical-society</vt:lpwstr>
  </property>
</Properties>
</file>