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C31C610924EB4DD7A9302280CC4B6FAF"/>
        </w:placeholder>
        <w:group/>
      </w:sdtPr>
      <w:sdtEndPr/>
      <w:sdtContent>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r w:rsidRPr="002E2C8C">
            <w:rPr>
              <w:rFonts w:ascii="Times New Roman" w:eastAsia="Times New Roman" w:hAnsi="Times New Roman" w:cs="Times New Roman"/>
              <w:caps/>
              <w:sz w:val="24"/>
              <w:szCs w:val="32"/>
              <w:lang w:bidi="en-US"/>
            </w:rPr>
            <w:t>University of Oklahoma</w:t>
          </w: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r w:rsidRPr="002E2C8C">
            <w:rPr>
              <w:rFonts w:ascii="Times New Roman" w:eastAsia="Times New Roman" w:hAnsi="Times New Roman" w:cs="Times New Roman"/>
              <w:caps/>
              <w:sz w:val="24"/>
              <w:szCs w:val="32"/>
              <w:lang w:bidi="en-US"/>
            </w:rPr>
            <w:t>Graduate College</w:t>
          </w:r>
        </w:p>
      </w:sdtContent>
    </w:sdt>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32"/>
        <w:placeholder>
          <w:docPart w:val="C31C610924EB4DD7A9302280CC4B6FAF"/>
        </w:placeholder>
      </w:sdtPr>
      <w:sdtEndPr/>
      <w:sdtContent>
        <w:p w:rsidR="002E2C8C" w:rsidRPr="002E2C8C" w:rsidRDefault="002E2C8C" w:rsidP="002E2C8C">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SENSITIVITIES OF 1-km Forecasts of tornadic supercells to microphysics parameterizations, assimilated radar data, and Assimilation Techniques</w:t>
          </w:r>
        </w:p>
      </w:sdtContent>
    </w:sdt>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p w:rsidR="002E2C8C" w:rsidRPr="002E2C8C" w:rsidRDefault="00D4287A" w:rsidP="002E2C8C">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17"/>
          <w:lock w:val="contentLocked"/>
          <w:placeholder>
            <w:docPart w:val="C31C610924EB4DD7A9302280CC4B6FAF"/>
          </w:placeholder>
          <w:group/>
        </w:sdtPr>
        <w:sdtEndPr/>
        <w:sdtContent>
          <w:r w:rsidR="002E2C8C" w:rsidRPr="002E2C8C">
            <w:rPr>
              <w:rFonts w:ascii="Times New Roman" w:eastAsia="Times New Roman" w:hAnsi="Times New Roman" w:cs="Times New Roman"/>
              <w:caps/>
              <w:sz w:val="24"/>
              <w:szCs w:val="32"/>
              <w:lang w:bidi="en-US"/>
            </w:rPr>
            <w:t>A</w:t>
          </w:r>
        </w:sdtContent>
      </w:sdt>
      <w:r w:rsidR="002E2C8C" w:rsidRPr="002E2C8C">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11"/>
          <w:placeholder>
            <w:docPart w:val="02C4128CE7764AD3BD2B1E29FE7B46DF"/>
          </w:placeholder>
          <w:dropDownList>
            <w:listItem w:displayText="[Dissertation/Document]" w:value="[Dissertation/Document]"/>
            <w:listItem w:displayText="Dissertation" w:value="Dissertation"/>
            <w:listItem w:displayText="Document" w:value="Document"/>
          </w:dropDownList>
        </w:sdtPr>
        <w:sdtEndPr/>
        <w:sdtContent>
          <w:r w:rsidR="002E2C8C">
            <w:rPr>
              <w:rFonts w:ascii="Times New Roman" w:eastAsia="Times New Roman" w:hAnsi="Times New Roman" w:cs="Times New Roman"/>
              <w:caps/>
              <w:sz w:val="24"/>
              <w:szCs w:val="32"/>
              <w:lang w:bidi="en-US"/>
            </w:rPr>
            <w:t>Dissertation</w:t>
          </w:r>
        </w:sdtContent>
      </w:sdt>
    </w:p>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11707818"/>
        <w:lock w:val="contentLocked"/>
        <w:placeholder>
          <w:docPart w:val="C31C610924EB4DD7A9302280CC4B6FAF"/>
        </w:placeholder>
        <w:group/>
      </w:sdtPr>
      <w:sdtEndPr>
        <w:rPr>
          <w:caps w:val="0"/>
        </w:rPr>
      </w:sdtEndPr>
      <w:sdtContent>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r w:rsidRPr="002E2C8C">
            <w:rPr>
              <w:rFonts w:ascii="Times New Roman" w:eastAsia="Times New Roman" w:hAnsi="Times New Roman" w:cs="Times New Roman"/>
              <w:caps/>
              <w:sz w:val="24"/>
              <w:szCs w:val="32"/>
              <w:lang w:bidi="en-US"/>
            </w:rPr>
            <w:t>submitted to the Graduate Faculty</w:t>
          </w: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r w:rsidRPr="002E2C8C">
            <w:rPr>
              <w:rFonts w:ascii="Times New Roman" w:eastAsia="Times New Roman" w:hAnsi="Times New Roman" w:cs="Times New Roman"/>
              <w:sz w:val="24"/>
              <w:szCs w:val="32"/>
              <w:lang w:bidi="en-US"/>
            </w:rPr>
            <w:t>in partial fulfillment of the requirements for the</w:t>
          </w: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r w:rsidRPr="002E2C8C">
            <w:rPr>
              <w:rFonts w:ascii="Times New Roman" w:eastAsia="Times New Roman" w:hAnsi="Times New Roman" w:cs="Times New Roman"/>
              <w:sz w:val="24"/>
              <w:szCs w:val="32"/>
              <w:lang w:bidi="en-US"/>
            </w:rPr>
            <w:t>Degree of</w:t>
          </w:r>
        </w:p>
      </w:sdtContent>
    </w:sdt>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F1F707B72E8348EC8B1D1DA281B8CA26"/>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2E2C8C" w:rsidRPr="002E2C8C" w:rsidRDefault="002E2C8C" w:rsidP="002E2C8C">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Doctor of Philosophy</w:t>
          </w:r>
        </w:p>
      </w:sdtContent>
    </w:sdt>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r w:rsidRPr="002E2C8C">
        <w:rPr>
          <w:rFonts w:ascii="Times New Roman" w:eastAsia="Times New Roman" w:hAnsi="Times New Roman" w:cs="Times New Roman"/>
          <w:sz w:val="24"/>
          <w:szCs w:val="32"/>
          <w:lang w:bidi="en-US"/>
        </w:rPr>
        <w:t>By</w:t>
      </w:r>
    </w:p>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838D52B4636842F48F8DE1653F618A6E"/>
        </w:placeholder>
      </w:sdtPr>
      <w:sdtEndPr/>
      <w:sdtContent>
        <w:p w:rsidR="002E2C8C" w:rsidRPr="002E2C8C" w:rsidRDefault="002E2C8C" w:rsidP="002E2C8C">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derek ray stratman</w:t>
          </w:r>
        </w:p>
      </w:sdtContent>
    </w:sdt>
    <w:sdt>
      <w:sdtPr>
        <w:rPr>
          <w:rFonts w:ascii="Times New Roman" w:eastAsia="Times New Roman" w:hAnsi="Times New Roman" w:cs="Times New Roman"/>
          <w:sz w:val="24"/>
          <w:szCs w:val="32"/>
          <w:lang w:bidi="en-US"/>
        </w:rPr>
        <w:id w:val="30091838"/>
        <w:lock w:val="contentLocked"/>
        <w:placeholder>
          <w:docPart w:val="C31C610924EB4DD7A9302280CC4B6FAF"/>
        </w:placeholder>
        <w:group/>
      </w:sdtPr>
      <w:sdtEndPr/>
      <w:sdtContent>
        <w:p w:rsidR="002E2C8C" w:rsidRPr="002E2C8C" w:rsidRDefault="002E2C8C" w:rsidP="002E2C8C">
          <w:pPr>
            <w:spacing w:after="0" w:line="240" w:lineRule="auto"/>
            <w:jc w:val="center"/>
            <w:rPr>
              <w:rFonts w:ascii="Times New Roman" w:eastAsia="Times New Roman" w:hAnsi="Times New Roman" w:cs="Times New Roman"/>
              <w:sz w:val="24"/>
              <w:szCs w:val="32"/>
              <w:lang w:bidi="en-US"/>
            </w:rPr>
          </w:pPr>
          <w:r w:rsidRPr="002E2C8C">
            <w:rPr>
              <w:rFonts w:ascii="Times New Roman" w:eastAsia="Times New Roman" w:hAnsi="Times New Roman" w:cs="Times New Roman"/>
              <w:sz w:val="24"/>
              <w:szCs w:val="32"/>
              <w:lang w:bidi="en-US"/>
            </w:rPr>
            <w:t xml:space="preserve"> Norman, Oklahoma</w:t>
          </w:r>
        </w:p>
      </w:sdtContent>
    </w:sdt>
    <w:p w:rsidR="00465855" w:rsidRDefault="00407D81" w:rsidP="00407D81">
      <w:pPr>
        <w:pStyle w:val="NoSpacing"/>
        <w:tabs>
          <w:tab w:val="center" w:pos="4248"/>
          <w:tab w:val="left" w:pos="5736"/>
        </w:tabs>
        <w:jc w:val="left"/>
        <w:rPr>
          <w:rFonts w:eastAsia="Times New Roman" w:cs="Times New Roman"/>
          <w:szCs w:val="24"/>
          <w:lang w:bidi="en-US"/>
        </w:rPr>
      </w:pPr>
      <w:r>
        <w:rPr>
          <w:rFonts w:eastAsia="Times New Roman" w:cs="Times New Roman"/>
          <w:szCs w:val="24"/>
          <w:lang w:bidi="en-US"/>
        </w:rPr>
        <w:tab/>
      </w:r>
      <w:sdt>
        <w:sdtPr>
          <w:rPr>
            <w:rFonts w:eastAsia="Times New Roman" w:cs="Times New Roman"/>
            <w:szCs w:val="24"/>
            <w:lang w:bidi="en-US"/>
          </w:rPr>
          <w:alias w:val="Click to enter the year you are depositing the thesis"/>
          <w:tag w:val="Click to enter the year you are depositing the thesis"/>
          <w:id w:val="30091842"/>
          <w:placeholder>
            <w:docPart w:val="C31C610924EB4DD7A9302280CC4B6FAF"/>
          </w:placeholder>
        </w:sdtPr>
        <w:sdtEndPr/>
        <w:sdtContent>
          <w:r w:rsidR="002E2C8C">
            <w:rPr>
              <w:rFonts w:eastAsia="Times New Roman" w:cs="Times New Roman"/>
              <w:szCs w:val="24"/>
              <w:lang w:bidi="en-US"/>
            </w:rPr>
            <w:t>2016</w:t>
          </w:r>
        </w:sdtContent>
      </w:sdt>
      <w:r>
        <w:rPr>
          <w:rFonts w:eastAsia="Times New Roman" w:cs="Times New Roman"/>
          <w:szCs w:val="24"/>
          <w:lang w:bidi="en-US"/>
        </w:rPr>
        <w:tab/>
      </w:r>
    </w:p>
    <w:p w:rsidR="002D0094" w:rsidRPr="002D0094" w:rsidRDefault="002D0094" w:rsidP="002D0094">
      <w:pPr>
        <w:spacing w:after="0" w:line="240" w:lineRule="auto"/>
        <w:jc w:val="center"/>
        <w:rPr>
          <w:rFonts w:ascii="Times New Roman" w:eastAsia="Times New Roman" w:hAnsi="Times New Roman" w:cs="Times New Roman"/>
          <w:sz w:val="24"/>
          <w:szCs w:val="32"/>
          <w:lang w:bidi="en-US"/>
        </w:rPr>
      </w:pPr>
    </w:p>
    <w:p w:rsidR="002D0094" w:rsidRDefault="002D0094" w:rsidP="002D0094">
      <w:pPr>
        <w:spacing w:after="0" w:line="240" w:lineRule="auto"/>
        <w:jc w:val="center"/>
        <w:rPr>
          <w:rFonts w:ascii="Times New Roman" w:eastAsia="Times New Roman" w:hAnsi="Times New Roman" w:cs="Times New Roman"/>
          <w:sz w:val="24"/>
          <w:szCs w:val="32"/>
          <w:lang w:bidi="en-US"/>
        </w:rPr>
      </w:pPr>
    </w:p>
    <w:p w:rsidR="003762D6" w:rsidRDefault="003762D6" w:rsidP="002D0094">
      <w:pPr>
        <w:spacing w:after="0" w:line="240" w:lineRule="auto"/>
        <w:jc w:val="center"/>
        <w:rPr>
          <w:rFonts w:ascii="Times New Roman" w:eastAsia="Times New Roman" w:hAnsi="Times New Roman" w:cs="Times New Roman"/>
          <w:sz w:val="24"/>
          <w:szCs w:val="32"/>
          <w:lang w:bidi="en-US"/>
        </w:rPr>
      </w:pPr>
    </w:p>
    <w:p w:rsidR="003762D6" w:rsidRDefault="003762D6" w:rsidP="002D0094">
      <w:pPr>
        <w:spacing w:after="0" w:line="240" w:lineRule="auto"/>
        <w:jc w:val="center"/>
        <w:rPr>
          <w:rFonts w:ascii="Times New Roman" w:eastAsia="Times New Roman" w:hAnsi="Times New Roman" w:cs="Times New Roman"/>
          <w:sz w:val="24"/>
          <w:szCs w:val="32"/>
          <w:lang w:bidi="en-US"/>
        </w:rPr>
      </w:pPr>
    </w:p>
    <w:p w:rsidR="003762D6" w:rsidRPr="002D0094" w:rsidRDefault="003762D6" w:rsidP="002D0094">
      <w:pPr>
        <w:spacing w:after="0" w:line="240" w:lineRule="auto"/>
        <w:jc w:val="center"/>
        <w:rPr>
          <w:rFonts w:ascii="Times New Roman" w:eastAsia="Times New Roman" w:hAnsi="Times New Roman" w:cs="Times New Roman"/>
          <w:sz w:val="24"/>
          <w:szCs w:val="32"/>
          <w:lang w:bidi="en-US"/>
        </w:rPr>
      </w:pPr>
    </w:p>
    <w:p w:rsidR="002D0094" w:rsidRPr="002D0094" w:rsidRDefault="003762D6" w:rsidP="002D0094">
      <w:pPr>
        <w:spacing w:after="0" w:line="240" w:lineRule="auto"/>
        <w:jc w:val="center"/>
        <w:rPr>
          <w:rFonts w:ascii="Times New Roman" w:eastAsia="Times New Roman" w:hAnsi="Times New Roman" w:cs="Times New Roman"/>
          <w:sz w:val="24"/>
          <w:szCs w:val="32"/>
          <w:lang w:bidi="en-US"/>
        </w:rPr>
      </w:pPr>
      <w:r w:rsidRPr="003762D6">
        <w:rPr>
          <w:rFonts w:ascii="Times New Roman" w:eastAsia="Times New Roman" w:hAnsi="Times New Roman" w:cs="Times New Roman"/>
          <w:sz w:val="24"/>
          <w:szCs w:val="32"/>
          <w:lang w:bidi="en-US"/>
        </w:rPr>
        <w:t>SENSITIVITIES OF 1-KM FORECASTS OF TORNADIC SUPERCELLS TO MICROPHYSICS PARAMETERIZATIONS, ASSIMILATED RADAR DATA, AND ASSIMILATION TECHNIQUES</w:t>
      </w: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D4287A" w:rsidP="003762D6">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28"/>
          <w:lock w:val="contentLocked"/>
          <w:placeholder>
            <w:docPart w:val="38F77DA315904ADC857F47F0FEFBFD99"/>
          </w:placeholder>
          <w:group/>
        </w:sdtPr>
        <w:sdtEndPr/>
        <w:sdtContent>
          <w:r w:rsidR="002D0094" w:rsidRPr="002D0094">
            <w:rPr>
              <w:rFonts w:ascii="Times New Roman" w:eastAsia="Times New Roman" w:hAnsi="Times New Roman" w:cs="Times New Roman"/>
              <w:caps/>
              <w:sz w:val="24"/>
              <w:szCs w:val="32"/>
              <w:lang w:bidi="en-US"/>
            </w:rPr>
            <w:t>A</w:t>
          </w:r>
        </w:sdtContent>
      </w:sdt>
      <w:r w:rsidR="002D0094" w:rsidRPr="002D0094">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21"/>
          <w:placeholder>
            <w:docPart w:val="5CC6CC5BE7B94B3E88886F68F8526E3D"/>
          </w:placeholder>
          <w:dropDownList>
            <w:listItem w:displayText="[Dissertation/Document]" w:value="[Dissertation/Document]"/>
            <w:listItem w:displayText="Dissertation" w:value="Dissertation"/>
            <w:listItem w:displayText="Document" w:value="Document"/>
          </w:dropDownList>
        </w:sdtPr>
        <w:sdtEndPr/>
        <w:sdtContent>
          <w:r w:rsidR="00F14D65">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11707829"/>
          <w:lock w:val="contentLocked"/>
          <w:placeholder>
            <w:docPart w:val="38F77DA315904ADC857F47F0FEFBFD99"/>
          </w:placeholder>
          <w:group/>
        </w:sdtPr>
        <w:sdtEndPr/>
        <w:sdtContent>
          <w:r w:rsidR="002D0094" w:rsidRPr="002D0094">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34EE9B85891A4CE5A315749B0B7093E3"/>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2D0094" w:rsidRPr="002D0094" w:rsidRDefault="00F14D65" w:rsidP="003762D6">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School of Meteorology</w:t>
          </w:r>
        </w:p>
      </w:sdtContent>
    </w:sdt>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Default="002D0094" w:rsidP="002D0094">
      <w:pPr>
        <w:spacing w:after="0" w:line="240" w:lineRule="auto"/>
        <w:jc w:val="center"/>
        <w:rPr>
          <w:rFonts w:ascii="Times New Roman" w:eastAsia="Times New Roman" w:hAnsi="Times New Roman" w:cs="Times New Roman"/>
          <w:caps/>
          <w:sz w:val="24"/>
          <w:szCs w:val="32"/>
          <w:lang w:bidi="en-US"/>
        </w:rPr>
      </w:pPr>
    </w:p>
    <w:p w:rsidR="00F14D65" w:rsidRDefault="00F14D65" w:rsidP="002D0094">
      <w:pPr>
        <w:spacing w:after="0" w:line="240" w:lineRule="auto"/>
        <w:jc w:val="center"/>
        <w:rPr>
          <w:rFonts w:ascii="Times New Roman" w:eastAsia="Times New Roman" w:hAnsi="Times New Roman" w:cs="Times New Roman"/>
          <w:caps/>
          <w:sz w:val="24"/>
          <w:szCs w:val="32"/>
          <w:lang w:bidi="en-US"/>
        </w:rPr>
      </w:pPr>
    </w:p>
    <w:p w:rsidR="00F14D65" w:rsidRPr="002D0094" w:rsidRDefault="00F14D65"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AE59EC">
      <w:pPr>
        <w:spacing w:after="0" w:line="240" w:lineRule="auto"/>
        <w:jc w:val="center"/>
        <w:rPr>
          <w:rFonts w:ascii="Times New Roman" w:eastAsia="Times New Roman" w:hAnsi="Times New Roman" w:cs="Times New Roman"/>
          <w:caps/>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38F77DA315904ADC857F47F0FEFBFD99"/>
        </w:placeholder>
        <w:group/>
      </w:sdtPr>
      <w:sdtEndPr/>
      <w:sdtContent>
        <w:p w:rsidR="002D0094" w:rsidRPr="002D0094" w:rsidRDefault="002D0094" w:rsidP="002D0094">
          <w:pPr>
            <w:spacing w:after="0" w:line="240" w:lineRule="auto"/>
            <w:jc w:val="center"/>
            <w:rPr>
              <w:rFonts w:ascii="Times New Roman" w:eastAsia="Times New Roman" w:hAnsi="Times New Roman" w:cs="Times New Roman"/>
              <w:caps/>
              <w:sz w:val="24"/>
              <w:szCs w:val="32"/>
              <w:lang w:bidi="en-US"/>
            </w:rPr>
          </w:pPr>
          <w:r w:rsidRPr="002D0094">
            <w:rPr>
              <w:rFonts w:ascii="Times New Roman" w:eastAsia="Times New Roman" w:hAnsi="Times New Roman" w:cs="Times New Roman"/>
              <w:caps/>
              <w:sz w:val="24"/>
              <w:szCs w:val="32"/>
              <w:lang w:bidi="en-US"/>
            </w:rPr>
            <w:t>By</w:t>
          </w:r>
        </w:p>
      </w:sdtContent>
    </w:sdt>
    <w:p w:rsidR="002D0094" w:rsidRDefault="002D0094" w:rsidP="002D0094">
      <w:pPr>
        <w:spacing w:after="0" w:line="240" w:lineRule="auto"/>
        <w:jc w:val="center"/>
        <w:rPr>
          <w:rFonts w:ascii="Times New Roman" w:eastAsia="Times New Roman" w:hAnsi="Times New Roman" w:cs="Times New Roman"/>
          <w:sz w:val="24"/>
          <w:szCs w:val="32"/>
          <w:lang w:bidi="en-US"/>
        </w:rPr>
      </w:pPr>
    </w:p>
    <w:p w:rsidR="003762D6" w:rsidRDefault="003762D6" w:rsidP="002D0094">
      <w:pPr>
        <w:spacing w:after="0" w:line="240" w:lineRule="auto"/>
        <w:jc w:val="center"/>
        <w:rPr>
          <w:rFonts w:ascii="Times New Roman" w:eastAsia="Times New Roman" w:hAnsi="Times New Roman" w:cs="Times New Roman"/>
          <w:sz w:val="24"/>
          <w:szCs w:val="32"/>
          <w:lang w:bidi="en-US"/>
        </w:rPr>
      </w:pPr>
    </w:p>
    <w:p w:rsidR="003762D6" w:rsidRPr="002D0094" w:rsidRDefault="003762D6" w:rsidP="002D0094">
      <w:pPr>
        <w:spacing w:after="0" w:line="240" w:lineRule="auto"/>
        <w:jc w:val="center"/>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center"/>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tab/>
      </w:r>
      <w:r w:rsidRPr="002D0094">
        <w:rPr>
          <w:rFonts w:ascii="Times New Roman" w:eastAsia="Times New Roman" w:hAnsi="Times New Roman" w:cs="Times New Roman"/>
          <w:sz w:val="24"/>
          <w:szCs w:val="32"/>
          <w:lang w:bidi="en-US"/>
        </w:rPr>
        <w:tab/>
      </w:r>
      <w:r w:rsidRPr="002D0094">
        <w:rPr>
          <w:rFonts w:ascii="Times New Roman" w:eastAsia="Times New Roman" w:hAnsi="Times New Roman" w:cs="Times New Roman"/>
          <w:sz w:val="24"/>
          <w:szCs w:val="32"/>
          <w:lang w:bidi="en-US"/>
        </w:rPr>
        <w:tab/>
      </w:r>
      <w:r w:rsidRPr="002D0094">
        <w:rPr>
          <w:rFonts w:ascii="Times New Roman" w:eastAsia="Times New Roman" w:hAnsi="Times New Roman" w:cs="Times New Roman"/>
          <w:sz w:val="24"/>
          <w:szCs w:val="32"/>
          <w:lang w:bidi="en-US"/>
        </w:rPr>
        <w:tab/>
        <w:t>______________________________</w:t>
      </w:r>
    </w:p>
    <w:p w:rsidR="002D0094" w:rsidRPr="002D0094" w:rsidRDefault="00D4287A" w:rsidP="002D009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38F77DA315904ADC857F47F0FEFBFD99"/>
          </w:placeholder>
          <w:group/>
        </w:sdtPr>
        <w:sdtEndPr/>
        <w:sdtContent>
          <w:sdt>
            <w:sdtPr>
              <w:rPr>
                <w:rFonts w:ascii="Times New Roman" w:eastAsia="Times New Roman" w:hAnsi="Times New Roman" w:cs="Times New Roman"/>
                <w:sz w:val="24"/>
                <w:szCs w:val="32"/>
                <w:lang w:bidi="en-US"/>
              </w:rPr>
              <w:id w:val="11707793"/>
              <w:lock w:val="contentLocked"/>
              <w:placeholder>
                <w:docPart w:val="38F77DA315904ADC857F47F0FEFBFD99"/>
              </w:placeholder>
              <w:group/>
            </w:sdtPr>
            <w:sdtEndPr/>
            <w:sdtContent>
              <w:r w:rsidR="002D0094" w:rsidRPr="002D0094">
                <w:rPr>
                  <w:rFonts w:ascii="Times New Roman" w:eastAsia="Times New Roman" w:hAnsi="Times New Roman" w:cs="Times New Roman"/>
                  <w:sz w:val="24"/>
                  <w:szCs w:val="32"/>
                  <w:lang w:bidi="en-US"/>
                </w:rPr>
                <w:t>Dr.</w:t>
              </w:r>
            </w:sdtContent>
          </w:sdt>
        </w:sdtContent>
      </w:sdt>
      <w:r w:rsidR="002D0094" w:rsidRPr="002D009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38F77DA315904ADC857F47F0FEFBFD99"/>
          </w:placeholder>
        </w:sdtPr>
        <w:sdtEndPr/>
        <w:sdtContent>
          <w:r w:rsidR="00F14D65">
            <w:rPr>
              <w:rFonts w:ascii="Times New Roman" w:eastAsia="Times New Roman" w:hAnsi="Times New Roman" w:cs="Times New Roman"/>
              <w:sz w:val="24"/>
              <w:szCs w:val="32"/>
              <w:lang w:bidi="en-US"/>
            </w:rPr>
            <w:t>Ming Xue</w:t>
          </w:r>
        </w:sdtContent>
      </w:sdt>
      <w:r w:rsidR="002D0094" w:rsidRPr="002D0094">
        <w:rPr>
          <w:rFonts w:ascii="Times New Roman" w:eastAsia="Times New Roman" w:hAnsi="Times New Roman" w:cs="Times New Roman"/>
          <w:sz w:val="24"/>
          <w:szCs w:val="32"/>
          <w:lang w:bidi="en-US"/>
        </w:rPr>
        <w:t>, Chair</w:t>
      </w: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t>______________________________</w:t>
      </w:r>
    </w:p>
    <w:p w:rsidR="002D0094" w:rsidRPr="002D0094" w:rsidRDefault="00D4287A" w:rsidP="002D009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7324CCC8A50042BCA13BD7962CEB44F0"/>
          </w:placeholder>
          <w:dropDownList>
            <w:listItem w:displayText="[Prefix]" w:value="[Prefix]"/>
            <w:listItem w:displayText="Dr." w:value="Dr."/>
            <w:listItem w:displayText="Mr." w:value="Mr."/>
            <w:listItem w:displayText="Mrs." w:value="Mrs."/>
            <w:listItem w:displayText="Ms." w:value="Ms."/>
          </w:dropDownList>
        </w:sdtPr>
        <w:sdtEndPr/>
        <w:sdtContent>
          <w:r w:rsidR="00F14D65">
            <w:rPr>
              <w:rFonts w:ascii="Times New Roman" w:eastAsia="Times New Roman" w:hAnsi="Times New Roman" w:cs="Times New Roman"/>
              <w:sz w:val="24"/>
              <w:szCs w:val="32"/>
              <w:lang w:bidi="en-US"/>
            </w:rPr>
            <w:t>Dr.</w:t>
          </w:r>
        </w:sdtContent>
      </w:sdt>
      <w:r w:rsidR="002D0094" w:rsidRPr="002D009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2F0DD19BC5D549ABB4AFF5666DA972D2"/>
          </w:placeholder>
        </w:sdtPr>
        <w:sdtEndPr/>
        <w:sdtContent>
          <w:r w:rsidR="00F14D65">
            <w:rPr>
              <w:rFonts w:ascii="Times New Roman" w:eastAsia="Times New Roman" w:hAnsi="Times New Roman" w:cs="Times New Roman"/>
              <w:sz w:val="24"/>
              <w:szCs w:val="32"/>
              <w:lang w:bidi="en-US"/>
            </w:rPr>
            <w:t>Keith A. Brewster</w:t>
          </w:r>
        </w:sdtContent>
      </w:sdt>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t>______________________________</w:t>
      </w:r>
    </w:p>
    <w:p w:rsidR="002D0094" w:rsidRPr="002D0094" w:rsidRDefault="00D4287A" w:rsidP="002D009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C0B62D6D62B74BD69012663785AA0C59"/>
          </w:placeholder>
          <w:dropDownList>
            <w:listItem w:displayText="[Prefix]" w:value="[Prefix]"/>
            <w:listItem w:displayText="Dr." w:value="Dr."/>
            <w:listItem w:displayText="Mr." w:value="Mr."/>
            <w:listItem w:displayText="Mrs." w:value="Mrs."/>
            <w:listItem w:displayText="Ms." w:value="Ms."/>
          </w:dropDownList>
        </w:sdtPr>
        <w:sdtEndPr/>
        <w:sdtContent>
          <w:r w:rsidR="00F14D65">
            <w:rPr>
              <w:rFonts w:ascii="Times New Roman" w:eastAsia="Times New Roman" w:hAnsi="Times New Roman" w:cs="Times New Roman"/>
              <w:sz w:val="24"/>
              <w:szCs w:val="32"/>
              <w:lang w:bidi="en-US"/>
            </w:rPr>
            <w:t>Dr.</w:t>
          </w:r>
        </w:sdtContent>
      </w:sdt>
      <w:r w:rsidR="002D0094" w:rsidRPr="002D009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512009F9A5EA4BDD8521077494164139"/>
          </w:placeholder>
        </w:sdtPr>
        <w:sdtEndPr/>
        <w:sdtContent>
          <w:r w:rsidR="00F14D65">
            <w:rPr>
              <w:rFonts w:ascii="Times New Roman" w:eastAsia="Times New Roman" w:hAnsi="Times New Roman" w:cs="Times New Roman"/>
              <w:sz w:val="24"/>
              <w:szCs w:val="32"/>
              <w:lang w:bidi="en-US"/>
            </w:rPr>
            <w:t xml:space="preserve">Frederick </w:t>
          </w:r>
          <w:r w:rsidR="00AE59EC">
            <w:rPr>
              <w:rFonts w:ascii="Times New Roman" w:eastAsia="Times New Roman" w:hAnsi="Times New Roman" w:cs="Times New Roman"/>
              <w:sz w:val="24"/>
              <w:szCs w:val="32"/>
              <w:lang w:bidi="en-US"/>
            </w:rPr>
            <w:t xml:space="preserve">H. </w:t>
          </w:r>
          <w:r w:rsidR="00F14D65">
            <w:rPr>
              <w:rFonts w:ascii="Times New Roman" w:eastAsia="Times New Roman" w:hAnsi="Times New Roman" w:cs="Times New Roman"/>
              <w:sz w:val="24"/>
              <w:szCs w:val="32"/>
              <w:lang w:bidi="en-US"/>
            </w:rPr>
            <w:t>Carr</w:t>
          </w:r>
        </w:sdtContent>
      </w:sdt>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t>______________________________</w:t>
      </w:r>
    </w:p>
    <w:p w:rsidR="002D0094" w:rsidRPr="002D0094" w:rsidRDefault="00D4287A" w:rsidP="002D0094">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1073E7E18E074CA8AB3C2B292AC302B0"/>
          </w:placeholder>
          <w:dropDownList>
            <w:listItem w:displayText="[Prefix]" w:value="[Prefix]"/>
            <w:listItem w:displayText="Dr." w:value="Dr."/>
            <w:listItem w:displayText="Mr." w:value="Mr."/>
            <w:listItem w:displayText="Mrs." w:value="Mrs."/>
            <w:listItem w:displayText="Ms." w:value="Ms."/>
          </w:dropDownList>
        </w:sdtPr>
        <w:sdtEndPr/>
        <w:sdtContent>
          <w:r w:rsidR="00F14D65">
            <w:rPr>
              <w:rFonts w:ascii="Times New Roman" w:eastAsia="Times New Roman" w:hAnsi="Times New Roman" w:cs="Times New Roman"/>
              <w:sz w:val="24"/>
              <w:szCs w:val="32"/>
              <w:lang w:bidi="en-US"/>
            </w:rPr>
            <w:t>Dr.</w:t>
          </w:r>
        </w:sdtContent>
      </w:sdt>
      <w:r w:rsidR="002D0094" w:rsidRPr="002D009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347E6765980F46C6B57F64C68A3F8CCF"/>
          </w:placeholder>
        </w:sdtPr>
        <w:sdtEndPr/>
        <w:sdtContent>
          <w:r w:rsidR="00F14D65">
            <w:rPr>
              <w:rFonts w:ascii="Times New Roman" w:eastAsia="Times New Roman" w:hAnsi="Times New Roman" w:cs="Times New Roman"/>
              <w:sz w:val="24"/>
              <w:szCs w:val="32"/>
              <w:lang w:bidi="en-US"/>
            </w:rPr>
            <w:t xml:space="preserve">Michael </w:t>
          </w:r>
          <w:r w:rsidR="00AE59EC">
            <w:rPr>
              <w:rFonts w:ascii="Times New Roman" w:eastAsia="Times New Roman" w:hAnsi="Times New Roman" w:cs="Times New Roman"/>
              <w:sz w:val="24"/>
              <w:szCs w:val="32"/>
              <w:lang w:bidi="en-US"/>
            </w:rPr>
            <w:t xml:space="preserve">B. </w:t>
          </w:r>
          <w:r w:rsidR="00F14D65">
            <w:rPr>
              <w:rFonts w:ascii="Times New Roman" w:eastAsia="Times New Roman" w:hAnsi="Times New Roman" w:cs="Times New Roman"/>
              <w:sz w:val="24"/>
              <w:szCs w:val="32"/>
              <w:lang w:bidi="en-US"/>
            </w:rPr>
            <w:t>Richman</w:t>
          </w:r>
        </w:sdtContent>
      </w:sdt>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p>
    <w:p w:rsidR="002D0094" w:rsidRPr="002D0094" w:rsidRDefault="002D0094" w:rsidP="002D0094">
      <w:pPr>
        <w:spacing w:after="0" w:line="240" w:lineRule="auto"/>
        <w:jc w:val="right"/>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t>______________________________</w:t>
      </w:r>
    </w:p>
    <w:p w:rsidR="002D0094" w:rsidRPr="002D0094" w:rsidRDefault="00D4287A" w:rsidP="003762D6">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1707803"/>
          <w:placeholder>
            <w:docPart w:val="B807A092CE3C4BAD9D96D4444634997F"/>
          </w:placeholder>
          <w:dropDownList>
            <w:listItem w:displayText="[Prefix]" w:value="[Prefix]"/>
            <w:listItem w:displayText="Dr." w:value="Dr."/>
            <w:listItem w:displayText="Mr." w:value="Mr."/>
            <w:listItem w:displayText="Mrs." w:value="Mrs."/>
            <w:listItem w:displayText="Ms." w:value="Ms."/>
          </w:dropDownList>
        </w:sdtPr>
        <w:sdtEndPr/>
        <w:sdtContent>
          <w:r w:rsidR="00F14D65">
            <w:rPr>
              <w:rFonts w:ascii="Times New Roman" w:eastAsia="Times New Roman" w:hAnsi="Times New Roman" w:cs="Times New Roman"/>
              <w:sz w:val="24"/>
              <w:szCs w:val="32"/>
              <w:lang w:bidi="en-US"/>
            </w:rPr>
            <w:t>Dr.</w:t>
          </w:r>
        </w:sdtContent>
      </w:sdt>
      <w:r w:rsidR="002D0094" w:rsidRPr="002D0094">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5th member name"/>
          <w:tag w:val="5th member"/>
          <w:id w:val="11707804"/>
          <w:placeholder>
            <w:docPart w:val="BF4347CE16644B00B0300B99AE117DD7"/>
          </w:placeholder>
        </w:sdtPr>
        <w:sdtEndPr/>
        <w:sdtContent>
          <w:r w:rsidR="00F14D65">
            <w:rPr>
              <w:rFonts w:ascii="Times New Roman" w:eastAsia="Times New Roman" w:hAnsi="Times New Roman" w:cs="Times New Roman"/>
              <w:sz w:val="24"/>
              <w:szCs w:val="32"/>
              <w:lang w:bidi="en-US"/>
            </w:rPr>
            <w:t xml:space="preserve">Christopher </w:t>
          </w:r>
          <w:r w:rsidR="00AE59EC">
            <w:rPr>
              <w:rFonts w:ascii="Times New Roman" w:eastAsia="Times New Roman" w:hAnsi="Times New Roman" w:cs="Times New Roman"/>
              <w:sz w:val="24"/>
              <w:szCs w:val="32"/>
              <w:lang w:bidi="en-US"/>
            </w:rPr>
            <w:t xml:space="preserve">E. </w:t>
          </w:r>
          <w:r w:rsidR="00F14D65">
            <w:rPr>
              <w:rFonts w:ascii="Times New Roman" w:eastAsia="Times New Roman" w:hAnsi="Times New Roman" w:cs="Times New Roman"/>
              <w:sz w:val="24"/>
              <w:szCs w:val="32"/>
              <w:lang w:bidi="en-US"/>
            </w:rPr>
            <w:t>Weaver</w:t>
          </w:r>
        </w:sdtContent>
      </w:sdt>
    </w:p>
    <w:p w:rsidR="002D0094" w:rsidRDefault="002D0094" w:rsidP="002D0094">
      <w:pPr>
        <w:spacing w:after="0" w:line="240" w:lineRule="auto"/>
        <w:jc w:val="center"/>
        <w:rPr>
          <w:rFonts w:ascii="Times New Roman" w:eastAsia="Times New Roman" w:hAnsi="Times New Roman" w:cs="Times New Roman"/>
          <w:sz w:val="24"/>
          <w:szCs w:val="32"/>
          <w:lang w:bidi="en-US"/>
        </w:rPr>
      </w:pPr>
      <w:r w:rsidRPr="002D0094">
        <w:rPr>
          <w:rFonts w:ascii="Times New Roman" w:eastAsia="Times New Roman" w:hAnsi="Times New Roman" w:cs="Times New Roman"/>
          <w:sz w:val="24"/>
          <w:szCs w:val="32"/>
          <w:lang w:bidi="en-US"/>
        </w:rPr>
        <w:br w:type="page"/>
      </w: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8C2AA3" w:rsidP="008C2AA3">
      <w:pPr>
        <w:spacing w:after="0" w:line="240" w:lineRule="auto"/>
        <w:jc w:val="center"/>
        <w:rPr>
          <w:rFonts w:ascii="Times New Roman" w:eastAsia="Times New Roman" w:hAnsi="Times New Roman" w:cs="Times New Roman"/>
          <w:sz w:val="24"/>
          <w:szCs w:val="32"/>
          <w:lang w:bidi="en-US"/>
        </w:rPr>
      </w:pPr>
    </w:p>
    <w:p w:rsidR="008C2AA3" w:rsidRDefault="008C2AA3" w:rsidP="008C2AA3">
      <w:pPr>
        <w:spacing w:after="0" w:line="240" w:lineRule="auto"/>
        <w:jc w:val="center"/>
        <w:rPr>
          <w:rFonts w:ascii="Times New Roman" w:eastAsia="Times New Roman" w:hAnsi="Times New Roman" w:cs="Times New Roman"/>
          <w:sz w:val="24"/>
          <w:szCs w:val="32"/>
          <w:lang w:bidi="en-US"/>
        </w:rPr>
      </w:pPr>
    </w:p>
    <w:p w:rsidR="0022579F" w:rsidRPr="008C2AA3" w:rsidRDefault="0022579F" w:rsidP="008C2AA3">
      <w:pPr>
        <w:spacing w:after="0" w:line="240" w:lineRule="auto"/>
        <w:jc w:val="center"/>
        <w:rPr>
          <w:rFonts w:ascii="Times New Roman" w:eastAsia="Times New Roman" w:hAnsi="Times New Roman" w:cs="Times New Roman"/>
          <w:sz w:val="24"/>
          <w:szCs w:val="32"/>
          <w:lang w:bidi="en-US"/>
        </w:rPr>
      </w:pPr>
    </w:p>
    <w:p w:rsidR="008C2AA3" w:rsidRPr="008C2AA3" w:rsidRDefault="00D4287A" w:rsidP="008C2AA3">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9850E490187C47D78F3FE447553E9DAA"/>
          </w:placeholder>
          <w:group/>
        </w:sdtPr>
        <w:sdtEndPr/>
        <w:sdtContent>
          <w:r w:rsidR="008C2AA3" w:rsidRPr="008C2AA3">
            <w:rPr>
              <w:rFonts w:ascii="Times New Roman" w:eastAsia="Times New Roman" w:hAnsi="Times New Roman" w:cs="Times New Roman"/>
              <w:sz w:val="24"/>
              <w:szCs w:val="32"/>
              <w:lang w:bidi="en-US"/>
            </w:rPr>
            <w:t>© Copyright by</w:t>
          </w:r>
        </w:sdtContent>
      </w:sdt>
      <w:r w:rsidR="008C2AA3" w:rsidRPr="008C2AA3">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9850E490187C47D78F3FE447553E9DAA"/>
          </w:placeholder>
        </w:sdtPr>
        <w:sdtEndPr>
          <w:rPr>
            <w:caps/>
          </w:rPr>
        </w:sdtEndPr>
        <w:sdtContent>
          <w:r w:rsidR="008C2AA3">
            <w:rPr>
              <w:rFonts w:ascii="Times New Roman" w:eastAsia="Times New Roman" w:hAnsi="Times New Roman" w:cs="Times New Roman"/>
              <w:caps/>
              <w:sz w:val="24"/>
              <w:szCs w:val="32"/>
              <w:lang w:bidi="en-US"/>
            </w:rPr>
            <w:t>DEREK RAY STRATMAN</w:t>
          </w:r>
        </w:sdtContent>
      </w:sdt>
      <w:r w:rsidR="008C2AA3" w:rsidRPr="008C2AA3">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9850E490187C47D78F3FE447553E9DAA"/>
          </w:placeholder>
        </w:sdtPr>
        <w:sdtEndPr/>
        <w:sdtContent>
          <w:r w:rsidR="008C2AA3">
            <w:rPr>
              <w:rFonts w:ascii="Times New Roman" w:eastAsia="Times New Roman" w:hAnsi="Times New Roman" w:cs="Times New Roman"/>
              <w:sz w:val="24"/>
              <w:szCs w:val="32"/>
              <w:lang w:bidi="en-US"/>
            </w:rPr>
            <w:t>2016</w:t>
          </w:r>
        </w:sdtContent>
      </w:sdt>
    </w:p>
    <w:p w:rsidR="008C2AA3" w:rsidRPr="0022579F" w:rsidRDefault="0022579F" w:rsidP="0022579F">
      <w:pPr>
        <w:spacing w:after="0" w:line="240" w:lineRule="auto"/>
        <w:jc w:val="center"/>
        <w:rPr>
          <w:rFonts w:ascii="Times New Roman" w:eastAsia="Times New Roman" w:hAnsi="Times New Roman" w:cs="Times New Roman"/>
          <w:sz w:val="24"/>
          <w:szCs w:val="32"/>
          <w:lang w:bidi="en-US"/>
        </w:rPr>
        <w:sectPr w:rsidR="008C2AA3" w:rsidRPr="0022579F" w:rsidSect="000E74A0">
          <w:pgSz w:w="12240" w:h="15840" w:code="1"/>
          <w:pgMar w:top="1440" w:right="1584" w:bottom="1440" w:left="2304" w:header="720" w:footer="720" w:gutter="0"/>
          <w:cols w:space="720"/>
          <w:docGrid w:linePitch="360"/>
        </w:sectPr>
      </w:pPr>
      <w:r>
        <w:rPr>
          <w:rFonts w:ascii="Times New Roman" w:eastAsia="Times New Roman" w:hAnsi="Times New Roman" w:cs="Times New Roman"/>
          <w:sz w:val="24"/>
          <w:szCs w:val="32"/>
          <w:lang w:bidi="en-US"/>
        </w:rPr>
        <w:t>All Rights Reserved.</w:t>
      </w:r>
      <w:r w:rsidR="008C2AA3" w:rsidRPr="008C2AA3">
        <w:rPr>
          <w:rFonts w:ascii="Times New Roman" w:eastAsia="Times New Roman" w:hAnsi="Times New Roman" w:cs="Times New Roman"/>
          <w:sz w:val="24"/>
          <w:szCs w:val="24"/>
          <w:lang w:bidi="en-US"/>
        </w:rPr>
        <w:br w:type="page"/>
      </w:r>
    </w:p>
    <w:p w:rsidR="008C2AA3" w:rsidRPr="00302DBD" w:rsidRDefault="008C2AA3" w:rsidP="00302DBD">
      <w:pPr>
        <w:pStyle w:val="Heading1"/>
      </w:pPr>
      <w:bookmarkStart w:id="1" w:name="_Toc310579464"/>
      <w:bookmarkStart w:id="2" w:name="_Toc315681313"/>
      <w:bookmarkStart w:id="3" w:name="_Toc448742057"/>
      <w:r w:rsidRPr="00302DBD">
        <w:lastRenderedPageBreak/>
        <w:t>Acknowledgements</w:t>
      </w:r>
      <w:bookmarkEnd w:id="1"/>
      <w:bookmarkEnd w:id="2"/>
      <w:bookmarkEnd w:id="3"/>
    </w:p>
    <w:p w:rsidR="007D7A17" w:rsidRDefault="006F4B1F" w:rsidP="006F4B1F">
      <w:pPr>
        <w:pStyle w:val="NoSpacing"/>
        <w:rPr>
          <w:lang w:bidi="en-US"/>
        </w:rPr>
      </w:pPr>
      <w:r>
        <w:rPr>
          <w:lang w:bidi="en-US"/>
        </w:rPr>
        <w:tab/>
        <w:t xml:space="preserve">After five years of dissertation work and eleven total years of undergraduate and graduate school, I have numerous people to thank for helping me get to this point in my career and life. First, I’d like to thank my </w:t>
      </w:r>
      <w:r w:rsidR="00697DDE">
        <w:rPr>
          <w:lang w:bidi="en-US"/>
        </w:rPr>
        <w:t>doctoral committee members, Drs. Ming Xue, Keith Brewster, Fred Carr, Michael Richman, and Chris Weaver, for their constructive criticisms and suggestions, which led to the improvement of my dissertation. I’d especially like to thank my doctoral advisor, Dr. Keith Brewster, for his help and guidance over the past four years as I settled on and completed my dissertation research. I’d like to</w:t>
      </w:r>
      <w:r w:rsidR="007D7A17">
        <w:rPr>
          <w:lang w:bidi="en-US"/>
        </w:rPr>
        <w:t xml:space="preserve"> also</w:t>
      </w:r>
      <w:r w:rsidR="00697DDE">
        <w:rPr>
          <w:lang w:bidi="en-US"/>
        </w:rPr>
        <w:t xml:space="preserve"> thank everyone else who provided feedback on my research during seminars and scientific meetings. </w:t>
      </w:r>
      <w:r w:rsidR="007D7A17">
        <w:rPr>
          <w:lang w:bidi="en-US"/>
        </w:rPr>
        <w:t>This work i</w:t>
      </w:r>
      <w:r w:rsidR="007D7A17" w:rsidRPr="007D7A17">
        <w:rPr>
          <w:lang w:bidi="en-US"/>
        </w:rPr>
        <w:t>s supported by the National Science Foundation via CASA ERC grant EEC 03-13747 and related support provided by the University of Oklahoma (OU). Any opinions, findings, and conclusions or recommendations expressed in this material are those of the authors and do not necessarily reflect the views of the National Science Foundation. Most of the computing for this project was performed at the OU Supercomputing Center for</w:t>
      </w:r>
      <w:r w:rsidR="007D7A17">
        <w:rPr>
          <w:lang w:bidi="en-US"/>
        </w:rPr>
        <w:t xml:space="preserve"> Education &amp; Research (OSCER). </w:t>
      </w:r>
      <w:r w:rsidR="007D7A17" w:rsidRPr="007D7A17">
        <w:rPr>
          <w:lang w:bidi="en-US"/>
        </w:rPr>
        <w:t>This work utilized data from the Oklahoma Mesonet provided by the Oklahoma Climatological Survey.</w:t>
      </w:r>
    </w:p>
    <w:p w:rsidR="008C2AA3" w:rsidRPr="002D0094" w:rsidRDefault="007D7A17" w:rsidP="006F4B1F">
      <w:pPr>
        <w:pStyle w:val="NoSpacing"/>
        <w:rPr>
          <w:szCs w:val="32"/>
          <w:lang w:bidi="en-US"/>
        </w:rPr>
      </w:pPr>
      <w:r>
        <w:rPr>
          <w:lang w:bidi="en-US"/>
        </w:rPr>
        <w:tab/>
      </w:r>
      <w:r w:rsidR="00E274E2">
        <w:rPr>
          <w:lang w:bidi="en-US"/>
        </w:rPr>
        <w:t xml:space="preserve">This work would not have been completed without the support of my family and friends. </w:t>
      </w:r>
      <w:r w:rsidR="007F2FC7">
        <w:rPr>
          <w:lang w:bidi="en-US"/>
        </w:rPr>
        <w:t>I’d like to thank b</w:t>
      </w:r>
      <w:r w:rsidR="00E274E2">
        <w:rPr>
          <w:lang w:bidi="en-US"/>
        </w:rPr>
        <w:t>oth my grade school and college f</w:t>
      </w:r>
      <w:r w:rsidR="007F2FC7">
        <w:rPr>
          <w:lang w:bidi="en-US"/>
        </w:rPr>
        <w:t xml:space="preserve">riends for keeping me sane through the entire graduate school process. I’d like to thank my parents, </w:t>
      </w:r>
      <w:r w:rsidR="00CA12F1">
        <w:rPr>
          <w:lang w:bidi="en-US"/>
        </w:rPr>
        <w:t xml:space="preserve">Gerald </w:t>
      </w:r>
      <w:r w:rsidR="007F2FC7">
        <w:rPr>
          <w:lang w:bidi="en-US"/>
        </w:rPr>
        <w:t xml:space="preserve">and Doris, and my sister, Jenna, for fostering my love of weather since I was quite young and providing unconditional loving support. Finally, I’d like to thank my caring, lovely wife, Stephanie, for the </w:t>
      </w:r>
      <w:r w:rsidR="00A217E6">
        <w:rPr>
          <w:lang w:bidi="en-US"/>
        </w:rPr>
        <w:t xml:space="preserve">endless love and support, even during my stressful times. </w:t>
      </w:r>
      <w:r w:rsidR="008C2AA3" w:rsidRPr="008C2AA3">
        <w:rPr>
          <w:lang w:bidi="en-US"/>
        </w:rPr>
        <w:br w:type="page"/>
      </w:r>
    </w:p>
    <w:p w:rsidR="000904BA" w:rsidRDefault="000904BA" w:rsidP="00302DBD">
      <w:pPr>
        <w:pStyle w:val="Heading1"/>
      </w:pPr>
      <w:bookmarkStart w:id="4" w:name="_Toc448742058"/>
      <w:r>
        <w:lastRenderedPageBreak/>
        <w:t>Table of Contents</w:t>
      </w:r>
      <w:bookmarkEnd w:id="4"/>
    </w:p>
    <w:p w:rsidR="0026700C" w:rsidRPr="00302DBD" w:rsidRDefault="00C536BC" w:rsidP="00302DBD">
      <w:pPr>
        <w:pStyle w:val="TOC1"/>
        <w:spacing w:line="480" w:lineRule="auto"/>
        <w:rPr>
          <w:rFonts w:eastAsiaTheme="minorEastAsia"/>
        </w:rPr>
      </w:pPr>
      <w:r w:rsidRPr="00302DBD">
        <w:fldChar w:fldCharType="begin"/>
      </w:r>
      <w:r w:rsidRPr="00302DBD">
        <w:instrText xml:space="preserve"> TOC \o "1-3" \h \z \u </w:instrText>
      </w:r>
      <w:r w:rsidRPr="00302DBD">
        <w:fldChar w:fldCharType="separate"/>
      </w:r>
      <w:hyperlink w:anchor="_Toc448742057" w:history="1">
        <w:r w:rsidR="0026700C" w:rsidRPr="00302DBD">
          <w:rPr>
            <w:rStyle w:val="Hyperlink"/>
            <w:rFonts w:eastAsia="Times New Roman"/>
            <w:bCs/>
            <w:lang w:bidi="en-US"/>
          </w:rPr>
          <w:t>Acknowledgements</w:t>
        </w:r>
        <w:r w:rsidR="0026700C" w:rsidRPr="00302DBD">
          <w:rPr>
            <w:webHidden/>
          </w:rPr>
          <w:tab/>
        </w:r>
        <w:r w:rsidR="0026700C" w:rsidRPr="00302DBD">
          <w:rPr>
            <w:webHidden/>
          </w:rPr>
          <w:fldChar w:fldCharType="begin"/>
        </w:r>
        <w:r w:rsidR="0026700C" w:rsidRPr="00302DBD">
          <w:rPr>
            <w:webHidden/>
          </w:rPr>
          <w:instrText xml:space="preserve"> PAGEREF _Toc448742057 \h </w:instrText>
        </w:r>
        <w:r w:rsidR="0026700C" w:rsidRPr="00302DBD">
          <w:rPr>
            <w:webHidden/>
          </w:rPr>
        </w:r>
        <w:r w:rsidR="0026700C" w:rsidRPr="00302DBD">
          <w:rPr>
            <w:webHidden/>
          </w:rPr>
          <w:fldChar w:fldCharType="separate"/>
        </w:r>
        <w:r w:rsidR="00F7579D">
          <w:rPr>
            <w:webHidden/>
          </w:rPr>
          <w:t>iv</w:t>
        </w:r>
        <w:r w:rsidR="0026700C" w:rsidRPr="00302DBD">
          <w:rPr>
            <w:webHidden/>
          </w:rPr>
          <w:fldChar w:fldCharType="end"/>
        </w:r>
      </w:hyperlink>
    </w:p>
    <w:p w:rsidR="0026700C" w:rsidRPr="00302DBD" w:rsidRDefault="00D4287A" w:rsidP="00302DBD">
      <w:pPr>
        <w:pStyle w:val="TOC1"/>
        <w:spacing w:line="480" w:lineRule="auto"/>
        <w:rPr>
          <w:rFonts w:eastAsiaTheme="minorEastAsia"/>
        </w:rPr>
      </w:pPr>
      <w:hyperlink w:anchor="_Toc448742058" w:history="1">
        <w:r w:rsidR="0026700C" w:rsidRPr="00302DBD">
          <w:rPr>
            <w:rStyle w:val="Hyperlink"/>
          </w:rPr>
          <w:t>Table of Contents</w:t>
        </w:r>
        <w:r w:rsidR="0026700C" w:rsidRPr="00302DBD">
          <w:rPr>
            <w:webHidden/>
          </w:rPr>
          <w:tab/>
        </w:r>
        <w:r w:rsidR="0026700C" w:rsidRPr="00302DBD">
          <w:rPr>
            <w:webHidden/>
          </w:rPr>
          <w:fldChar w:fldCharType="begin"/>
        </w:r>
        <w:r w:rsidR="0026700C" w:rsidRPr="00302DBD">
          <w:rPr>
            <w:webHidden/>
          </w:rPr>
          <w:instrText xml:space="preserve"> PAGEREF _Toc448742058 \h </w:instrText>
        </w:r>
        <w:r w:rsidR="0026700C" w:rsidRPr="00302DBD">
          <w:rPr>
            <w:webHidden/>
          </w:rPr>
        </w:r>
        <w:r w:rsidR="0026700C" w:rsidRPr="00302DBD">
          <w:rPr>
            <w:webHidden/>
          </w:rPr>
          <w:fldChar w:fldCharType="separate"/>
        </w:r>
        <w:r w:rsidR="00F7579D">
          <w:rPr>
            <w:webHidden/>
          </w:rPr>
          <w:t>v</w:t>
        </w:r>
        <w:r w:rsidR="0026700C" w:rsidRPr="00302DBD">
          <w:rPr>
            <w:webHidden/>
          </w:rPr>
          <w:fldChar w:fldCharType="end"/>
        </w:r>
      </w:hyperlink>
    </w:p>
    <w:p w:rsidR="0026700C" w:rsidRPr="00302DBD" w:rsidRDefault="00D4287A" w:rsidP="00302DBD">
      <w:pPr>
        <w:pStyle w:val="TOC1"/>
        <w:spacing w:line="480" w:lineRule="auto"/>
        <w:rPr>
          <w:rFonts w:eastAsiaTheme="minorEastAsia"/>
        </w:rPr>
      </w:pPr>
      <w:hyperlink w:anchor="_Toc448742059" w:history="1">
        <w:r w:rsidR="0026700C" w:rsidRPr="00302DBD">
          <w:rPr>
            <w:rStyle w:val="Hyperlink"/>
          </w:rPr>
          <w:t>List of Tables</w:t>
        </w:r>
        <w:r w:rsidR="0026700C" w:rsidRPr="00302DBD">
          <w:rPr>
            <w:webHidden/>
          </w:rPr>
          <w:tab/>
        </w:r>
        <w:r w:rsidR="0026700C" w:rsidRPr="00302DBD">
          <w:rPr>
            <w:webHidden/>
          </w:rPr>
          <w:fldChar w:fldCharType="begin"/>
        </w:r>
        <w:r w:rsidR="0026700C" w:rsidRPr="00302DBD">
          <w:rPr>
            <w:webHidden/>
          </w:rPr>
          <w:instrText xml:space="preserve"> PAGEREF _Toc448742059 \h </w:instrText>
        </w:r>
        <w:r w:rsidR="0026700C" w:rsidRPr="00302DBD">
          <w:rPr>
            <w:webHidden/>
          </w:rPr>
        </w:r>
        <w:r w:rsidR="0026700C" w:rsidRPr="00302DBD">
          <w:rPr>
            <w:webHidden/>
          </w:rPr>
          <w:fldChar w:fldCharType="separate"/>
        </w:r>
        <w:r w:rsidR="00F7579D">
          <w:rPr>
            <w:webHidden/>
          </w:rPr>
          <w:t>viii</w:t>
        </w:r>
        <w:r w:rsidR="0026700C" w:rsidRPr="00302DBD">
          <w:rPr>
            <w:webHidden/>
          </w:rPr>
          <w:fldChar w:fldCharType="end"/>
        </w:r>
      </w:hyperlink>
    </w:p>
    <w:p w:rsidR="0026700C" w:rsidRPr="00302DBD" w:rsidRDefault="00D4287A" w:rsidP="00302DBD">
      <w:pPr>
        <w:pStyle w:val="TOC1"/>
        <w:spacing w:line="480" w:lineRule="auto"/>
        <w:rPr>
          <w:rFonts w:eastAsiaTheme="minorEastAsia"/>
        </w:rPr>
      </w:pPr>
      <w:hyperlink w:anchor="_Toc448742060" w:history="1">
        <w:r w:rsidR="0026700C" w:rsidRPr="00302DBD">
          <w:rPr>
            <w:rStyle w:val="Hyperlink"/>
          </w:rPr>
          <w:t>List of Figures</w:t>
        </w:r>
        <w:r w:rsidR="0026700C" w:rsidRPr="00302DBD">
          <w:rPr>
            <w:webHidden/>
          </w:rPr>
          <w:tab/>
        </w:r>
        <w:r w:rsidR="0026700C" w:rsidRPr="00302DBD">
          <w:rPr>
            <w:webHidden/>
          </w:rPr>
          <w:fldChar w:fldCharType="begin"/>
        </w:r>
        <w:r w:rsidR="0026700C" w:rsidRPr="00302DBD">
          <w:rPr>
            <w:webHidden/>
          </w:rPr>
          <w:instrText xml:space="preserve"> PAGEREF _Toc448742060 \h </w:instrText>
        </w:r>
        <w:r w:rsidR="0026700C" w:rsidRPr="00302DBD">
          <w:rPr>
            <w:webHidden/>
          </w:rPr>
        </w:r>
        <w:r w:rsidR="0026700C" w:rsidRPr="00302DBD">
          <w:rPr>
            <w:webHidden/>
          </w:rPr>
          <w:fldChar w:fldCharType="separate"/>
        </w:r>
        <w:r w:rsidR="00F7579D">
          <w:rPr>
            <w:webHidden/>
          </w:rPr>
          <w:t>ix</w:t>
        </w:r>
        <w:r w:rsidR="0026700C" w:rsidRPr="00302DBD">
          <w:rPr>
            <w:webHidden/>
          </w:rPr>
          <w:fldChar w:fldCharType="end"/>
        </w:r>
      </w:hyperlink>
    </w:p>
    <w:p w:rsidR="0026700C" w:rsidRPr="00302DBD" w:rsidRDefault="00D4287A" w:rsidP="00302DBD">
      <w:pPr>
        <w:pStyle w:val="TOC1"/>
        <w:spacing w:line="480" w:lineRule="auto"/>
        <w:rPr>
          <w:rFonts w:eastAsiaTheme="minorEastAsia"/>
        </w:rPr>
      </w:pPr>
      <w:hyperlink w:anchor="_Toc448742061" w:history="1">
        <w:r w:rsidR="0026700C" w:rsidRPr="00302DBD">
          <w:rPr>
            <w:rStyle w:val="Hyperlink"/>
          </w:rPr>
          <w:t>Abstract</w:t>
        </w:r>
        <w:r w:rsidR="0026700C" w:rsidRPr="00302DBD">
          <w:rPr>
            <w:webHidden/>
          </w:rPr>
          <w:tab/>
        </w:r>
        <w:r w:rsidR="0026700C" w:rsidRPr="00302DBD">
          <w:rPr>
            <w:webHidden/>
          </w:rPr>
          <w:fldChar w:fldCharType="begin"/>
        </w:r>
        <w:r w:rsidR="0026700C" w:rsidRPr="00302DBD">
          <w:rPr>
            <w:webHidden/>
          </w:rPr>
          <w:instrText xml:space="preserve"> PAGEREF _Toc448742061 \h </w:instrText>
        </w:r>
        <w:r w:rsidR="0026700C" w:rsidRPr="00302DBD">
          <w:rPr>
            <w:webHidden/>
          </w:rPr>
        </w:r>
        <w:r w:rsidR="0026700C" w:rsidRPr="00302DBD">
          <w:rPr>
            <w:webHidden/>
          </w:rPr>
          <w:fldChar w:fldCharType="separate"/>
        </w:r>
        <w:r w:rsidR="00F7579D">
          <w:rPr>
            <w:webHidden/>
          </w:rPr>
          <w:t>xix</w:t>
        </w:r>
        <w:r w:rsidR="0026700C" w:rsidRPr="00302DBD">
          <w:rPr>
            <w:webHidden/>
          </w:rPr>
          <w:fldChar w:fldCharType="end"/>
        </w:r>
      </w:hyperlink>
    </w:p>
    <w:p w:rsidR="0026700C" w:rsidRPr="00302DBD" w:rsidRDefault="00D4287A" w:rsidP="00302DBD">
      <w:pPr>
        <w:pStyle w:val="TOC1"/>
        <w:spacing w:line="480" w:lineRule="auto"/>
        <w:rPr>
          <w:rFonts w:eastAsiaTheme="minorEastAsia"/>
        </w:rPr>
      </w:pPr>
      <w:hyperlink w:anchor="_Toc448742062" w:history="1">
        <w:r w:rsidR="0026700C" w:rsidRPr="00302DBD">
          <w:rPr>
            <w:rStyle w:val="Hyperlink"/>
          </w:rPr>
          <w:t>Chapter 1: General Introduction</w:t>
        </w:r>
        <w:r w:rsidR="0026700C" w:rsidRPr="00302DBD">
          <w:rPr>
            <w:webHidden/>
          </w:rPr>
          <w:tab/>
        </w:r>
        <w:r w:rsidR="0026700C" w:rsidRPr="00302DBD">
          <w:rPr>
            <w:webHidden/>
          </w:rPr>
          <w:fldChar w:fldCharType="begin"/>
        </w:r>
        <w:r w:rsidR="0026700C" w:rsidRPr="00302DBD">
          <w:rPr>
            <w:webHidden/>
          </w:rPr>
          <w:instrText xml:space="preserve"> PAGEREF _Toc448742062 \h </w:instrText>
        </w:r>
        <w:r w:rsidR="0026700C" w:rsidRPr="00302DBD">
          <w:rPr>
            <w:webHidden/>
          </w:rPr>
        </w:r>
        <w:r w:rsidR="0026700C" w:rsidRPr="00302DBD">
          <w:rPr>
            <w:webHidden/>
          </w:rPr>
          <w:fldChar w:fldCharType="separate"/>
        </w:r>
        <w:r w:rsidR="00F7579D">
          <w:rPr>
            <w:webHidden/>
          </w:rPr>
          <w:t>1</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3" w:history="1">
        <w:r w:rsidR="0026700C" w:rsidRPr="00302DBD">
          <w:rPr>
            <w:rStyle w:val="Hyperlink"/>
            <w:rFonts w:ascii="Times New Roman" w:hAnsi="Times New Roman" w:cs="Times New Roman"/>
            <w:noProof/>
            <w:sz w:val="24"/>
            <w:szCs w:val="24"/>
          </w:rPr>
          <w:t>1.1 Background and Motivation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_Toc448742063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4" w:history="1">
        <w:r w:rsidR="0026700C" w:rsidRPr="00302DBD">
          <w:rPr>
            <w:rStyle w:val="Hyperlink"/>
            <w:rFonts w:ascii="Times New Roman" w:eastAsia="Times New Roman" w:hAnsi="Times New Roman" w:cs="Times New Roman"/>
            <w:noProof/>
            <w:sz w:val="24"/>
            <w:szCs w:val="24"/>
          </w:rPr>
          <w:t>1.2 Current State of the Science of Storm-Scale NWP</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_Toc448742064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5" w:history="1">
        <w:r w:rsidR="0026700C" w:rsidRPr="00302DBD">
          <w:rPr>
            <w:rStyle w:val="Hyperlink"/>
            <w:rFonts w:ascii="Times New Roman" w:eastAsia="Times New Roman" w:hAnsi="Times New Roman" w:cs="Times New Roman"/>
            <w:noProof/>
            <w:sz w:val="24"/>
            <w:szCs w:val="24"/>
          </w:rPr>
          <w:t>1.3 Hypotheses and Contributions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_Toc448742065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6" w:history="1">
        <w:r w:rsidR="0026700C" w:rsidRPr="00302DBD">
          <w:rPr>
            <w:rStyle w:val="Hyperlink"/>
            <w:rFonts w:ascii="Times New Roman" w:eastAsia="Times New Roman" w:hAnsi="Times New Roman" w:cs="Times New Roman"/>
            <w:noProof/>
            <w:sz w:val="24"/>
            <w:szCs w:val="24"/>
          </w:rPr>
          <w:t>1.4 Outline of Dissertation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_Toc448742066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067" w:history="1">
        <w:r w:rsidR="0026700C" w:rsidRPr="00302DBD">
          <w:rPr>
            <w:rStyle w:val="Hyperlink"/>
          </w:rPr>
          <w:t>Chapter 2: Overview of 24 May 2011 Oklahoma Tornado Outbreak</w:t>
        </w:r>
        <w:r w:rsidR="0026700C" w:rsidRPr="00302DBD">
          <w:rPr>
            <w:webHidden/>
          </w:rPr>
          <w:tab/>
        </w:r>
        <w:r w:rsidR="0026700C" w:rsidRPr="00302DBD">
          <w:rPr>
            <w:webHidden/>
          </w:rPr>
          <w:fldChar w:fldCharType="begin"/>
        </w:r>
        <w:r w:rsidR="0026700C" w:rsidRPr="00302DBD">
          <w:rPr>
            <w:webHidden/>
          </w:rPr>
          <w:instrText xml:space="preserve"> PAGEREF _Toc448742067 \h </w:instrText>
        </w:r>
        <w:r w:rsidR="0026700C" w:rsidRPr="00302DBD">
          <w:rPr>
            <w:webHidden/>
          </w:rPr>
        </w:r>
        <w:r w:rsidR="0026700C" w:rsidRPr="00302DBD">
          <w:rPr>
            <w:webHidden/>
          </w:rPr>
          <w:fldChar w:fldCharType="separate"/>
        </w:r>
        <w:r w:rsidR="00F7579D">
          <w:rPr>
            <w:webHidden/>
          </w:rPr>
          <w:t>12</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8" w:history="1">
        <w:r w:rsidR="0026700C" w:rsidRPr="00302DBD">
          <w:rPr>
            <w:rStyle w:val="Hyperlink"/>
            <w:rFonts w:ascii="Times New Roman" w:hAnsi="Times New Roman" w:cs="Times New Roman"/>
            <w:noProof/>
            <w:sz w:val="24"/>
            <w:szCs w:val="24"/>
          </w:rPr>
          <w:t>2.1 Introduction of Event</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_Toc448742068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69" w:history="1">
        <w:r w:rsidR="0026700C" w:rsidRPr="00302DBD">
          <w:rPr>
            <w:rStyle w:val="Hyperlink"/>
            <w:rFonts w:ascii="Times New Roman" w:hAnsi="Times New Roman" w:cs="Times New Roman"/>
            <w:noProof/>
            <w:sz w:val="24"/>
            <w:szCs w:val="24"/>
          </w:rPr>
          <w:t>2.2 Synoptic and Mesoscale Overview</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_Toc448742069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14</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0" w:history="1">
        <w:r w:rsidR="0026700C" w:rsidRPr="00302DBD">
          <w:rPr>
            <w:rStyle w:val="Hyperlink"/>
            <w:rFonts w:ascii="Times New Roman" w:hAnsi="Times New Roman" w:cs="Times New Roman"/>
            <w:noProof/>
            <w:sz w:val="24"/>
            <w:szCs w:val="24"/>
          </w:rPr>
          <w:t>2.3 Tornado Overview</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_Toc448742070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19</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1" w:history="1">
        <w:r w:rsidR="0026700C" w:rsidRPr="00302DBD">
          <w:rPr>
            <w:rStyle w:val="Hyperlink"/>
            <w:rFonts w:ascii="Times New Roman" w:hAnsi="Times New Roman" w:cs="Times New Roman"/>
            <w:noProof/>
            <w:sz w:val="24"/>
            <w:szCs w:val="24"/>
          </w:rPr>
          <w:t>2.4 Event-Related Studies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_Toc448742071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072" w:history="1">
        <w:r w:rsidR="0026700C" w:rsidRPr="00302DBD">
          <w:rPr>
            <w:rStyle w:val="Hyperlink"/>
          </w:rPr>
          <w:t>Chapter 3: Verification Metrics and Methodology</w:t>
        </w:r>
        <w:r w:rsidR="0026700C" w:rsidRPr="00302DBD">
          <w:rPr>
            <w:webHidden/>
          </w:rPr>
          <w:tab/>
        </w:r>
        <w:r w:rsidR="0026700C" w:rsidRPr="00302DBD">
          <w:rPr>
            <w:webHidden/>
          </w:rPr>
          <w:fldChar w:fldCharType="begin"/>
        </w:r>
        <w:r w:rsidR="0026700C" w:rsidRPr="00302DBD">
          <w:rPr>
            <w:webHidden/>
          </w:rPr>
          <w:instrText xml:space="preserve"> PAGEREF _Toc448742072 \h </w:instrText>
        </w:r>
        <w:r w:rsidR="0026700C" w:rsidRPr="00302DBD">
          <w:rPr>
            <w:webHidden/>
          </w:rPr>
        </w:r>
        <w:r w:rsidR="0026700C" w:rsidRPr="00302DBD">
          <w:rPr>
            <w:webHidden/>
          </w:rPr>
          <w:fldChar w:fldCharType="separate"/>
        </w:r>
        <w:r w:rsidR="00F7579D">
          <w:rPr>
            <w:webHidden/>
          </w:rPr>
          <w:t>23</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3" w:history="1">
        <w:r w:rsidR="0026700C" w:rsidRPr="00302DBD">
          <w:rPr>
            <w:rStyle w:val="Hyperlink"/>
            <w:rFonts w:ascii="Times New Roman" w:hAnsi="Times New Roman" w:cs="Times New Roman"/>
            <w:noProof/>
            <w:sz w:val="24"/>
            <w:szCs w:val="24"/>
          </w:rPr>
          <w:t>3.1 Introduction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_Toc448742073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23</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4" w:history="1">
        <w:r w:rsidR="0026700C" w:rsidRPr="00302DBD">
          <w:rPr>
            <w:rStyle w:val="Hyperlink"/>
            <w:rFonts w:ascii="Times New Roman" w:hAnsi="Times New Roman" w:cs="Times New Roman"/>
            <w:noProof/>
            <w:sz w:val="24"/>
            <w:szCs w:val="24"/>
          </w:rPr>
          <w:t>3.2 Types of Verification Metrics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_Toc448742074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24</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5" w:history="1">
        <w:r w:rsidR="0026700C" w:rsidRPr="00302DBD">
          <w:rPr>
            <w:rStyle w:val="Hyperlink"/>
            <w:rFonts w:ascii="Times New Roman" w:hAnsi="Times New Roman" w:cs="Times New Roman"/>
            <w:noProof/>
            <w:sz w:val="24"/>
            <w:szCs w:val="24"/>
          </w:rPr>
          <w:t>3.3 Verification Methodology</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_Toc448742075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28</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076" w:history="1">
        <w:r w:rsidR="0026700C" w:rsidRPr="00302DBD">
          <w:rPr>
            <w:rStyle w:val="Hyperlink"/>
          </w:rPr>
          <w:t>Chapter 4 – Impact of Various Microphysics Schemes</w:t>
        </w:r>
        <w:r w:rsidR="0026700C" w:rsidRPr="00302DBD">
          <w:rPr>
            <w:webHidden/>
          </w:rPr>
          <w:tab/>
        </w:r>
        <w:r w:rsidR="0026700C" w:rsidRPr="00302DBD">
          <w:rPr>
            <w:webHidden/>
          </w:rPr>
          <w:fldChar w:fldCharType="begin"/>
        </w:r>
        <w:r w:rsidR="0026700C" w:rsidRPr="00302DBD">
          <w:rPr>
            <w:webHidden/>
          </w:rPr>
          <w:instrText xml:space="preserve"> PAGEREF _Toc448742076 \h </w:instrText>
        </w:r>
        <w:r w:rsidR="0026700C" w:rsidRPr="00302DBD">
          <w:rPr>
            <w:webHidden/>
          </w:rPr>
        </w:r>
        <w:r w:rsidR="0026700C" w:rsidRPr="00302DBD">
          <w:rPr>
            <w:webHidden/>
          </w:rPr>
          <w:fldChar w:fldCharType="separate"/>
        </w:r>
        <w:r w:rsidR="00F7579D">
          <w:rPr>
            <w:webHidden/>
          </w:rPr>
          <w:t>32</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7" w:history="1">
        <w:r w:rsidR="0026700C" w:rsidRPr="00302DBD">
          <w:rPr>
            <w:rStyle w:val="Hyperlink"/>
            <w:rFonts w:ascii="Times New Roman" w:hAnsi="Times New Roman" w:cs="Times New Roman"/>
            <w:noProof/>
            <w:sz w:val="24"/>
            <w:szCs w:val="24"/>
          </w:rPr>
          <w:t>4.1 Introduction and Background</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_Toc448742077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32</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8" w:history="1">
        <w:r w:rsidR="0026700C" w:rsidRPr="00302DBD">
          <w:rPr>
            <w:rStyle w:val="Hyperlink"/>
            <w:rFonts w:ascii="Times New Roman" w:hAnsi="Times New Roman" w:cs="Times New Roman"/>
            <w:noProof/>
            <w:sz w:val="24"/>
            <w:szCs w:val="24"/>
          </w:rPr>
          <w:t>4.2 Experimental Design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_Toc448742078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34</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79" w:history="1">
        <w:r w:rsidR="0026700C" w:rsidRPr="00302DBD">
          <w:rPr>
            <w:rStyle w:val="Hyperlink"/>
            <w:rFonts w:ascii="Times New Roman" w:hAnsi="Times New Roman" w:cs="Times New Roman"/>
            <w:noProof/>
            <w:sz w:val="24"/>
            <w:szCs w:val="24"/>
          </w:rPr>
          <w:t>4.3 Observation Point-Based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_Toc448742079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38</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0" w:history="1">
        <w:r w:rsidR="0026700C" w:rsidRPr="00302DBD">
          <w:rPr>
            <w:rStyle w:val="Hyperlink"/>
            <w:rFonts w:ascii="Times New Roman" w:hAnsi="Times New Roman" w:cs="Times New Roman"/>
            <w:noProof/>
            <w:sz w:val="24"/>
            <w:szCs w:val="24"/>
          </w:rPr>
          <w:t>4.4 Neighborhood-Based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_Toc448742080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45</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1" w:history="1">
        <w:r w:rsidR="0026700C" w:rsidRPr="00302DBD">
          <w:rPr>
            <w:rStyle w:val="Hyperlink"/>
            <w:rFonts w:ascii="Times New Roman" w:hAnsi="Times New Roman" w:cs="Times New Roman"/>
            <w:noProof/>
            <w:sz w:val="24"/>
            <w:szCs w:val="24"/>
          </w:rPr>
          <w:t>4.5 Object-Based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_Toc448742081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49</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82" w:history="1">
        <w:r w:rsidR="0026700C" w:rsidRPr="00302DBD">
          <w:rPr>
            <w:rStyle w:val="Hyperlink"/>
            <w:rFonts w:ascii="Times New Roman" w:hAnsi="Times New Roman" w:cs="Times New Roman"/>
            <w:noProof/>
            <w:sz w:val="24"/>
            <w:szCs w:val="24"/>
          </w:rPr>
          <w:t>4.5.1 Storm 1</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_Toc448742082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83" w:history="1">
        <w:r w:rsidR="0026700C" w:rsidRPr="00302DBD">
          <w:rPr>
            <w:rStyle w:val="Hyperlink"/>
            <w:rFonts w:ascii="Times New Roman" w:hAnsi="Times New Roman" w:cs="Times New Roman"/>
            <w:noProof/>
            <w:sz w:val="24"/>
            <w:szCs w:val="24"/>
          </w:rPr>
          <w:t>4.5.2 Storm 2</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_Toc448742083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55</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84" w:history="1">
        <w:r w:rsidR="0026700C" w:rsidRPr="00302DBD">
          <w:rPr>
            <w:rStyle w:val="Hyperlink"/>
            <w:rFonts w:ascii="Times New Roman" w:hAnsi="Times New Roman" w:cs="Times New Roman"/>
            <w:noProof/>
            <w:sz w:val="24"/>
            <w:szCs w:val="24"/>
          </w:rPr>
          <w:t>4.5.3 Storm 3</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_Toc448742084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57</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085" w:history="1">
        <w:r w:rsidR="0026700C" w:rsidRPr="00302DBD">
          <w:rPr>
            <w:rStyle w:val="Hyperlink"/>
          </w:rPr>
          <w:t>Chapter 5 – Impact of Assimilating CASA Radar Data</w:t>
        </w:r>
        <w:r w:rsidR="0026700C" w:rsidRPr="00302DBD">
          <w:rPr>
            <w:webHidden/>
          </w:rPr>
          <w:tab/>
        </w:r>
        <w:r w:rsidR="0026700C" w:rsidRPr="00302DBD">
          <w:rPr>
            <w:webHidden/>
          </w:rPr>
          <w:fldChar w:fldCharType="begin"/>
        </w:r>
        <w:r w:rsidR="0026700C" w:rsidRPr="00302DBD">
          <w:rPr>
            <w:webHidden/>
          </w:rPr>
          <w:instrText xml:space="preserve"> PAGEREF _Toc448742085 \h </w:instrText>
        </w:r>
        <w:r w:rsidR="0026700C" w:rsidRPr="00302DBD">
          <w:rPr>
            <w:webHidden/>
          </w:rPr>
        </w:r>
        <w:r w:rsidR="0026700C" w:rsidRPr="00302DBD">
          <w:rPr>
            <w:webHidden/>
          </w:rPr>
          <w:fldChar w:fldCharType="separate"/>
        </w:r>
        <w:r w:rsidR="00F7579D">
          <w:rPr>
            <w:webHidden/>
          </w:rPr>
          <w:t>59</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6" w:history="1">
        <w:r w:rsidR="0026700C" w:rsidRPr="00302DBD">
          <w:rPr>
            <w:rStyle w:val="Hyperlink"/>
            <w:rFonts w:ascii="Times New Roman" w:hAnsi="Times New Roman" w:cs="Times New Roman"/>
            <w:noProof/>
            <w:sz w:val="24"/>
            <w:szCs w:val="24"/>
          </w:rPr>
          <w:t>5.1 Introduction and Background</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_Toc448742086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59</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7" w:history="1">
        <w:r w:rsidR="0026700C" w:rsidRPr="00302DBD">
          <w:rPr>
            <w:rStyle w:val="Hyperlink"/>
            <w:rFonts w:ascii="Times New Roman" w:hAnsi="Times New Roman" w:cs="Times New Roman"/>
            <w:noProof/>
            <w:sz w:val="24"/>
            <w:szCs w:val="24"/>
          </w:rPr>
          <w:t>5.2 Experimental Design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_Toc448742087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8" w:history="1">
        <w:r w:rsidR="0026700C" w:rsidRPr="00302DBD">
          <w:rPr>
            <w:rStyle w:val="Hyperlink"/>
            <w:rFonts w:ascii="Times New Roman" w:hAnsi="Times New Roman" w:cs="Times New Roman"/>
            <w:noProof/>
            <w:sz w:val="24"/>
            <w:szCs w:val="24"/>
          </w:rPr>
          <w:t>5.3 Observation Point-Based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_Toc448742088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62</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89" w:history="1">
        <w:r w:rsidR="0026700C" w:rsidRPr="00302DBD">
          <w:rPr>
            <w:rStyle w:val="Hyperlink"/>
            <w:rFonts w:ascii="Times New Roman" w:hAnsi="Times New Roman" w:cs="Times New Roman"/>
            <w:noProof/>
            <w:sz w:val="24"/>
            <w:szCs w:val="24"/>
          </w:rPr>
          <w:t>5.4 Neighborhood-Based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_Toc448742089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69</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0" w:history="1">
        <w:r w:rsidR="0026700C" w:rsidRPr="00302DBD">
          <w:rPr>
            <w:rStyle w:val="Hyperlink"/>
            <w:rFonts w:ascii="Times New Roman" w:hAnsi="Times New Roman" w:cs="Times New Roman"/>
            <w:noProof/>
            <w:sz w:val="24"/>
            <w:szCs w:val="24"/>
          </w:rPr>
          <w:t>5.5 Object-Based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_Toc448742090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73</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91" w:history="1">
        <w:r w:rsidR="0026700C" w:rsidRPr="00302DBD">
          <w:rPr>
            <w:rStyle w:val="Hyperlink"/>
            <w:rFonts w:ascii="Times New Roman" w:hAnsi="Times New Roman" w:cs="Times New Roman"/>
            <w:noProof/>
            <w:sz w:val="24"/>
            <w:szCs w:val="24"/>
          </w:rPr>
          <w:t>5.5.1 Storm 1</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_Toc448742091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77</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92" w:history="1">
        <w:r w:rsidR="0026700C" w:rsidRPr="00302DBD">
          <w:rPr>
            <w:rStyle w:val="Hyperlink"/>
            <w:rFonts w:ascii="Times New Roman" w:hAnsi="Times New Roman" w:cs="Times New Roman"/>
            <w:noProof/>
            <w:sz w:val="24"/>
            <w:szCs w:val="24"/>
          </w:rPr>
          <w:t>5.5.2 Storm 2</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_Toc448742092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093" w:history="1">
        <w:r w:rsidR="0026700C" w:rsidRPr="00302DBD">
          <w:rPr>
            <w:rStyle w:val="Hyperlink"/>
            <w:rFonts w:ascii="Times New Roman" w:hAnsi="Times New Roman" w:cs="Times New Roman"/>
            <w:noProof/>
            <w:sz w:val="24"/>
            <w:szCs w:val="24"/>
          </w:rPr>
          <w:t>5.5.3 Storm 3</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_Toc448742093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86</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094" w:history="1">
        <w:r w:rsidR="0026700C" w:rsidRPr="00302DBD">
          <w:rPr>
            <w:rStyle w:val="Hyperlink"/>
          </w:rPr>
          <w:t>Chapter 6 – Impact of Other Data Assimilation Techniques</w:t>
        </w:r>
        <w:r w:rsidR="0026700C" w:rsidRPr="00302DBD">
          <w:rPr>
            <w:webHidden/>
          </w:rPr>
          <w:tab/>
        </w:r>
        <w:r w:rsidR="0026700C" w:rsidRPr="00302DBD">
          <w:rPr>
            <w:webHidden/>
          </w:rPr>
          <w:fldChar w:fldCharType="begin"/>
        </w:r>
        <w:r w:rsidR="0026700C" w:rsidRPr="00302DBD">
          <w:rPr>
            <w:webHidden/>
          </w:rPr>
          <w:instrText xml:space="preserve"> PAGEREF _Toc448742094 \h </w:instrText>
        </w:r>
        <w:r w:rsidR="0026700C" w:rsidRPr="00302DBD">
          <w:rPr>
            <w:webHidden/>
          </w:rPr>
        </w:r>
        <w:r w:rsidR="0026700C" w:rsidRPr="00302DBD">
          <w:rPr>
            <w:webHidden/>
          </w:rPr>
          <w:fldChar w:fldCharType="separate"/>
        </w:r>
        <w:r w:rsidR="00F7579D">
          <w:rPr>
            <w:webHidden/>
          </w:rPr>
          <w:t>90</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5" w:history="1">
        <w:r w:rsidR="0026700C" w:rsidRPr="00302DBD">
          <w:rPr>
            <w:rStyle w:val="Hyperlink"/>
            <w:rFonts w:ascii="Times New Roman" w:hAnsi="Times New Roman" w:cs="Times New Roman"/>
            <w:noProof/>
            <w:sz w:val="24"/>
            <w:szCs w:val="24"/>
          </w:rPr>
          <w:t>6.1 Introduction and Background</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_Toc448742095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90</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6" w:history="1">
        <w:r w:rsidR="0026700C" w:rsidRPr="00302DBD">
          <w:rPr>
            <w:rStyle w:val="Hyperlink"/>
            <w:rFonts w:ascii="Times New Roman" w:hAnsi="Times New Roman" w:cs="Times New Roman"/>
            <w:noProof/>
            <w:sz w:val="24"/>
            <w:szCs w:val="24"/>
          </w:rPr>
          <w:t>6.2 Experimental Design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_Toc448742096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92</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7" w:history="1">
        <w:r w:rsidR="0026700C" w:rsidRPr="00302DBD">
          <w:rPr>
            <w:rStyle w:val="Hyperlink"/>
            <w:rFonts w:ascii="Times New Roman" w:hAnsi="Times New Roman" w:cs="Times New Roman"/>
            <w:noProof/>
            <w:sz w:val="24"/>
            <w:szCs w:val="24"/>
          </w:rPr>
          <w:t>6.3 Observation Point-Based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_Toc448742097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94</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8" w:history="1">
        <w:r w:rsidR="0026700C" w:rsidRPr="00302DBD">
          <w:rPr>
            <w:rStyle w:val="Hyperlink"/>
            <w:rFonts w:ascii="Times New Roman" w:hAnsi="Times New Roman" w:cs="Times New Roman"/>
            <w:noProof/>
            <w:sz w:val="24"/>
            <w:szCs w:val="24"/>
          </w:rPr>
          <w:t>6.4 Neighborhood-Based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_Toc448742098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102</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099" w:history="1">
        <w:r w:rsidR="0026700C" w:rsidRPr="00302DBD">
          <w:rPr>
            <w:rStyle w:val="Hyperlink"/>
            <w:rFonts w:ascii="Times New Roman" w:hAnsi="Times New Roman" w:cs="Times New Roman"/>
            <w:noProof/>
            <w:sz w:val="24"/>
            <w:szCs w:val="24"/>
          </w:rPr>
          <w:t>6.5 Object-Based Results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_Toc448742099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106</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100" w:history="1">
        <w:r w:rsidR="0026700C" w:rsidRPr="00302DBD">
          <w:rPr>
            <w:rStyle w:val="Hyperlink"/>
            <w:rFonts w:ascii="Times New Roman" w:hAnsi="Times New Roman" w:cs="Times New Roman"/>
            <w:noProof/>
            <w:sz w:val="24"/>
            <w:szCs w:val="24"/>
          </w:rPr>
          <w:t>6.5.1 Storm 1</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_Toc448742100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101" w:history="1">
        <w:r w:rsidR="0026700C" w:rsidRPr="00302DBD">
          <w:rPr>
            <w:rStyle w:val="Hyperlink"/>
            <w:rFonts w:ascii="Times New Roman" w:hAnsi="Times New Roman" w:cs="Times New Roman"/>
            <w:noProof/>
            <w:sz w:val="24"/>
            <w:szCs w:val="24"/>
          </w:rPr>
          <w:t>6.5.2 Storm 2</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_Toc448742101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116</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3"/>
        <w:tabs>
          <w:tab w:val="right" w:leader="dot" w:pos="8486"/>
        </w:tabs>
        <w:spacing w:line="480" w:lineRule="auto"/>
        <w:rPr>
          <w:rFonts w:ascii="Times New Roman" w:eastAsiaTheme="minorEastAsia" w:hAnsi="Times New Roman" w:cs="Times New Roman"/>
          <w:noProof/>
          <w:sz w:val="24"/>
          <w:szCs w:val="24"/>
        </w:rPr>
      </w:pPr>
      <w:hyperlink w:anchor="_Toc448742102" w:history="1">
        <w:r w:rsidR="0026700C" w:rsidRPr="00302DBD">
          <w:rPr>
            <w:rStyle w:val="Hyperlink"/>
            <w:rFonts w:ascii="Times New Roman" w:hAnsi="Times New Roman" w:cs="Times New Roman"/>
            <w:noProof/>
            <w:sz w:val="24"/>
            <w:szCs w:val="24"/>
          </w:rPr>
          <w:t>6.5.3 Storm 3</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_Toc448742102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1"/>
        <w:spacing w:line="480" w:lineRule="auto"/>
        <w:rPr>
          <w:rFonts w:eastAsiaTheme="minorEastAsia"/>
        </w:rPr>
      </w:pPr>
      <w:hyperlink w:anchor="_Toc448742103" w:history="1">
        <w:r w:rsidR="0026700C" w:rsidRPr="00302DBD">
          <w:rPr>
            <w:rStyle w:val="Hyperlink"/>
          </w:rPr>
          <w:t>Chapter 7 – Summary and Discussion</w:t>
        </w:r>
        <w:r w:rsidR="0026700C" w:rsidRPr="00302DBD">
          <w:rPr>
            <w:webHidden/>
          </w:rPr>
          <w:tab/>
        </w:r>
        <w:r w:rsidR="0026700C" w:rsidRPr="00302DBD">
          <w:rPr>
            <w:webHidden/>
          </w:rPr>
          <w:fldChar w:fldCharType="begin"/>
        </w:r>
        <w:r w:rsidR="0026700C" w:rsidRPr="00302DBD">
          <w:rPr>
            <w:webHidden/>
          </w:rPr>
          <w:instrText xml:space="preserve"> PAGEREF _Toc448742103 \h </w:instrText>
        </w:r>
        <w:r w:rsidR="0026700C" w:rsidRPr="00302DBD">
          <w:rPr>
            <w:webHidden/>
          </w:rPr>
        </w:r>
        <w:r w:rsidR="0026700C" w:rsidRPr="00302DBD">
          <w:rPr>
            <w:webHidden/>
          </w:rPr>
          <w:fldChar w:fldCharType="separate"/>
        </w:r>
        <w:r w:rsidR="00F7579D">
          <w:rPr>
            <w:webHidden/>
          </w:rPr>
          <w:t>126</w:t>
        </w:r>
        <w:r w:rsidR="0026700C" w:rsidRPr="00302DBD">
          <w:rPr>
            <w:webHidden/>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104" w:history="1">
        <w:r w:rsidR="0026700C" w:rsidRPr="00302DBD">
          <w:rPr>
            <w:rStyle w:val="Hyperlink"/>
            <w:rFonts w:ascii="Times New Roman" w:hAnsi="Times New Roman" w:cs="Times New Roman"/>
            <w:noProof/>
            <w:sz w:val="24"/>
            <w:szCs w:val="24"/>
          </w:rPr>
          <w:t>7.1 General Summary of Dissertation</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_Toc448742104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126</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105" w:history="1">
        <w:r w:rsidR="0026700C" w:rsidRPr="00302DBD">
          <w:rPr>
            <w:rStyle w:val="Hyperlink"/>
            <w:rFonts w:ascii="Times New Roman" w:hAnsi="Times New Roman" w:cs="Times New Roman"/>
            <w:noProof/>
            <w:sz w:val="24"/>
            <w:szCs w:val="24"/>
          </w:rPr>
          <w:t>7.2 Summary of Microphysics Schemes Sensitivities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_Toc448742105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128</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106" w:history="1">
        <w:r w:rsidR="0026700C" w:rsidRPr="00302DBD">
          <w:rPr>
            <w:rStyle w:val="Hyperlink"/>
            <w:rFonts w:ascii="Times New Roman" w:hAnsi="Times New Roman" w:cs="Times New Roman"/>
            <w:noProof/>
            <w:sz w:val="24"/>
            <w:szCs w:val="24"/>
          </w:rPr>
          <w:t>7.3 Summary of Data Assimilation Sensitivities</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_Toc448742106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131</w:t>
        </w:r>
        <w:r w:rsidR="0026700C" w:rsidRPr="00302DBD">
          <w:rPr>
            <w:rFonts w:ascii="Times New Roman" w:hAnsi="Times New Roman" w:cs="Times New Roman"/>
            <w:noProof/>
            <w:webHidden/>
            <w:sz w:val="24"/>
            <w:szCs w:val="24"/>
          </w:rPr>
          <w:fldChar w:fldCharType="end"/>
        </w:r>
      </w:hyperlink>
    </w:p>
    <w:p w:rsidR="0026700C" w:rsidRPr="00302DBD" w:rsidRDefault="00D4287A" w:rsidP="00302DBD">
      <w:pPr>
        <w:pStyle w:val="TOC2"/>
        <w:tabs>
          <w:tab w:val="right" w:leader="dot" w:pos="8486"/>
        </w:tabs>
        <w:spacing w:line="480" w:lineRule="auto"/>
        <w:rPr>
          <w:rFonts w:ascii="Times New Roman" w:eastAsiaTheme="minorEastAsia" w:hAnsi="Times New Roman" w:cs="Times New Roman"/>
          <w:noProof/>
          <w:sz w:val="24"/>
          <w:szCs w:val="24"/>
        </w:rPr>
      </w:pPr>
      <w:hyperlink w:anchor="_Toc448742107" w:history="1">
        <w:r w:rsidR="0026700C" w:rsidRPr="00302DBD">
          <w:rPr>
            <w:rStyle w:val="Hyperlink"/>
            <w:rFonts w:ascii="Times New Roman" w:hAnsi="Times New Roman" w:cs="Times New Roman"/>
            <w:noProof/>
            <w:sz w:val="24"/>
            <w:szCs w:val="24"/>
          </w:rPr>
          <w:t>7.4 Discussion and Future Work</w:t>
        </w:r>
        <w:r w:rsidR="0026700C" w:rsidRPr="00302DBD">
          <w:rPr>
            <w:rFonts w:ascii="Times New Roman" w:hAnsi="Times New Roman" w:cs="Times New Roman"/>
            <w:noProof/>
            <w:webHidden/>
            <w:sz w:val="24"/>
            <w:szCs w:val="24"/>
          </w:rPr>
          <w:tab/>
        </w:r>
        <w:r w:rsidR="0026700C" w:rsidRPr="00302DBD">
          <w:rPr>
            <w:rFonts w:ascii="Times New Roman" w:hAnsi="Times New Roman" w:cs="Times New Roman"/>
            <w:noProof/>
            <w:webHidden/>
            <w:sz w:val="24"/>
            <w:szCs w:val="24"/>
          </w:rPr>
          <w:fldChar w:fldCharType="begin"/>
        </w:r>
        <w:r w:rsidR="0026700C" w:rsidRPr="00302DBD">
          <w:rPr>
            <w:rFonts w:ascii="Times New Roman" w:hAnsi="Times New Roman" w:cs="Times New Roman"/>
            <w:noProof/>
            <w:webHidden/>
            <w:sz w:val="24"/>
            <w:szCs w:val="24"/>
          </w:rPr>
          <w:instrText xml:space="preserve"> PAGEREF _Toc448742107 \h </w:instrText>
        </w:r>
        <w:r w:rsidR="0026700C" w:rsidRPr="00302DBD">
          <w:rPr>
            <w:rFonts w:ascii="Times New Roman" w:hAnsi="Times New Roman" w:cs="Times New Roman"/>
            <w:noProof/>
            <w:webHidden/>
            <w:sz w:val="24"/>
            <w:szCs w:val="24"/>
          </w:rPr>
        </w:r>
        <w:r w:rsidR="0026700C" w:rsidRPr="00302DBD">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136</w:t>
        </w:r>
        <w:r w:rsidR="0026700C" w:rsidRPr="00302DBD">
          <w:rPr>
            <w:rFonts w:ascii="Times New Roman" w:hAnsi="Times New Roman" w:cs="Times New Roman"/>
            <w:noProof/>
            <w:webHidden/>
            <w:sz w:val="24"/>
            <w:szCs w:val="24"/>
          </w:rPr>
          <w:fldChar w:fldCharType="end"/>
        </w:r>
      </w:hyperlink>
    </w:p>
    <w:p w:rsidR="0026700C" w:rsidRDefault="00D4287A" w:rsidP="00302DBD">
      <w:pPr>
        <w:pStyle w:val="TOC1"/>
        <w:spacing w:line="480" w:lineRule="auto"/>
        <w:rPr>
          <w:rStyle w:val="Hyperlink"/>
        </w:rPr>
      </w:pPr>
      <w:hyperlink w:anchor="_Toc448742108" w:history="1">
        <w:r w:rsidR="0026700C" w:rsidRPr="00302DBD">
          <w:rPr>
            <w:rStyle w:val="Hyperlink"/>
          </w:rPr>
          <w:t>References</w:t>
        </w:r>
        <w:r w:rsidR="0026700C" w:rsidRPr="00302DBD">
          <w:rPr>
            <w:webHidden/>
          </w:rPr>
          <w:tab/>
        </w:r>
        <w:r w:rsidR="0026700C" w:rsidRPr="00302DBD">
          <w:rPr>
            <w:webHidden/>
          </w:rPr>
          <w:fldChar w:fldCharType="begin"/>
        </w:r>
        <w:r w:rsidR="0026700C" w:rsidRPr="00302DBD">
          <w:rPr>
            <w:webHidden/>
          </w:rPr>
          <w:instrText xml:space="preserve"> PAGEREF _Toc448742108 \h </w:instrText>
        </w:r>
        <w:r w:rsidR="0026700C" w:rsidRPr="00302DBD">
          <w:rPr>
            <w:webHidden/>
          </w:rPr>
        </w:r>
        <w:r w:rsidR="0026700C" w:rsidRPr="00302DBD">
          <w:rPr>
            <w:webHidden/>
          </w:rPr>
          <w:fldChar w:fldCharType="separate"/>
        </w:r>
        <w:r w:rsidR="00F7579D">
          <w:rPr>
            <w:webHidden/>
          </w:rPr>
          <w:t>141</w:t>
        </w:r>
        <w:r w:rsidR="0026700C" w:rsidRPr="00302DBD">
          <w:rPr>
            <w:webHidden/>
          </w:rPr>
          <w:fldChar w:fldCharType="end"/>
        </w:r>
      </w:hyperlink>
    </w:p>
    <w:p w:rsidR="00302DBD" w:rsidRPr="00302DBD" w:rsidRDefault="00302DBD" w:rsidP="00302DBD">
      <w:pPr>
        <w:rPr>
          <w:noProof/>
        </w:rPr>
      </w:pPr>
      <w:r>
        <w:rPr>
          <w:noProof/>
        </w:rPr>
        <w:br w:type="page"/>
      </w:r>
    </w:p>
    <w:p w:rsidR="003662DD" w:rsidRPr="00302DBD" w:rsidRDefault="00C536BC" w:rsidP="00956ED1">
      <w:pPr>
        <w:pStyle w:val="Heading1"/>
      </w:pPr>
      <w:r w:rsidRPr="00302DBD">
        <w:rPr>
          <w:rFonts w:cs="Times New Roman"/>
          <w:szCs w:val="24"/>
        </w:rPr>
        <w:lastRenderedPageBreak/>
        <w:fldChar w:fldCharType="end"/>
      </w:r>
      <w:bookmarkStart w:id="5" w:name="_Toc448742059"/>
      <w:r w:rsidR="003662DD" w:rsidRPr="00302DBD">
        <w:t>List of Tables</w:t>
      </w:r>
      <w:bookmarkEnd w:id="5"/>
    </w:p>
    <w:p w:rsidR="0026700C" w:rsidRPr="0026700C" w:rsidRDefault="0026700C" w:rsidP="00294865">
      <w:pPr>
        <w:pStyle w:val="TableofFigures"/>
        <w:tabs>
          <w:tab w:val="right" w:leader="dot" w:pos="8486"/>
        </w:tabs>
        <w:spacing w:line="480" w:lineRule="auto"/>
        <w:jc w:val="both"/>
        <w:rPr>
          <w:rFonts w:ascii="Times New Roman" w:eastAsiaTheme="minorEastAsia" w:hAnsi="Times New Roman" w:cs="Times New Roman"/>
          <w:noProof/>
          <w:sz w:val="24"/>
          <w:szCs w:val="24"/>
        </w:rPr>
      </w:pPr>
      <w:r>
        <w:fldChar w:fldCharType="begin"/>
      </w:r>
      <w:r>
        <w:instrText xml:space="preserve"> TOC \h \z \c "Table" </w:instrText>
      </w:r>
      <w:r>
        <w:fldChar w:fldCharType="separate"/>
      </w:r>
      <w:hyperlink w:anchor="_Toc448741813" w:history="1">
        <w:r w:rsidRPr="0026700C">
          <w:rPr>
            <w:rStyle w:val="Hyperlink"/>
            <w:rFonts w:ascii="Times New Roman" w:hAnsi="Times New Roman" w:cs="Times New Roman"/>
            <w:noProof/>
            <w:sz w:val="24"/>
            <w:szCs w:val="24"/>
          </w:rPr>
          <w:t>Table 1. Storm ID names and associated tornado and ARPS-simulation forecast times. Positive (green) and negative (red) values indicate the time difference (hour:minute) between the start of the simulations and first tornadogenesis for each of the storms.</w:t>
        </w:r>
        <w:r w:rsidRPr="0026700C">
          <w:rPr>
            <w:rFonts w:ascii="Times New Roman" w:hAnsi="Times New Roman" w:cs="Times New Roman"/>
            <w:noProof/>
            <w:webHidden/>
            <w:sz w:val="24"/>
            <w:szCs w:val="24"/>
          </w:rPr>
          <w:tab/>
        </w:r>
        <w:r w:rsidRPr="0026700C">
          <w:rPr>
            <w:rFonts w:ascii="Times New Roman" w:hAnsi="Times New Roman" w:cs="Times New Roman"/>
            <w:noProof/>
            <w:webHidden/>
            <w:sz w:val="24"/>
            <w:szCs w:val="24"/>
          </w:rPr>
          <w:fldChar w:fldCharType="begin"/>
        </w:r>
        <w:r w:rsidRPr="0026700C">
          <w:rPr>
            <w:rFonts w:ascii="Times New Roman" w:hAnsi="Times New Roman" w:cs="Times New Roman"/>
            <w:noProof/>
            <w:webHidden/>
            <w:sz w:val="24"/>
            <w:szCs w:val="24"/>
          </w:rPr>
          <w:instrText xml:space="preserve"> PAGEREF _Toc448741813 \h </w:instrText>
        </w:r>
        <w:r w:rsidRPr="0026700C">
          <w:rPr>
            <w:rFonts w:ascii="Times New Roman" w:hAnsi="Times New Roman" w:cs="Times New Roman"/>
            <w:noProof/>
            <w:webHidden/>
            <w:sz w:val="24"/>
            <w:szCs w:val="24"/>
          </w:rPr>
        </w:r>
        <w:r w:rsidRPr="0026700C">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37</w:t>
        </w:r>
        <w:r w:rsidRPr="0026700C">
          <w:rPr>
            <w:rFonts w:ascii="Times New Roman" w:hAnsi="Times New Roman" w:cs="Times New Roman"/>
            <w:noProof/>
            <w:webHidden/>
            <w:sz w:val="24"/>
            <w:szCs w:val="24"/>
          </w:rPr>
          <w:fldChar w:fldCharType="end"/>
        </w:r>
      </w:hyperlink>
    </w:p>
    <w:p w:rsidR="003662DD" w:rsidRDefault="0026700C" w:rsidP="003662DD">
      <w:pPr>
        <w:pStyle w:val="NoSpacing"/>
      </w:pPr>
      <w:r>
        <w:fldChar w:fldCharType="end"/>
      </w:r>
      <w:r w:rsidR="00917A3F">
        <w:br w:type="page"/>
      </w:r>
    </w:p>
    <w:p w:rsidR="003662DD" w:rsidRDefault="003662DD" w:rsidP="00956ED1">
      <w:pPr>
        <w:pStyle w:val="Heading1"/>
      </w:pPr>
      <w:bookmarkStart w:id="6" w:name="_Toc448742060"/>
      <w:r>
        <w:lastRenderedPageBreak/>
        <w:t>List of Figures</w:t>
      </w:r>
      <w:bookmarkEnd w:id="6"/>
    </w:p>
    <w:p w:rsidR="00CA12F1" w:rsidRPr="00CA12F1" w:rsidRDefault="0026700C"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r w:rsidRPr="00CA12F1">
        <w:rPr>
          <w:rFonts w:ascii="Times New Roman" w:hAnsi="Times New Roman" w:cs="Times New Roman"/>
          <w:sz w:val="24"/>
          <w:szCs w:val="24"/>
        </w:rPr>
        <w:fldChar w:fldCharType="begin"/>
      </w:r>
      <w:r w:rsidRPr="00CA12F1">
        <w:rPr>
          <w:rFonts w:ascii="Times New Roman" w:hAnsi="Times New Roman" w:cs="Times New Roman"/>
          <w:sz w:val="24"/>
          <w:szCs w:val="24"/>
        </w:rPr>
        <w:instrText xml:space="preserve"> TOC \h \z \c "Figure" </w:instrText>
      </w:r>
      <w:r w:rsidRPr="00CA12F1">
        <w:rPr>
          <w:rFonts w:ascii="Times New Roman" w:hAnsi="Times New Roman" w:cs="Times New Roman"/>
          <w:sz w:val="24"/>
          <w:szCs w:val="24"/>
        </w:rPr>
        <w:fldChar w:fldCharType="separate"/>
      </w:r>
      <w:hyperlink w:anchor="_Toc450593081" w:history="1">
        <w:r w:rsidR="00CA12F1" w:rsidRPr="00CA12F1">
          <w:rPr>
            <w:rStyle w:val="Hyperlink"/>
            <w:rFonts w:ascii="Times New Roman" w:hAnsi="Times New Roman" w:cs="Times New Roman"/>
            <w:noProof/>
            <w:sz w:val="24"/>
            <w:szCs w:val="24"/>
          </w:rPr>
          <w:t>Figure 1. Real-time ARPS forecast system’s Control member’s 130-minute forecasts of 1–6-km UH from eight consecutive initiation times, including 2050, 2110, 2130, 2150, 2210, 2230, and 2250 UTC, on 24 May 2011.</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2" w:history="1">
        <w:r w:rsidR="00CA12F1" w:rsidRPr="00CA12F1">
          <w:rPr>
            <w:rStyle w:val="Hyperlink"/>
            <w:rFonts w:ascii="Times New Roman" w:hAnsi="Times New Roman" w:cs="Times New Roman"/>
            <w:noProof/>
            <w:sz w:val="24"/>
            <w:szCs w:val="24"/>
          </w:rPr>
          <w:t>Figure 2. NWS SPC’s 2000 UTC convective outlook for 24 May 2011 with preliminary storm reports from this severe weather event overlaid. Figure taken from http://www.spc.noaa.gov/exper/archive/events/.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3" w:history="1">
        <w:r w:rsidR="00CA12F1" w:rsidRPr="00CA12F1">
          <w:rPr>
            <w:rStyle w:val="Hyperlink"/>
            <w:rFonts w:ascii="Times New Roman" w:hAnsi="Times New Roman" w:cs="Times New Roman"/>
            <w:noProof/>
            <w:sz w:val="24"/>
            <w:szCs w:val="24"/>
          </w:rPr>
          <w:t>Figure 3. Map of all twelve 24 May 2011 tornado tracks for NWS Norman, OK WFO’s CWA. Map taken from http://www.srh.noaa.gov/oun/?n=events-20110524.</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4" w:history="1">
        <w:r w:rsidR="00CA12F1" w:rsidRPr="00CA12F1">
          <w:rPr>
            <w:rStyle w:val="Hyperlink"/>
            <w:rFonts w:ascii="Times New Roman" w:hAnsi="Times New Roman" w:cs="Times New Roman"/>
            <w:noProof/>
            <w:sz w:val="24"/>
            <w:szCs w:val="24"/>
          </w:rPr>
          <w:t>Figure 4. 1200 UTC (blue) and 1800 UTC (red) vertical sounding profiles of temperature (solid line), dewpoint temperature (dashed line), and wind vectors on a skew-t plot. Hodograph in top-right corner of skew-t showing reported wind vectors up to 12-km AGL. Sounding data provided by University of Wyoming’s sounding archive webpage (http://weather.uwyo.edu/upperair/sounding.html).</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5" w:history="1">
        <w:r w:rsidR="00CA12F1" w:rsidRPr="00CA12F1">
          <w:rPr>
            <w:rStyle w:val="Hyperlink"/>
            <w:rFonts w:ascii="Times New Roman" w:hAnsi="Times New Roman" w:cs="Times New Roman"/>
            <w:noProof/>
            <w:sz w:val="24"/>
            <w:szCs w:val="24"/>
          </w:rPr>
          <w:t>Figure 5. 1800 UTC (a,c,e) and 2100 UTC (b,d,f) analysis plots of (a,b) 300-hPa heights (m; black contours), divergence (s</w:t>
        </w:r>
        <w:r w:rsidR="00CA12F1" w:rsidRPr="00CA12F1">
          <w:rPr>
            <w:rStyle w:val="Hyperlink"/>
            <w:rFonts w:ascii="Times New Roman" w:hAnsi="Times New Roman" w:cs="Times New Roman"/>
            <w:noProof/>
            <w:sz w:val="24"/>
            <w:szCs w:val="24"/>
            <w:vertAlign w:val="superscript"/>
          </w:rPr>
          <w:t>-1</w:t>
        </w:r>
        <w:r w:rsidR="00CA12F1" w:rsidRPr="00CA12F1">
          <w:rPr>
            <w:rStyle w:val="Hyperlink"/>
            <w:rFonts w:ascii="Times New Roman" w:hAnsi="Times New Roman" w:cs="Times New Roman"/>
            <w:noProof/>
            <w:sz w:val="24"/>
            <w:szCs w:val="24"/>
          </w:rPr>
          <w:t>; magenta contours), wind barbs (kt), and wind speeds (kt; blue fill), (c,d) 500-hPa heights (m), temperatures (°C; red dashed), wind barbs (kt), and wind speeds (kt), and (e,f) 850-hPa heights (m), temperatures (°C), wind barbs (kt), and dewpoint temperature (°C; green fill) from SPC’s mesoscale analysis archive.</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6" w:history="1">
        <w:r w:rsidR="00CA12F1" w:rsidRPr="00CA12F1">
          <w:rPr>
            <w:rStyle w:val="Hyperlink"/>
            <w:rFonts w:ascii="Times New Roman" w:hAnsi="Times New Roman" w:cs="Times New Roman"/>
            <w:noProof/>
            <w:sz w:val="24"/>
            <w:szCs w:val="24"/>
          </w:rPr>
          <w:t xml:space="preserve">Figure 6. (a) 1800 UTC, (b) 1900 UTC, and (c) 2000 UTC Oklahoma Mesonet station plots of 1.5-m AGL temperature (°F; red text), 1.5-m AGL dewpoint temperature (°F; green text), and 10-m AGL wind barbs (kt; blue); analyses of sea-level pressure (hPa; </w:t>
        </w:r>
        <w:r w:rsidR="00CA12F1" w:rsidRPr="00CA12F1">
          <w:rPr>
            <w:rStyle w:val="Hyperlink"/>
            <w:rFonts w:ascii="Times New Roman" w:hAnsi="Times New Roman" w:cs="Times New Roman"/>
            <w:noProof/>
            <w:sz w:val="24"/>
            <w:szCs w:val="24"/>
          </w:rPr>
          <w:lastRenderedPageBreak/>
          <w:t>black contours every 2 hPa), 1.5-m AGL temperature (°F; red contours every 5°F starting at 65°F), 1.5-m dewpoint temperature (°F; green contours every 5°F starting at 50°F), and equivalent-potential temperature (K; background shading); and derived echo tops (kft; colored blocks) using the KTLX radar. Plots created using WeatherScope 1.9.6 created by UCAR/Unidata and OCS.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7" w:history="1">
        <w:r w:rsidR="00CA12F1" w:rsidRPr="00CA12F1">
          <w:rPr>
            <w:rStyle w:val="Hyperlink"/>
            <w:rFonts w:ascii="Times New Roman" w:hAnsi="Times New Roman" w:cs="Times New Roman"/>
            <w:noProof/>
            <w:sz w:val="24"/>
            <w:szCs w:val="24"/>
          </w:rPr>
          <w:t>Figure 7. Max 0.5°-tilt reflectivity (dBZ) above 30 dBZ from KTLX for output times 1902, 1932, 2002, 2032, 2102, 2132, 2201, 2231, 2301, and 2331 UTC on 24 May 2011 and 0000, 0030, and 0101 UTC on 25 May 2011. Black dots represent estimated tornado locations every minute. Tornado warnings issued by the NWS Norman, OK WFO during the 24 May 2011 tornado outbreak are represented by magenta polygon outlines and stipples.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8" w:history="1">
        <w:r w:rsidR="00CA12F1" w:rsidRPr="00CA12F1">
          <w:rPr>
            <w:rStyle w:val="Hyperlink"/>
            <w:rFonts w:ascii="Times New Roman" w:hAnsi="Times New Roman" w:cs="Times New Roman"/>
            <w:noProof/>
            <w:sz w:val="24"/>
            <w:szCs w:val="24"/>
          </w:rPr>
          <w:t>Figure 8. Schematic of spatial verification categories. (Top row) Neighborhood (or fuzzy) and scale-separation (or scale-decomposition) methods are classified as filtering verification methods, and (bottom row) features-based (or object-based) and field-deformation methods are classified as displacement verification methods. Schematic is from Gilleland et al. (2009).</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27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89" w:history="1">
        <w:r w:rsidR="00CA12F1" w:rsidRPr="00CA12F1">
          <w:rPr>
            <w:rStyle w:val="Hyperlink"/>
            <w:rFonts w:ascii="Times New Roman" w:hAnsi="Times New Roman" w:cs="Times New Roman"/>
            <w:noProof/>
            <w:sz w:val="24"/>
            <w:szCs w:val="24"/>
          </w:rPr>
          <w:t>Figure 9. Domain of numerical simulations with CASA radar locations and 40-km range rings, estimated tornado points, and storm IDs.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_Toc450593089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0" w:history="1">
        <w:r w:rsidR="00CA12F1" w:rsidRPr="00CA12F1">
          <w:rPr>
            <w:rStyle w:val="Hyperlink"/>
            <w:rFonts w:ascii="Times New Roman" w:hAnsi="Times New Roman" w:cs="Times New Roman"/>
            <w:noProof/>
            <w:sz w:val="24"/>
            <w:szCs w:val="24"/>
          </w:rPr>
          <w:t>Figure 10. Schematic of the temporally-weighted distributions of increments for the Control runs.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36</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1" w:history="1">
        <w:r w:rsidR="00CA12F1" w:rsidRPr="00CA12F1">
          <w:rPr>
            <w:rStyle w:val="Hyperlink"/>
            <w:rFonts w:ascii="Times New Roman" w:hAnsi="Times New Roman" w:cs="Times New Roman"/>
            <w:noProof/>
            <w:sz w:val="24"/>
            <w:szCs w:val="24"/>
          </w:rPr>
          <w:t xml:space="preserve">Figure 11. Average RMSEs plotted for each simulation for near-surface (a) temperature (°C), (b) dewpoint temperature (°C), (c) pressure (hPa), (d) u-component wind (m/s), </w:t>
        </w:r>
        <w:r w:rsidR="00CA12F1" w:rsidRPr="00CA12F1">
          <w:rPr>
            <w:rStyle w:val="Hyperlink"/>
            <w:rFonts w:ascii="Times New Roman" w:hAnsi="Times New Roman" w:cs="Times New Roman"/>
            <w:noProof/>
            <w:sz w:val="24"/>
            <w:szCs w:val="24"/>
          </w:rPr>
          <w:lastRenderedPageBreak/>
          <w:t>and (e) v-component wind (m/s). Average RMSEs for all simulations for each microphysics scheme are annotated on the bottom of the plots.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41</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2" w:history="1">
        <w:r w:rsidR="00CA12F1" w:rsidRPr="00CA12F1">
          <w:rPr>
            <w:rStyle w:val="Hyperlink"/>
            <w:rFonts w:ascii="Times New Roman" w:hAnsi="Times New Roman" w:cs="Times New Roman"/>
            <w:noProof/>
            <w:sz w:val="24"/>
            <w:szCs w:val="24"/>
          </w:rPr>
          <w:t xml:space="preserve">Figure 12. Linear regression slopes, </w:t>
        </w:r>
        <w:r w:rsidR="00CA12F1" w:rsidRPr="00CA12F1">
          <w:rPr>
            <w:rStyle w:val="Hyperlink"/>
            <w:rFonts w:ascii="Times New Roman" w:hAnsi="Times New Roman" w:cs="Times New Roman"/>
            <w:i/>
            <w:noProof/>
            <w:sz w:val="24"/>
            <w:szCs w:val="24"/>
          </w:rPr>
          <w:t>m</w:t>
        </w:r>
        <w:r w:rsidR="00CA12F1" w:rsidRPr="00CA12F1">
          <w:rPr>
            <w:rStyle w:val="Hyperlink"/>
            <w:rFonts w:ascii="Times New Roman" w:hAnsi="Times New Roman" w:cs="Times New Roman"/>
            <w:noProof/>
            <w:sz w:val="24"/>
            <w:szCs w:val="24"/>
          </w:rPr>
          <w:t xml:space="preserve">, and </w:t>
        </w:r>
        <w:r w:rsidR="00CA12F1" w:rsidRPr="00CA12F1">
          <w:rPr>
            <w:rStyle w:val="Hyperlink"/>
            <w:rFonts w:ascii="Times New Roman" w:hAnsi="Times New Roman" w:cs="Times New Roman"/>
            <w:i/>
            <w:noProof/>
            <w:sz w:val="24"/>
            <w:szCs w:val="24"/>
          </w:rPr>
          <w:t>R</w:t>
        </w:r>
        <w:r w:rsidR="00CA12F1" w:rsidRPr="00CA12F1">
          <w:rPr>
            <w:rStyle w:val="Hyperlink"/>
            <w:rFonts w:ascii="Times New Roman" w:hAnsi="Times New Roman" w:cs="Times New Roman"/>
            <w:i/>
            <w:noProof/>
            <w:sz w:val="24"/>
            <w:szCs w:val="24"/>
            <w:vertAlign w:val="superscript"/>
          </w:rPr>
          <w:t>2</w:t>
        </w:r>
        <w:r w:rsidR="00CA12F1" w:rsidRPr="00CA12F1">
          <w:rPr>
            <w:rStyle w:val="Hyperlink"/>
            <w:rFonts w:ascii="Times New Roman" w:hAnsi="Times New Roman" w:cs="Times New Roman"/>
            <w:noProof/>
            <w:sz w:val="24"/>
            <w:szCs w:val="24"/>
          </w:rPr>
          <w:t xml:space="preserve"> for all paired observations and forecasts for (a) temperature (°C), (b) dewpoint temperature (°C), (c) u-component wind (m/s), and (d) v-component wind (m/s) are plotted and annotated for LIN3 (red), WSM6 (blue), MYSM (green), MYDM (orange), and MYTM (purple). Colored shapes depict averages for observations in distinct 5-unit bins and their associated forecast values. Probability distribution functions for the number of forecasted and observed values within 1-unit bins are plotted in the top portion of each variable’s plot window.</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42</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3" w:history="1">
        <w:r w:rsidR="00CA12F1" w:rsidRPr="00CA12F1">
          <w:rPr>
            <w:rStyle w:val="Hyperlink"/>
            <w:rFonts w:ascii="Times New Roman" w:hAnsi="Times New Roman" w:cs="Times New Roman"/>
            <w:noProof/>
            <w:sz w:val="24"/>
            <w:szCs w:val="24"/>
          </w:rPr>
          <w:t>Figure 13. Bar graph of average base rates of temperatures less than 20.0°C, 22.5°C, and 25.0°C for the different microphysics schemes. Average minimum temperatures are annotated near the top of the plot window.</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4" w:history="1">
        <w:r w:rsidR="00CA12F1" w:rsidRPr="00CA12F1">
          <w:rPr>
            <w:rStyle w:val="Hyperlink"/>
            <w:rFonts w:ascii="Times New Roman" w:hAnsi="Times New Roman" w:cs="Times New Roman"/>
            <w:noProof/>
            <w:sz w:val="24"/>
            <w:szCs w:val="24"/>
          </w:rPr>
          <w:t>Figure 14. Keychain plot of average wind vectors at all Oklahoma Mesonet stations within the model domain. Wind barbs depict average wind speeds and directions for observed values (black) and forecast values from the Control runs using LIN3 (red), WSM6 (blue), MYSM (green), MYDM (orange), and MYTM (purple). On the wind barbs, a long (short) “feather” represents 10 m/s (5 m/s). Circles (squares) represent when average observed wind speeds (m/s) are smaller (larger) than average forecasted wind speeds (m/s).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5" w:history="1">
        <w:r w:rsidR="00CA12F1" w:rsidRPr="00CA12F1">
          <w:rPr>
            <w:rStyle w:val="Hyperlink"/>
            <w:rFonts w:ascii="Times New Roman" w:hAnsi="Times New Roman" w:cs="Times New Roman"/>
            <w:noProof/>
            <w:sz w:val="24"/>
            <w:szCs w:val="24"/>
          </w:rPr>
          <w:t>Figure 15. Average FSS-FSS</w:t>
        </w:r>
        <w:r w:rsidR="00CA12F1" w:rsidRPr="00CA12F1">
          <w:rPr>
            <w:rStyle w:val="Hyperlink"/>
            <w:rFonts w:ascii="Times New Roman" w:hAnsi="Times New Roman" w:cs="Times New Roman"/>
            <w:noProof/>
            <w:sz w:val="24"/>
            <w:szCs w:val="24"/>
            <w:vertAlign w:val="subscript"/>
          </w:rPr>
          <w:t>useful</w:t>
        </w:r>
        <w:r w:rsidR="00CA12F1" w:rsidRPr="00CA12F1">
          <w:rPr>
            <w:rStyle w:val="Hyperlink"/>
            <w:rFonts w:ascii="Times New Roman" w:hAnsi="Times New Roman" w:cs="Times New Roman"/>
            <w:noProof/>
            <w:sz w:val="24"/>
            <w:szCs w:val="24"/>
          </w:rPr>
          <w:t xml:space="preserve"> across all simulations for LIN3 (red), WMS6 (blue), MYSM (green), MYDM (orange), and MYTM (purple) are plotted for thresholds of (a) 30 dBZ, (c) 40 dBZ, and (e) 50 dBZ. Average neighborhood sizes (km) at which FSS-FSS</w:t>
        </w:r>
        <w:r w:rsidR="00CA12F1" w:rsidRPr="00CA12F1">
          <w:rPr>
            <w:rStyle w:val="Hyperlink"/>
            <w:rFonts w:ascii="Times New Roman" w:hAnsi="Times New Roman" w:cs="Times New Roman"/>
            <w:noProof/>
            <w:sz w:val="24"/>
            <w:szCs w:val="24"/>
            <w:vertAlign w:val="subscript"/>
          </w:rPr>
          <w:t>useful</w:t>
        </w:r>
        <w:r w:rsidR="00CA12F1" w:rsidRPr="00CA12F1">
          <w:rPr>
            <w:rStyle w:val="Hyperlink"/>
            <w:rFonts w:ascii="Times New Roman" w:hAnsi="Times New Roman" w:cs="Times New Roman"/>
            <w:noProof/>
            <w:sz w:val="24"/>
            <w:szCs w:val="24"/>
          </w:rPr>
          <w:t xml:space="preserve"> = 0 for each model initiation time (UTC) and microphysical scheme are plotted </w:t>
        </w:r>
        <w:r w:rsidR="00CA12F1" w:rsidRPr="00CA12F1">
          <w:rPr>
            <w:rStyle w:val="Hyperlink"/>
            <w:rFonts w:ascii="Times New Roman" w:hAnsi="Times New Roman" w:cs="Times New Roman"/>
            <w:noProof/>
            <w:sz w:val="24"/>
            <w:szCs w:val="24"/>
          </w:rPr>
          <w:lastRenderedPageBreak/>
          <w:t>for thresholds of (b) 30 dBZ, (d) 40 dBZ, and (f) 50 dBZ. Average neighborhood size (km) at which FSS-FSS</w:t>
        </w:r>
        <w:r w:rsidR="00CA12F1" w:rsidRPr="00CA12F1">
          <w:rPr>
            <w:rStyle w:val="Hyperlink"/>
            <w:rFonts w:ascii="Times New Roman" w:hAnsi="Times New Roman" w:cs="Times New Roman"/>
            <w:noProof/>
            <w:sz w:val="24"/>
            <w:szCs w:val="24"/>
            <w:vertAlign w:val="subscript"/>
          </w:rPr>
          <w:t>useful</w:t>
        </w:r>
        <w:r w:rsidR="00CA12F1" w:rsidRPr="00CA12F1">
          <w:rPr>
            <w:rStyle w:val="Hyperlink"/>
            <w:rFonts w:ascii="Times New Roman" w:hAnsi="Times New Roman" w:cs="Times New Roman"/>
            <w:noProof/>
            <w:sz w:val="24"/>
            <w:szCs w:val="24"/>
          </w:rPr>
          <w:t xml:space="preserve"> = 0 for each microphysics scheme is annotated in (a), (b), and (c).</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6" w:history="1">
        <w:r w:rsidR="00CA12F1" w:rsidRPr="00CA12F1">
          <w:rPr>
            <w:rStyle w:val="Hyperlink"/>
            <w:rFonts w:ascii="Times New Roman" w:hAnsi="Times New Roman" w:cs="Times New Roman"/>
            <w:noProof/>
            <w:sz w:val="24"/>
            <w:szCs w:val="24"/>
          </w:rPr>
          <w:t>Figure 16. Bar graph of the forecasted base rate of composite reflectivity minus the observed base rate of composite reflectivity for the 30-dBZ, 40-dBZ, and 50-dBZ thresholds. Positive values indicate overforecasting, and negative values indicate underforecasting.</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48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7" w:history="1">
        <w:r w:rsidR="00CA12F1" w:rsidRPr="00CA12F1">
          <w:rPr>
            <w:rStyle w:val="Hyperlink"/>
            <w:rFonts w:ascii="Times New Roman" w:hAnsi="Times New Roman" w:cs="Times New Roman"/>
            <w:noProof/>
            <w:sz w:val="24"/>
            <w:szCs w:val="24"/>
          </w:rPr>
          <w:t>Figure 17. (a) Filtered 0-1UH centers for LIN3 (red circle), WSM6 (blue square), MYSM (green triangle), MYDM (orange diamond), and MYTM (purple star) for all simulations. Grey upside-down triangles respresent tornado locations every minute, while black upside-down triangles represent tornado locations occurring at the same times of the forecast output. (b) Line graph of the total number of 0-1UH centers for all simulations with the total number of centers across all simulations annotated at the bottom of the plot. (c) Line graph of average max 0-1UH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for each simulation’s centers with the overall average max 0-1UH annotated at the bottom of the plot.</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8" w:history="1">
        <w:r w:rsidR="00CA12F1" w:rsidRPr="00CA12F1">
          <w:rPr>
            <w:rStyle w:val="Hyperlink"/>
            <w:rFonts w:ascii="Times New Roman" w:hAnsi="Times New Roman" w:cs="Times New Roman"/>
            <w:noProof/>
            <w:sz w:val="24"/>
            <w:szCs w:val="24"/>
          </w:rPr>
          <w:t>Figure 18. (a) Same-time and (b) any-time 0-1UH centers for Storm 1 from all simulations with LIN3 (red circle), WSM6 (blue square), MYSM (green triangle), MYDM (orange diamond), and MYTM (purple star). Black shapes represent the average locations of the microphysical schemes’ 0-1UH centers. The number of 0-1UH centers within the plot window are annotated in (a) and (b). Line graphs of average (c) ST distance errors (km), (d) AT distance errors (km), and (e) AT timing errors (min) for all simulations’ 0-1UH centers, and the respective averages across all simulations for each of the microphysical schemes is annotated within the plots.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099" w:history="1">
        <w:r w:rsidR="00CA12F1" w:rsidRPr="00CA12F1">
          <w:rPr>
            <w:rStyle w:val="Hyperlink"/>
            <w:rFonts w:ascii="Times New Roman" w:hAnsi="Times New Roman" w:cs="Times New Roman"/>
            <w:noProof/>
            <w:sz w:val="24"/>
            <w:szCs w:val="24"/>
          </w:rPr>
          <w:t>Figure 19. Observed 0.5°-tilt reflectivity (dBZ) from KTLX for (a) 1902 UTC, (b) 2002 UTC, and (c) 2102 UTC are interpolated and plotted to the 1-km model grid. Forecasts of 1-km AGL simulated reflectivity (dBZ; colored) from the 1900-UTC Control run using MYDM are plotted for (d) 1900 UTC (t = 0 s), (e) 2000 UTC (t = 3600 s), and (f) 2100 UTC (t = 7200 s). 0-1UH is contoured in black in (d), (e), and (f) from 10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xml:space="preserve"> to 210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xml:space="preserve"> with an interval of 25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and the max UH value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in each plot window is annotated near the bottom of each plot. Light gray upside-down triangles depict the estimated tornado locations every minute, and darker gray circles in (c) and (d) indicate the estimated location of the tornado occurring at 2100 UTC.</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_Toc450593099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0" w:history="1">
        <w:r w:rsidR="00CA12F1" w:rsidRPr="00CA12F1">
          <w:rPr>
            <w:rStyle w:val="Hyperlink"/>
            <w:rFonts w:ascii="Times New Roman" w:hAnsi="Times New Roman" w:cs="Times New Roman"/>
            <w:noProof/>
            <w:sz w:val="24"/>
            <w:szCs w:val="24"/>
          </w:rPr>
          <w:t>Figure 20. Same as for Figure 18, but for Storm 2.</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56</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1" w:history="1">
        <w:r w:rsidR="00CA12F1" w:rsidRPr="00CA12F1">
          <w:rPr>
            <w:rStyle w:val="Hyperlink"/>
            <w:rFonts w:ascii="Times New Roman" w:hAnsi="Times New Roman" w:cs="Times New Roman"/>
            <w:noProof/>
            <w:sz w:val="24"/>
            <w:szCs w:val="24"/>
          </w:rPr>
          <w:t>Figure 21. Same as for Figure 18, but for Storm 3.</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58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2" w:history="1">
        <w:r w:rsidR="00CA12F1" w:rsidRPr="00CA12F1">
          <w:rPr>
            <w:rStyle w:val="Hyperlink"/>
            <w:rFonts w:ascii="Times New Roman" w:hAnsi="Times New Roman" w:cs="Times New Roman"/>
            <w:noProof/>
            <w:sz w:val="24"/>
            <w:szCs w:val="24"/>
          </w:rPr>
          <w:t>Figure 22. Same as for Figure 11 in Chapter 4, but for NoCASA.</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3" w:history="1">
        <w:r w:rsidR="00CA12F1" w:rsidRPr="00CA12F1">
          <w:rPr>
            <w:rStyle w:val="Hyperlink"/>
            <w:rFonts w:ascii="Times New Roman" w:hAnsi="Times New Roman" w:cs="Times New Roman"/>
            <w:noProof/>
            <w:sz w:val="24"/>
            <w:szCs w:val="24"/>
          </w:rPr>
          <w:t>Figure 23. Same as for Figure 11 in Chapter 4, but for NoKTLX.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4" w:history="1">
        <w:r w:rsidR="00CA12F1" w:rsidRPr="00CA12F1">
          <w:rPr>
            <w:rStyle w:val="Hyperlink"/>
            <w:rFonts w:ascii="Times New Roman" w:hAnsi="Times New Roman" w:cs="Times New Roman"/>
            <w:noProof/>
            <w:sz w:val="24"/>
            <w:szCs w:val="24"/>
          </w:rPr>
          <w:t>Figure 24. Same as for Figure 11 in Chapter 4, but for NoCASAKTLX.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5" w:history="1">
        <w:r w:rsidR="00CA12F1" w:rsidRPr="00CA12F1">
          <w:rPr>
            <w:rStyle w:val="Hyperlink"/>
            <w:rFonts w:ascii="Times New Roman" w:hAnsi="Times New Roman" w:cs="Times New Roman"/>
            <w:noProof/>
            <w:sz w:val="24"/>
            <w:szCs w:val="24"/>
          </w:rPr>
          <w:t>Figure 25. Same as for Figure 12 in Chapter 4, but for NoCASA.</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66</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6" w:history="1">
        <w:r w:rsidR="00CA12F1" w:rsidRPr="00CA12F1">
          <w:rPr>
            <w:rStyle w:val="Hyperlink"/>
            <w:rFonts w:ascii="Times New Roman" w:hAnsi="Times New Roman" w:cs="Times New Roman"/>
            <w:noProof/>
            <w:sz w:val="24"/>
            <w:szCs w:val="24"/>
          </w:rPr>
          <w:t>Figure 26. Same as for Figure 12 in Chapter 4, but for NoKTLX.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7" w:history="1">
        <w:r w:rsidR="00CA12F1" w:rsidRPr="00CA12F1">
          <w:rPr>
            <w:rStyle w:val="Hyperlink"/>
            <w:rFonts w:ascii="Times New Roman" w:hAnsi="Times New Roman" w:cs="Times New Roman"/>
            <w:noProof/>
            <w:sz w:val="24"/>
            <w:szCs w:val="24"/>
          </w:rPr>
          <w:t>Figure 27. Same as for Figure 12 in Chapter 4, but for NoCASAKTLX.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68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8" w:history="1">
        <w:r w:rsidR="00CA12F1" w:rsidRPr="00CA12F1">
          <w:rPr>
            <w:rStyle w:val="Hyperlink"/>
            <w:rFonts w:ascii="Times New Roman" w:hAnsi="Times New Roman" w:cs="Times New Roman"/>
            <w:noProof/>
            <w:sz w:val="24"/>
            <w:szCs w:val="24"/>
          </w:rPr>
          <w:t>Figure 28. Same as for Figure 15 in Chapter 4, but for NoCASA.</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09" w:history="1">
        <w:r w:rsidR="00CA12F1" w:rsidRPr="00CA12F1">
          <w:rPr>
            <w:rStyle w:val="Hyperlink"/>
            <w:rFonts w:ascii="Times New Roman" w:hAnsi="Times New Roman" w:cs="Times New Roman"/>
            <w:noProof/>
            <w:sz w:val="24"/>
            <w:szCs w:val="24"/>
          </w:rPr>
          <w:t>Figure 29. Same as for Figure 15 in Chapter 4, but for NoKTLX.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_Toc450593109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71</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0" w:history="1">
        <w:r w:rsidR="00CA12F1" w:rsidRPr="00CA12F1">
          <w:rPr>
            <w:rStyle w:val="Hyperlink"/>
            <w:rFonts w:ascii="Times New Roman" w:hAnsi="Times New Roman" w:cs="Times New Roman"/>
            <w:noProof/>
            <w:sz w:val="24"/>
            <w:szCs w:val="24"/>
          </w:rPr>
          <w:t>Figure 30. Same as for Figure 15 in Chapter 4, but for NoCASAKTLX.</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72</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1" w:history="1">
        <w:r w:rsidR="00CA12F1" w:rsidRPr="00CA12F1">
          <w:rPr>
            <w:rStyle w:val="Hyperlink"/>
            <w:rFonts w:ascii="Times New Roman" w:hAnsi="Times New Roman" w:cs="Times New Roman"/>
            <w:noProof/>
            <w:sz w:val="24"/>
            <w:szCs w:val="24"/>
          </w:rPr>
          <w:t>Figure 31. Same as for Figure 17 in Chapter 4, but for NoCASA. Light gray shading in (b) and (c)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2" w:history="1">
        <w:r w:rsidR="00CA12F1" w:rsidRPr="00CA12F1">
          <w:rPr>
            <w:rStyle w:val="Hyperlink"/>
            <w:rFonts w:ascii="Times New Roman" w:hAnsi="Times New Roman" w:cs="Times New Roman"/>
            <w:noProof/>
            <w:sz w:val="24"/>
            <w:szCs w:val="24"/>
          </w:rPr>
          <w:t>Figure 32. Same as for Figure 17 in Chapter 4, but for NoKTLX. Light gray shading in (b) and (c)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3" w:history="1">
        <w:r w:rsidR="00CA12F1" w:rsidRPr="00CA12F1">
          <w:rPr>
            <w:rStyle w:val="Hyperlink"/>
            <w:rFonts w:ascii="Times New Roman" w:hAnsi="Times New Roman" w:cs="Times New Roman"/>
            <w:noProof/>
            <w:sz w:val="24"/>
            <w:szCs w:val="24"/>
          </w:rPr>
          <w:t>Figure 33. Same as for Figure 17 in Chapter 4, but for NoCASAKTLX. Light gray shading in (b) and (c)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76</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4" w:history="1">
        <w:r w:rsidR="00CA12F1" w:rsidRPr="00CA12F1">
          <w:rPr>
            <w:rStyle w:val="Hyperlink"/>
            <w:rFonts w:ascii="Times New Roman" w:hAnsi="Times New Roman" w:cs="Times New Roman"/>
            <w:noProof/>
            <w:sz w:val="24"/>
            <w:szCs w:val="24"/>
          </w:rPr>
          <w:t>Figure 34. Same as for Figure 18 in Chapter 4, but for NoCASA.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5" w:history="1">
        <w:r w:rsidR="00CA12F1" w:rsidRPr="00CA12F1">
          <w:rPr>
            <w:rStyle w:val="Hyperlink"/>
            <w:rFonts w:ascii="Times New Roman" w:hAnsi="Times New Roman" w:cs="Times New Roman"/>
            <w:noProof/>
            <w:sz w:val="24"/>
            <w:szCs w:val="24"/>
          </w:rPr>
          <w:t>Figure 35. Same as for Figure 18 in Chapter 4, but for NoKTLX.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79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6" w:history="1">
        <w:r w:rsidR="00CA12F1" w:rsidRPr="00CA12F1">
          <w:rPr>
            <w:rStyle w:val="Hyperlink"/>
            <w:rFonts w:ascii="Times New Roman" w:hAnsi="Times New Roman" w:cs="Times New Roman"/>
            <w:noProof/>
            <w:sz w:val="24"/>
            <w:szCs w:val="24"/>
          </w:rPr>
          <w:t>Figure 36. Same as for Figure 18 in Chapter 4, but for NoCASAKTLX.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7" w:history="1">
        <w:r w:rsidR="00CA12F1" w:rsidRPr="00CA12F1">
          <w:rPr>
            <w:rStyle w:val="Hyperlink"/>
            <w:rFonts w:ascii="Times New Roman" w:hAnsi="Times New Roman" w:cs="Times New Roman"/>
            <w:noProof/>
            <w:sz w:val="24"/>
            <w:szCs w:val="24"/>
          </w:rPr>
          <w:t>Figure 37. Same as for Figure 20 in Chapter 4, but for NoCASA.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8" w:history="1">
        <w:r w:rsidR="00CA12F1" w:rsidRPr="00CA12F1">
          <w:rPr>
            <w:rStyle w:val="Hyperlink"/>
            <w:rFonts w:ascii="Times New Roman" w:hAnsi="Times New Roman" w:cs="Times New Roman"/>
            <w:noProof/>
            <w:sz w:val="24"/>
            <w:szCs w:val="24"/>
          </w:rPr>
          <w:t>Figure 38. Same as for Figure 20 in Chapter 4, but for NoKTLX.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19" w:history="1">
        <w:r w:rsidR="00CA12F1" w:rsidRPr="00CA12F1">
          <w:rPr>
            <w:rStyle w:val="Hyperlink"/>
            <w:rFonts w:ascii="Times New Roman" w:hAnsi="Times New Roman" w:cs="Times New Roman"/>
            <w:noProof/>
            <w:sz w:val="24"/>
            <w:szCs w:val="24"/>
          </w:rPr>
          <w:t>Figure 39. Same as for Figure 20 in Chapter 4, but for NoCASAKTLX.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_Toc450593119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0" w:history="1">
        <w:r w:rsidR="00CA12F1" w:rsidRPr="00CA12F1">
          <w:rPr>
            <w:rStyle w:val="Hyperlink"/>
            <w:rFonts w:ascii="Times New Roman" w:hAnsi="Times New Roman" w:cs="Times New Roman"/>
            <w:noProof/>
            <w:sz w:val="24"/>
            <w:szCs w:val="24"/>
          </w:rPr>
          <w:t>Figure 40. Same as for Figure 21 in Chapter 4, but for NoCASA.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1" w:history="1">
        <w:r w:rsidR="00CA12F1" w:rsidRPr="00CA12F1">
          <w:rPr>
            <w:rStyle w:val="Hyperlink"/>
            <w:rFonts w:ascii="Times New Roman" w:hAnsi="Times New Roman" w:cs="Times New Roman"/>
            <w:noProof/>
            <w:sz w:val="24"/>
            <w:szCs w:val="24"/>
          </w:rPr>
          <w:t>Figure 41. Same as for Figure 21 in Chapter 4, but for NoKTLX.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2" w:history="1">
        <w:r w:rsidR="00CA12F1" w:rsidRPr="00CA12F1">
          <w:rPr>
            <w:rStyle w:val="Hyperlink"/>
            <w:rFonts w:ascii="Times New Roman" w:hAnsi="Times New Roman" w:cs="Times New Roman"/>
            <w:noProof/>
            <w:sz w:val="24"/>
            <w:szCs w:val="24"/>
          </w:rPr>
          <w:t>Figure 42. Same as for Figure 21 in Chapter 4, but for NoCASAKTLX.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89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3" w:history="1">
        <w:r w:rsidR="00CA12F1" w:rsidRPr="00CA12F1">
          <w:rPr>
            <w:rStyle w:val="Hyperlink"/>
            <w:rFonts w:ascii="Times New Roman" w:hAnsi="Times New Roman" w:cs="Times New Roman"/>
            <w:noProof/>
            <w:sz w:val="24"/>
            <w:szCs w:val="24"/>
          </w:rPr>
          <w:t>Figure 43. Schematic of the temporally-weighted distributions of increments for the (a) Cycling runs, (b) ModIAU runs, and (c) CyModIAU runs.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4" w:history="1">
        <w:r w:rsidR="00CA12F1" w:rsidRPr="00CA12F1">
          <w:rPr>
            <w:rStyle w:val="Hyperlink"/>
            <w:rFonts w:ascii="Times New Roman" w:hAnsi="Times New Roman" w:cs="Times New Roman"/>
            <w:noProof/>
            <w:sz w:val="24"/>
            <w:szCs w:val="24"/>
          </w:rPr>
          <w:t>Figure 44. Same as for Figure 11 in Chapter 4, but for Cycling.</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96</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5" w:history="1">
        <w:r w:rsidR="00CA12F1" w:rsidRPr="00CA12F1">
          <w:rPr>
            <w:rStyle w:val="Hyperlink"/>
            <w:rFonts w:ascii="Times New Roman" w:hAnsi="Times New Roman" w:cs="Times New Roman"/>
            <w:noProof/>
            <w:sz w:val="24"/>
            <w:szCs w:val="24"/>
          </w:rPr>
          <w:t>Figure 45. Same as for Figure 11 in Chapter 4, but for 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97</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6" w:history="1">
        <w:r w:rsidR="00CA12F1" w:rsidRPr="00CA12F1">
          <w:rPr>
            <w:rStyle w:val="Hyperlink"/>
            <w:rFonts w:ascii="Times New Roman" w:hAnsi="Times New Roman" w:cs="Times New Roman"/>
            <w:noProof/>
            <w:sz w:val="24"/>
            <w:szCs w:val="24"/>
          </w:rPr>
          <w:t>Figure 46. Same as for Figure 11 in Chapter 4, but for CyModIAU.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7" w:history="1">
        <w:r w:rsidR="00CA12F1" w:rsidRPr="00CA12F1">
          <w:rPr>
            <w:rStyle w:val="Hyperlink"/>
            <w:rFonts w:ascii="Times New Roman" w:hAnsi="Times New Roman" w:cs="Times New Roman"/>
            <w:noProof/>
            <w:sz w:val="24"/>
            <w:szCs w:val="24"/>
          </w:rPr>
          <w:t>Figure 47. Same as for Figure 12 in Chapter 4, but for Cycling.</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99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8" w:history="1">
        <w:r w:rsidR="00CA12F1" w:rsidRPr="00CA12F1">
          <w:rPr>
            <w:rStyle w:val="Hyperlink"/>
            <w:rFonts w:ascii="Times New Roman" w:hAnsi="Times New Roman" w:cs="Times New Roman"/>
            <w:noProof/>
            <w:sz w:val="24"/>
            <w:szCs w:val="24"/>
          </w:rPr>
          <w:t>Figure 48. Same as for Figure 12 in Chapter 4, but for 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29" w:history="1">
        <w:r w:rsidR="00CA12F1" w:rsidRPr="00CA12F1">
          <w:rPr>
            <w:rStyle w:val="Hyperlink"/>
            <w:rFonts w:ascii="Times New Roman" w:hAnsi="Times New Roman" w:cs="Times New Roman"/>
            <w:noProof/>
            <w:sz w:val="24"/>
            <w:szCs w:val="24"/>
          </w:rPr>
          <w:t>Figure 49. Same as for Figure 12 in Chapter 4, but for CyModIAU.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_Toc450593129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101</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0" w:history="1">
        <w:r w:rsidR="00CA12F1" w:rsidRPr="00CA12F1">
          <w:rPr>
            <w:rStyle w:val="Hyperlink"/>
            <w:rFonts w:ascii="Times New Roman" w:hAnsi="Times New Roman" w:cs="Times New Roman"/>
            <w:noProof/>
            <w:sz w:val="24"/>
            <w:szCs w:val="24"/>
          </w:rPr>
          <w:t>Figure 50. Same as for Figure 15 in Chapter 4, but for Cycling.</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1" w:history="1">
        <w:r w:rsidR="00CA12F1" w:rsidRPr="00CA12F1">
          <w:rPr>
            <w:rStyle w:val="Hyperlink"/>
            <w:rFonts w:ascii="Times New Roman" w:hAnsi="Times New Roman" w:cs="Times New Roman"/>
            <w:noProof/>
            <w:sz w:val="24"/>
            <w:szCs w:val="24"/>
          </w:rPr>
          <w:t>Figure 51. Same as for Figure 15 in Chapter 4, but for 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2" w:history="1">
        <w:r w:rsidR="00CA12F1" w:rsidRPr="00CA12F1">
          <w:rPr>
            <w:rStyle w:val="Hyperlink"/>
            <w:rFonts w:ascii="Times New Roman" w:hAnsi="Times New Roman" w:cs="Times New Roman"/>
            <w:noProof/>
            <w:sz w:val="24"/>
            <w:szCs w:val="24"/>
          </w:rPr>
          <w:t>Figure 52. Same as for Figure 15 in Chapter 4, but for CyModIAU.</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3" w:history="1">
        <w:r w:rsidR="00CA12F1" w:rsidRPr="00CA12F1">
          <w:rPr>
            <w:rStyle w:val="Hyperlink"/>
            <w:rFonts w:ascii="Times New Roman" w:hAnsi="Times New Roman" w:cs="Times New Roman"/>
            <w:noProof/>
            <w:sz w:val="24"/>
            <w:szCs w:val="24"/>
          </w:rPr>
          <w:t>Figure 53. Same as for Figure 17 in Chapter 4, but for Cycling.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4" w:history="1">
        <w:r w:rsidR="00CA12F1" w:rsidRPr="00CA12F1">
          <w:rPr>
            <w:rStyle w:val="Hyperlink"/>
            <w:rFonts w:ascii="Times New Roman" w:hAnsi="Times New Roman" w:cs="Times New Roman"/>
            <w:noProof/>
            <w:sz w:val="24"/>
            <w:szCs w:val="24"/>
          </w:rPr>
          <w:t>Figure 54. Same as for Figure 17 in Chapter 4, but for 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109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5" w:history="1">
        <w:r w:rsidR="00CA12F1" w:rsidRPr="00CA12F1">
          <w:rPr>
            <w:rStyle w:val="Hyperlink"/>
            <w:rFonts w:ascii="Times New Roman" w:hAnsi="Times New Roman" w:cs="Times New Roman"/>
            <w:noProof/>
            <w:sz w:val="24"/>
            <w:szCs w:val="24"/>
          </w:rPr>
          <w:t>Figure 55. Same as for Figure 17 in Chapter 4, but for CyModIAU.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6" w:history="1">
        <w:r w:rsidR="00CA12F1" w:rsidRPr="00CA12F1">
          <w:rPr>
            <w:rStyle w:val="Hyperlink"/>
            <w:rFonts w:ascii="Times New Roman" w:hAnsi="Times New Roman" w:cs="Times New Roman"/>
            <w:noProof/>
            <w:sz w:val="24"/>
            <w:szCs w:val="24"/>
          </w:rPr>
          <w:t>Figure 56. Same as for Figure 18 in Chapter 4, but for Cycling.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7" w:history="1">
        <w:r w:rsidR="00CA12F1" w:rsidRPr="00CA12F1">
          <w:rPr>
            <w:rStyle w:val="Hyperlink"/>
            <w:rFonts w:ascii="Times New Roman" w:hAnsi="Times New Roman" w:cs="Times New Roman"/>
            <w:noProof/>
            <w:sz w:val="24"/>
            <w:szCs w:val="24"/>
          </w:rPr>
          <w:t>Figure 57. Same as for Figure 18 in Chapter 4, but for 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8" w:history="1">
        <w:r w:rsidR="00CA12F1" w:rsidRPr="00CA12F1">
          <w:rPr>
            <w:rStyle w:val="Hyperlink"/>
            <w:rFonts w:ascii="Times New Roman" w:hAnsi="Times New Roman" w:cs="Times New Roman"/>
            <w:noProof/>
            <w:sz w:val="24"/>
            <w:szCs w:val="24"/>
          </w:rPr>
          <w:t>Figure 58. Same as for Figure 18 in Chapter 4, but for CyModIAU.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39" w:history="1">
        <w:r w:rsidR="00CA12F1" w:rsidRPr="00CA12F1">
          <w:rPr>
            <w:rStyle w:val="Hyperlink"/>
            <w:rFonts w:ascii="Times New Roman" w:hAnsi="Times New Roman" w:cs="Times New Roman"/>
            <w:noProof/>
            <w:sz w:val="24"/>
            <w:szCs w:val="24"/>
          </w:rPr>
          <w:t>Figure 59. Same as for Figure 20 in Chapter 4, but for Cycling.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_Toc450593139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118</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0" w:history="1">
        <w:r w:rsidR="00CA12F1" w:rsidRPr="00CA12F1">
          <w:rPr>
            <w:rStyle w:val="Hyperlink"/>
            <w:rFonts w:ascii="Times New Roman" w:hAnsi="Times New Roman" w:cs="Times New Roman"/>
            <w:noProof/>
            <w:sz w:val="24"/>
            <w:szCs w:val="24"/>
          </w:rPr>
          <w:t>Figure 60. Same as for Figure 20 in Chapter 4, but for 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_Toc450593140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119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1" w:history="1">
        <w:r w:rsidR="00CA12F1" w:rsidRPr="00CA12F1">
          <w:rPr>
            <w:rStyle w:val="Hyperlink"/>
            <w:rFonts w:ascii="Times New Roman" w:hAnsi="Times New Roman" w:cs="Times New Roman"/>
            <w:noProof/>
            <w:sz w:val="24"/>
            <w:szCs w:val="24"/>
          </w:rPr>
          <w:t>Figure 61. Same as for Figure 20 in Chapter 4, but for CyModIAU.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_Toc450593141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120</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2" w:history="1">
        <w:r w:rsidR="00CA12F1" w:rsidRPr="00CA12F1">
          <w:rPr>
            <w:rStyle w:val="Hyperlink"/>
            <w:rFonts w:ascii="Times New Roman" w:hAnsi="Times New Roman" w:cs="Times New Roman"/>
            <w:noProof/>
            <w:sz w:val="24"/>
            <w:szCs w:val="24"/>
          </w:rPr>
          <w:t>Figure 62. Same as for Figure 21 in Chapter 4, but for Cycling.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_Toc450593142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123</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3" w:history="1">
        <w:r w:rsidR="00CA12F1" w:rsidRPr="00CA12F1">
          <w:rPr>
            <w:rStyle w:val="Hyperlink"/>
            <w:rFonts w:ascii="Times New Roman" w:hAnsi="Times New Roman" w:cs="Times New Roman"/>
            <w:noProof/>
            <w:sz w:val="24"/>
            <w:szCs w:val="24"/>
          </w:rPr>
          <w:t>Figure 63. Same as for Figure 21 in Chapter 4, but for 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_Toc450593143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4" w:history="1">
        <w:r w:rsidR="00CA12F1" w:rsidRPr="00CA12F1">
          <w:rPr>
            <w:rStyle w:val="Hyperlink"/>
            <w:rFonts w:ascii="Times New Roman" w:hAnsi="Times New Roman" w:cs="Times New Roman"/>
            <w:noProof/>
            <w:sz w:val="24"/>
            <w:szCs w:val="24"/>
          </w:rPr>
          <w:t>Figure 64. Same as for Figure 21 in Chapter 4, but for CyModIAU. Light gray shading in (c), (d), and (e) represents the max/min bounds of the Control runs for comparison purposes.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_Toc450593144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5" w:history="1">
        <w:r w:rsidR="00CA12F1" w:rsidRPr="00CA12F1">
          <w:rPr>
            <w:rStyle w:val="Hyperlink"/>
            <w:rFonts w:ascii="Times New Roman" w:hAnsi="Times New Roman" w:cs="Times New Roman"/>
            <w:noProof/>
            <w:sz w:val="24"/>
            <w:szCs w:val="24"/>
          </w:rPr>
          <w:t xml:space="preserve">Figure 65. First, unity-based normalization is used to normalize all of the verification metrics’ average values for each simulation run with a value of 1 being perfect. The perfect skill (no skill) values used for this normalization include 5 (0) for RMSE, 1 (0) for slopes and </w:t>
        </w:r>
        <w:r w:rsidR="00CA12F1" w:rsidRPr="00CA12F1">
          <w:rPr>
            <w:rStyle w:val="Hyperlink"/>
            <w:rFonts w:ascii="Times New Roman" w:hAnsi="Times New Roman" w:cs="Times New Roman"/>
            <w:i/>
            <w:noProof/>
            <w:sz w:val="24"/>
            <w:szCs w:val="24"/>
          </w:rPr>
          <w:t>R</w:t>
        </w:r>
        <w:r w:rsidR="00CA12F1" w:rsidRPr="00CA12F1">
          <w:rPr>
            <w:rStyle w:val="Hyperlink"/>
            <w:rFonts w:ascii="Times New Roman" w:hAnsi="Times New Roman" w:cs="Times New Roman"/>
            <w:i/>
            <w:noProof/>
            <w:sz w:val="24"/>
            <w:szCs w:val="24"/>
            <w:vertAlign w:val="superscript"/>
          </w:rPr>
          <w:t>2</w:t>
        </w:r>
        <w:r w:rsidR="00CA12F1" w:rsidRPr="00CA12F1">
          <w:rPr>
            <w:rStyle w:val="Hyperlink"/>
            <w:rFonts w:ascii="Times New Roman" w:hAnsi="Times New Roman" w:cs="Times New Roman"/>
            <w:noProof/>
            <w:sz w:val="24"/>
            <w:szCs w:val="24"/>
          </w:rPr>
          <w:t xml:space="preserve"> values, 1 (257) for FSS–FSS</w:t>
        </w:r>
        <w:r w:rsidR="00CA12F1" w:rsidRPr="00CA12F1">
          <w:rPr>
            <w:rStyle w:val="Hyperlink"/>
            <w:rFonts w:ascii="Times New Roman" w:hAnsi="Times New Roman" w:cs="Times New Roman"/>
            <w:noProof/>
            <w:sz w:val="24"/>
            <w:szCs w:val="24"/>
            <w:vertAlign w:val="subscript"/>
          </w:rPr>
          <w:t>useful</w:t>
        </w:r>
        <w:r w:rsidR="00CA12F1" w:rsidRPr="00CA12F1">
          <w:rPr>
            <w:rStyle w:val="Hyperlink"/>
            <w:rFonts w:ascii="Times New Roman" w:hAnsi="Times New Roman" w:cs="Times New Roman"/>
            <w:noProof/>
            <w:sz w:val="24"/>
            <w:szCs w:val="24"/>
          </w:rPr>
          <w:t xml:space="preserve"> = 0 scales, 0 (56.6) for the distance errors, and 0 (60) for the timing errors. Second, each verification variable’s three normalized values from all run types are summed together. For example, the surface temperature’s normalized values for RMSE, slope, and </w:t>
        </w:r>
        <w:r w:rsidR="00CA12F1" w:rsidRPr="00CA12F1">
          <w:rPr>
            <w:rStyle w:val="Hyperlink"/>
            <w:rFonts w:ascii="Times New Roman" w:hAnsi="Times New Roman" w:cs="Times New Roman"/>
            <w:i/>
            <w:noProof/>
            <w:sz w:val="24"/>
            <w:szCs w:val="24"/>
          </w:rPr>
          <w:t>R</w:t>
        </w:r>
        <w:r w:rsidR="00CA12F1" w:rsidRPr="00CA12F1">
          <w:rPr>
            <w:rStyle w:val="Hyperlink"/>
            <w:rFonts w:ascii="Times New Roman" w:hAnsi="Times New Roman" w:cs="Times New Roman"/>
            <w:i/>
            <w:noProof/>
            <w:sz w:val="24"/>
            <w:szCs w:val="24"/>
            <w:vertAlign w:val="superscript"/>
          </w:rPr>
          <w:t>2</w:t>
        </w:r>
        <w:r w:rsidR="00CA12F1" w:rsidRPr="00CA12F1">
          <w:rPr>
            <w:rStyle w:val="Hyperlink"/>
            <w:rFonts w:ascii="Times New Roman" w:hAnsi="Times New Roman" w:cs="Times New Roman"/>
            <w:noProof/>
            <w:sz w:val="24"/>
            <w:szCs w:val="24"/>
          </w:rPr>
          <w:t xml:space="preserve"> value from all of the runs (Control, NoCASA, etc.) are summed together. This summation gives a score out of 21 </w:t>
        </w:r>
        <w:r w:rsidR="00CA12F1" w:rsidRPr="00CA12F1">
          <w:rPr>
            <w:rStyle w:val="Hyperlink"/>
            <w:rFonts w:ascii="Times New Roman" w:hAnsi="Times New Roman" w:cs="Times New Roman"/>
            <w:noProof/>
            <w:sz w:val="24"/>
            <w:szCs w:val="24"/>
          </w:rPr>
          <w:lastRenderedPageBreak/>
          <w:t>with 21 indicating perfect forecast skill. Comparisons can only be made among the different microphysics schemes and variables with the same units.</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_Toc450593145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129</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6" w:history="1">
        <w:r w:rsidR="00CA12F1" w:rsidRPr="00CA12F1">
          <w:rPr>
            <w:rStyle w:val="Hyperlink"/>
            <w:rFonts w:ascii="Times New Roman" w:hAnsi="Times New Roman" w:cs="Times New Roman"/>
            <w:noProof/>
            <w:sz w:val="24"/>
            <w:szCs w:val="24"/>
          </w:rPr>
          <w:t>Figure 66. Similar to Figure 65, but instead of summing the normalized values across all run types for each microphysics scheme, the normalized values are summed across all microphysics schemes for each run type. To highlight the sensitivities, the Control run’s normalized values are subtracted from the six non-Control runs’ normalized values. Positive (negative) values indicate where the non-Control run performed better (worse) than the Control run.</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_Toc450593146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134</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7" w:history="1">
        <w:r w:rsidR="00CA12F1" w:rsidRPr="00CA12F1">
          <w:rPr>
            <w:rStyle w:val="Hyperlink"/>
            <w:rFonts w:ascii="Times New Roman" w:hAnsi="Times New Roman" w:cs="Times New Roman"/>
            <w:noProof/>
            <w:sz w:val="24"/>
            <w:szCs w:val="24"/>
          </w:rPr>
          <w:t>Figure 67. Forecasts of 1-km AGL simulated reflectivity (dBZ; colored) from the 2130-UTC Control (a,b,c) and CyModIAU (d,e,f) MYDM runs are plotted for (a,d) 2130 UTC (t = 0 s), (b,e) 2200 UTC (t = 1800 s), and (c,f) 2230 UTC (t = 3600 s). 0-1UH is contoured in black from 10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xml:space="preserve"> to 210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xml:space="preserve"> with an interval of 25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and the max UH value (m</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/s</w:t>
        </w:r>
        <w:r w:rsidR="00CA12F1" w:rsidRPr="00CA12F1">
          <w:rPr>
            <w:rStyle w:val="Hyperlink"/>
            <w:rFonts w:ascii="Times New Roman" w:hAnsi="Times New Roman" w:cs="Times New Roman"/>
            <w:noProof/>
            <w:sz w:val="24"/>
            <w:szCs w:val="24"/>
            <w:vertAlign w:val="superscript"/>
          </w:rPr>
          <w:t>2</w:t>
        </w:r>
        <w:r w:rsidR="00CA12F1" w:rsidRPr="00CA12F1">
          <w:rPr>
            <w:rStyle w:val="Hyperlink"/>
            <w:rFonts w:ascii="Times New Roman" w:hAnsi="Times New Roman" w:cs="Times New Roman"/>
            <w:noProof/>
            <w:sz w:val="24"/>
            <w:szCs w:val="24"/>
          </w:rPr>
          <w:t>) in each plot window is annotated near the bottom of each plot. Light gray upside-down triangles depict the estimated tornado locations every minute, and darker gray circles indicate the estimated location of the tornado occurring at 2100 UTC.</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_Toc450593147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135</w:t>
        </w:r>
        <w:r w:rsidR="00CA12F1" w:rsidRPr="00CA12F1">
          <w:rPr>
            <w:rFonts w:ascii="Times New Roman" w:hAnsi="Times New Roman" w:cs="Times New Roman"/>
            <w:noProof/>
            <w:webHidden/>
            <w:sz w:val="24"/>
            <w:szCs w:val="24"/>
          </w:rPr>
          <w:fldChar w:fldCharType="end"/>
        </w:r>
      </w:hyperlink>
    </w:p>
    <w:p w:rsidR="00CA12F1" w:rsidRPr="00CA12F1" w:rsidRDefault="00D4287A" w:rsidP="00294865">
      <w:pPr>
        <w:pStyle w:val="TableofFigures"/>
        <w:tabs>
          <w:tab w:val="right" w:leader="dot" w:pos="8342"/>
        </w:tabs>
        <w:spacing w:line="480" w:lineRule="auto"/>
        <w:jc w:val="both"/>
        <w:rPr>
          <w:rFonts w:ascii="Times New Roman" w:eastAsiaTheme="minorEastAsia" w:hAnsi="Times New Roman" w:cs="Times New Roman"/>
          <w:noProof/>
          <w:sz w:val="24"/>
          <w:szCs w:val="24"/>
        </w:rPr>
      </w:pPr>
      <w:hyperlink w:anchor="_Toc450593148" w:history="1">
        <w:r w:rsidR="00CA12F1" w:rsidRPr="00CA12F1">
          <w:rPr>
            <w:rStyle w:val="Hyperlink"/>
            <w:rFonts w:ascii="Times New Roman" w:hAnsi="Times New Roman" w:cs="Times New Roman"/>
            <w:noProof/>
            <w:sz w:val="24"/>
            <w:szCs w:val="24"/>
          </w:rPr>
          <w:t>Figure 68. Line graph of the total CPU time (core-hr) used for each Control simulation. Note, for these experiments, 50 cores of Intel Xeon “Sandy Bridge” processors were used, so 100 core-hrs represents approximately 2 hours of wall-clock time. The forecasts are generally scalable by core. With current ARPS real-time system using 200 cores, LIN3 and WSM6 would have wall-clock times ~15–25 min for the 2-h Control runs, and the MY schemes would have wall-clock times ~35–55 min to complete the same 2-h forecast.</w:t>
        </w:r>
        <w:r w:rsidR="00CA12F1" w:rsidRPr="00CA12F1">
          <w:rPr>
            <w:rFonts w:ascii="Times New Roman" w:hAnsi="Times New Roman" w:cs="Times New Roman"/>
            <w:noProof/>
            <w:webHidden/>
            <w:sz w:val="24"/>
            <w:szCs w:val="24"/>
          </w:rPr>
          <w:tab/>
        </w:r>
        <w:r w:rsidR="00CA12F1" w:rsidRPr="00CA12F1">
          <w:rPr>
            <w:rFonts w:ascii="Times New Roman" w:hAnsi="Times New Roman" w:cs="Times New Roman"/>
            <w:noProof/>
            <w:webHidden/>
            <w:sz w:val="24"/>
            <w:szCs w:val="24"/>
          </w:rPr>
          <w:fldChar w:fldCharType="begin"/>
        </w:r>
        <w:r w:rsidR="00CA12F1" w:rsidRPr="00CA12F1">
          <w:rPr>
            <w:rFonts w:ascii="Times New Roman" w:hAnsi="Times New Roman" w:cs="Times New Roman"/>
            <w:noProof/>
            <w:webHidden/>
            <w:sz w:val="24"/>
            <w:szCs w:val="24"/>
          </w:rPr>
          <w:instrText xml:space="preserve"> PAGEREF _Toc450593148 \h </w:instrText>
        </w:r>
        <w:r w:rsidR="00CA12F1" w:rsidRPr="00CA12F1">
          <w:rPr>
            <w:rFonts w:ascii="Times New Roman" w:hAnsi="Times New Roman" w:cs="Times New Roman"/>
            <w:noProof/>
            <w:webHidden/>
            <w:sz w:val="24"/>
            <w:szCs w:val="24"/>
          </w:rPr>
        </w:r>
        <w:r w:rsidR="00CA12F1" w:rsidRPr="00CA12F1">
          <w:rPr>
            <w:rFonts w:ascii="Times New Roman" w:hAnsi="Times New Roman" w:cs="Times New Roman"/>
            <w:noProof/>
            <w:webHidden/>
            <w:sz w:val="24"/>
            <w:szCs w:val="24"/>
          </w:rPr>
          <w:fldChar w:fldCharType="separate"/>
        </w:r>
        <w:r w:rsidR="00F7579D">
          <w:rPr>
            <w:rFonts w:ascii="Times New Roman" w:hAnsi="Times New Roman" w:cs="Times New Roman"/>
            <w:noProof/>
            <w:webHidden/>
            <w:sz w:val="24"/>
            <w:szCs w:val="24"/>
          </w:rPr>
          <w:t>137</w:t>
        </w:r>
        <w:r w:rsidR="00CA12F1" w:rsidRPr="00CA12F1">
          <w:rPr>
            <w:rFonts w:ascii="Times New Roman" w:hAnsi="Times New Roman" w:cs="Times New Roman"/>
            <w:noProof/>
            <w:webHidden/>
            <w:sz w:val="24"/>
            <w:szCs w:val="24"/>
          </w:rPr>
          <w:fldChar w:fldCharType="end"/>
        </w:r>
      </w:hyperlink>
    </w:p>
    <w:p w:rsidR="00465855" w:rsidRDefault="0026700C" w:rsidP="0070379F">
      <w:pPr>
        <w:pStyle w:val="Heading1"/>
      </w:pPr>
      <w:r w:rsidRPr="00CA12F1">
        <w:rPr>
          <w:rFonts w:cs="Times New Roman"/>
          <w:szCs w:val="24"/>
        </w:rPr>
        <w:lastRenderedPageBreak/>
        <w:fldChar w:fldCharType="end"/>
      </w:r>
      <w:bookmarkStart w:id="7" w:name="_Toc448742061"/>
      <w:r w:rsidR="00A21CBF">
        <w:t>Abstract</w:t>
      </w:r>
      <w:bookmarkEnd w:id="7"/>
    </w:p>
    <w:p w:rsidR="00A21CBF" w:rsidRDefault="00A21CBF" w:rsidP="00A21CBF">
      <w:pPr>
        <w:pStyle w:val="NoSpacing"/>
        <w:ind w:firstLine="720"/>
      </w:pPr>
      <w:r>
        <w:t>The aim of this study is to examine the impact of using five different microphysics parameterization schemes, including single-, double-, and triple-moment microphysics, in an efficient high-resolution data assimilation system suitable for nowcasting and short-term forecasting with low latencies. In addition to testing</w:t>
      </w:r>
      <w:r w:rsidR="006521C7">
        <w:t xml:space="preserve"> the</w:t>
      </w:r>
      <w:r>
        <w:t xml:space="preserve"> sensitivity to microphysics, the impact of gap-filling rad</w:t>
      </w:r>
      <w:r w:rsidR="006521C7">
        <w:t>ars and variations in</w:t>
      </w:r>
      <w:r>
        <w:t xml:space="preserve"> analysis cycling and incremental analysis updating (IAU) </w:t>
      </w:r>
      <w:r w:rsidR="006521C7">
        <w:t>techniques</w:t>
      </w:r>
      <w:r>
        <w:t xml:space="preserve"> are explored using a variety of verification methods.</w:t>
      </w:r>
    </w:p>
    <w:p w:rsidR="00A21CBF" w:rsidRDefault="00A21CBF" w:rsidP="006F7DE8">
      <w:pPr>
        <w:pStyle w:val="NoSpacing"/>
        <w:ind w:firstLine="720"/>
      </w:pPr>
      <w:r>
        <w:t>On 24 May 2011, Oklahoma experienced an outbreak of tornadoes, including one rated EF-5 and two rated EF-4. The extensive observation network in this area, including the WSR-88D radars, Collaborative Adaptive Sensing of the Atmosphere (CASA) IP-1 X-band radars, Oklahoma Mesonet, and standard surface data, makes this an ideal case for these tests. Additionally, the real-time configuration of</w:t>
      </w:r>
      <w:r w:rsidR="006521C7">
        <w:t xml:space="preserve"> the 1-km ARPS, which used 3DVAR</w:t>
      </w:r>
      <w:r>
        <w:t xml:space="preserve"> with cloud analysis via IAU, had success providing a good baseline</w:t>
      </w:r>
      <w:r w:rsidR="00556C66">
        <w:t xml:space="preserve"> forecast</w:t>
      </w:r>
      <w:r>
        <w:t>. ARPS forecasts of 0-2h are verified using point-to-point, neighborhood, and object-based verification techniques. The object-based verification technique uses updraft helicity fields to represent mesocyclone centers, which are verified against tornado locations from three superc</w:t>
      </w:r>
      <w:r w:rsidR="006F7DE8">
        <w:t>ells of interest</w:t>
      </w:r>
      <w:r>
        <w:t xml:space="preserve">. Varying levels of success in the forecasts are found and appear to be dependent on the complexity of storm interaction, with early forecasts of isolated storms exhibiting the most success. Verification scores indicate the multi-moment schemes tend to </w:t>
      </w:r>
      <w:r w:rsidR="00871E8C">
        <w:t>produce</w:t>
      </w:r>
      <w:r>
        <w:t xml:space="preserve"> better forecasts</w:t>
      </w:r>
      <w:r w:rsidR="006521C7">
        <w:t xml:space="preserve">, </w:t>
      </w:r>
      <w:r w:rsidR="0017012A">
        <w:t>assimilating CASA radar data can improve forecasts for storms within the CASA radar network, and analysis cycling and modified IAU techniques generally contribute to better forecasts.</w:t>
      </w:r>
    </w:p>
    <w:p w:rsidR="00A21CBF" w:rsidRDefault="00A21CBF" w:rsidP="000904BA">
      <w:pPr>
        <w:pStyle w:val="NoSpacing"/>
        <w:sectPr w:rsidR="00A21CBF" w:rsidSect="000E74A0">
          <w:footerReference w:type="default" r:id="rId8"/>
          <w:pgSz w:w="12240" w:h="15840"/>
          <w:pgMar w:top="1440" w:right="1584" w:bottom="1440" w:left="2304" w:header="720" w:footer="720" w:gutter="0"/>
          <w:pgNumType w:fmt="lowerRoman"/>
          <w:cols w:space="720"/>
          <w:docGrid w:linePitch="360"/>
        </w:sectPr>
      </w:pPr>
    </w:p>
    <w:p w:rsidR="00490149" w:rsidRPr="00407D81" w:rsidRDefault="00271020" w:rsidP="00956ED1">
      <w:pPr>
        <w:pStyle w:val="Heading1"/>
      </w:pPr>
      <w:bookmarkStart w:id="8" w:name="_Toc448742062"/>
      <w:r w:rsidRPr="00407D81">
        <w:lastRenderedPageBreak/>
        <w:t>Chapter 1</w:t>
      </w:r>
      <w:r w:rsidR="00172F34" w:rsidRPr="00407D81">
        <w:t>: General Introduction</w:t>
      </w:r>
      <w:bookmarkEnd w:id="8"/>
    </w:p>
    <w:p w:rsidR="00271020" w:rsidRDefault="00490149" w:rsidP="00490149">
      <w:pPr>
        <w:pStyle w:val="Heading2"/>
      </w:pPr>
      <w:bookmarkStart w:id="9" w:name="_Toc448742063"/>
      <w:r>
        <w:t xml:space="preserve">1.1 </w:t>
      </w:r>
      <w:r w:rsidR="00271020">
        <w:t>Background and Motivation</w:t>
      </w:r>
      <w:bookmarkEnd w:id="9"/>
    </w:p>
    <w:p w:rsidR="00BC3D3B" w:rsidRPr="00AD7AED" w:rsidRDefault="00BC3D3B" w:rsidP="00AD7AED">
      <w:pPr>
        <w:pStyle w:val="NoSpacing"/>
        <w:ind w:firstLine="720"/>
      </w:pPr>
      <w:r w:rsidRPr="00AD7AED">
        <w:t xml:space="preserve">On the afternoon of 24 May 2011, an outbreak of twelve tornadoes, including two EF-4 tornadoes and one EF-5 tornado, afflicted northern and central Oklahoma within the National Weather Service (NWS) Norman, OK Weather Forecast Office’s (WFO) county warning area (CWA). </w:t>
      </w:r>
      <w:r w:rsidR="00100910">
        <w:t>Unfortunately, t</w:t>
      </w:r>
      <w:r w:rsidRPr="00AD7AED">
        <w:t>his outbreak caused numerous deaths and injuries</w:t>
      </w:r>
      <w:r w:rsidR="00100910">
        <w:t xml:space="preserve"> along with considerable damage</w:t>
      </w:r>
      <w:r w:rsidRPr="00AD7AED">
        <w:t>. An extensive observation network was in place in this area during the spring of 2011, so despite the tragic loss of life, this is an ideal case to explore aspects of the evolving decadal goal of providing real-time, thunderstorm-resolving forecasts using high-resolution (i.e., &lt; 4-km grid spacing) numerical weather prediction (NWP).</w:t>
      </w:r>
    </w:p>
    <w:p w:rsidR="00BC3D3B" w:rsidRDefault="00BC3D3B" w:rsidP="00AD7AED">
      <w:pPr>
        <w:pStyle w:val="NoSpacing"/>
        <w:ind w:firstLine="720"/>
      </w:pPr>
      <w:r w:rsidRPr="00AD7AED">
        <w:t>The tight clustering of the tornadic and non-tornadic supercells and storms on this date made forecasting of supercell tracks difficult for storm-scale models, but the Center for Analysis and Prediction of Storms (CAPS) real-time forecasting system had good success at simulating these storms. An accumulation of 1–6-km updraft helicity (UH; Kain et al.</w:t>
      </w:r>
      <w:r w:rsidR="00340D03" w:rsidRPr="00AD7AED">
        <w:t>,</w:t>
      </w:r>
      <w:r w:rsidR="00090D80">
        <w:t xml:space="preserve"> 2008) </w:t>
      </w:r>
      <w:r w:rsidR="00556C66">
        <w:t>is used to identify</w:t>
      </w:r>
      <w:r w:rsidR="00C565BF">
        <w:t xml:space="preserve"> simulated mesocyclones</w:t>
      </w:r>
      <w:r w:rsidR="00090D80">
        <w:t xml:space="preserve"> every minute</w:t>
      </w:r>
      <w:r w:rsidR="00556C66">
        <w:t xml:space="preserve"> in</w:t>
      </w:r>
      <w:r w:rsidRPr="00AD7AED">
        <w:t xml:space="preserve"> eight consecutive real-time 130-minute forecasts, which were initiated every 20 minutes from 2050 UTC to 2250 UTC, predicted the potential severity of this event (</w:t>
      </w:r>
      <w:r w:rsidRPr="00AD7AED">
        <w:fldChar w:fldCharType="begin"/>
      </w:r>
      <w:r w:rsidRPr="00AD7AED">
        <w:instrText xml:space="preserve"> REF _Ref439671854 \h  \* MERGEFORMAT </w:instrText>
      </w:r>
      <w:r w:rsidRPr="00AD7AED">
        <w:fldChar w:fldCharType="separate"/>
      </w:r>
      <w:r w:rsidR="00F7579D" w:rsidRPr="00D43A84">
        <w:t xml:space="preserve">Figure </w:t>
      </w:r>
      <w:r w:rsidR="00F7579D">
        <w:t>1</w:t>
      </w:r>
      <w:r w:rsidRPr="00AD7AED">
        <w:fldChar w:fldCharType="end"/>
      </w:r>
      <w:r w:rsidRPr="00AD7AED">
        <w:t>). However, advances in forecasting supercell evolution and motions (i.e., location and timing) could be gained with improved data assimilation techniques and better parameterizations of physical processes.</w:t>
      </w:r>
    </w:p>
    <w:p w:rsidR="00BC3D3B" w:rsidRDefault="00BC3D3B" w:rsidP="00BC3D3B">
      <w:pPr>
        <w:pStyle w:val="NoSpacing"/>
        <w:keepNext/>
        <w:jc w:val="center"/>
      </w:pPr>
      <w:r>
        <w:rPr>
          <w:rFonts w:cs="Times New Roman"/>
          <w:noProof/>
          <w:szCs w:val="24"/>
        </w:rPr>
        <w:lastRenderedPageBreak/>
        <w:drawing>
          <wp:inline distT="0" distB="0" distL="0" distR="0" wp14:anchorId="22743B8E" wp14:editId="601D79B8">
            <wp:extent cx="5029200" cy="4733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10524accumuhtracks.png"/>
                    <pic:cNvPicPr/>
                  </pic:nvPicPr>
                  <pic:blipFill rotWithShape="1">
                    <a:blip r:embed="rId9">
                      <a:extLst>
                        <a:ext uri="{28A0092B-C50C-407E-A947-70E740481C1C}">
                          <a14:useLocalDpi xmlns:a14="http://schemas.microsoft.com/office/drawing/2010/main" val="0"/>
                        </a:ext>
                      </a:extLst>
                    </a:blip>
                    <a:srcRect t="14546" b="12728"/>
                    <a:stretch/>
                  </pic:blipFill>
                  <pic:spPr bwMode="auto">
                    <a:xfrm>
                      <a:off x="0" y="0"/>
                      <a:ext cx="5038954" cy="4742545"/>
                    </a:xfrm>
                    <a:prstGeom prst="rect">
                      <a:avLst/>
                    </a:prstGeom>
                    <a:ln>
                      <a:noFill/>
                    </a:ln>
                    <a:extLst>
                      <a:ext uri="{53640926-AAD7-44D8-BBD7-CCE9431645EC}">
                        <a14:shadowObscured xmlns:a14="http://schemas.microsoft.com/office/drawing/2010/main"/>
                      </a:ext>
                    </a:extLst>
                  </pic:spPr>
                </pic:pic>
              </a:graphicData>
            </a:graphic>
          </wp:inline>
        </w:drawing>
      </w:r>
    </w:p>
    <w:p w:rsidR="00BC3D3B" w:rsidRPr="00BC3D3B" w:rsidRDefault="00BC3D3B" w:rsidP="00BC3D3B">
      <w:pPr>
        <w:pStyle w:val="Captions"/>
      </w:pPr>
      <w:bookmarkStart w:id="10" w:name="_Ref439671854"/>
      <w:bookmarkStart w:id="11" w:name="_Toc450593081"/>
      <w:r w:rsidRPr="00D43A84">
        <w:t xml:space="preserve">Figure </w:t>
      </w:r>
      <w:fldSimple w:instr=" SEQ Figure \* ARABIC ">
        <w:r w:rsidR="00F7579D">
          <w:rPr>
            <w:noProof/>
          </w:rPr>
          <w:t>1</w:t>
        </w:r>
      </w:fldSimple>
      <w:bookmarkEnd w:id="10"/>
      <w:r>
        <w:t>.</w:t>
      </w:r>
      <w:r w:rsidRPr="00D43A84">
        <w:t xml:space="preserve"> Real-time ARPS forecast system’s Control member’s 130-minute forecasts of 1–6-km UH from eight consecutive initiation times, including 2050, 2110, 2130, 2150, 2210, 2230, and 2250 UTC, on 24 May 2011.</w:t>
      </w:r>
      <w:bookmarkEnd w:id="11"/>
    </w:p>
    <w:p w:rsidR="00BC3D3B" w:rsidRDefault="00E978CD" w:rsidP="00E978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D3B" w:rsidRPr="00BC3D3B" w:rsidRDefault="00BC3D3B" w:rsidP="00BC3D3B">
      <w:pPr>
        <w:pStyle w:val="Heading2"/>
        <w:rPr>
          <w:rFonts w:eastAsia="Times New Roman"/>
        </w:rPr>
      </w:pPr>
      <w:bookmarkStart w:id="12" w:name="_Toc448742064"/>
      <w:r w:rsidRPr="00BC3D3B">
        <w:rPr>
          <w:rFonts w:eastAsia="Times New Roman"/>
        </w:rPr>
        <w:lastRenderedPageBreak/>
        <w:t>1.2 Current State of the Science of Storm-Scale NWP</w:t>
      </w:r>
      <w:bookmarkEnd w:id="12"/>
    </w:p>
    <w:p w:rsidR="00BC3D3B" w:rsidRPr="00BC3D3B" w:rsidRDefault="00BC3D3B" w:rsidP="00AD7AED">
      <w:pPr>
        <w:pStyle w:val="NoSpacing"/>
        <w:ind w:firstLine="720"/>
      </w:pPr>
      <w:r w:rsidRPr="00BC3D3B">
        <w:t xml:space="preserve">Recent storm-scale NWP studies have largely concentrated on improving forecasts of severe weather hazards (i.e., tornadoes, damaging wind, large hail, flooding, and lightning) by testing the efficacy of various numerical analysis and </w:t>
      </w:r>
      <w:r w:rsidR="0048039D">
        <w:t>data assimilation</w:t>
      </w:r>
      <w:r w:rsidRPr="00BC3D3B">
        <w:t xml:space="preserve"> techniques and </w:t>
      </w:r>
      <w:r w:rsidR="00100910" w:rsidRPr="00BC3D3B">
        <w:t>parameterization</w:t>
      </w:r>
      <w:r w:rsidR="00100910">
        <w:t>s of</w:t>
      </w:r>
      <w:r w:rsidR="00100910" w:rsidRPr="00BC3D3B">
        <w:t xml:space="preserve"> </w:t>
      </w:r>
      <w:r w:rsidRPr="00BC3D3B">
        <w:t xml:space="preserve">sub-grid-scale processes and by examining new scale-appropriate verification and evaluation metrics. The motivation of many of these studies is centered on a long-term goal of real-time thunderstorm resolving NWP, </w:t>
      </w:r>
      <w:r w:rsidR="00871E8C">
        <w:t>as articulated</w:t>
      </w:r>
      <w:r w:rsidRPr="00BC3D3B">
        <w:t xml:space="preserve"> in the Warn-on-Forecast (WoF) concept (Stensrud et al.</w:t>
      </w:r>
      <w:r>
        <w:t>,</w:t>
      </w:r>
      <w:r w:rsidRPr="00BC3D3B">
        <w:t xml:space="preserve"> 2009, 2013). As opposed to the current system of issuing warnings based on the observation or detection of severe weather, the WoF paradigm is founded on the idea that one day NWS forecasters will have the ability to issue severe thunderstorm and tornado warnings based on short-term, storm-scale forecasts with the aim of increasing warning lead times. </w:t>
      </w:r>
    </w:p>
    <w:p w:rsidR="00BC3D3B" w:rsidRPr="00BC3D3B" w:rsidRDefault="00BC3D3B" w:rsidP="00AD7AED">
      <w:pPr>
        <w:pStyle w:val="NoSpacing"/>
        <w:ind w:firstLine="720"/>
      </w:pPr>
      <w:r w:rsidRPr="00BC3D3B">
        <w:t>Almost all storm-scale NWP studies have been completed using either a three-dimensional variational data assimilation (3DVAR; Gao et al.</w:t>
      </w:r>
      <w:r>
        <w:t>,</w:t>
      </w:r>
      <w:r w:rsidRPr="00BC3D3B">
        <w:t xml:space="preserve"> 2004) system (e.g., </w:t>
      </w:r>
      <w:r w:rsidR="00F95311" w:rsidRPr="00BC3D3B">
        <w:t>Dawson et al.</w:t>
      </w:r>
      <w:r w:rsidR="00F95311">
        <w:t>,</w:t>
      </w:r>
      <w:r w:rsidR="00F95311" w:rsidRPr="00BC3D3B">
        <w:t xml:space="preserve"> 2015</w:t>
      </w:r>
      <w:r w:rsidR="00F95311">
        <w:t xml:space="preserve">, </w:t>
      </w:r>
      <w:r w:rsidRPr="00BC3D3B">
        <w:t>Gao et al.</w:t>
      </w:r>
      <w:r>
        <w:t>,</w:t>
      </w:r>
      <w:r w:rsidRPr="00BC3D3B">
        <w:t xml:space="preserve"> 2013; </w:t>
      </w:r>
      <w:r w:rsidR="00F95311">
        <w:t xml:space="preserve">Schenkman et al., 2011a,b; </w:t>
      </w:r>
      <w:r w:rsidRPr="00BC3D3B">
        <w:t>Stensrud and Gao</w:t>
      </w:r>
      <w:r>
        <w:t>,</w:t>
      </w:r>
      <w:r w:rsidR="00F95311">
        <w:t xml:space="preserve"> 2010</w:t>
      </w:r>
      <w:r w:rsidRPr="00BC3D3B">
        <w:t>) or a variant of the ensemble Kalman filter (EnKF; Evensen</w:t>
      </w:r>
      <w:r>
        <w:t>,</w:t>
      </w:r>
      <w:r w:rsidRPr="00BC3D3B">
        <w:t xml:space="preserve"> 1994) data assimilation system (e.g., Dawson et al.</w:t>
      </w:r>
      <w:r>
        <w:t>,</w:t>
      </w:r>
      <w:r w:rsidRPr="00BC3D3B">
        <w:t xml:space="preserve"> 2012; Dowell et al.</w:t>
      </w:r>
      <w:r>
        <w:t>,</w:t>
      </w:r>
      <w:r w:rsidRPr="00BC3D3B">
        <w:t xml:space="preserve"> 2004, 2011; Jones et al.</w:t>
      </w:r>
      <w:r>
        <w:t>,</w:t>
      </w:r>
      <w:r w:rsidRPr="00BC3D3B">
        <w:t xml:space="preserve"> 2015; Putnam et al.</w:t>
      </w:r>
      <w:r>
        <w:t>,</w:t>
      </w:r>
      <w:r w:rsidRPr="00BC3D3B">
        <w:t xml:space="preserve"> 2014; Snook et al.</w:t>
      </w:r>
      <w:r>
        <w:t>,</w:t>
      </w:r>
      <w:r w:rsidRPr="00BC3D3B">
        <w:t xml:space="preserve"> 2011, 2012; Wheatley et al.</w:t>
      </w:r>
      <w:r>
        <w:t>,</w:t>
      </w:r>
      <w:r w:rsidRPr="00BC3D3B">
        <w:t xml:space="preserve"> 2014, Xue et al.</w:t>
      </w:r>
      <w:r>
        <w:t>,</w:t>
      </w:r>
      <w:r w:rsidRPr="00BC3D3B">
        <w:t xml:space="preserve"> 2006; Yussouf et al.</w:t>
      </w:r>
      <w:r>
        <w:t>,</w:t>
      </w:r>
      <w:r w:rsidRPr="00BC3D3B">
        <w:t xml:space="preserve"> 2013, 2015) to produce an initial analysis. Other data assimilation techniques [e.g., four-dimensional variational data assimilation (4DVAR) and hybrid</w:t>
      </w:r>
      <w:r w:rsidR="0048039D">
        <w:t xml:space="preserve"> data assimilation </w:t>
      </w:r>
      <w:r w:rsidRPr="00BC3D3B">
        <w:t xml:space="preserve">systems] are also employed in NWP systems to produce initial analyses, but 3DVAR and EnKF (and related variants, e.g., ensemble square-root </w:t>
      </w:r>
      <w:r w:rsidRPr="00BC3D3B">
        <w:lastRenderedPageBreak/>
        <w:t>Kalman filter, ensemble adjustment Kalman filter, and local ensemble transform Kalman filter) have recently become the most popular</w:t>
      </w:r>
      <w:r w:rsidR="0048039D">
        <w:t xml:space="preserve"> data assimilation </w:t>
      </w:r>
      <w:r w:rsidRPr="00BC3D3B">
        <w:t xml:space="preserve">techniques for the generation of storm-scale analyses, which are then used by storm-scale forecasting systems or </w:t>
      </w:r>
      <w:r w:rsidR="00871E8C">
        <w:t xml:space="preserve">for </w:t>
      </w:r>
      <w:r w:rsidRPr="00BC3D3B">
        <w:t xml:space="preserve">storm simulations. </w:t>
      </w:r>
    </w:p>
    <w:p w:rsidR="00BC3D3B" w:rsidRPr="00BC3D3B" w:rsidRDefault="00BC3D3B" w:rsidP="00AD7AED">
      <w:pPr>
        <w:pStyle w:val="NoSpacing"/>
        <w:ind w:firstLine="720"/>
      </w:pPr>
      <w:r w:rsidRPr="00BC3D3B">
        <w:t xml:space="preserve">In general, 3DVAR seeks to minimize a cost function to find the optimal analysis fields using all available observation data. More specifically, the 3DVAR process begins by calculating the cost function, </w:t>
      </w:r>
    </w:p>
    <w:p w:rsidR="00BC3D3B" w:rsidRPr="00BC3D3B" w:rsidRDefault="00792592" w:rsidP="00AD7AED">
      <w:pPr>
        <w:pStyle w:val="NoSpacing"/>
        <w:jc w:val="right"/>
      </w:pPr>
      <m:oMath>
        <m:r>
          <w:rPr>
            <w:rFonts w:ascii="Cambria Math" w:hAnsi="Cambria Math"/>
          </w:rPr>
          <m:t>J</m:t>
        </m:r>
        <m:d>
          <m:dPr>
            <m:ctrlPr>
              <w:rPr>
                <w:rFonts w:ascii="Cambria Math" w:hAnsi="Cambria Math"/>
              </w:rPr>
            </m:ctrlPr>
          </m:dPr>
          <m:e>
            <m:r>
              <m:rPr>
                <m:sty m:val="b"/>
              </m:rPr>
              <w:rPr>
                <w:rFonts w:ascii="Cambria Math" w:hAnsi="Cambria Math"/>
              </w:rPr>
              <m:t>x</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d>
              <m:dPr>
                <m:ctrlPr>
                  <w:rPr>
                    <w:rFonts w:ascii="Cambria Math" w:hAnsi="Cambria Math"/>
                  </w:rPr>
                </m:ctrlPr>
              </m:dPr>
              <m:e>
                <m:r>
                  <m:rPr>
                    <m:sty m:val="b"/>
                  </m:rPr>
                  <w:rPr>
                    <w:rFonts w:ascii="Cambria Math" w:hAnsi="Cambria Math"/>
                  </w:rPr>
                  <m:t>x</m:t>
                </m:r>
                <m:r>
                  <m:rPr>
                    <m:sty m:val="p"/>
                  </m:rPr>
                  <w:rPr>
                    <w:rFonts w:ascii="Cambria Math" w:hAnsi="Cambria Math"/>
                  </w:rPr>
                  <m:t xml:space="preserve">- </m:t>
                </m:r>
                <m:sSub>
                  <m:sSubPr>
                    <m:ctrlPr>
                      <w:rPr>
                        <w:rFonts w:ascii="Cambria Math" w:hAnsi="Cambria Math"/>
                      </w:rPr>
                    </m:ctrlPr>
                  </m:sSubPr>
                  <m:e>
                    <m:r>
                      <m:rPr>
                        <m:sty m:val="b"/>
                      </m:rPr>
                      <w:rPr>
                        <w:rFonts w:ascii="Cambria Math" w:hAnsi="Cambria Math"/>
                      </w:rPr>
                      <m:t>x</m:t>
                    </m:r>
                  </m:e>
                  <m:sub>
                    <m:r>
                      <w:rPr>
                        <w:rFonts w:ascii="Cambria Math" w:hAnsi="Cambria Math"/>
                      </w:rPr>
                      <m:t>b</m:t>
                    </m:r>
                  </m:sub>
                </m:sSub>
              </m:e>
            </m:d>
          </m:e>
          <m:sup>
            <m:r>
              <w:rPr>
                <w:rFonts w:ascii="Cambria Math" w:hAnsi="Cambria Math"/>
              </w:rPr>
              <m:t>T</m:t>
            </m:r>
          </m:sup>
        </m:sSup>
        <m:sSup>
          <m:sSupPr>
            <m:ctrlPr>
              <w:rPr>
                <w:rFonts w:ascii="Cambria Math" w:hAnsi="Cambria Math"/>
              </w:rPr>
            </m:ctrlPr>
          </m:sSupPr>
          <m:e>
            <m:r>
              <m:rPr>
                <m:sty m:val="b"/>
              </m:rPr>
              <w:rPr>
                <w:rFonts w:ascii="Cambria Math" w:hAnsi="Cambria Math"/>
              </w:rPr>
              <m:t>B</m:t>
            </m:r>
          </m:e>
          <m:sup>
            <m:r>
              <w:rPr>
                <w:rFonts w:ascii="Cambria Math" w:hAnsi="Cambria Math"/>
              </w:rPr>
              <m:t>-1</m:t>
            </m:r>
          </m:sup>
        </m:sSup>
        <m:d>
          <m:dPr>
            <m:ctrlPr>
              <w:rPr>
                <w:rFonts w:ascii="Cambria Math" w:hAnsi="Cambria Math"/>
              </w:rPr>
            </m:ctrlPr>
          </m:dPr>
          <m:e>
            <m:r>
              <m:rPr>
                <m:sty m:val="b"/>
              </m:rPr>
              <w:rPr>
                <w:rFonts w:ascii="Cambria Math" w:hAnsi="Cambria Math"/>
              </w:rPr>
              <m:t>x</m:t>
            </m:r>
            <m:r>
              <m:rPr>
                <m:sty m:val="p"/>
              </m:rP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b</m:t>
                </m:r>
              </m:sub>
            </m:sSub>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y</m:t>
                    </m:r>
                  </m:e>
                  <m:sub>
                    <m:r>
                      <w:rPr>
                        <w:rFonts w:ascii="Cambria Math" w:hAnsi="Cambria Math"/>
                      </w:rPr>
                      <m:t>o</m:t>
                    </m:r>
                  </m:sub>
                </m:sSub>
                <m:r>
                  <m:rPr>
                    <m:sty m:val="p"/>
                  </m:rPr>
                  <w:rPr>
                    <w:rFonts w:ascii="Cambria Math" w:hAnsi="Cambria Math"/>
                  </w:rPr>
                  <m:t>-</m:t>
                </m:r>
                <m:r>
                  <w:rPr>
                    <w:rFonts w:ascii="Cambria Math" w:hAnsi="Cambria Math"/>
                  </w:rPr>
                  <m:t>H</m:t>
                </m:r>
                <m:d>
                  <m:dPr>
                    <m:ctrlPr>
                      <w:rPr>
                        <w:rFonts w:ascii="Cambria Math" w:hAnsi="Cambria Math"/>
                      </w:rPr>
                    </m:ctrlPr>
                  </m:dPr>
                  <m:e>
                    <m:r>
                      <m:rPr>
                        <m:sty m:val="b"/>
                      </m:rPr>
                      <w:rPr>
                        <w:rFonts w:ascii="Cambria Math" w:hAnsi="Cambria Math"/>
                      </w:rPr>
                      <m:t>x</m:t>
                    </m:r>
                  </m:e>
                </m:d>
              </m:e>
            </m:d>
          </m:e>
          <m:sup>
            <m:r>
              <w:rPr>
                <w:rFonts w:ascii="Cambria Math" w:hAnsi="Cambria Math"/>
              </w:rPr>
              <m:t>T</m:t>
            </m:r>
          </m:sup>
        </m:sSup>
        <m:sSup>
          <m:sSupPr>
            <m:ctrlPr>
              <w:rPr>
                <w:rFonts w:ascii="Cambria Math" w:hAnsi="Cambria Math"/>
              </w:rPr>
            </m:ctrlPr>
          </m:sSupPr>
          <m:e>
            <m:r>
              <m:rPr>
                <m:sty m:val="b"/>
              </m:rPr>
              <w:rPr>
                <w:rFonts w:ascii="Cambria Math" w:hAnsi="Cambria Math"/>
              </w:rPr>
              <m:t>R</m:t>
            </m:r>
          </m:e>
          <m:sup>
            <m:r>
              <w:rPr>
                <w:rFonts w:ascii="Cambria Math" w:hAnsi="Cambria Math"/>
              </w:rPr>
              <m:t>-1</m:t>
            </m:r>
          </m:sup>
        </m:sSup>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y</m:t>
                </m:r>
              </m:e>
              <m:sub>
                <m:r>
                  <w:rPr>
                    <w:rFonts w:ascii="Cambria Math" w:hAnsi="Cambria Math"/>
                  </w:rPr>
                  <m:t>o</m:t>
                </m:r>
              </m:sub>
            </m:sSub>
            <m:r>
              <m:rPr>
                <m:sty m:val="p"/>
              </m:rPr>
              <w:rPr>
                <w:rFonts w:ascii="Cambria Math" w:hAnsi="Cambria Math"/>
              </w:rPr>
              <m:t>-</m:t>
            </m:r>
            <m:r>
              <w:rPr>
                <w:rFonts w:ascii="Cambria Math" w:hAnsi="Cambria Math"/>
              </w:rPr>
              <m:t>H</m:t>
            </m:r>
            <m:d>
              <m:dPr>
                <m:ctrlPr>
                  <w:rPr>
                    <w:rFonts w:ascii="Cambria Math" w:hAnsi="Cambria Math"/>
                  </w:rPr>
                </m:ctrlPr>
              </m:dPr>
              <m:e>
                <m:r>
                  <m:rPr>
                    <m:sty m:val="b"/>
                  </m:rPr>
                  <w:rPr>
                    <w:rFonts w:ascii="Cambria Math" w:hAnsi="Cambria Math"/>
                  </w:rPr>
                  <m:t>x</m:t>
                </m:r>
              </m:e>
            </m:d>
          </m:e>
        </m:d>
        <m:r>
          <m:rPr>
            <m:sty m:val="p"/>
          </m:rP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C</m:t>
            </m:r>
          </m:sub>
        </m:sSub>
      </m:oMath>
      <w:r w:rsidR="00BC3D3B" w:rsidRPr="00BC3D3B">
        <w:t xml:space="preserve">          (1)</w:t>
      </w:r>
    </w:p>
    <w:p w:rsidR="00BC3D3B" w:rsidRPr="00BC3D3B" w:rsidRDefault="00BC3D3B" w:rsidP="00AD7AED">
      <w:pPr>
        <w:pStyle w:val="NoSpacing"/>
      </w:pPr>
      <w:r w:rsidRPr="00BC3D3B">
        <w:t xml:space="preserve">which is the distance between the analysis, </w:t>
      </w:r>
      <w:r w:rsidRPr="0020715A">
        <w:rPr>
          <w:b/>
        </w:rPr>
        <w:t>x</w:t>
      </w:r>
      <w:r w:rsidRPr="00BC3D3B">
        <w:t xml:space="preserve">, and background fields, </w:t>
      </w:r>
      <w:r w:rsidRPr="0020715A">
        <w:rPr>
          <w:b/>
        </w:rPr>
        <w:t>x</w:t>
      </w:r>
      <w:r w:rsidRPr="00792592">
        <w:rPr>
          <w:i/>
          <w:vertAlign w:val="subscript"/>
        </w:rPr>
        <w:t>b</w:t>
      </w:r>
      <w:r w:rsidRPr="00BC3D3B">
        <w:t xml:space="preserve">, weighted by the inverse of the background error covariance, </w:t>
      </w:r>
      <w:r w:rsidRPr="0020715A">
        <w:rPr>
          <w:b/>
        </w:rPr>
        <w:t>B</w:t>
      </w:r>
      <w:r w:rsidRPr="00BC3D3B">
        <w:t xml:space="preserve">, plus the distance between the observations, </w:t>
      </w:r>
      <w:r w:rsidRPr="006B5922">
        <w:rPr>
          <w:b/>
        </w:rPr>
        <w:t>y</w:t>
      </w:r>
      <w:r w:rsidRPr="00792592">
        <w:rPr>
          <w:i/>
          <w:vertAlign w:val="subscript"/>
        </w:rPr>
        <w:t>o</w:t>
      </w:r>
      <w:r w:rsidRPr="00BC3D3B">
        <w:t>, and the analysis fields</w:t>
      </w:r>
      <w:r w:rsidR="001B0722">
        <w:t xml:space="preserve"> interpolated to observation locations</w:t>
      </w:r>
      <w:r w:rsidRPr="00BC3D3B">
        <w:t xml:space="preserve">, </w:t>
      </w:r>
      <w:r w:rsidRPr="00BC3D3B">
        <w:rPr>
          <w:i/>
        </w:rPr>
        <w:t>H</w:t>
      </w:r>
      <w:r w:rsidRPr="006B5922">
        <w:t>(</w:t>
      </w:r>
      <w:r w:rsidRPr="006B5922">
        <w:rPr>
          <w:b/>
        </w:rPr>
        <w:t>x</w:t>
      </w:r>
      <w:r w:rsidRPr="006B5922">
        <w:t>)</w:t>
      </w:r>
      <w:r w:rsidRPr="00BC3D3B">
        <w:t>, weighted by</w:t>
      </w:r>
      <w:r w:rsidR="00871E8C">
        <w:t xml:space="preserve"> the inverse of the observational</w:t>
      </w:r>
      <w:r w:rsidRPr="00BC3D3B">
        <w:t xml:space="preserve"> error covariance, </w:t>
      </w:r>
      <w:r w:rsidRPr="006B5922">
        <w:rPr>
          <w:b/>
        </w:rPr>
        <w:t>R</w:t>
      </w:r>
      <w:r w:rsidRPr="00BC3D3B">
        <w:t xml:space="preserve">, plus an optional penalty term, which can apply dynamic constraints to enforce balance flow conditions (Gao </w:t>
      </w:r>
      <w:r w:rsidR="00C565BF">
        <w:t>et al.,</w:t>
      </w:r>
      <w:r w:rsidRPr="00BC3D3B">
        <w:t xml:space="preserve"> 2004). The background field (i.e., usually a prior forecast) is used as the initial first guess. Next, the gradient of the cost function, </w:t>
      </w:r>
      <w:r w:rsidRPr="00792592">
        <w:rPr>
          <w:rFonts w:ascii="Cambria Math" w:hAnsi="Cambria Math" w:cs="Cambria Math"/>
          <w:b/>
          <w:shd w:val="clear" w:color="auto" w:fill="FFFFFF"/>
        </w:rPr>
        <w:t>∇</w:t>
      </w:r>
      <w:r w:rsidRPr="00792592">
        <w:rPr>
          <w:i/>
          <w:shd w:val="clear" w:color="auto" w:fill="FFFFFF"/>
        </w:rPr>
        <w:t>J</w:t>
      </w:r>
      <w:r w:rsidRPr="006B5922">
        <w:rPr>
          <w:shd w:val="clear" w:color="auto" w:fill="FFFFFF"/>
        </w:rPr>
        <w:t>(</w:t>
      </w:r>
      <w:r w:rsidRPr="006B5922">
        <w:rPr>
          <w:b/>
          <w:shd w:val="clear" w:color="auto" w:fill="FFFFFF"/>
        </w:rPr>
        <w:t>x</w:t>
      </w:r>
      <w:r w:rsidRPr="006B5922">
        <w:rPr>
          <w:shd w:val="clear" w:color="auto" w:fill="FFFFFF"/>
        </w:rPr>
        <w:t>)</w:t>
      </w:r>
      <w:r w:rsidRPr="00BC3D3B">
        <w:rPr>
          <w:shd w:val="clear" w:color="auto" w:fill="FFFFFF"/>
        </w:rPr>
        <w:t>,</w:t>
      </w:r>
      <w:r w:rsidRPr="00BC3D3B">
        <w:t xml:space="preserve"> is computed with respect to the analysis variable or analysis increment. The gradient of the cost function is then passed through a minimization algorithm (e.g., conjugate gradient or quasi-Newton methods) to determine new analysis fields. The norm of the cost function gradient or the satisfaction of a </w:t>
      </w:r>
      <w:r w:rsidR="00556C66">
        <w:t>sufficiently-minimized</w:t>
      </w:r>
      <w:r w:rsidRPr="00BC3D3B">
        <w:t xml:space="preserve"> cost function determines if the process </w:t>
      </w:r>
      <w:r w:rsidR="00556C66">
        <w:t>continues iterating</w:t>
      </w:r>
      <w:r w:rsidRPr="00BC3D3B">
        <w:t xml:space="preserve"> until an optimal analysis is produced. Forecasts can start directly from the analyses produced by the 3DVAR system or gradually “spin up” by introducing analysis increments</w:t>
      </w:r>
      <w:r w:rsidRPr="00BC3D3B">
        <w:rPr>
          <w:rFonts w:ascii="Calibri" w:hAnsi="Calibri"/>
        </w:rPr>
        <w:t xml:space="preserve"> </w:t>
      </w:r>
      <w:r w:rsidRPr="00BC3D3B">
        <w:t xml:space="preserve">during a short time window (e.g., 5 or 10 min for storm-scale fields) using incremental analysis updating (IAU; Bloom </w:t>
      </w:r>
      <w:r w:rsidR="00C565BF">
        <w:t>et al.,</w:t>
      </w:r>
      <w:r w:rsidRPr="00BC3D3B">
        <w:t xml:space="preserve"> 1996).</w:t>
      </w:r>
    </w:p>
    <w:p w:rsidR="0020715A" w:rsidRDefault="00BC3D3B" w:rsidP="00AD7AED">
      <w:pPr>
        <w:pStyle w:val="NoSpacing"/>
        <w:ind w:firstLine="720"/>
      </w:pPr>
      <w:r w:rsidRPr="00BC3D3B">
        <w:lastRenderedPageBreak/>
        <w:t>As the name suggests, the EnKF data assimilation technique benefits from using ensembles to simultaneously perform multiple</w:t>
      </w:r>
      <w:r w:rsidR="0048039D">
        <w:t xml:space="preserve"> data assimilation </w:t>
      </w:r>
      <w:r w:rsidRPr="00BC3D3B">
        <w:t xml:space="preserve">cycles. First, an ensemble of analyses is produced by adding random perturbations to the observations. The ensemble of analyses is integrated forward in time until the next data assimilation time. New analysis fields are determined for each ensemble member </w:t>
      </w:r>
      <w:r w:rsidR="0020715A">
        <w:t xml:space="preserve">using the equation, </w:t>
      </w:r>
    </w:p>
    <w:p w:rsidR="006B5922" w:rsidRDefault="00D4287A" w:rsidP="006B5922">
      <w:pPr>
        <w:pStyle w:val="NoSpacing"/>
        <w:jc w:val="right"/>
      </w:pPr>
      <m:oMath>
        <m:sSup>
          <m:sSupPr>
            <m:ctrlPr>
              <w:rPr>
                <w:rFonts w:ascii="Cambria Math" w:hAnsi="Cambria Math"/>
              </w:rPr>
            </m:ctrlPr>
          </m:sSupPr>
          <m:e>
            <m:r>
              <m:rPr>
                <m:sty m:val="b"/>
              </m:rPr>
              <w:rPr>
                <w:rFonts w:ascii="Cambria Math" w:hAnsi="Cambria Math"/>
              </w:rPr>
              <m:t>x</m:t>
            </m:r>
          </m:e>
          <m:sup>
            <m:r>
              <w:rPr>
                <w:rFonts w:ascii="Cambria Math" w:hAnsi="Cambria Math"/>
              </w:rPr>
              <m:t>a</m:t>
            </m:r>
          </m:sup>
        </m:sSup>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r>
          <m:rPr>
            <m:sty m:val="p"/>
          </m:rPr>
          <w:rPr>
            <w:rFonts w:ascii="Cambria Math" w:hAnsi="Cambria Math"/>
          </w:rPr>
          <m:t>=</m:t>
        </m:r>
        <m:sSup>
          <m:sSupPr>
            <m:ctrlPr>
              <w:rPr>
                <w:rFonts w:ascii="Cambria Math" w:hAnsi="Cambria Math"/>
              </w:rPr>
            </m:ctrlPr>
          </m:sSupPr>
          <m:e>
            <m:r>
              <m:rPr>
                <m:sty m:val="b"/>
              </m:rPr>
              <w:rPr>
                <w:rFonts w:ascii="Cambria Math" w:hAnsi="Cambria Math"/>
              </w:rPr>
              <m:t>x</m:t>
            </m:r>
          </m:e>
          <m:sup>
            <m:r>
              <w:rPr>
                <w:rFonts w:ascii="Cambria Math" w:hAnsi="Cambria Math"/>
              </w:rPr>
              <m:t>f</m:t>
            </m:r>
          </m:sup>
        </m:sSup>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m:rPr>
                <m:sty m:val="b"/>
              </m:rPr>
              <w:rPr>
                <w:rFonts w:ascii="Cambria Math" w:hAnsi="Cambria Math"/>
              </w:rPr>
              <m:t>K</m:t>
            </m:r>
          </m:e>
          <m:sub>
            <m:r>
              <w:rPr>
                <w:rFonts w:ascii="Cambria Math" w:hAnsi="Cambria Math"/>
              </w:rPr>
              <m:t>i</m:t>
            </m:r>
          </m:sub>
        </m:sSub>
        <m:d>
          <m:dPr>
            <m:begChr m:val="{"/>
            <m:endChr m:val="}"/>
            <m:ctrlPr>
              <w:rPr>
                <w:rFonts w:ascii="Cambria Math" w:hAnsi="Cambria Math"/>
              </w:rPr>
            </m:ctrlPr>
          </m:dPr>
          <m:e>
            <m:sSubSup>
              <m:sSubSupPr>
                <m:ctrlPr>
                  <w:rPr>
                    <w:rFonts w:ascii="Cambria Math" w:hAnsi="Cambria Math"/>
                  </w:rPr>
                </m:ctrlPr>
              </m:sSubSupPr>
              <m:e>
                <m:r>
                  <m:rPr>
                    <m:sty m:val="b"/>
                  </m:rPr>
                  <w:rPr>
                    <w:rFonts w:ascii="Cambria Math" w:hAnsi="Cambria Math"/>
                  </w:rPr>
                  <m:t>y</m:t>
                </m:r>
              </m:e>
              <m:sub>
                <m:r>
                  <w:rPr>
                    <w:rFonts w:ascii="Cambria Math" w:hAnsi="Cambria Math"/>
                  </w:rPr>
                  <m:t>i</m:t>
                </m:r>
              </m:sub>
              <m:sup>
                <m:r>
                  <w:rPr>
                    <w:rFonts w:ascii="Cambria Math" w:hAnsi="Cambria Math"/>
                  </w:rPr>
                  <m:t>o</m:t>
                </m:r>
              </m:sup>
            </m:sSubSup>
            <m:r>
              <m:rPr>
                <m:sty m:val="p"/>
              </m:rPr>
              <w:rPr>
                <w:rFonts w:ascii="Cambria Math" w:hAnsi="Cambria Math"/>
              </w:rPr>
              <m:t>-</m:t>
            </m:r>
            <m:r>
              <w:rPr>
                <w:rFonts w:ascii="Cambria Math" w:hAnsi="Cambria Math"/>
              </w:rPr>
              <m:t>H</m:t>
            </m:r>
            <m:d>
              <m:dPr>
                <m:begChr m:val="["/>
                <m:endChr m:val="]"/>
                <m:ctrlPr>
                  <w:rPr>
                    <w:rFonts w:ascii="Cambria Math" w:hAnsi="Cambria Math"/>
                  </w:rPr>
                </m:ctrlPr>
              </m:dPr>
              <m:e>
                <m:sSup>
                  <m:sSupPr>
                    <m:ctrlPr>
                      <w:rPr>
                        <w:rFonts w:ascii="Cambria Math" w:hAnsi="Cambria Math"/>
                      </w:rPr>
                    </m:ctrlPr>
                  </m:sSupPr>
                  <m:e>
                    <m:r>
                      <m:rPr>
                        <m:sty m:val="b"/>
                      </m:rPr>
                      <w:rPr>
                        <w:rFonts w:ascii="Cambria Math" w:hAnsi="Cambria Math"/>
                      </w:rPr>
                      <m:t>x</m:t>
                    </m:r>
                  </m:e>
                  <m:sup>
                    <m:r>
                      <w:rPr>
                        <w:rFonts w:ascii="Cambria Math" w:hAnsi="Cambria Math"/>
                      </w:rPr>
                      <m:t>f</m:t>
                    </m:r>
                  </m:sup>
                </m:sSup>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e>
            </m:d>
          </m:e>
        </m:d>
      </m:oMath>
      <w:r w:rsidR="006B5922">
        <w:rPr>
          <w:rFonts w:eastAsiaTheme="minorEastAsia"/>
        </w:rPr>
        <w:t>,                                   (2)</w:t>
      </w:r>
    </w:p>
    <w:p w:rsidR="00653CD6" w:rsidRDefault="006B5922" w:rsidP="006B5922">
      <w:pPr>
        <w:pStyle w:val="NoSpacing"/>
      </w:pPr>
      <w:r>
        <w:t>where</w:t>
      </w:r>
      <w:r w:rsidR="00BC3D3B" w:rsidRPr="006B5922">
        <w:t xml:space="preserve"> the forecast fields</w:t>
      </w:r>
      <w:r>
        <w:t xml:space="preserve">, </w:t>
      </w:r>
      <m:oMath>
        <m:sSup>
          <m:sSupPr>
            <m:ctrlPr>
              <w:rPr>
                <w:rFonts w:ascii="Cambria Math" w:hAnsi="Cambria Math"/>
              </w:rPr>
            </m:ctrlPr>
          </m:sSupPr>
          <m:e>
            <m:r>
              <m:rPr>
                <m:sty m:val="b"/>
              </m:rPr>
              <w:rPr>
                <w:rFonts w:ascii="Cambria Math" w:hAnsi="Cambria Math"/>
              </w:rPr>
              <m:t>x</m:t>
            </m:r>
          </m:e>
          <m:sup>
            <m:r>
              <w:rPr>
                <w:rFonts w:ascii="Cambria Math" w:hAnsi="Cambria Math"/>
              </w:rPr>
              <m:t>f</m:t>
            </m:r>
          </m:sup>
        </m:sSup>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oMath>
      <w:r>
        <w:t>,</w:t>
      </w:r>
      <w:r w:rsidR="00BC3D3B" w:rsidRPr="006B5922">
        <w:t xml:space="preserve"> </w:t>
      </w:r>
      <w:r w:rsidR="00653CD6">
        <w:t xml:space="preserve">are summed </w:t>
      </w:r>
      <w:r w:rsidR="00BC3D3B" w:rsidRPr="006B5922">
        <w:t>with the observational innovations</w:t>
      </w:r>
      <w:r w:rsidR="00653CD6">
        <w:t xml:space="preserve">, </w:t>
      </w:r>
      <m:oMath>
        <m:sSubSup>
          <m:sSubSupPr>
            <m:ctrlPr>
              <w:rPr>
                <w:rFonts w:ascii="Cambria Math" w:hAnsi="Cambria Math"/>
              </w:rPr>
            </m:ctrlPr>
          </m:sSubSupPr>
          <m:e>
            <m:r>
              <m:rPr>
                <m:sty m:val="b"/>
              </m:rPr>
              <w:rPr>
                <w:rFonts w:ascii="Cambria Math" w:hAnsi="Cambria Math"/>
              </w:rPr>
              <m:t>y</m:t>
            </m:r>
          </m:e>
          <m:sub>
            <m:r>
              <w:rPr>
                <w:rFonts w:ascii="Cambria Math" w:hAnsi="Cambria Math"/>
              </w:rPr>
              <m:t>i</m:t>
            </m:r>
          </m:sub>
          <m:sup>
            <m:r>
              <w:rPr>
                <w:rFonts w:ascii="Cambria Math" w:hAnsi="Cambria Math"/>
              </w:rPr>
              <m:t>o</m:t>
            </m:r>
          </m:sup>
        </m:sSubSup>
        <m:r>
          <m:rPr>
            <m:sty m:val="p"/>
          </m:rPr>
          <w:rPr>
            <w:rFonts w:ascii="Cambria Math" w:hAnsi="Cambria Math"/>
          </w:rPr>
          <m:t>-</m:t>
        </m:r>
        <m:r>
          <w:rPr>
            <w:rFonts w:ascii="Cambria Math" w:hAnsi="Cambria Math"/>
          </w:rPr>
          <m:t>H</m:t>
        </m:r>
        <m:d>
          <m:dPr>
            <m:begChr m:val="["/>
            <m:endChr m:val="]"/>
            <m:ctrlPr>
              <w:rPr>
                <w:rFonts w:ascii="Cambria Math" w:hAnsi="Cambria Math"/>
              </w:rPr>
            </m:ctrlPr>
          </m:dPr>
          <m:e>
            <m:sSup>
              <m:sSupPr>
                <m:ctrlPr>
                  <w:rPr>
                    <w:rFonts w:ascii="Cambria Math" w:hAnsi="Cambria Math"/>
                  </w:rPr>
                </m:ctrlPr>
              </m:sSupPr>
              <m:e>
                <m:r>
                  <m:rPr>
                    <m:sty m:val="b"/>
                  </m:rPr>
                  <w:rPr>
                    <w:rFonts w:ascii="Cambria Math" w:hAnsi="Cambria Math"/>
                  </w:rPr>
                  <m:t>x</m:t>
                </m:r>
              </m:e>
              <m:sup>
                <m:r>
                  <w:rPr>
                    <w:rFonts w:ascii="Cambria Math" w:hAnsi="Cambria Math"/>
                  </w:rPr>
                  <m:t>f</m:t>
                </m:r>
              </m:sup>
            </m:sSup>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e>
        </m:d>
        <m:r>
          <w:rPr>
            <w:rFonts w:ascii="Cambria Math" w:hAnsi="Cambria Math"/>
          </w:rPr>
          <m:t>,</m:t>
        </m:r>
      </m:oMath>
      <w:r w:rsidR="00BC3D3B" w:rsidRPr="006B5922">
        <w:t xml:space="preserve"> weighted by the Kalman gain matrix</w:t>
      </w:r>
      <w:r w:rsidR="00792592">
        <w:t xml:space="preserve">, </w:t>
      </w:r>
      <m:oMath>
        <m:sSub>
          <m:sSubPr>
            <m:ctrlPr>
              <w:rPr>
                <w:rFonts w:ascii="Cambria Math" w:hAnsi="Cambria Math"/>
                <w:i/>
              </w:rPr>
            </m:ctrlPr>
          </m:sSubPr>
          <m:e>
            <m:r>
              <m:rPr>
                <m:sty m:val="b"/>
              </m:rPr>
              <w:rPr>
                <w:rFonts w:ascii="Cambria Math" w:hAnsi="Cambria Math"/>
              </w:rPr>
              <m:t>K</m:t>
            </m:r>
          </m:e>
          <m:sub>
            <m:r>
              <w:rPr>
                <w:rFonts w:ascii="Cambria Math" w:hAnsi="Cambria Math"/>
              </w:rPr>
              <m:t>i</m:t>
            </m:r>
          </m:sub>
        </m:sSub>
      </m:oMath>
      <w:r w:rsidR="00BC3D3B" w:rsidRPr="006B5922">
        <w:t>, which is derived using the updated forecast error covariance</w:t>
      </w:r>
      <w:r w:rsidR="00792592">
        <w:t xml:space="preserve">, </w:t>
      </w:r>
      <m:oMath>
        <m:sSup>
          <m:sSupPr>
            <m:ctrlPr>
              <w:rPr>
                <w:rFonts w:ascii="Cambria Math" w:hAnsi="Cambria Math"/>
                <w:i/>
              </w:rPr>
            </m:ctrlPr>
          </m:sSupPr>
          <m:e>
            <m:r>
              <m:rPr>
                <m:sty m:val="b"/>
              </m:rPr>
              <w:rPr>
                <w:rFonts w:ascii="Cambria Math" w:hAnsi="Cambria Math"/>
              </w:rPr>
              <m:t>P</m:t>
            </m:r>
          </m:e>
          <m:sup>
            <m:r>
              <w:rPr>
                <w:rFonts w:ascii="Cambria Math" w:hAnsi="Cambria Math"/>
              </w:rPr>
              <m:t>f</m:t>
            </m:r>
          </m:sup>
        </m:s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oMath>
      <w:r w:rsidR="00792592">
        <w:rPr>
          <w:rFonts w:eastAsiaTheme="minorEastAsia"/>
        </w:rPr>
        <w:t>,</w:t>
      </w:r>
      <w:r w:rsidR="00BC3D3B" w:rsidRPr="006B5922">
        <w:t xml:space="preserve"> and observations error covariance</w:t>
      </w:r>
      <w:r w:rsidR="00792592">
        <w:t xml:space="preserve">, </w:t>
      </w:r>
      <m:oMath>
        <m:sSub>
          <m:sSubPr>
            <m:ctrlPr>
              <w:rPr>
                <w:rFonts w:ascii="Cambria Math" w:hAnsi="Cambria Math"/>
                <w:i/>
              </w:rPr>
            </m:ctrlPr>
          </m:sSubPr>
          <m:e>
            <m:r>
              <m:rPr>
                <m:sty m:val="b"/>
              </m:rPr>
              <w:rPr>
                <w:rFonts w:ascii="Cambria Math" w:hAnsi="Cambria Math"/>
              </w:rPr>
              <m:t>R</m:t>
            </m:r>
          </m:e>
          <m:sub>
            <m:r>
              <w:rPr>
                <w:rFonts w:ascii="Cambria Math" w:hAnsi="Cambria Math"/>
              </w:rPr>
              <m:t>i</m:t>
            </m:r>
          </m:sub>
        </m:sSub>
      </m:oMath>
      <w:r w:rsidR="00792592">
        <w:rPr>
          <w:rFonts w:eastAsiaTheme="minorEastAsia"/>
        </w:rPr>
        <w:t>,</w:t>
      </w:r>
      <w:r w:rsidR="00653CD6">
        <w:t xml:space="preserve"> using the equation,</w:t>
      </w:r>
    </w:p>
    <w:p w:rsidR="00653CD6" w:rsidRDefault="00D4287A" w:rsidP="00792592">
      <w:pPr>
        <w:pStyle w:val="NoSpacing"/>
        <w:jc w:val="right"/>
      </w:pPr>
      <m:oMath>
        <m:sSub>
          <m:sSubPr>
            <m:ctrlPr>
              <w:rPr>
                <w:rFonts w:ascii="Cambria Math" w:hAnsi="Cambria Math"/>
                <w:i/>
              </w:rPr>
            </m:ctrlPr>
          </m:sSubPr>
          <m:e>
            <m:r>
              <m:rPr>
                <m:sty m:val="b"/>
              </m:rPr>
              <w:rPr>
                <w:rFonts w:ascii="Cambria Math" w:hAnsi="Cambria Math"/>
              </w:rPr>
              <m:t>K</m:t>
            </m:r>
          </m:e>
          <m:sub>
            <m:r>
              <w:rPr>
                <w:rFonts w:ascii="Cambria Math" w:hAnsi="Cambria Math"/>
              </w:rPr>
              <m:t>i</m:t>
            </m:r>
          </m:sub>
        </m:sSub>
        <m:r>
          <w:rPr>
            <w:rFonts w:ascii="Cambria Math" w:hAnsi="Cambria Math"/>
          </w:rPr>
          <m:t>=</m:t>
        </m:r>
        <m:sSup>
          <m:sSupPr>
            <m:ctrlPr>
              <w:rPr>
                <w:rFonts w:ascii="Cambria Math" w:hAnsi="Cambria Math"/>
                <w:i/>
              </w:rPr>
            </m:ctrlPr>
          </m:sSupPr>
          <m:e>
            <m:r>
              <m:rPr>
                <m:sty m:val="b"/>
              </m:rPr>
              <w:rPr>
                <w:rFonts w:ascii="Cambria Math" w:hAnsi="Cambria Math"/>
              </w:rPr>
              <m:t>P</m:t>
            </m:r>
          </m:e>
          <m:sup>
            <m:r>
              <w:rPr>
                <w:rFonts w:ascii="Cambria Math" w:hAnsi="Cambria Math"/>
              </w:rPr>
              <m:t>f</m:t>
            </m:r>
          </m:sup>
        </m:s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sSubSup>
          <m:sSubSupPr>
            <m:ctrlPr>
              <w:rPr>
                <w:rFonts w:ascii="Cambria Math" w:hAnsi="Cambria Math"/>
                <w:i/>
              </w:rPr>
            </m:ctrlPr>
          </m:sSubSupPr>
          <m:e>
            <m:r>
              <m:rPr>
                <m:sty m:val="b"/>
              </m:rPr>
              <w:rPr>
                <w:rFonts w:ascii="Cambria Math" w:hAnsi="Cambria Math"/>
              </w:rPr>
              <m:t>H</m:t>
            </m:r>
          </m:e>
          <m:sub>
            <m:r>
              <w:rPr>
                <w:rFonts w:ascii="Cambria Math" w:hAnsi="Cambria Math"/>
              </w:rPr>
              <m:t>i</m:t>
            </m:r>
          </m:sub>
          <m:sup>
            <m:r>
              <w:rPr>
                <w:rFonts w:ascii="Cambria Math" w:hAnsi="Cambria Math"/>
              </w:rPr>
              <m:t>T</m:t>
            </m:r>
          </m:sup>
        </m:sSubSup>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m:sty m:val="b"/>
                      </m:rP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m:rPr>
                        <m:sty m:val="b"/>
                      </m:rPr>
                      <w:rPr>
                        <w:rFonts w:ascii="Cambria Math" w:hAnsi="Cambria Math"/>
                      </w:rPr>
                      <m:t>H</m:t>
                    </m:r>
                  </m:e>
                  <m:sub>
                    <m:r>
                      <w:rPr>
                        <w:rFonts w:ascii="Cambria Math" w:hAnsi="Cambria Math"/>
                      </w:rPr>
                      <m:t>i</m:t>
                    </m:r>
                  </m:sub>
                </m:sSub>
                <m:sSup>
                  <m:sSupPr>
                    <m:ctrlPr>
                      <w:rPr>
                        <w:rFonts w:ascii="Cambria Math" w:hAnsi="Cambria Math"/>
                        <w:i/>
                      </w:rPr>
                    </m:ctrlPr>
                  </m:sSupPr>
                  <m:e>
                    <m:r>
                      <m:rPr>
                        <m:sty m:val="b"/>
                      </m:rPr>
                      <w:rPr>
                        <w:rFonts w:ascii="Cambria Math" w:hAnsi="Cambria Math"/>
                      </w:rPr>
                      <m:t>P</m:t>
                    </m:r>
                  </m:e>
                  <m:sup>
                    <m:r>
                      <w:rPr>
                        <w:rFonts w:ascii="Cambria Math" w:hAnsi="Cambria Math"/>
                      </w:rPr>
                      <m:t>f</m:t>
                    </m:r>
                  </m:sup>
                </m:s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sSup>
                  <m:sSupPr>
                    <m:ctrlPr>
                      <w:rPr>
                        <w:rFonts w:ascii="Cambria Math" w:hAnsi="Cambria Math"/>
                        <w:i/>
                      </w:rPr>
                    </m:ctrlPr>
                  </m:sSupPr>
                  <m:e>
                    <m:r>
                      <m:rPr>
                        <m:sty m:val="b"/>
                      </m:rPr>
                      <w:rPr>
                        <w:rFonts w:ascii="Cambria Math" w:hAnsi="Cambria Math"/>
                      </w:rPr>
                      <m:t>H</m:t>
                    </m:r>
                  </m:e>
                  <m:sup>
                    <m:r>
                      <w:rPr>
                        <w:rFonts w:ascii="Cambria Math" w:hAnsi="Cambria Math"/>
                      </w:rPr>
                      <m:t>T</m:t>
                    </m:r>
                  </m:sup>
                </m:sSup>
              </m:e>
            </m:d>
          </m:e>
          <m:sup>
            <m:r>
              <w:rPr>
                <w:rFonts w:ascii="Cambria Math" w:hAnsi="Cambria Math"/>
              </w:rPr>
              <m:t>-1</m:t>
            </m:r>
          </m:sup>
        </m:sSup>
      </m:oMath>
      <w:r w:rsidR="00792592">
        <w:rPr>
          <w:rFonts w:eastAsiaTheme="minorEastAsia"/>
        </w:rPr>
        <w:t>.                                (3)</w:t>
      </w:r>
    </w:p>
    <w:p w:rsidR="00BC3D3B" w:rsidRPr="006B5922" w:rsidRDefault="00BC3D3B" w:rsidP="006B5922">
      <w:pPr>
        <w:pStyle w:val="NoSpacing"/>
      </w:pPr>
      <w:r w:rsidRPr="006B5922">
        <w:t>Most importantly, the forecast error covariances are estimated from the ensemble of forecasts (Evensen 1994). This allows for the adjustment of unobserved variables in the analysis assuming the ensemble can properly represent the error covariances. The EnKF process repeats itself until a desired analysis is generated for use as a reliable analysis or in a forecast system.</w:t>
      </w:r>
    </w:p>
    <w:p w:rsidR="00BC3D3B" w:rsidRPr="00BC3D3B" w:rsidRDefault="00BC3D3B" w:rsidP="006B5922">
      <w:pPr>
        <w:pStyle w:val="NoSpacing"/>
        <w:ind w:firstLine="720"/>
      </w:pPr>
      <w:r w:rsidRPr="006B5922">
        <w:t>Both</w:t>
      </w:r>
      <w:r w:rsidR="0048039D" w:rsidRPr="006B5922">
        <w:t xml:space="preserve"> data assimilation </w:t>
      </w:r>
      <w:r w:rsidRPr="006B5922">
        <w:t xml:space="preserve">techniques have advantages and disadvantages with respect to producing analyses. For example, EnKF has the advantage of </w:t>
      </w:r>
      <w:r w:rsidR="00E4491A" w:rsidRPr="006B5922">
        <w:t>using an ensemble of forecasts to estimate flow-dependent</w:t>
      </w:r>
      <w:r w:rsidRPr="006B5922">
        <w:t xml:space="preserve"> forecast error covariance</w:t>
      </w:r>
      <w:r w:rsidR="00E4491A" w:rsidRPr="006B5922">
        <w:t>s, and 3DVAR uses a time-invariant</w:t>
      </w:r>
      <w:r w:rsidRPr="006B5922">
        <w:t xml:space="preserve"> background (or forecast) error covariance matrix. 3DVAR has the advantage of being computationally</w:t>
      </w:r>
      <w:r w:rsidRPr="00BC3D3B">
        <w:t xml:space="preserve"> more efficient [</w:t>
      </w:r>
      <w:r w:rsidRPr="00BC3D3B">
        <w:rPr>
          <w:i/>
        </w:rPr>
        <w:t>O</w:t>
      </w:r>
      <w:r w:rsidRPr="00BC3D3B">
        <w:t xml:space="preserve">(10-100)] than EnKF, offering significantly lower cost to implement as well as lead-time advantages due to reduced latency. However, the majority of storm-scale NWP retrospective studies </w:t>
      </w:r>
      <w:r w:rsidRPr="00BC3D3B">
        <w:lastRenderedPageBreak/>
        <w:t>use EnKF likely due to EnKF affording itself to ensemble forecasting and its documented success over 3DVAR (</w:t>
      </w:r>
      <w:r w:rsidR="00100910">
        <w:t xml:space="preserve">e.g., </w:t>
      </w:r>
      <w:r w:rsidRPr="00BC3D3B">
        <w:t xml:space="preserve">Stensrud </w:t>
      </w:r>
      <w:r w:rsidR="00C565BF">
        <w:t>et al.,</w:t>
      </w:r>
      <w:r w:rsidRPr="00BC3D3B">
        <w:t xml:space="preserve"> 2013; Johnson </w:t>
      </w:r>
      <w:r w:rsidR="00C565BF">
        <w:t>et al.,</w:t>
      </w:r>
      <w:r w:rsidRPr="00BC3D3B">
        <w:t xml:space="preserve"> 2015). Even so, both</w:t>
      </w:r>
      <w:r w:rsidR="0048039D">
        <w:t xml:space="preserve"> data assimilation </w:t>
      </w:r>
      <w:r w:rsidRPr="00BC3D3B">
        <w:t xml:space="preserve">techniques can produce suitable analyses for storm-scale forecasting applications (e.g., WoF; Stensrud </w:t>
      </w:r>
      <w:r w:rsidR="00C565BF">
        <w:t>et al.,</w:t>
      </w:r>
      <w:r w:rsidRPr="00BC3D3B">
        <w:t xml:space="preserve"> 2013).</w:t>
      </w:r>
    </w:p>
    <w:p w:rsidR="00BC3D3B" w:rsidRPr="00BC3D3B" w:rsidRDefault="00BC3D3B" w:rsidP="00AD7AED">
      <w:pPr>
        <w:pStyle w:val="NoSpacing"/>
        <w:ind w:firstLine="720"/>
      </w:pPr>
      <w:r w:rsidRPr="00BC3D3B">
        <w:t>Numerous studies have investigated the sensitivities of cloud and</w:t>
      </w:r>
      <w:r w:rsidR="00100910">
        <w:t xml:space="preserve"> precipitation microphysics</w:t>
      </w:r>
      <w:r w:rsidRPr="00BC3D3B">
        <w:t xml:space="preserve"> parameterization schemes (e.g., Dawson </w:t>
      </w:r>
      <w:r w:rsidR="00C565BF">
        <w:t>et al.,</w:t>
      </w:r>
      <w:r w:rsidRPr="00BC3D3B">
        <w:t xml:space="preserve"> 2010, 2015; Putnam </w:t>
      </w:r>
      <w:r w:rsidR="00C565BF">
        <w:t>et al.,</w:t>
      </w:r>
      <w:r w:rsidRPr="00BC3D3B">
        <w:t xml:space="preserve"> 2014; Wainwright </w:t>
      </w:r>
      <w:r w:rsidR="00C565BF">
        <w:t>et al.,</w:t>
      </w:r>
      <w:r w:rsidRPr="00BC3D3B">
        <w:t xml:space="preserve"> 2014; Wheatley </w:t>
      </w:r>
      <w:r w:rsidR="00C565BF">
        <w:t>et al.,</w:t>
      </w:r>
      <w:r w:rsidRPr="00BC3D3B">
        <w:t xml:space="preserve"> 2014; Yussouf </w:t>
      </w:r>
      <w:r w:rsidR="00C565BF">
        <w:t>et al.,</w:t>
      </w:r>
      <w:r w:rsidRPr="00BC3D3B">
        <w:t xml:space="preserve"> 2013), model grid spacing (e.g., Potvin and Flora 2015; Dowell </w:t>
      </w:r>
      <w:r w:rsidR="00C565BF">
        <w:t xml:space="preserve">et al., </w:t>
      </w:r>
      <w:r w:rsidRPr="00BC3D3B">
        <w:t xml:space="preserve">2015; Schwartz </w:t>
      </w:r>
      <w:r w:rsidR="00C565BF">
        <w:t xml:space="preserve">et al., </w:t>
      </w:r>
      <w:r w:rsidRPr="00BC3D3B">
        <w:t xml:space="preserve">2009; Kain </w:t>
      </w:r>
      <w:r w:rsidR="00C565BF">
        <w:t xml:space="preserve">et al., </w:t>
      </w:r>
      <w:r w:rsidRPr="00BC3D3B">
        <w:t xml:space="preserve">2008; Johnson </w:t>
      </w:r>
      <w:r w:rsidR="00C565BF">
        <w:t xml:space="preserve">et al., </w:t>
      </w:r>
      <w:r w:rsidRPr="00BC3D3B">
        <w:t xml:space="preserve">2013), and assimilating various sources of data (e.g., Snook </w:t>
      </w:r>
      <w:r w:rsidR="00C565BF">
        <w:t xml:space="preserve">et al., </w:t>
      </w:r>
      <w:r w:rsidRPr="00BC3D3B">
        <w:t xml:space="preserve">2011; Jones </w:t>
      </w:r>
      <w:r w:rsidR="00C565BF">
        <w:t xml:space="preserve">et al., </w:t>
      </w:r>
      <w:r w:rsidRPr="00BC3D3B">
        <w:t xml:space="preserve">2015; Xue </w:t>
      </w:r>
      <w:r w:rsidR="00C565BF">
        <w:t xml:space="preserve">et al., </w:t>
      </w:r>
      <w:r w:rsidRPr="00BC3D3B">
        <w:t xml:space="preserve">2006; Dawson </w:t>
      </w:r>
      <w:r w:rsidR="00C565BF">
        <w:t xml:space="preserve">et al., </w:t>
      </w:r>
      <w:r w:rsidRPr="00BC3D3B">
        <w:t>2012; Sobash and Stensrud</w:t>
      </w:r>
      <w:r w:rsidR="00C565BF">
        <w:t>,</w:t>
      </w:r>
      <w:r w:rsidRPr="00BC3D3B">
        <w:t xml:space="preserve"> 2015) on storm-scale forecasts. All</w:t>
      </w:r>
      <w:r w:rsidR="00C565BF">
        <w:t xml:space="preserve"> microphysics</w:t>
      </w:r>
      <w:r w:rsidRPr="00BC3D3B">
        <w:t>-related studies comparing different</w:t>
      </w:r>
      <w:r w:rsidR="00C565BF">
        <w:t xml:space="preserve"> microphysics </w:t>
      </w:r>
      <w:r w:rsidRPr="00BC3D3B">
        <w:t>schemes come to the general conclusion that multi-moment</w:t>
      </w:r>
      <w:r w:rsidR="00C565BF">
        <w:t xml:space="preserve"> microphysics</w:t>
      </w:r>
      <w:r w:rsidRPr="00BC3D3B">
        <w:t xml:space="preserve"> schemes produce better forecasts of idealized and real supercells (Dawson </w:t>
      </w:r>
      <w:r w:rsidR="00C565BF">
        <w:t xml:space="preserve">et al., </w:t>
      </w:r>
      <w:r w:rsidRPr="00BC3D3B">
        <w:t xml:space="preserve">2010, 2015; Yussouf </w:t>
      </w:r>
      <w:r w:rsidR="00C565BF">
        <w:t xml:space="preserve">et al., </w:t>
      </w:r>
      <w:r w:rsidRPr="00BC3D3B">
        <w:t xml:space="preserve">2013) and mesoscale convective systems (MCSs; Wheatley </w:t>
      </w:r>
      <w:r w:rsidR="00C565BF">
        <w:t xml:space="preserve">et al., </w:t>
      </w:r>
      <w:r w:rsidRPr="00BC3D3B">
        <w:t>2014) than single-moment</w:t>
      </w:r>
      <w:r w:rsidR="00C565BF">
        <w:t xml:space="preserve"> microphysics</w:t>
      </w:r>
      <w:r w:rsidRPr="00BC3D3B">
        <w:t xml:space="preserve"> schemes. </w:t>
      </w:r>
    </w:p>
    <w:p w:rsidR="00BC3D3B" w:rsidRPr="00BC3D3B" w:rsidRDefault="00BC3D3B" w:rsidP="00AD7AED">
      <w:pPr>
        <w:pStyle w:val="NoSpacing"/>
        <w:ind w:firstLine="720"/>
      </w:pPr>
      <w:r w:rsidRPr="00BC3D3B">
        <w:t xml:space="preserve">Kain et al. (2008) and Schwartz et al. (2009) concluded that using a smaller grid spacing (e.g., 4 km vs 2 km) doesn’t appreciably improve forecast value and skill at smaller scales for 18–36-h forecasts. However, Johnson et al. (2013) found that 1-km forecasts of precipitation features added some skill on the scales not resolvable by 4-km forecasts (i.e., objects &gt; ~16 km in size) but resolvable by 1-km forecasts (i.e., objects &gt; ~4 km in size but &lt; ~16 km in size). Additionally, Potvin and Flora (2015) and Dowell et al. (2015) both determine using simulations of idealized and real cases, respectively, that 1-km forecasts exhibit better representations of supercell features (e.g., low-level </w:t>
      </w:r>
      <w:r w:rsidRPr="00BC3D3B">
        <w:lastRenderedPageBreak/>
        <w:t xml:space="preserve">rotation tracks and intensity) than 2-, 3-, or 4-km forecasts, but the differences among 1-, 2-, and 3-km forecasts of supercells are smaller than between 3- and 4-km forecasts. </w:t>
      </w:r>
    </w:p>
    <w:p w:rsidR="00BC3D3B" w:rsidRPr="00BC3D3B" w:rsidRDefault="00BC3D3B" w:rsidP="00AD7AED">
      <w:pPr>
        <w:pStyle w:val="NoSpacing"/>
        <w:ind w:firstLine="720"/>
      </w:pPr>
      <w:r w:rsidRPr="00BC3D3B">
        <w:t xml:space="preserve">A plethora of studies have investigated the impact of assimilating data from in-situ (e.g., Schenkman </w:t>
      </w:r>
      <w:r w:rsidR="00C565BF">
        <w:t xml:space="preserve">et al., </w:t>
      </w:r>
      <w:r w:rsidRPr="00BC3D3B">
        <w:t>2011; Sobash and Stensrud</w:t>
      </w:r>
      <w:r w:rsidR="00C565BF">
        <w:t>,</w:t>
      </w:r>
      <w:r w:rsidRPr="00BC3D3B">
        <w:t xml:space="preserve"> 2015) and remote sensing (e.g., Jones 2015; Dawson </w:t>
      </w:r>
      <w:r w:rsidR="00C565BF">
        <w:t xml:space="preserve">et al., </w:t>
      </w:r>
      <w:r w:rsidRPr="00BC3D3B">
        <w:t xml:space="preserve">2012; Dowell </w:t>
      </w:r>
      <w:r w:rsidR="00C565BF">
        <w:t xml:space="preserve">et al., </w:t>
      </w:r>
      <w:r w:rsidRPr="00BC3D3B">
        <w:t xml:space="preserve">2011; Schenkman </w:t>
      </w:r>
      <w:r w:rsidR="00C565BF">
        <w:t xml:space="preserve">et al., </w:t>
      </w:r>
      <w:r w:rsidRPr="00BC3D3B">
        <w:t xml:space="preserve">2011; Xue </w:t>
      </w:r>
      <w:r w:rsidR="00C565BF">
        <w:t xml:space="preserve">et al., </w:t>
      </w:r>
      <w:r w:rsidRPr="00BC3D3B">
        <w:t xml:space="preserve">2006; Stratman </w:t>
      </w:r>
      <w:r w:rsidR="00C565BF">
        <w:t xml:space="preserve">et al., </w:t>
      </w:r>
      <w:r w:rsidRPr="00BC3D3B">
        <w:t>2013; Potvin and Wicker</w:t>
      </w:r>
      <w:r w:rsidR="00C565BF">
        <w:t>,</w:t>
      </w:r>
      <w:r w:rsidRPr="00BC3D3B">
        <w:t xml:space="preserve"> 2013) observations. Schenkman et al. </w:t>
      </w:r>
      <w:r w:rsidR="00C565BF">
        <w:t>(</w:t>
      </w:r>
      <w:r w:rsidRPr="00BC3D3B">
        <w:t>2011</w:t>
      </w:r>
      <w:r w:rsidR="00C565BF">
        <w:t>)</w:t>
      </w:r>
      <w:r w:rsidRPr="00BC3D3B">
        <w:t xml:space="preserve"> concluded that assimilating Oklahoma Mesonet observations (Brock </w:t>
      </w:r>
      <w:r w:rsidR="00C565BF">
        <w:t xml:space="preserve">et al., </w:t>
      </w:r>
      <w:r w:rsidRPr="00BC3D3B">
        <w:t xml:space="preserve">1995) substantially improves storm-scale analyses and forecasts when low-level Collaborative Adaptive Sensing of the Atmosphere (CASA) IP-1 </w:t>
      </w:r>
      <w:r w:rsidR="00100910">
        <w:t xml:space="preserve">X-band </w:t>
      </w:r>
      <w:r w:rsidRPr="00BC3D3B">
        <w:t xml:space="preserve">(McLaughlin </w:t>
      </w:r>
      <w:r w:rsidR="00C565BF">
        <w:t xml:space="preserve">et al., </w:t>
      </w:r>
      <w:r w:rsidRPr="00BC3D3B">
        <w:t xml:space="preserve">2009) radar radial velocity </w:t>
      </w:r>
      <w:r w:rsidR="00DB0979">
        <w:t>data are</w:t>
      </w:r>
      <w:r w:rsidRPr="00BC3D3B">
        <w:t xml:space="preserve"> withheld from the assimilation process, but there is still at least some benefit to assimilating Mesonet data even when CASA radar </w:t>
      </w:r>
      <w:r w:rsidR="00DB0979">
        <w:t>data are</w:t>
      </w:r>
      <w:r w:rsidRPr="00BC3D3B">
        <w:t xml:space="preserve"> also assimilated. Sobash and Stensrud (2015) found that convective initiation (CI) times and locations were improved for their case study by utilizing the spatially and temporally higher-resolution Mesonet data. From Dowell et al. (2011), simulated storms develop more quickly when both Weather Surveillance Radar-1988 Doppler (WSR-88D) </w:t>
      </w:r>
      <w:r w:rsidR="00100910">
        <w:t xml:space="preserve">S-band </w:t>
      </w:r>
      <w:r w:rsidRPr="00BC3D3B">
        <w:t>radar reflectivity and radial velocity data are employed in the assimilation process. Stratman et al. (2013) demonstrated that assimilating radar data yields some benefit at mesoscales, but not at convective scales. The assimilation of both cloud water path</w:t>
      </w:r>
      <w:r w:rsidRPr="00BC3D3B">
        <w:rPr>
          <w:rFonts w:ascii="Calibri" w:hAnsi="Calibri"/>
        </w:rPr>
        <w:t xml:space="preserve"> </w:t>
      </w:r>
      <w:r w:rsidRPr="00BC3D3B">
        <w:t xml:space="preserve">retrievals from satellites and </w:t>
      </w:r>
      <w:r w:rsidR="00100910">
        <w:t>WSR-88D</w:t>
      </w:r>
      <w:r w:rsidRPr="00BC3D3B">
        <w:t xml:space="preserve"> radar reflectivity and radial velocity data helps analyses and forecasts spin storms up faster, suppress spurious convection, and better predict CI (Jones et al.</w:t>
      </w:r>
      <w:r w:rsidR="00C565BF">
        <w:t>,</w:t>
      </w:r>
      <w:r w:rsidRPr="00BC3D3B">
        <w:t xml:space="preserve"> 2015). Dawson et al. (2012) show</w:t>
      </w:r>
      <w:r w:rsidR="00100910">
        <w:t>ed</w:t>
      </w:r>
      <w:r w:rsidRPr="00BC3D3B">
        <w:t xml:space="preserve"> the substantial impact of using varying WSR-88D velocity-azimuth display (VAD) wind profiles on forecasting 4 May 2007 Greensburg, Kansas tornadic mesocyclones. Also, </w:t>
      </w:r>
      <w:r w:rsidRPr="00BC3D3B">
        <w:lastRenderedPageBreak/>
        <w:t>both the location of radars relative to supercells (e.g., Potvin and Wicker</w:t>
      </w:r>
      <w:r w:rsidR="00C565BF">
        <w:t>,</w:t>
      </w:r>
      <w:r w:rsidRPr="00BC3D3B">
        <w:t xml:space="preserve"> 2013) and the number and type of radars in a network used in the assimilation process (Xue </w:t>
      </w:r>
      <w:r w:rsidR="00C565BF">
        <w:t xml:space="preserve">et al., </w:t>
      </w:r>
      <w:r w:rsidRPr="00BC3D3B">
        <w:t>2006) can considerably alter forecasts of storms.</w:t>
      </w:r>
    </w:p>
    <w:p w:rsidR="00BC3D3B" w:rsidRDefault="00BC3D3B" w:rsidP="00AD7AED">
      <w:pPr>
        <w:pStyle w:val="NoSpacing"/>
        <w:ind w:firstLine="720"/>
      </w:pPr>
      <w:r w:rsidRPr="00BC3D3B">
        <w:t>The accumulation of findings from these recent storm-scale NWP studies has yielded several positive steps toward realizing the substantial benefits to short-term, storm-scale forecasting, including o</w:t>
      </w:r>
      <w:r w:rsidR="00100910">
        <w:t xml:space="preserve">perational implementation of real-time </w:t>
      </w:r>
      <w:r w:rsidR="00682F39">
        <w:t>forecasting systems</w:t>
      </w:r>
      <w:r w:rsidRPr="00BC3D3B">
        <w:t>, but more research is needed to further improve current forecast systems. This study will address some questions related to using various</w:t>
      </w:r>
      <w:r w:rsidR="00C565BF">
        <w:t xml:space="preserve"> microphysics </w:t>
      </w:r>
      <w:r w:rsidRPr="00BC3D3B">
        <w:t>schemes, assimilating CASA radar data, and exploring assimilation techniques with the aim of benefiting convection-allowing, storm-scale models.</w:t>
      </w:r>
    </w:p>
    <w:p w:rsidR="00F255DA" w:rsidRPr="00E978CD" w:rsidRDefault="00E978CD" w:rsidP="00E978CD">
      <w:pPr>
        <w:rPr>
          <w:rFonts w:ascii="Times New Roman" w:hAnsi="Times New Roman"/>
          <w:sz w:val="24"/>
        </w:rPr>
      </w:pPr>
      <w:r>
        <w:br w:type="page"/>
      </w:r>
    </w:p>
    <w:p w:rsidR="00BC3D3B" w:rsidRPr="00BC3D3B" w:rsidRDefault="00BC3D3B" w:rsidP="00265B07">
      <w:pPr>
        <w:pStyle w:val="Heading2"/>
        <w:rPr>
          <w:rFonts w:eastAsia="Times New Roman"/>
        </w:rPr>
      </w:pPr>
      <w:bookmarkStart w:id="13" w:name="_Toc448742065"/>
      <w:r w:rsidRPr="00BC3D3B">
        <w:rPr>
          <w:rFonts w:eastAsia="Times New Roman"/>
        </w:rPr>
        <w:lastRenderedPageBreak/>
        <w:t>1.3 Hypotheses and Contributions</w:t>
      </w:r>
      <w:bookmarkEnd w:id="13"/>
    </w:p>
    <w:p w:rsidR="00BC3D3B" w:rsidRPr="00BC3D3B" w:rsidRDefault="00BC3D3B" w:rsidP="00AD7AED">
      <w:pPr>
        <w:pStyle w:val="NoSpacing"/>
        <w:ind w:firstLine="720"/>
      </w:pPr>
      <w:r w:rsidRPr="00BC3D3B">
        <w:t>This dissertation presents a series of experiments addressing specific topics related to storm-scale NWP using data collected during the 24 May 201</w:t>
      </w:r>
      <w:r w:rsidR="00682F39">
        <w:t>1 tornado outbreak in Oklahoma.</w:t>
      </w:r>
      <w:r w:rsidRPr="00BC3D3B">
        <w:t xml:space="preserve"> Although this work focuses on results from a single day, there are multiple storms during the day representing an isolated supercell and then other </w:t>
      </w:r>
      <w:r w:rsidR="00682F39">
        <w:t>supercells</w:t>
      </w:r>
      <w:r w:rsidRPr="00BC3D3B">
        <w:t xml:space="preserve"> with increasi</w:t>
      </w:r>
      <w:r w:rsidR="00682F39">
        <w:t>ng levels of storm interaction.</w:t>
      </w:r>
      <w:r w:rsidRPr="00BC3D3B">
        <w:t xml:space="preserve"> The design</w:t>
      </w:r>
      <w:r w:rsidR="00871E8C">
        <w:t xml:space="preserve"> of each experiment is</w:t>
      </w:r>
      <w:r w:rsidRPr="00BC3D3B">
        <w:t xml:space="preserve"> planned with a potential future real-time storm-resolving forecasting </w:t>
      </w:r>
      <w:r w:rsidR="00682F39">
        <w:t xml:space="preserve">system </w:t>
      </w:r>
      <w:r w:rsidRPr="00BC3D3B">
        <w:t>in mind. The hypotheses to be tested include:</w:t>
      </w:r>
    </w:p>
    <w:p w:rsidR="00BC3D3B" w:rsidRPr="00BC3D3B" w:rsidRDefault="00BC3D3B" w:rsidP="00AD7AED">
      <w:pPr>
        <w:pStyle w:val="NoSpacing"/>
        <w:numPr>
          <w:ilvl w:val="0"/>
          <w:numId w:val="3"/>
        </w:numPr>
      </w:pPr>
      <w:r w:rsidRPr="00BC3D3B">
        <w:t>Multi-moment</w:t>
      </w:r>
      <w:r w:rsidR="00C565BF">
        <w:t xml:space="preserve"> microphysics </w:t>
      </w:r>
      <w:r w:rsidRPr="00BC3D3B">
        <w:t xml:space="preserve">schemes </w:t>
      </w:r>
      <w:r w:rsidR="00BD7EC5">
        <w:t>yield</w:t>
      </w:r>
      <w:r w:rsidRPr="00BC3D3B">
        <w:t xml:space="preserve"> smal</w:t>
      </w:r>
      <w:r w:rsidR="00682F39">
        <w:t xml:space="preserve">ler </w:t>
      </w:r>
      <w:r w:rsidR="00BD7EC5">
        <w:t xml:space="preserve">forecast </w:t>
      </w:r>
      <w:r w:rsidR="00682F39">
        <w:t>errors than single-moment microphysics</w:t>
      </w:r>
      <w:r w:rsidRPr="00BC3D3B">
        <w:t xml:space="preserve"> schemes (confirming prior studies).</w:t>
      </w:r>
    </w:p>
    <w:p w:rsidR="00BC3D3B" w:rsidRPr="00BC3D3B" w:rsidRDefault="00BC3D3B" w:rsidP="00AD7AED">
      <w:pPr>
        <w:pStyle w:val="NoSpacing"/>
        <w:numPr>
          <w:ilvl w:val="0"/>
          <w:numId w:val="3"/>
        </w:numPr>
      </w:pPr>
      <w:r w:rsidRPr="00BC3D3B">
        <w:t xml:space="preserve">Assimilating CASA radar data </w:t>
      </w:r>
      <w:r w:rsidR="00BD7EC5">
        <w:t xml:space="preserve">produces </w:t>
      </w:r>
      <w:r w:rsidRPr="00BC3D3B">
        <w:t>better forecasts of convection within the CASA radar network than not assimilating CASA radar data.</w:t>
      </w:r>
    </w:p>
    <w:p w:rsidR="00BC3D3B" w:rsidRPr="00BC3D3B" w:rsidRDefault="00BC3D3B" w:rsidP="00AD7AED">
      <w:pPr>
        <w:pStyle w:val="NoSpacing"/>
        <w:numPr>
          <w:ilvl w:val="0"/>
          <w:numId w:val="3"/>
        </w:numPr>
      </w:pPr>
      <w:r w:rsidRPr="00BC3D3B">
        <w:t>When radial velocity and reflectivity data from the Tw</w:t>
      </w:r>
      <w:r w:rsidR="00556C66">
        <w:t>in Lakes (KTLX) WSR-88D radar are</w:t>
      </w:r>
      <w:r w:rsidRPr="00BC3D3B">
        <w:t xml:space="preserve"> withheld from data assimilation, the CASA radar network, along with the other surroun</w:t>
      </w:r>
      <w:r w:rsidR="006F1654">
        <w:t>ding WSR-88D radars, are</w:t>
      </w:r>
      <w:r w:rsidR="00BD7EC5">
        <w:t xml:space="preserve"> able to </w:t>
      </w:r>
      <w:r w:rsidRPr="00BC3D3B">
        <w:t>prevent the loss of forecast skill.</w:t>
      </w:r>
    </w:p>
    <w:p w:rsidR="00BC3D3B" w:rsidRPr="00BC3D3B" w:rsidRDefault="00BC3D3B" w:rsidP="00AD7AED">
      <w:pPr>
        <w:pStyle w:val="NoSpacing"/>
        <w:numPr>
          <w:ilvl w:val="0"/>
          <w:numId w:val="3"/>
        </w:numPr>
      </w:pPr>
      <w:r w:rsidRPr="00BC3D3B">
        <w:t xml:space="preserve">IAU with </w:t>
      </w:r>
      <w:r w:rsidR="00AF1212">
        <w:t xml:space="preserve">analysis </w:t>
      </w:r>
      <w:r w:rsidRPr="00BC3D3B">
        <w:t xml:space="preserve">cycling, as opposed to IAU with no </w:t>
      </w:r>
      <w:r w:rsidR="00AF1212">
        <w:t xml:space="preserve">analysis </w:t>
      </w:r>
      <w:r w:rsidRPr="00BC3D3B">
        <w:t xml:space="preserve">cycling, leads to better forecasts of </w:t>
      </w:r>
      <w:r w:rsidR="00BD7EC5">
        <w:t>low-level circulations</w:t>
      </w:r>
      <w:r w:rsidRPr="00BC3D3B">
        <w:t>.</w:t>
      </w:r>
    </w:p>
    <w:p w:rsidR="00BC3D3B" w:rsidRPr="00BC3D3B" w:rsidRDefault="00BC3D3B" w:rsidP="006F1654">
      <w:pPr>
        <w:pStyle w:val="NoSpacing"/>
        <w:numPr>
          <w:ilvl w:val="0"/>
          <w:numId w:val="3"/>
        </w:numPr>
      </w:pPr>
      <w:r w:rsidRPr="00BC3D3B">
        <w:t>Introducing temperature, wind, and water vapor field increments before cloud and precipit</w:t>
      </w:r>
      <w:r w:rsidR="006F1654">
        <w:t>ation microphysics</w:t>
      </w:r>
      <w:r w:rsidRPr="00BC3D3B">
        <w:t xml:space="preserve"> field increments </w:t>
      </w:r>
      <w:r w:rsidR="00BD7EC5">
        <w:t xml:space="preserve">during IAU windows </w:t>
      </w:r>
      <w:r w:rsidRPr="00BC3D3B">
        <w:t>better maintains initial simulated storms than inserting</w:t>
      </w:r>
      <w:r w:rsidR="006F1654">
        <w:t xml:space="preserve"> </w:t>
      </w:r>
      <w:r w:rsidR="006F1654" w:rsidRPr="006F1654">
        <w:t>increments using the same temporal distribution for all variables.</w:t>
      </w:r>
    </w:p>
    <w:p w:rsidR="00BC3D3B" w:rsidRPr="00BC3D3B" w:rsidRDefault="00BC3D3B" w:rsidP="00AD7AED">
      <w:pPr>
        <w:pStyle w:val="NoSpacing"/>
        <w:numPr>
          <w:ilvl w:val="0"/>
          <w:numId w:val="3"/>
        </w:numPr>
      </w:pPr>
      <w:r w:rsidRPr="00BC3D3B">
        <w:lastRenderedPageBreak/>
        <w:t xml:space="preserve">Using a new verification technique </w:t>
      </w:r>
      <w:r w:rsidR="00871E8C">
        <w:t xml:space="preserve">(as described in Section 3.3) </w:t>
      </w:r>
      <w:r w:rsidRPr="00BC3D3B">
        <w:t xml:space="preserve">for </w:t>
      </w:r>
      <w:r w:rsidR="00BD7EC5">
        <w:t xml:space="preserve">low-level </w:t>
      </w:r>
      <w:r w:rsidRPr="00BC3D3B">
        <w:t>rotation centers in conjunction with other objective verification metrics can quantitatively indicate forecast skill to help elucidate sources of error or possible improvement.</w:t>
      </w:r>
    </w:p>
    <w:p w:rsidR="00BC3D3B" w:rsidRPr="00BC3D3B" w:rsidRDefault="00BC3D3B" w:rsidP="00AD7AED">
      <w:pPr>
        <w:pStyle w:val="NoSpacing"/>
        <w:ind w:firstLine="720"/>
      </w:pPr>
      <w:r w:rsidRPr="00BC3D3B">
        <w:t xml:space="preserve">By testing these hypotheses, a number of new contributions can be made to the greater understanding of storm-scale NWP. A new objective verification technique is utilized to determine location and timing errors for simulated circulation centers. All of the projects employ for the first time the recently updated Advanced Regional Prediction System’s (ARPS; Xue </w:t>
      </w:r>
      <w:r w:rsidR="00C565BF">
        <w:t xml:space="preserve">et al., </w:t>
      </w:r>
      <w:r w:rsidRPr="00BC3D3B">
        <w:t xml:space="preserve">2000, 2001, </w:t>
      </w:r>
      <w:r w:rsidR="00355EC3">
        <w:t>2003) data assimilation system</w:t>
      </w:r>
      <w:r w:rsidRPr="00BC3D3B">
        <w:t xml:space="preserve"> (ADAS) complex cloud analysis package (Hu et al., 2006a,b; Brewster and Stratman</w:t>
      </w:r>
      <w:r w:rsidR="00AF1212">
        <w:t>,</w:t>
      </w:r>
      <w:r w:rsidRPr="00BC3D3B">
        <w:t xml:space="preserve"> 2015). This is the first known study to examine the impact of assimilating CASA radar data on simulated supercells using real data and full model physics, implementing IAU and </w:t>
      </w:r>
      <w:r w:rsidR="00AF1212">
        <w:t xml:space="preserve">analysis </w:t>
      </w:r>
      <w:r w:rsidRPr="00BC3D3B">
        <w:t>cycling, and introducing variable</w:t>
      </w:r>
      <w:r w:rsidR="00AF1212">
        <w:t>-dependent temporal distributions of increments</w:t>
      </w:r>
      <w:r w:rsidRPr="00BC3D3B">
        <w:t xml:space="preserve"> (Brewster </w:t>
      </w:r>
      <w:r w:rsidR="00C565BF">
        <w:t xml:space="preserve">et al., </w:t>
      </w:r>
      <w:r w:rsidRPr="00BC3D3B">
        <w:t>2015</w:t>
      </w:r>
      <w:r w:rsidR="00AF1212">
        <w:t>; Brewster and Stratman, 2016</w:t>
      </w:r>
      <w:r w:rsidRPr="00BC3D3B">
        <w:t>)</w:t>
      </w:r>
      <w:r w:rsidR="00AF1212">
        <w:t xml:space="preserve"> while </w:t>
      </w:r>
      <w:r w:rsidR="00DF4318">
        <w:t>utilizing</w:t>
      </w:r>
      <w:r w:rsidR="00AF1212">
        <w:t xml:space="preserve"> a microphysically-diverse set of simulations</w:t>
      </w:r>
      <w:r w:rsidRPr="00BC3D3B">
        <w:t xml:space="preserve">. </w:t>
      </w:r>
    </w:p>
    <w:p w:rsidR="00BC3D3B" w:rsidRPr="00BC3D3B" w:rsidRDefault="00E978CD" w:rsidP="00E978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D3B" w:rsidRPr="00BC3D3B" w:rsidRDefault="00BC3D3B" w:rsidP="00265B07">
      <w:pPr>
        <w:pStyle w:val="Heading2"/>
        <w:rPr>
          <w:rFonts w:eastAsia="Times New Roman"/>
        </w:rPr>
      </w:pPr>
      <w:bookmarkStart w:id="14" w:name="_Toc448742066"/>
      <w:r w:rsidRPr="00BC3D3B">
        <w:rPr>
          <w:rFonts w:eastAsia="Times New Roman"/>
        </w:rPr>
        <w:lastRenderedPageBreak/>
        <w:t>1.4 Outline of Dissertation</w:t>
      </w:r>
      <w:bookmarkEnd w:id="14"/>
    </w:p>
    <w:p w:rsidR="00BC3D3B" w:rsidRDefault="00BC3D3B" w:rsidP="00AD7AED">
      <w:pPr>
        <w:pStyle w:val="NoSpacing"/>
        <w:ind w:firstLine="720"/>
      </w:pPr>
      <w:r w:rsidRPr="00BC3D3B">
        <w:t xml:space="preserve">In Chapter 2, an overview of the 24 May 2011 Oklahoma tornado outbreak is presented with an introduction of the event, a synoptic and mesoscale overview, a tornado overview, and a section on event-related studies. Verification metrics and methods are described in Chapter 3 with an introduction to verification, a detailing of the types of verification metrics, and the verification methodology for this study. The </w:t>
      </w:r>
      <w:r w:rsidR="00DF4318">
        <w:t>sensitivities</w:t>
      </w:r>
      <w:r w:rsidRPr="00BC3D3B">
        <w:t xml:space="preserve"> of various microphysics schemes in </w:t>
      </w:r>
      <w:r w:rsidR="00DF4318">
        <w:t>storm-scale</w:t>
      </w:r>
      <w:r w:rsidRPr="00BC3D3B">
        <w:t xml:space="preserve"> forecasts are presented in Chapter 4. In Chapter 5, the impacts of assimilating CASA radar data on storm-scale forecasts are demonstrated. The impacts </w:t>
      </w:r>
      <w:r w:rsidR="00871E8C">
        <w:t xml:space="preserve">of </w:t>
      </w:r>
      <w:r w:rsidR="00DF4318">
        <w:t>analysis cycling,</w:t>
      </w:r>
      <w:r w:rsidRPr="00BC3D3B">
        <w:t xml:space="preserve"> variable-dependent IAU</w:t>
      </w:r>
      <w:r w:rsidR="00DF4318">
        <w:t>, and the combination of both data assimilation techniques</w:t>
      </w:r>
      <w:r w:rsidRPr="00BC3D3B">
        <w:t xml:space="preserve"> on storm-scale forecasts are presented in Chapter 6. All three results chapters include subsections on introduct</w:t>
      </w:r>
      <w:r w:rsidR="006F1654">
        <w:t>ion and background, experiment</w:t>
      </w:r>
      <w:r w:rsidRPr="00BC3D3B">
        <w:t xml:space="preserve"> design, and </w:t>
      </w:r>
      <w:r w:rsidR="00DF4318">
        <w:t xml:space="preserve">verification </w:t>
      </w:r>
      <w:r w:rsidRPr="00BC3D3B">
        <w:t xml:space="preserve">results for </w:t>
      </w:r>
      <w:r w:rsidR="00DF4318">
        <w:t xml:space="preserve">near-surface variables, </w:t>
      </w:r>
      <w:r w:rsidR="00540E01">
        <w:t xml:space="preserve">simulated composite reflectivity, and low-level circulations from </w:t>
      </w:r>
      <w:r w:rsidRPr="00BC3D3B">
        <w:t>three supercells of interest. Finally, Chapter 7 features a general</w:t>
      </w:r>
      <w:r w:rsidR="00540E01">
        <w:t xml:space="preserve"> summary of the dissertation, summaries</w:t>
      </w:r>
      <w:r w:rsidRPr="00BC3D3B">
        <w:t xml:space="preserve"> of the results, and a discussion of the findings and potential future work.</w:t>
      </w:r>
    </w:p>
    <w:p w:rsidR="00490149" w:rsidRPr="00E978CD" w:rsidRDefault="00E978CD" w:rsidP="00E978CD">
      <w:pPr>
        <w:rPr>
          <w:rFonts w:ascii="Times New Roman" w:hAnsi="Times New Roman"/>
          <w:sz w:val="24"/>
        </w:rPr>
      </w:pPr>
      <w:r>
        <w:br w:type="page"/>
      </w:r>
    </w:p>
    <w:p w:rsidR="00490149" w:rsidRDefault="00172F34" w:rsidP="00490149">
      <w:pPr>
        <w:pStyle w:val="Heading1"/>
      </w:pPr>
      <w:bookmarkStart w:id="15" w:name="_Toc448742067"/>
      <w:r>
        <w:lastRenderedPageBreak/>
        <w:t>Chapter 2:</w:t>
      </w:r>
      <w:r w:rsidR="00490149">
        <w:t xml:space="preserve"> Overview of 24 May 2011 Oklahoma Tornado Outbreak</w:t>
      </w:r>
      <w:bookmarkEnd w:id="15"/>
    </w:p>
    <w:p w:rsidR="00490149" w:rsidRDefault="00490149" w:rsidP="00490149">
      <w:pPr>
        <w:pStyle w:val="Heading2"/>
      </w:pPr>
      <w:bookmarkStart w:id="16" w:name="_Toc448742068"/>
      <w:r>
        <w:t>2.1 Introduction of Event</w:t>
      </w:r>
      <w:bookmarkEnd w:id="16"/>
    </w:p>
    <w:p w:rsidR="00490149" w:rsidRPr="00C3277E" w:rsidRDefault="00490149" w:rsidP="00AD7AED">
      <w:pPr>
        <w:pStyle w:val="NoSpacing"/>
        <w:ind w:firstLine="720"/>
      </w:pPr>
      <w:r w:rsidRPr="00C3277E">
        <w:t>On 24 May 2011, a well-forecasted severe weather outbreak tormented parts of Kansas, Missouri, Oklahoma, Arkansas, and Texas with all facets of severe weather (</w:t>
      </w:r>
      <w:r w:rsidRPr="00C3277E">
        <w:fldChar w:fldCharType="begin"/>
      </w:r>
      <w:r w:rsidRPr="00C3277E">
        <w:instrText xml:space="preserve"> REF _Ref438199365 \h  \* MERGEFORMAT </w:instrText>
      </w:r>
      <w:r w:rsidRPr="00C3277E">
        <w:fldChar w:fldCharType="separate"/>
      </w:r>
      <w:r w:rsidR="00F7579D" w:rsidRPr="001B47F6">
        <w:t xml:space="preserve">Figure </w:t>
      </w:r>
      <w:r w:rsidR="00F7579D">
        <w:t>2</w:t>
      </w:r>
      <w:r w:rsidRPr="00C3277E">
        <w:fldChar w:fldCharType="end"/>
      </w:r>
      <w:r w:rsidRPr="00C3277E">
        <w:t>). Within the NWS Norman, OK WFO’s CWA, the outbreak was responsible for a dozen tornadoes comprised of one EF-5</w:t>
      </w:r>
      <w:r w:rsidR="00871E8C">
        <w:t xml:space="preserve"> (B2)</w:t>
      </w:r>
      <w:r w:rsidRPr="00C3277E">
        <w:t>, two EF-4</w:t>
      </w:r>
      <w:r w:rsidR="00871E8C">
        <w:t xml:space="preserve"> (C1, D1)</w:t>
      </w:r>
      <w:r w:rsidRPr="00C3277E">
        <w:t>, two EF-3</w:t>
      </w:r>
      <w:r w:rsidR="00871E8C">
        <w:t xml:space="preserve"> (A1, B1)</w:t>
      </w:r>
      <w:r w:rsidRPr="00C3277E">
        <w:t>, two EF-2</w:t>
      </w:r>
      <w:r w:rsidR="00871E8C">
        <w:t xml:space="preserve"> (B4, D3)</w:t>
      </w:r>
      <w:r w:rsidRPr="00C3277E">
        <w:t>, two EF-1</w:t>
      </w:r>
      <w:r w:rsidR="00871E8C">
        <w:t xml:space="preserve"> (D2, E1)</w:t>
      </w:r>
      <w:r w:rsidRPr="00C3277E">
        <w:t xml:space="preserve">, and three EF-0 </w:t>
      </w:r>
      <w:r w:rsidR="00871E8C">
        <w:t xml:space="preserve">(A2, B3, C2) </w:t>
      </w:r>
      <w:r w:rsidRPr="00C3277E">
        <w:t>tornadoes (</w:t>
      </w:r>
      <w:r w:rsidRPr="00C3277E">
        <w:fldChar w:fldCharType="begin"/>
      </w:r>
      <w:r w:rsidRPr="00C3277E">
        <w:instrText xml:space="preserve"> REF _Ref438199623 \h  \* MERGEFORMAT </w:instrText>
      </w:r>
      <w:r w:rsidRPr="00C3277E">
        <w:fldChar w:fldCharType="separate"/>
      </w:r>
      <w:r w:rsidR="00F7579D" w:rsidRPr="001B47F6">
        <w:t xml:space="preserve">Figure </w:t>
      </w:r>
      <w:r w:rsidR="00F7579D">
        <w:t>3</w:t>
      </w:r>
      <w:r w:rsidRPr="00C3277E">
        <w:fldChar w:fldCharType="end"/>
      </w:r>
      <w:r w:rsidRPr="00C3277E">
        <w:t>) and, unfortunately, 11 deaths and 342 injuries [National Climatic Data Center’s (NCDC) Storm Events Database (</w:t>
      </w:r>
      <w:hyperlink r:id="rId10" w:history="1">
        <w:r w:rsidRPr="00C3277E">
          <w:rPr>
            <w:rStyle w:val="Hyperlink"/>
            <w:color w:val="auto"/>
            <w:u w:val="none"/>
          </w:rPr>
          <w:t>https://www.ncdc.noaa.gov/stormevents/</w:t>
        </w:r>
      </w:hyperlink>
      <w:r w:rsidRPr="00C3277E">
        <w:t>)]. This portion of the tornado outbreak spanned from near Fairview, OK to near Tishomingo, OK (i.e., nearly 280 km) with 14 out of 56 counties in Norman, OK WFO’s CWA experiencing at least one tornado and lasted about 4 hours and 25 minutes with the first tornado forming around 2020 UTC and the last tornado dissipating around 0045 UTC. Damaging wind and large hail up to 3 inches in diameter also wreaked havoc on many areas (</w:t>
      </w:r>
      <w:r w:rsidRPr="00C3277E">
        <w:fldChar w:fldCharType="begin"/>
      </w:r>
      <w:r w:rsidRPr="00C3277E">
        <w:instrText xml:space="preserve"> REF _Ref438199365 \h  \* MERGEFORMAT </w:instrText>
      </w:r>
      <w:r w:rsidRPr="00C3277E">
        <w:fldChar w:fldCharType="separate"/>
      </w:r>
      <w:r w:rsidR="00F7579D" w:rsidRPr="001B47F6">
        <w:t xml:space="preserve">Figure </w:t>
      </w:r>
      <w:r w:rsidR="00F7579D">
        <w:t>2</w:t>
      </w:r>
      <w:r w:rsidRPr="00C3277E">
        <w:fldChar w:fldCharType="end"/>
      </w:r>
      <w:r w:rsidRPr="00C3277E">
        <w:t>).</w:t>
      </w:r>
    </w:p>
    <w:p w:rsidR="00490149" w:rsidRDefault="00490149" w:rsidP="00490149">
      <w:pPr>
        <w:pStyle w:val="NoSpacing"/>
        <w:keepNext/>
        <w:jc w:val="center"/>
      </w:pPr>
      <w:r>
        <w:rPr>
          <w:rFonts w:cs="Times New Roman"/>
          <w:noProof/>
          <w:szCs w:val="24"/>
        </w:rPr>
        <w:lastRenderedPageBreak/>
        <w:drawing>
          <wp:inline distT="0" distB="0" distL="0" distR="0" wp14:anchorId="65D37E74" wp14:editId="7DA71695">
            <wp:extent cx="4533900" cy="30875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y1otlk_v_20110524_2000.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8015" cy="3090310"/>
                    </a:xfrm>
                    <a:prstGeom prst="rect">
                      <a:avLst/>
                    </a:prstGeom>
                  </pic:spPr>
                </pic:pic>
              </a:graphicData>
            </a:graphic>
          </wp:inline>
        </w:drawing>
      </w:r>
    </w:p>
    <w:p w:rsidR="00490149" w:rsidRPr="00490149" w:rsidRDefault="00490149" w:rsidP="00490149">
      <w:pPr>
        <w:pStyle w:val="Captions"/>
        <w:rPr>
          <w:szCs w:val="24"/>
        </w:rPr>
      </w:pPr>
      <w:bookmarkStart w:id="17" w:name="_Ref438199365"/>
      <w:bookmarkStart w:id="18" w:name="_Toc450593082"/>
      <w:r w:rsidRPr="001B47F6">
        <w:t xml:space="preserve">Figure </w:t>
      </w:r>
      <w:fldSimple w:instr=" SEQ Figure \* ARABIC ">
        <w:r w:rsidR="00F7579D">
          <w:rPr>
            <w:noProof/>
          </w:rPr>
          <w:t>2</w:t>
        </w:r>
      </w:fldSimple>
      <w:bookmarkEnd w:id="17"/>
      <w:r w:rsidRPr="001B47F6">
        <w:t xml:space="preserve">. NWS SPC’s 2000 UTC convective outlook for 24 May 2011 with preliminary storm reports from this severe weather event overlaid. Figure taken from </w:t>
      </w:r>
      <w:hyperlink r:id="rId12" w:history="1">
        <w:r w:rsidRPr="00490149">
          <w:rPr>
            <w:rStyle w:val="Hyperlink"/>
            <w:szCs w:val="24"/>
          </w:rPr>
          <w:t>http://www.spc.noaa.gov/exper/archive/events/</w:t>
        </w:r>
      </w:hyperlink>
      <w:r w:rsidRPr="00490149">
        <w:rPr>
          <w:szCs w:val="24"/>
        </w:rPr>
        <w:t>.</w:t>
      </w:r>
      <w:bookmarkEnd w:id="18"/>
    </w:p>
    <w:p w:rsidR="00490149" w:rsidRPr="00C3277E" w:rsidRDefault="00490149" w:rsidP="00C3277E">
      <w:pPr>
        <w:pStyle w:val="NoSpacing"/>
      </w:pPr>
    </w:p>
    <w:p w:rsidR="00490149" w:rsidRDefault="00490149" w:rsidP="00490149">
      <w:pPr>
        <w:pStyle w:val="Caption"/>
        <w:keepNext/>
        <w:jc w:val="center"/>
      </w:pPr>
      <w:r>
        <w:rPr>
          <w:rFonts w:ascii="Times New Roman" w:hAnsi="Times New Roman" w:cs="Times New Roman"/>
          <w:noProof/>
          <w:sz w:val="24"/>
          <w:szCs w:val="24"/>
        </w:rPr>
        <w:drawing>
          <wp:inline distT="0" distB="0" distL="0" distR="0" wp14:anchorId="0E1A484B" wp14:editId="215429F5">
            <wp:extent cx="3642360" cy="3027906"/>
            <wp:effectExtent l="19050" t="19050" r="1524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10524_nws_tortracks_ma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2325" cy="3036190"/>
                    </a:xfrm>
                    <a:prstGeom prst="rect">
                      <a:avLst/>
                    </a:prstGeom>
                    <a:ln w="19050">
                      <a:solidFill>
                        <a:sysClr val="windowText" lastClr="000000"/>
                      </a:solidFill>
                    </a:ln>
                  </pic:spPr>
                </pic:pic>
              </a:graphicData>
            </a:graphic>
          </wp:inline>
        </w:drawing>
      </w:r>
    </w:p>
    <w:p w:rsidR="00490149" w:rsidRPr="00490149" w:rsidRDefault="00490149" w:rsidP="00490149">
      <w:pPr>
        <w:pStyle w:val="Captions"/>
        <w:rPr>
          <w:i/>
          <w:szCs w:val="24"/>
        </w:rPr>
      </w:pPr>
      <w:bookmarkStart w:id="19" w:name="_Ref438199623"/>
      <w:bookmarkStart w:id="20" w:name="_Toc450593083"/>
      <w:r w:rsidRPr="001B47F6">
        <w:t xml:space="preserve">Figure </w:t>
      </w:r>
      <w:fldSimple w:instr=" SEQ Figure \* ARABIC ">
        <w:r w:rsidR="00F7579D">
          <w:rPr>
            <w:noProof/>
          </w:rPr>
          <w:t>3</w:t>
        </w:r>
      </w:fldSimple>
      <w:bookmarkEnd w:id="19"/>
      <w:r w:rsidRPr="001B47F6">
        <w:t xml:space="preserve">. Map of all twelve 24 May 2011 tornado tracks for NWS Norman, OK WFO’s CWA. Map taken </w:t>
      </w:r>
      <w:r w:rsidRPr="00490149">
        <w:rPr>
          <w:szCs w:val="24"/>
        </w:rPr>
        <w:t xml:space="preserve">from </w:t>
      </w:r>
      <w:hyperlink r:id="rId14" w:history="1">
        <w:r w:rsidRPr="00490149">
          <w:rPr>
            <w:rStyle w:val="Hyperlink"/>
            <w:szCs w:val="24"/>
          </w:rPr>
          <w:t>http://www.srh.noaa.gov/oun/?n=events-20110524</w:t>
        </w:r>
      </w:hyperlink>
      <w:r w:rsidRPr="00490149">
        <w:rPr>
          <w:szCs w:val="24"/>
        </w:rPr>
        <w:t>.</w:t>
      </w:r>
      <w:bookmarkEnd w:id="20"/>
    </w:p>
    <w:p w:rsidR="00490149" w:rsidRPr="00E978CD" w:rsidRDefault="00E978CD" w:rsidP="00E978CD">
      <w:pPr>
        <w:rPr>
          <w:rFonts w:ascii="Times New Roman" w:hAnsi="Times New Roman" w:cs="Times New Roman"/>
          <w:sz w:val="24"/>
          <w:szCs w:val="24"/>
        </w:rPr>
      </w:pPr>
      <w:r>
        <w:rPr>
          <w:rFonts w:cs="Times New Roman"/>
          <w:szCs w:val="24"/>
        </w:rPr>
        <w:br w:type="page"/>
      </w:r>
    </w:p>
    <w:p w:rsidR="00490149" w:rsidRDefault="00490149" w:rsidP="00490149">
      <w:pPr>
        <w:pStyle w:val="Heading2"/>
      </w:pPr>
      <w:bookmarkStart w:id="21" w:name="_Toc448742069"/>
      <w:r>
        <w:lastRenderedPageBreak/>
        <w:t>2.2 Synoptic and Mesoscale Overview</w:t>
      </w:r>
      <w:bookmarkEnd w:id="21"/>
    </w:p>
    <w:p w:rsidR="00490149" w:rsidRPr="00C3277E" w:rsidRDefault="00490149" w:rsidP="00C3277E">
      <w:pPr>
        <w:pStyle w:val="NoSpacing"/>
        <w:ind w:firstLine="720"/>
      </w:pPr>
      <w:r w:rsidRPr="00C3277E">
        <w:t>Severe weather episodes tend to transpire when atmospheric ingredients (i.e., shear, lift, instability, and moisture) come together in space and time, and on the morning of 24 May 2011, little doubt existed among forecasters that a significant severe weather event loomed in the coming hours due to forecasts and observations depicting several key ingredients needed for the development and maintenance of severe storms. The 1200-UTC sounding out of Norman, OK (OUN) indicated nearly dry-adiabatic, mid-level lapse rates contributing to ~1800 J/kg of convective available potential energy (CAPE) with veering winds with height (</w:t>
      </w:r>
      <w:r w:rsidRPr="00C3277E">
        <w:fldChar w:fldCharType="begin"/>
      </w:r>
      <w:r w:rsidRPr="00C3277E">
        <w:instrText xml:space="preserve"> REF _Ref438199833 \h  \* MERGEFORMAT </w:instrText>
      </w:r>
      <w:r w:rsidRPr="00C3277E">
        <w:fldChar w:fldCharType="separate"/>
      </w:r>
      <w:r w:rsidR="00F7579D" w:rsidRPr="00C3277E">
        <w:t xml:space="preserve">Figure </w:t>
      </w:r>
      <w:r w:rsidR="00F7579D">
        <w:t>4</w:t>
      </w:r>
      <w:r w:rsidRPr="00C3277E">
        <w:fldChar w:fldCharType="end"/>
      </w:r>
      <w:r w:rsidRPr="00C3277E">
        <w:t xml:space="preserve">), but a capping inversion just below 800 hPa prevented the development of convection prior to </w:t>
      </w:r>
      <w:r w:rsidR="00F810A9">
        <w:t xml:space="preserve">the </w:t>
      </w:r>
      <w:r w:rsidRPr="00C3277E">
        <w:t>early afternoon</w:t>
      </w:r>
      <w:r w:rsidR="00F810A9">
        <w:t xml:space="preserve"> hours</w:t>
      </w:r>
      <w:r w:rsidRPr="00C3277E">
        <w:t>. By 1800 UTC, CAPE increased to ~2900 J/kg due to warming and moistening at the low levels and slight cooling around 800 hPa (</w:t>
      </w:r>
      <w:r w:rsidRPr="00C3277E">
        <w:fldChar w:fldCharType="begin"/>
      </w:r>
      <w:r w:rsidRPr="00C3277E">
        <w:instrText xml:space="preserve"> REF _Ref438199833 \h  \* MERGEFORMAT </w:instrText>
      </w:r>
      <w:r w:rsidRPr="00C3277E">
        <w:fldChar w:fldCharType="separate"/>
      </w:r>
      <w:r w:rsidR="00F7579D" w:rsidRPr="00C3277E">
        <w:t xml:space="preserve">Figure </w:t>
      </w:r>
      <w:r w:rsidR="00F7579D">
        <w:t>4</w:t>
      </w:r>
      <w:r w:rsidRPr="00C3277E">
        <w:fldChar w:fldCharType="end"/>
      </w:r>
      <w:r w:rsidRPr="00C3277E">
        <w:t xml:space="preserve">). However, the strong capping inversion remained for most of the warm sector. Soundings with temperature and dewpoint temperature profiles like OUN’s 1800-UTC sounding are commonly described as “loaded-gun” soundings because, if moist parcels are able to be lifted to the level of free convection, which exists above the capping inversion, then ample CAPE is available for intense development of convection. </w:t>
      </w:r>
    </w:p>
    <w:p w:rsidR="00490149" w:rsidRDefault="00490149" w:rsidP="00490149">
      <w:pPr>
        <w:pStyle w:val="NoSpacing"/>
        <w:keepNext/>
        <w:jc w:val="center"/>
      </w:pPr>
      <w:r>
        <w:rPr>
          <w:rFonts w:cs="Times New Roman"/>
          <w:noProof/>
          <w:szCs w:val="24"/>
        </w:rPr>
        <w:lastRenderedPageBreak/>
        <w:drawing>
          <wp:inline distT="0" distB="0" distL="0" distR="0" wp14:anchorId="34DA6523" wp14:editId="3966ADFB">
            <wp:extent cx="3832860" cy="410801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2860" cy="4108010"/>
                    </a:xfrm>
                    <a:prstGeom prst="rect">
                      <a:avLst/>
                    </a:prstGeom>
                    <a:noFill/>
                  </pic:spPr>
                </pic:pic>
              </a:graphicData>
            </a:graphic>
          </wp:inline>
        </w:drawing>
      </w:r>
    </w:p>
    <w:p w:rsidR="00490149" w:rsidRPr="00C3277E" w:rsidRDefault="00490149" w:rsidP="00C3277E">
      <w:pPr>
        <w:pStyle w:val="Captions"/>
      </w:pPr>
      <w:bookmarkStart w:id="22" w:name="_Ref438199833"/>
      <w:bookmarkStart w:id="23" w:name="_Toc450593084"/>
      <w:r w:rsidRPr="00C3277E">
        <w:t xml:space="preserve">Figure </w:t>
      </w:r>
      <w:fldSimple w:instr=" SEQ Figure \* ARABIC ">
        <w:r w:rsidR="00F7579D">
          <w:rPr>
            <w:noProof/>
          </w:rPr>
          <w:t>4</w:t>
        </w:r>
      </w:fldSimple>
      <w:bookmarkEnd w:id="22"/>
      <w:r w:rsidRPr="00C3277E">
        <w:t>. 1200 UTC (blue) and 1800 UTC (red) vertical sounding profiles of temperature (solid line), dewpoint temperature (dashed line), and wind vectors on a skew-t plot. Hodograph in top-right corner of skew-t showing reported wind vectors up to 12-km AGL. Sounding data provided by University of Wyoming’s sounding archive webpage (</w:t>
      </w:r>
      <w:hyperlink r:id="rId16" w:history="1">
        <w:r w:rsidRPr="00C3277E">
          <w:rPr>
            <w:rStyle w:val="Hyperlink"/>
            <w:color w:val="auto"/>
            <w:u w:val="none"/>
          </w:rPr>
          <w:t>http://weather.uwyo.edu/upperair/sounding.html</w:t>
        </w:r>
      </w:hyperlink>
      <w:r w:rsidRPr="00C3277E">
        <w:t>).</w:t>
      </w:r>
      <w:bookmarkEnd w:id="23"/>
    </w:p>
    <w:p w:rsidR="00490149" w:rsidRDefault="00490149" w:rsidP="00490149">
      <w:pPr>
        <w:pStyle w:val="NoSpacing"/>
        <w:rPr>
          <w:rFonts w:cs="Times New Roman"/>
          <w:szCs w:val="24"/>
        </w:rPr>
      </w:pPr>
      <w:r>
        <w:rPr>
          <w:rFonts w:cs="Times New Roman"/>
          <w:szCs w:val="24"/>
        </w:rPr>
        <w:tab/>
      </w:r>
    </w:p>
    <w:p w:rsidR="00490149" w:rsidRPr="00C3277E" w:rsidRDefault="00490149" w:rsidP="00C3277E">
      <w:pPr>
        <w:pStyle w:val="NoSpacing"/>
        <w:ind w:firstLine="720"/>
      </w:pPr>
      <w:r w:rsidRPr="00C3277E">
        <w:t>Between 1800 UTC and 2100 UTC, the approach of a negatively-tilted trough increased upper-level divergence, which contributed to large-scale ascent, over Oklahoma (</w:t>
      </w:r>
      <w:r w:rsidRPr="00C3277E">
        <w:fldChar w:fldCharType="begin"/>
      </w:r>
      <w:r w:rsidRPr="00C3277E">
        <w:instrText xml:space="preserve"> REF _Ref438200671 \h  \* MERGEFORMAT </w:instrText>
      </w:r>
      <w:r w:rsidRPr="00C3277E">
        <w:fldChar w:fldCharType="separate"/>
      </w:r>
      <w:r w:rsidR="00F7579D" w:rsidRPr="00490149">
        <w:t xml:space="preserve">Figure </w:t>
      </w:r>
      <w:r w:rsidR="00F7579D">
        <w:t>5</w:t>
      </w:r>
      <w:r w:rsidRPr="00C3277E">
        <w:fldChar w:fldCharType="end"/>
      </w:r>
      <w:r w:rsidRPr="00C3277E">
        <w:t>a,b). At 500 hPa, wind speeds increased while temperatures slightly decreased, which increased the mid-level lapse rates and, thus, instability (</w:t>
      </w:r>
      <w:r w:rsidRPr="00C3277E">
        <w:fldChar w:fldCharType="begin"/>
      </w:r>
      <w:r w:rsidRPr="00C3277E">
        <w:instrText xml:space="preserve"> REF _Ref438200671 \h  \* MERGEFORMAT </w:instrText>
      </w:r>
      <w:r w:rsidRPr="00C3277E">
        <w:fldChar w:fldCharType="separate"/>
      </w:r>
      <w:r w:rsidR="00F7579D" w:rsidRPr="00490149">
        <w:t xml:space="preserve">Figure </w:t>
      </w:r>
      <w:r w:rsidR="00F7579D">
        <w:t>5</w:t>
      </w:r>
      <w:r w:rsidRPr="00C3277E">
        <w:fldChar w:fldCharType="end"/>
      </w:r>
      <w:r w:rsidRPr="00C3277E">
        <w:t>c,d). At 850 hPa, the wind directions backed from southwesterly to southerly, aiding in better directional shear for rotating storms, while moisture increased across the entire warm sector (</w:t>
      </w:r>
      <w:r w:rsidRPr="00C3277E">
        <w:fldChar w:fldCharType="begin"/>
      </w:r>
      <w:r w:rsidRPr="00C3277E">
        <w:instrText xml:space="preserve"> REF _Ref438200671 \h  \* MERGEFORMAT </w:instrText>
      </w:r>
      <w:r w:rsidRPr="00C3277E">
        <w:fldChar w:fldCharType="separate"/>
      </w:r>
      <w:r w:rsidR="00F7579D" w:rsidRPr="00490149">
        <w:t xml:space="preserve">Figure </w:t>
      </w:r>
      <w:r w:rsidR="00F7579D">
        <w:t>5</w:t>
      </w:r>
      <w:r w:rsidRPr="00C3277E">
        <w:fldChar w:fldCharType="end"/>
      </w:r>
      <w:r w:rsidRPr="00C3277E">
        <w:t>e,f). From 1800 UTC to 2000 UTC, the dryline sharpened, which increased low-level convergence and lift, and became more perpendicular to the deep-</w:t>
      </w:r>
      <w:r w:rsidRPr="00C3277E">
        <w:lastRenderedPageBreak/>
        <w:t xml:space="preserve">layer mean wind vector, which supports isolated storm modes (Bluestein and Weisman 2000; Dial and Racy 2004; </w:t>
      </w:r>
      <w:r w:rsidRPr="00C3277E">
        <w:fldChar w:fldCharType="begin"/>
      </w:r>
      <w:r w:rsidRPr="00C3277E">
        <w:instrText xml:space="preserve"> REF _Ref438200701 \h  \* MERGEFORMAT </w:instrText>
      </w:r>
      <w:r w:rsidRPr="00C3277E">
        <w:fldChar w:fldCharType="separate"/>
      </w:r>
      <w:r w:rsidR="00F7579D" w:rsidRPr="00490149">
        <w:t xml:space="preserve">Figure </w:t>
      </w:r>
      <w:r w:rsidR="00F7579D">
        <w:t>6</w:t>
      </w:r>
      <w:r w:rsidRPr="00C3277E">
        <w:fldChar w:fldCharType="end"/>
      </w:r>
      <w:r w:rsidRPr="00C3277E">
        <w:t>). Also, by 1900 UTC, convection began to develop along the dryline in southwest Oklahoma, where the highest surface temperatures coexisted with ample moisture (</w:t>
      </w:r>
      <w:r w:rsidRPr="00C3277E">
        <w:fldChar w:fldCharType="begin"/>
      </w:r>
      <w:r w:rsidRPr="00C3277E">
        <w:instrText xml:space="preserve"> REF _Ref438200701 \h  \* MERGEFORMAT </w:instrText>
      </w:r>
      <w:r w:rsidRPr="00C3277E">
        <w:fldChar w:fldCharType="separate"/>
      </w:r>
      <w:r w:rsidR="00F7579D" w:rsidRPr="00490149">
        <w:t xml:space="preserve">Figure </w:t>
      </w:r>
      <w:r w:rsidR="00F7579D">
        <w:t>6</w:t>
      </w:r>
      <w:r w:rsidRPr="00C3277E">
        <w:fldChar w:fldCharType="end"/>
      </w:r>
      <w:r w:rsidRPr="00C3277E">
        <w:t>b).</w:t>
      </w:r>
    </w:p>
    <w:p w:rsidR="00490149" w:rsidRPr="00490149" w:rsidRDefault="00490149" w:rsidP="00C3277E">
      <w:pPr>
        <w:pStyle w:val="NoSpacing"/>
        <w:ind w:firstLine="720"/>
      </w:pPr>
      <w:r w:rsidRPr="00C3277E">
        <w:t>Overall, this severe weather outbreak was a classic high-shear, high-instability event with &gt; 25 m/s of 0–6-km bulk shear and &gt; 3000 J/kg of CAPE, which collectively support supercells, and significant tornadoes were possible given &gt; 200 m</w:t>
      </w:r>
      <w:r w:rsidRPr="00F810A9">
        <w:rPr>
          <w:vertAlign w:val="superscript"/>
        </w:rPr>
        <w:t>2</w:t>
      </w:r>
      <w:r w:rsidRPr="00C3277E">
        <w:t>/s</w:t>
      </w:r>
      <w:r w:rsidRPr="00F810A9">
        <w:rPr>
          <w:vertAlign w:val="superscript"/>
        </w:rPr>
        <w:t>2</w:t>
      </w:r>
      <w:r w:rsidRPr="00C3277E">
        <w:t xml:space="preserve"> of 0–1-km storm-relative helicity (Thompson </w:t>
      </w:r>
      <w:r w:rsidR="00C565BF">
        <w:t xml:space="preserve">et al., </w:t>
      </w:r>
      <w:r w:rsidRPr="00C3277E">
        <w:t xml:space="preserve">2003; Markowski </w:t>
      </w:r>
      <w:r w:rsidR="00C565BF">
        <w:t xml:space="preserve">et al., </w:t>
      </w:r>
      <w:r w:rsidRPr="00C3277E">
        <w:t>2003). Upper-level divergence and the dryline provided large-scale ascent and focused lift, respectively, while a stout ~800-hPa warm nose mostly prevented widespread convection across the warm sector</w:t>
      </w:r>
      <w:r w:rsidR="00F810A9">
        <w:t>, especially during the first couple of hours after CI</w:t>
      </w:r>
      <w:r w:rsidRPr="00C3277E">
        <w:t xml:space="preserve">. Ample low-level moisture aided in low lifting-condensation levels </w:t>
      </w:r>
      <w:r w:rsidR="00F810A9">
        <w:t>(i.e., &lt; 1000 m), which benefit</w:t>
      </w:r>
      <w:r w:rsidRPr="00C3277E">
        <w:t xml:space="preserve"> the generation of tornadoes</w:t>
      </w:r>
      <w:r w:rsidR="00631543">
        <w:t xml:space="preserve"> (Rasmussen and Blanchard, 1998)</w:t>
      </w:r>
      <w:r w:rsidRPr="00C3277E">
        <w:t>. With these severe weather ingredients forecasted and observed, NWS and SPC forecasters were confident that the potential for an outbreak of tornadic supercells existed across the South</w:t>
      </w:r>
      <w:r w:rsidR="00F810A9">
        <w:t>ern</w:t>
      </w:r>
      <w:r w:rsidRPr="00C3277E">
        <w:t xml:space="preserve"> Plains region, especially Oklahoma, as reflected in the convective outlooks leading up to the event (</w:t>
      </w:r>
      <w:r w:rsidR="006F1654">
        <w:t xml:space="preserve">e.g., the 0600 UTC Day 1 Convective Outlook contained a High Risk for a majority of the eastern two-thirds of Oklahoma; </w:t>
      </w:r>
      <w:r w:rsidRPr="00C3277E">
        <w:t>see</w:t>
      </w:r>
      <w:r w:rsidR="00857E88">
        <w:t xml:space="preserve"> </w:t>
      </w:r>
      <w:r w:rsidR="00857E88">
        <w:fldChar w:fldCharType="begin"/>
      </w:r>
      <w:r w:rsidR="00857E88">
        <w:instrText xml:space="preserve"> REF _Ref438199365 \h </w:instrText>
      </w:r>
      <w:r w:rsidR="00857E88">
        <w:fldChar w:fldCharType="separate"/>
      </w:r>
      <w:r w:rsidR="00F7579D" w:rsidRPr="001B47F6">
        <w:t xml:space="preserve">Figure </w:t>
      </w:r>
      <w:r w:rsidR="00F7579D">
        <w:rPr>
          <w:noProof/>
        </w:rPr>
        <w:t>2</w:t>
      </w:r>
      <w:r w:rsidR="00857E88">
        <w:fldChar w:fldCharType="end"/>
      </w:r>
      <w:r w:rsidR="00857E88">
        <w:t xml:space="preserve"> and</w:t>
      </w:r>
      <w:r w:rsidRPr="00C3277E">
        <w:t xml:space="preserve"> </w:t>
      </w:r>
      <w:hyperlink r:id="rId17" w:history="1">
        <w:r w:rsidRPr="00C3277E">
          <w:rPr>
            <w:rStyle w:val="Hyperlink"/>
            <w:color w:val="auto"/>
            <w:u w:val="none"/>
          </w:rPr>
          <w:t>http://www.spc.noaa.gov/exper/archive/event.php?date=20110524</w:t>
        </w:r>
      </w:hyperlink>
      <w:r w:rsidRPr="00C3277E">
        <w:t>).</w:t>
      </w:r>
      <w:r w:rsidRPr="00490149">
        <w:t xml:space="preserve"> </w:t>
      </w:r>
      <w:r w:rsidR="006F1654" w:rsidRPr="006F1654">
        <w:t>With such great potential over a wide area it is important to try to more precisely identify areas at risk of damage and/or life threatening conditions.</w:t>
      </w:r>
      <w:r w:rsidRPr="00490149">
        <w:t xml:space="preserve"> </w:t>
      </w:r>
    </w:p>
    <w:p w:rsidR="00BA4DAE" w:rsidRPr="00490149" w:rsidRDefault="00BA4DAE" w:rsidP="00BA4DAE">
      <w:pPr>
        <w:keepNext/>
        <w:spacing w:after="0" w:line="480" w:lineRule="auto"/>
        <w:ind w:left="360" w:hanging="360"/>
        <w:jc w:val="center"/>
      </w:pPr>
      <w:r w:rsidRPr="00490149">
        <w:rPr>
          <w:rFonts w:ascii="Times New Roman" w:hAnsi="Times New Roman" w:cs="Times New Roman"/>
          <w:noProof/>
          <w:sz w:val="24"/>
          <w:szCs w:val="24"/>
        </w:rPr>
        <w:lastRenderedPageBreak/>
        <w:drawing>
          <wp:inline distT="0" distB="0" distL="0" distR="0" wp14:anchorId="332D4DDA" wp14:editId="6C106B9A">
            <wp:extent cx="5052060" cy="571001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10524_ua_map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53263" cy="5711375"/>
                    </a:xfrm>
                    <a:prstGeom prst="rect">
                      <a:avLst/>
                    </a:prstGeom>
                  </pic:spPr>
                </pic:pic>
              </a:graphicData>
            </a:graphic>
          </wp:inline>
        </w:drawing>
      </w:r>
    </w:p>
    <w:p w:rsidR="00BA4DAE" w:rsidRDefault="00BA4DAE" w:rsidP="00BA4DAE">
      <w:pPr>
        <w:pStyle w:val="Captions"/>
      </w:pPr>
      <w:bookmarkStart w:id="24" w:name="_Ref438200671"/>
      <w:bookmarkStart w:id="25" w:name="_Toc450593085"/>
      <w:r w:rsidRPr="00490149">
        <w:t xml:space="preserve">Figure </w:t>
      </w:r>
      <w:fldSimple w:instr=" SEQ Figure \* ARABIC ">
        <w:r w:rsidR="00F7579D">
          <w:rPr>
            <w:noProof/>
          </w:rPr>
          <w:t>5</w:t>
        </w:r>
      </w:fldSimple>
      <w:bookmarkEnd w:id="24"/>
      <w:r w:rsidRPr="00490149">
        <w:t>. 1800 UTC (a,c,e) and 2100 UTC (b,d,f) analysis plots of (a,b) 300-hPa heights (m; black contours), divergence (s</w:t>
      </w:r>
      <w:r w:rsidRPr="00490149">
        <w:rPr>
          <w:vertAlign w:val="superscript"/>
        </w:rPr>
        <w:t>-1</w:t>
      </w:r>
      <w:r w:rsidRPr="00490149">
        <w:t>; magenta contours), wind barbs (kt), and wind speeds (kt; blue fill), (c,d) 500-hPa heights (m), temperatures (°C; red dashed), wind barbs (kt), and wind speeds (kt), and (e,f) 850-hPa heights (m), temperatures (°C), wind barbs (kt), and dewpoint temperature (°C; green fill) from SPC’s mesoscale analysis archive.</w:t>
      </w:r>
      <w:bookmarkEnd w:id="25"/>
    </w:p>
    <w:p w:rsidR="00BA4DAE" w:rsidRPr="00490149" w:rsidRDefault="00BA4DAE" w:rsidP="00BA4DAE">
      <w:pPr>
        <w:pStyle w:val="Captions"/>
      </w:pPr>
    </w:p>
    <w:p w:rsidR="00BA4DAE" w:rsidRPr="00490149" w:rsidRDefault="007C412F" w:rsidP="00BA4DAE">
      <w:pPr>
        <w:keepNext/>
        <w:spacing w:after="0" w:line="480" w:lineRule="auto"/>
        <w:ind w:left="360" w:hanging="360"/>
        <w:jc w:val="center"/>
      </w:pPr>
      <w:r>
        <w:rPr>
          <w:noProof/>
        </w:rPr>
        <w:lastRenderedPageBreak/>
        <w:drawing>
          <wp:inline distT="0" distB="0" distL="0" distR="0" wp14:anchorId="4CFCD0C1" wp14:editId="19E165D7">
            <wp:extent cx="3701793" cy="658368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s_sfc_plot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1793" cy="6583680"/>
                    </a:xfrm>
                    <a:prstGeom prst="rect">
                      <a:avLst/>
                    </a:prstGeom>
                  </pic:spPr>
                </pic:pic>
              </a:graphicData>
            </a:graphic>
          </wp:inline>
        </w:drawing>
      </w:r>
    </w:p>
    <w:p w:rsidR="00BA4DAE" w:rsidRPr="00790220" w:rsidRDefault="00BA4DAE" w:rsidP="00790220">
      <w:pPr>
        <w:pStyle w:val="Captions"/>
      </w:pPr>
      <w:bookmarkStart w:id="26" w:name="_Ref438200701"/>
      <w:bookmarkStart w:id="27" w:name="_Toc450593086"/>
      <w:r w:rsidRPr="00490149">
        <w:t xml:space="preserve">Figure </w:t>
      </w:r>
      <w:fldSimple w:instr=" SEQ Figure \* ARABIC ">
        <w:r w:rsidR="00F7579D">
          <w:rPr>
            <w:noProof/>
          </w:rPr>
          <w:t>6</w:t>
        </w:r>
      </w:fldSimple>
      <w:bookmarkEnd w:id="26"/>
      <w:r w:rsidRPr="00490149">
        <w:t>. (a) 1800 UTC, (b) 1900 UTC, and (c) 2000 UTC Oklahoma Mesonet station plots of 1.5-m AGL temperature (°F; red text), 1.5-m AGL dewpoint temperature (°F; green text), and 10-m AGL wind barbs (kt; blue); analyses of sea-level pressure (hPa; black contours every 2 hPa), 1.5-m AGL temperature (°F; red contours every 5°F starting at 65°F), 1.5-m dewpoint temperature (°F; green contours every 5°F starting at 50°F), and equivalent-potential temperature (K; background shading); and derived echo tops (kft; colored blocks) using the KTLX radar. Plots created using WeatherScope 1.9.6 created by UCAR/Unidata and OCS.</w:t>
      </w:r>
      <w:bookmarkEnd w:id="27"/>
      <w:r w:rsidR="00790220">
        <w:br w:type="page"/>
      </w:r>
    </w:p>
    <w:p w:rsidR="00490149" w:rsidRDefault="00490149" w:rsidP="00490149">
      <w:pPr>
        <w:pStyle w:val="Heading2"/>
      </w:pPr>
      <w:bookmarkStart w:id="28" w:name="_Toc448742070"/>
      <w:r>
        <w:lastRenderedPageBreak/>
        <w:t>2.3 Tornado Overview</w:t>
      </w:r>
      <w:bookmarkEnd w:id="28"/>
    </w:p>
    <w:p w:rsidR="00490149" w:rsidRPr="00C3277E" w:rsidRDefault="00490149" w:rsidP="00C3277E">
      <w:pPr>
        <w:pStyle w:val="NoSpacing"/>
        <w:ind w:firstLine="360"/>
      </w:pPr>
      <w:r w:rsidRPr="00C3277E">
        <w:t>Tornadic and non-tornadic supercells developed along the dryline and trekked northeast across Oklahoma, which lead to the issuance of 34 tornado warnings by the Norman, OK WFO (</w:t>
      </w:r>
      <w:r w:rsidRPr="00C3277E">
        <w:fldChar w:fldCharType="begin"/>
      </w:r>
      <w:r w:rsidRPr="00C3277E">
        <w:instrText xml:space="preserve"> REF _Ref438200722 \h  \* MERGEFORMAT </w:instrText>
      </w:r>
      <w:r w:rsidRPr="00C3277E">
        <w:fldChar w:fldCharType="separate"/>
      </w:r>
      <w:r w:rsidR="00F7579D" w:rsidRPr="00490149">
        <w:t xml:space="preserve">Figure </w:t>
      </w:r>
      <w:r w:rsidR="00F7579D">
        <w:t>7</w:t>
      </w:r>
      <w:r w:rsidRPr="00C3277E">
        <w:fldChar w:fldCharType="end"/>
      </w:r>
      <w:r w:rsidRPr="00C3277E">
        <w:t>). Only five storms were responsible for the twelve tornadoes documented within NWS Norman, OK’s CWA. Tornado path lengths (max widths) ranged from ~0.8 km (~40 m) to ~101.4 km (~1610 m) with an average path length (max width) of ~21.6 km (~575 m) and the sum of all path lengths of ~259.7 km. The twelve tornadoes lasted from less than 1 minute to around 105 minutes with an average tornado life span of ~23 minutes. The tornadoes rated EF-3 or higher all had average translational velocities around 16 m/s.</w:t>
      </w:r>
    </w:p>
    <w:p w:rsidR="00490149" w:rsidRPr="00490149" w:rsidRDefault="00490149" w:rsidP="00490149">
      <w:pPr>
        <w:pStyle w:val="Captions"/>
      </w:pPr>
      <w:r w:rsidRPr="00490149">
        <w:t xml:space="preserve"> </w:t>
      </w:r>
    </w:p>
    <w:p w:rsidR="00490149" w:rsidRPr="00490149" w:rsidRDefault="00490149" w:rsidP="00490149">
      <w:pPr>
        <w:spacing w:after="0" w:line="240" w:lineRule="auto"/>
        <w:ind w:left="360" w:hanging="360"/>
        <w:rPr>
          <w:rFonts w:ascii="Times New Roman" w:hAnsi="Times New Roman" w:cs="Times New Roman"/>
          <w:sz w:val="24"/>
          <w:szCs w:val="24"/>
        </w:rPr>
      </w:pPr>
    </w:p>
    <w:p w:rsidR="00490149" w:rsidRPr="00490149" w:rsidRDefault="00E83535" w:rsidP="00490149">
      <w:pPr>
        <w:keepNext/>
        <w:spacing w:after="0" w:line="480" w:lineRule="auto"/>
        <w:ind w:left="360" w:hanging="360"/>
        <w:jc w:val="center"/>
      </w:pPr>
      <w:r>
        <w:rPr>
          <w:noProof/>
        </w:rPr>
        <w:lastRenderedPageBreak/>
        <w:drawing>
          <wp:inline distT="0" distB="0" distL="0" distR="0" wp14:anchorId="770CA7E4" wp14:editId="3B91DE46">
            <wp:extent cx="5303520" cy="4998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10524_radar_warnings.png"/>
                    <pic:cNvPicPr/>
                  </pic:nvPicPr>
                  <pic:blipFill rotWithShape="1">
                    <a:blip r:embed="rId20" cstate="print">
                      <a:extLst>
                        <a:ext uri="{28A0092B-C50C-407E-A947-70E740481C1C}">
                          <a14:useLocalDpi xmlns:a14="http://schemas.microsoft.com/office/drawing/2010/main" val="0"/>
                        </a:ext>
                      </a:extLst>
                    </a:blip>
                    <a:srcRect b="5893"/>
                    <a:stretch/>
                  </pic:blipFill>
                  <pic:spPr bwMode="auto">
                    <a:xfrm>
                      <a:off x="0" y="0"/>
                      <a:ext cx="5303520" cy="4998720"/>
                    </a:xfrm>
                    <a:prstGeom prst="rect">
                      <a:avLst/>
                    </a:prstGeom>
                    <a:ln>
                      <a:noFill/>
                    </a:ln>
                    <a:extLst>
                      <a:ext uri="{53640926-AAD7-44D8-BBD7-CCE9431645EC}">
                        <a14:shadowObscured xmlns:a14="http://schemas.microsoft.com/office/drawing/2010/main"/>
                      </a:ext>
                    </a:extLst>
                  </pic:spPr>
                </pic:pic>
              </a:graphicData>
            </a:graphic>
          </wp:inline>
        </w:drawing>
      </w:r>
    </w:p>
    <w:p w:rsidR="00490149" w:rsidRPr="00490149" w:rsidRDefault="00490149" w:rsidP="00490149">
      <w:pPr>
        <w:pStyle w:val="Captions"/>
      </w:pPr>
      <w:bookmarkStart w:id="29" w:name="_Ref438200722"/>
      <w:bookmarkStart w:id="30" w:name="_Toc450593087"/>
      <w:r w:rsidRPr="00490149">
        <w:t xml:space="preserve">Figure </w:t>
      </w:r>
      <w:fldSimple w:instr=" SEQ Figure \* ARABIC ">
        <w:r w:rsidR="00F7579D">
          <w:rPr>
            <w:noProof/>
          </w:rPr>
          <w:t>7</w:t>
        </w:r>
      </w:fldSimple>
      <w:bookmarkEnd w:id="29"/>
      <w:r w:rsidR="00857E88">
        <w:t>. Max 0.5°-</w:t>
      </w:r>
      <w:r w:rsidRPr="00490149">
        <w:t>tilt reflectivity (dBZ) above 30 dBZ from KTLX for output times 1902, 1932, 2002, 2032, 2102, 2132, 2201, 2231, 2301, and 2331 UTC on 24 May 2011 and 0000, 0030, and 0101 UTC on 25 May 2011. Black dots represent estimated tornado locations every minute. Tornado warnings issued by the NWS Norman, OK WFO during the 24 May 2011 tornado outbreak are represented by magenta polygon outlines and stipples.</w:t>
      </w:r>
      <w:bookmarkEnd w:id="30"/>
    </w:p>
    <w:p w:rsidR="00E83535" w:rsidRPr="00790220" w:rsidRDefault="00790220" w:rsidP="00790220">
      <w:pPr>
        <w:rPr>
          <w:rFonts w:ascii="Times New Roman" w:hAnsi="Times New Roman" w:cs="Times New Roman"/>
          <w:sz w:val="24"/>
          <w:szCs w:val="24"/>
        </w:rPr>
      </w:pPr>
      <w:r>
        <w:rPr>
          <w:rFonts w:cs="Times New Roman"/>
          <w:szCs w:val="24"/>
        </w:rPr>
        <w:br w:type="page"/>
      </w:r>
    </w:p>
    <w:p w:rsidR="00490149" w:rsidRDefault="00490149" w:rsidP="00490149">
      <w:pPr>
        <w:pStyle w:val="Heading2"/>
      </w:pPr>
      <w:bookmarkStart w:id="31" w:name="_Toc448742071"/>
      <w:r>
        <w:lastRenderedPageBreak/>
        <w:t>2.4 Event-Related Studies</w:t>
      </w:r>
      <w:bookmarkEnd w:id="31"/>
    </w:p>
    <w:p w:rsidR="00490149" w:rsidRDefault="00490149" w:rsidP="00C3277E">
      <w:pPr>
        <w:pStyle w:val="NoSpacing"/>
        <w:ind w:firstLine="720"/>
      </w:pPr>
      <w:r>
        <w:t xml:space="preserve">Various sources of observational data and model output from the 24 May 2011 severe weather outbreak have been utilized in </w:t>
      </w:r>
      <w:r w:rsidR="00733403">
        <w:t>several</w:t>
      </w:r>
      <w:r>
        <w:t xml:space="preserve"> observationally- (Brotzge and Luttrell</w:t>
      </w:r>
      <w:r w:rsidR="00C565BF">
        <w:t>,</w:t>
      </w:r>
      <w:r>
        <w:t xml:space="preserve"> 2015; French </w:t>
      </w:r>
      <w:r w:rsidR="00C565BF">
        <w:t xml:space="preserve">et al., </w:t>
      </w:r>
      <w:r>
        <w:t xml:space="preserve">2015; </w:t>
      </w:r>
      <w:r w:rsidRPr="00B671E7">
        <w:t>Heymsfield</w:t>
      </w:r>
      <w:r>
        <w:t xml:space="preserve"> </w:t>
      </w:r>
      <w:r w:rsidR="00C565BF">
        <w:t xml:space="preserve">et al., </w:t>
      </w:r>
      <w:r>
        <w:t xml:space="preserve">2013; Houser </w:t>
      </w:r>
      <w:r w:rsidR="00C565BF">
        <w:t xml:space="preserve">et al., </w:t>
      </w:r>
      <w:r>
        <w:t xml:space="preserve">2015; Xu </w:t>
      </w:r>
      <w:r w:rsidR="00C565BF">
        <w:t xml:space="preserve">et al., </w:t>
      </w:r>
      <w:r>
        <w:t xml:space="preserve">2015) and NWP-based (Clark </w:t>
      </w:r>
      <w:r w:rsidR="00C565BF">
        <w:t xml:space="preserve">et al., </w:t>
      </w:r>
      <w:r>
        <w:t xml:space="preserve">2013; Fierro </w:t>
      </w:r>
      <w:r w:rsidR="00C565BF">
        <w:t xml:space="preserve">et al., </w:t>
      </w:r>
      <w:r>
        <w:t xml:space="preserve">2012; Jones </w:t>
      </w:r>
      <w:r w:rsidR="00C565BF">
        <w:t xml:space="preserve">et al., </w:t>
      </w:r>
      <w:r>
        <w:t xml:space="preserve">2015; Shapiro </w:t>
      </w:r>
      <w:r w:rsidR="00C565BF">
        <w:t xml:space="preserve">et al., </w:t>
      </w:r>
      <w:r>
        <w:t xml:space="preserve">2015; Tanamachi </w:t>
      </w:r>
      <w:r w:rsidR="00C565BF">
        <w:t xml:space="preserve">et al., </w:t>
      </w:r>
      <w:r>
        <w:t xml:space="preserve">2015) studies. All of the observational-based studies used different sources of radar data to analyze different facets of this outbreak. </w:t>
      </w:r>
      <w:r w:rsidRPr="00EB56F9">
        <w:t>Heymsfield et al. (2013) analyzed measurements collected from flying a dual-frequency (Ku and Ka band) nadir-pointing Doppler radar through storms containing hail and graupel.</w:t>
      </w:r>
      <w:r>
        <w:t xml:space="preserve"> Brotzge and Luttrell (2015) documented the genesis of one of the EF-4 tornadoes using Oklahoma Mesonet and CASA radar data to show the potential benefits of using spatially and temporally high-resolution observations in an operational forecasting situation. </w:t>
      </w:r>
      <w:r w:rsidRPr="00EB56F9">
        <w:t>Houser et al. (2015) used data collected by a mobile, rapid-scan, X-band, polarimetric, Doppler radar (RaXPol) to understand t</w:t>
      </w:r>
      <w:r>
        <w:t xml:space="preserve">he dynamical processes leading to the </w:t>
      </w:r>
      <w:r w:rsidRPr="00EB56F9">
        <w:t xml:space="preserve">genesis of the EF-5 </w:t>
      </w:r>
      <w:r>
        <w:t>tornado a few minutes after the dis</w:t>
      </w:r>
      <w:r w:rsidR="00E4491A">
        <w:t>sipation of an EF-3 tornado.</w:t>
      </w:r>
      <w:r>
        <w:t xml:space="preserve"> French et al. (2015) utilized three stationary S-band radars [i.e., two WSR-88D radars and one multifunction phased-array radar (MPAR)] and one mobile phased-array radar to explore the merger process between the EF-5 tornado and a short-lived, satellite tornado. Xu et al. (2015) assessed the performance of a new method to analyze radar-based vortex winds using examples from the 24 May 2011 outbreak.</w:t>
      </w:r>
    </w:p>
    <w:p w:rsidR="00172F34" w:rsidRDefault="00490149" w:rsidP="00E4491A">
      <w:pPr>
        <w:pStyle w:val="NoSpacing"/>
        <w:ind w:firstLine="720"/>
      </w:pPr>
      <w:r>
        <w:t xml:space="preserve">Fierro et al. (2012) showed the potential benefits of assimilating lightning data into initial analyses, which may lead to better convective forecasts, by using the 24 May 2011 case. </w:t>
      </w:r>
      <w:r w:rsidRPr="000F1F71">
        <w:t xml:space="preserve">Shapiro et al. (2015) simulated a supercell storm using an analysis sounding </w:t>
      </w:r>
      <w:r w:rsidRPr="000F1F71">
        <w:lastRenderedPageBreak/>
        <w:t>from the 24 May 2011 environment to assess the impact of advection correction in trajectory calculations.</w:t>
      </w:r>
      <w:r>
        <w:t xml:space="preserve"> As in Houser et al. (2015), Tanamachi et al. (2015) also investigated the Lookeba-El-Reno-Piedmont tornadic supercell’s dissipation of the EF-3 tornado to the genesis of the EF-5, but MPAR data and a numerical model were used to explore the role of a storm merger on the tornado handoff. Finally, Clark et al. (2013) assessed the tornado path-length forecasts (via the UH field) from the Storm Scale Ensemble Forecast (SSEF) system for several cases in 2011, including 24 May.</w:t>
      </w:r>
    </w:p>
    <w:p w:rsidR="00172F34" w:rsidRPr="00790220" w:rsidRDefault="00790220" w:rsidP="00790220">
      <w:pPr>
        <w:rPr>
          <w:rFonts w:ascii="Times New Roman" w:hAnsi="Times New Roman"/>
          <w:sz w:val="24"/>
        </w:rPr>
      </w:pPr>
      <w:r>
        <w:br w:type="page"/>
      </w:r>
    </w:p>
    <w:p w:rsidR="00172F34" w:rsidRDefault="00172F34" w:rsidP="00172F34">
      <w:pPr>
        <w:pStyle w:val="Heading1"/>
      </w:pPr>
      <w:bookmarkStart w:id="32" w:name="_Toc448742072"/>
      <w:r>
        <w:lastRenderedPageBreak/>
        <w:t>Chapter 3: Verification Metrics and Methodology</w:t>
      </w:r>
      <w:bookmarkEnd w:id="32"/>
    </w:p>
    <w:p w:rsidR="00172F34" w:rsidRDefault="00172F34" w:rsidP="00172F34">
      <w:pPr>
        <w:pStyle w:val="Heading2"/>
      </w:pPr>
      <w:bookmarkStart w:id="33" w:name="_Toc448742073"/>
      <w:r>
        <w:t>3.1 Introduction</w:t>
      </w:r>
      <w:bookmarkEnd w:id="33"/>
    </w:p>
    <w:p w:rsidR="00172F34" w:rsidRPr="00C3277E" w:rsidRDefault="00172F34" w:rsidP="00C3277E">
      <w:pPr>
        <w:pStyle w:val="NoSpacing"/>
        <w:ind w:firstLine="720"/>
      </w:pPr>
      <w:r w:rsidRPr="00C3277E">
        <w:t xml:space="preserve">Subjective evaluation and objective verification have played an integral part in validating improvements and diagnosing potential problematic areas of forecast systems. This information can then be utilized in the operational forecasting process by forecasters to improve forecasts or </w:t>
      </w:r>
      <w:r w:rsidR="00857E88">
        <w:t xml:space="preserve">in </w:t>
      </w:r>
      <w:r w:rsidRPr="00C3277E">
        <w:t>NWP studies by model researchers and developers to improve forecast systems. The annual Hazardous Weather Testbed</w:t>
      </w:r>
      <w:r w:rsidR="00E4491A">
        <w:t xml:space="preserve"> (HWT)</w:t>
      </w:r>
      <w:r w:rsidRPr="00C3277E">
        <w:t xml:space="preserve"> Spring Forecasting Experiment </w:t>
      </w:r>
      <w:r w:rsidR="00E4491A">
        <w:t xml:space="preserve">(SFE) </w:t>
      </w:r>
      <w:r w:rsidRPr="00C3277E">
        <w:t xml:space="preserve">in Norman, OK is one example where both forecasters and researchers provide subjective evaluation (e.g., comparing forecasted reflectivity with observed reflectivity in a side-by-side visual comparison) of forecasts and forecast tools (Clark </w:t>
      </w:r>
      <w:r w:rsidR="00C565BF">
        <w:t xml:space="preserve">et al., </w:t>
      </w:r>
      <w:r w:rsidRPr="00C3277E">
        <w:t xml:space="preserve">2012). Objective verification (e.g., bias for forecasted rainfall) </w:t>
      </w:r>
      <w:r w:rsidR="00857E88">
        <w:t>should</w:t>
      </w:r>
      <w:r w:rsidRPr="00C3277E">
        <w:t xml:space="preserve"> aim to complement subjective evaluation by confirming and quantifying the researchers and forecasters’ visual evaluations of forecasts and by exposing hidden problems researchers and forecasters may not have noticed through visual evaluation. Conversely, subjective evaluation can be employed to help explain and understand </w:t>
      </w:r>
      <w:r w:rsidR="00E4491A">
        <w:t xml:space="preserve">the </w:t>
      </w:r>
      <w:r w:rsidRPr="00C3277E">
        <w:t xml:space="preserve">results found from using objective verification. While subjective evaluation usually consists of side-by-side or overlay comparisons, a growing spectrum of objective verification techniques is required to isolate areas where forecasts are less skillful for both spatially-continuous variables (e.g., surface dewpoint temperature) and spatially-discontinuous fields (e.g. thunderstorm reflectivity), especially in the case of rare events (e.g., supercells). </w:t>
      </w:r>
    </w:p>
    <w:p w:rsidR="00172F34" w:rsidRPr="00790220" w:rsidRDefault="00790220" w:rsidP="00790220">
      <w:pPr>
        <w:rPr>
          <w:rFonts w:ascii="Times New Roman" w:hAnsi="Times New Roman"/>
          <w:sz w:val="24"/>
        </w:rPr>
      </w:pPr>
      <w:r>
        <w:br w:type="page"/>
      </w:r>
    </w:p>
    <w:p w:rsidR="00172F34" w:rsidRDefault="00172F34" w:rsidP="00172F34">
      <w:pPr>
        <w:pStyle w:val="Heading2"/>
      </w:pPr>
      <w:bookmarkStart w:id="34" w:name="_Toc448742074"/>
      <w:r>
        <w:lastRenderedPageBreak/>
        <w:t>3.2 Types of Verification Metrics</w:t>
      </w:r>
      <w:bookmarkEnd w:id="34"/>
    </w:p>
    <w:p w:rsidR="00172F34" w:rsidRPr="00C3277E" w:rsidRDefault="00172F34" w:rsidP="00C3277E">
      <w:pPr>
        <w:pStyle w:val="NoSpacing"/>
        <w:ind w:firstLine="720"/>
      </w:pPr>
      <w:r w:rsidRPr="00C3277E">
        <w:t xml:space="preserve">NWP forecasts are verified using a range of methods, and the best forecast verification method to use is dependent on what specific questions are being asked about a forecast’s performance. Typically, gridded forecasts are verified with predictands (e.g., observations) using traditional and spatial techniques. Traditional verification techniques consist of point-by-point metrics, which are based on verifying gridded model output with either </w:t>
      </w:r>
      <w:r w:rsidR="00E4491A">
        <w:t xml:space="preserve">non-gridded </w:t>
      </w:r>
      <w:r w:rsidRPr="00C3277E">
        <w:t>points of observation</w:t>
      </w:r>
      <w:r w:rsidR="00E4491A">
        <w:t>al</w:t>
      </w:r>
      <w:r w:rsidRPr="00C3277E">
        <w:t xml:space="preserve"> data or gridded observation</w:t>
      </w:r>
      <w:r w:rsidR="00E4491A">
        <w:t>al</w:t>
      </w:r>
      <w:r w:rsidRPr="00C3277E">
        <w:t xml:space="preserve"> data. Verification statistics, such as mean absolute error (MAE), can be used to assess model forecast performance for various variables (e.g., temperature) by interpolating gridded model output to observation points (e.g., Mesonet locations). If observational data </w:t>
      </w:r>
      <w:r w:rsidR="00733403">
        <w:t>are</w:t>
      </w:r>
      <w:r w:rsidRPr="00C3277E">
        <w:t xml:space="preserve"> interpolated to model grid points, contingency tables consisting of hits, misses, false alarms, and correct negatives can be used to compute additional verification statistics, such as false alarm ratio (FAR) and probability of detection (POD). While these traditional verification techniques can provide assessment of forecast skill for non-rare events, they tend to suffer in their assessment of forecast skill for rare events (Ahijevych </w:t>
      </w:r>
      <w:r w:rsidR="00C565BF">
        <w:t xml:space="preserve">et al., </w:t>
      </w:r>
      <w:r w:rsidRPr="00C3277E">
        <w:t>2009). For example, if a simulated storm isn’t in the exact location of an observed storm, traditional verification metrics would indicate poor forecast skill by double counting (i.e., miss and false alarm) the displacement error even though a forecaster or researcher might deem the forecast to have some value in predicting the existence and various characteristics of the storm (</w:t>
      </w:r>
      <w:r w:rsidR="00E4491A">
        <w:t>e.g., intensity, structure, and mode</w:t>
      </w:r>
      <w:r w:rsidRPr="00C3277E">
        <w:t xml:space="preserve">). </w:t>
      </w:r>
    </w:p>
    <w:p w:rsidR="00172F34" w:rsidRPr="00C3277E" w:rsidRDefault="00172F34" w:rsidP="00C3277E">
      <w:pPr>
        <w:pStyle w:val="NoSpacing"/>
        <w:ind w:firstLine="720"/>
      </w:pPr>
      <w:r w:rsidRPr="00C3277E">
        <w:t>One way to assess the forecasts of rare events is to utilize spatial verification techniques. In general, these techniques can be classified as neighborhood, scale-</w:t>
      </w:r>
      <w:r w:rsidRPr="00C3277E">
        <w:lastRenderedPageBreak/>
        <w:t>separation, object-based,</w:t>
      </w:r>
      <w:r w:rsidR="008C0EA7">
        <w:t xml:space="preserve"> or field-deformation methods (</w:t>
      </w:r>
      <w:r w:rsidR="008C0EA7">
        <w:fldChar w:fldCharType="begin"/>
      </w:r>
      <w:r w:rsidR="008C0EA7">
        <w:instrText xml:space="preserve"> REF _Ref448148782 \h </w:instrText>
      </w:r>
      <w:r w:rsidR="008C0EA7">
        <w:fldChar w:fldCharType="separate"/>
      </w:r>
      <w:r w:rsidR="00F7579D">
        <w:t xml:space="preserve">Figure </w:t>
      </w:r>
      <w:r w:rsidR="00F7579D">
        <w:rPr>
          <w:noProof/>
        </w:rPr>
        <w:t>8</w:t>
      </w:r>
      <w:r w:rsidR="008C0EA7">
        <w:fldChar w:fldCharType="end"/>
      </w:r>
      <w:r w:rsidRPr="00C3277E">
        <w:t xml:space="preserve">; Gilleland </w:t>
      </w:r>
      <w:r w:rsidR="00C565BF">
        <w:t xml:space="preserve">et al., </w:t>
      </w:r>
      <w:r w:rsidRPr="00C3277E">
        <w:t xml:space="preserve">2009, 2010b). The neighborhood (or fuzzy) and scale-separation (or scale-decomposition) methods are forms of spatial smoothing and bandpass filters, respectively, and the object-based (or featured-based) and field deformation methods can be categorized as spatial displacement methods (Gilleland </w:t>
      </w:r>
      <w:r w:rsidR="00C565BF">
        <w:t xml:space="preserve">et al., </w:t>
      </w:r>
      <w:r w:rsidR="00E4491A">
        <w:t>2009, 2010b). Ebert (2008) and Ebert</w:t>
      </w:r>
      <w:r w:rsidRPr="00C3277E">
        <w:t xml:space="preserve"> </w:t>
      </w:r>
      <w:r w:rsidR="00E4491A">
        <w:t>(</w:t>
      </w:r>
      <w:r w:rsidRPr="00C3277E">
        <w:t>2009) outline a plethora of neighborhood-based methods, which all act to reward forecasts that are “close enough” to the observations. One popular neighborhood-based method is the fractions skill score (FSS; Roberts and Lean 2008; Roberts 2008; Mittermaier and Roberts 2009), which determines a forecast to have useful skill when the number of forecast</w:t>
      </w:r>
      <w:r w:rsidR="00E4491A">
        <w:t>ed</w:t>
      </w:r>
      <w:r w:rsidRPr="00C3277E">
        <w:t xml:space="preserve"> events is similar to the number of observed events within a neighborhood window. Unlike neighborhood-based verification, scale-separation methods provide assessment of forecast performance on individual scales (Gilleland </w:t>
      </w:r>
      <w:r w:rsidR="00C565BF">
        <w:t xml:space="preserve">et al., </w:t>
      </w:r>
      <w:r w:rsidRPr="00C3277E">
        <w:t xml:space="preserve">2009, 2010b). Casati et al. (2004) introduced the intensity-scale (IS) verification technique, which utilizes a 2-D discrete Haar wavelet decomposition to assess forecast skill and isolate errors at varying spatial scales and variable intensity (e.g., simulated reflectivity values), and the associated IS skill score (ISS). To assess bias at varying scales and intensities, Casati (2009) adjusted the IS method of Casati et al. (2004) by not recalibrating the forecasts to be unbiased. </w:t>
      </w:r>
    </w:p>
    <w:p w:rsidR="00172F34" w:rsidRPr="00C3277E" w:rsidRDefault="00172F34" w:rsidP="00C3277E">
      <w:pPr>
        <w:pStyle w:val="NoSpacing"/>
        <w:ind w:firstLine="720"/>
      </w:pPr>
      <w:r w:rsidRPr="00C3277E">
        <w:t xml:space="preserve">While the filtering methods can provide information about scale and intensity errors, the displacement methods can directly evaluate location and structure errors (Gilleland </w:t>
      </w:r>
      <w:r w:rsidR="00C565BF">
        <w:t xml:space="preserve">et al., </w:t>
      </w:r>
      <w:r w:rsidRPr="00C3277E">
        <w:t xml:space="preserve">2009). Object-based verification methods attempt to define features within a spatially-discontinuous model field (e.g., simulated reflectivity) usually using thresholds with the goal of determining attributes, such as shape, size, centroid location, </w:t>
      </w:r>
      <w:r w:rsidRPr="00C3277E">
        <w:lastRenderedPageBreak/>
        <w:t>and mean intensity (Gilleland et al.</w:t>
      </w:r>
      <w:r w:rsidR="00C3277E" w:rsidRPr="00C3277E">
        <w:t>,</w:t>
      </w:r>
      <w:r w:rsidRPr="00C3277E">
        <w:t xml:space="preserve"> 2009, 2010b). From these attributes, various errors, such as displacement, orientation, and intensity errors, can be computed to assess model performance. An example of an object-based verification method is the method for object-based diagnostic evaluation (MODE) developed by Davis et al. (2006). MODE uses convolution to smooth forecast and observation fields prior to using thresholds to define objects. </w:t>
      </w:r>
      <w:r w:rsidR="00241D94">
        <w:t xml:space="preserve">Additional studies have utilized feature-based techniques to ascertain </w:t>
      </w:r>
      <w:r w:rsidR="00FC698E">
        <w:t xml:space="preserve">convective </w:t>
      </w:r>
      <w:r w:rsidR="00241D94">
        <w:t>attribute</w:t>
      </w:r>
      <w:r w:rsidR="00FC698E">
        <w:t>s</w:t>
      </w:r>
      <w:r w:rsidR="00241D94">
        <w:t xml:space="preserve"> (e.g., size, intensity, frequency</w:t>
      </w:r>
      <w:r w:rsidR="00FC698E">
        <w:t>, and timing</w:t>
      </w:r>
      <w:r w:rsidR="00241D94">
        <w:t xml:space="preserve">) </w:t>
      </w:r>
      <w:r w:rsidR="00FC698E">
        <w:t>for climatologies</w:t>
      </w:r>
      <w:r w:rsidR="00241D94">
        <w:t xml:space="preserve"> of observed convective systems (Hitchens et al., 2012) and </w:t>
      </w:r>
      <w:r w:rsidR="00FC698E">
        <w:t>from model output</w:t>
      </w:r>
      <w:r w:rsidR="00241D94">
        <w:t xml:space="preserve"> </w:t>
      </w:r>
      <w:r w:rsidR="00FC698E">
        <w:t xml:space="preserve">to better assist forecasters in evaluating real-time simulated storms (Carley et al., 2011). </w:t>
      </w:r>
      <w:r w:rsidRPr="00C3277E">
        <w:t>As opposed to evaluating individual features, field-deformation verification methods essentially morph the forecast field to somewhat match the observation field and then produce a field of distortion vectors (Gilleland et al.</w:t>
      </w:r>
      <w:r w:rsidR="00C3277E" w:rsidRPr="00C3277E">
        <w:t>,</w:t>
      </w:r>
      <w:r w:rsidRPr="00C3277E">
        <w:t xml:space="preserve"> 2009, 2010a,b). </w:t>
      </w:r>
    </w:p>
    <w:p w:rsidR="00172F34" w:rsidRPr="00C3277E" w:rsidRDefault="00172F34" w:rsidP="00C3277E">
      <w:pPr>
        <w:pStyle w:val="NoSpacing"/>
        <w:ind w:firstLine="720"/>
      </w:pPr>
      <w:r w:rsidRPr="00C3277E">
        <w:t>Even though several verification techniques have been mentioned and briefly described, numerous other verification methods are continually being developed to answer specific model performance questions. While the different types of verification techniques can be used exclusively to evaluate model performance, verification techniques can be merged together to garner additional information about model performance. For example, a field-deformation method can be used for individual features defined by an object-based method (Gilleland et al.</w:t>
      </w:r>
      <w:r w:rsidR="00C3277E" w:rsidRPr="00C3277E">
        <w:t>,</w:t>
      </w:r>
      <w:r w:rsidRPr="00C3277E">
        <w:t xml:space="preserve"> 2009). By using these objective verification metrics with subjective evaluation, valuable information is exposed and made available for forecasters and researchers to use in forecasting and model developing, respectively. </w:t>
      </w:r>
    </w:p>
    <w:p w:rsidR="008C0EA7" w:rsidRDefault="008C0EA7" w:rsidP="008C0EA7">
      <w:pPr>
        <w:pStyle w:val="NoSpacing"/>
        <w:keepNext/>
        <w:ind w:left="360" w:hanging="360"/>
        <w:jc w:val="center"/>
      </w:pPr>
      <w:r w:rsidRPr="00DA1B47">
        <w:rPr>
          <w:rFonts w:cs="Times New Roman"/>
          <w:noProof/>
          <w:szCs w:val="24"/>
        </w:rPr>
        <w:lastRenderedPageBreak/>
        <w:drawing>
          <wp:inline distT="0" distB="0" distL="0" distR="0" wp14:anchorId="6608F46D" wp14:editId="0095E101">
            <wp:extent cx="4000500" cy="3829721"/>
            <wp:effectExtent l="0" t="0" r="0" b="0"/>
            <wp:docPr id="66" name="Picture 66" descr="http://journals.ametsoc.org/na101/home/literatum/publisher/ams/journals/content/wefo/2009/15200434-24.5/2009waf2222269.1/production/images/large/i1520-0434-24-5-1416-f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urnals.ametsoc.org/na101/home/literatum/publisher/ams/journals/content/wefo/2009/15200434-24.5/2009waf2222269.1/production/images/large/i1520-0434-24-5-1416-f0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7240" cy="3845746"/>
                    </a:xfrm>
                    <a:prstGeom prst="rect">
                      <a:avLst/>
                    </a:prstGeom>
                    <a:noFill/>
                    <a:ln>
                      <a:noFill/>
                    </a:ln>
                  </pic:spPr>
                </pic:pic>
              </a:graphicData>
            </a:graphic>
          </wp:inline>
        </w:drawing>
      </w:r>
    </w:p>
    <w:p w:rsidR="008C0EA7" w:rsidRDefault="008C0EA7" w:rsidP="008C0EA7">
      <w:pPr>
        <w:pStyle w:val="Captions"/>
        <w:rPr>
          <w:szCs w:val="24"/>
        </w:rPr>
      </w:pPr>
      <w:bookmarkStart w:id="35" w:name="_Ref448148782"/>
      <w:bookmarkStart w:id="36" w:name="_Toc450593088"/>
      <w:r>
        <w:t xml:space="preserve">Figure </w:t>
      </w:r>
      <w:fldSimple w:instr=" SEQ Figure \* ARABIC ">
        <w:r w:rsidR="00F7579D">
          <w:rPr>
            <w:noProof/>
          </w:rPr>
          <w:t>8</w:t>
        </w:r>
      </w:fldSimple>
      <w:bookmarkEnd w:id="35"/>
      <w:r>
        <w:t>. Schematic of spatial verification categories. (Top row) Neighborhood (or fuzzy) and scale-separation (or scale-decomposition) methods are classified as filtering verification methods, and (bottom row) features-based (or object-based) and field-deformation methods are classified as displacement verification methods. Schematic is from Gilleland et al. (2009).</w:t>
      </w:r>
      <w:bookmarkEnd w:id="36"/>
    </w:p>
    <w:p w:rsidR="00172F34" w:rsidRPr="00790220" w:rsidRDefault="00790220" w:rsidP="00790220">
      <w:pPr>
        <w:rPr>
          <w:rFonts w:ascii="Times New Roman" w:hAnsi="Times New Roman"/>
          <w:sz w:val="24"/>
        </w:rPr>
      </w:pPr>
      <w:r>
        <w:br w:type="page"/>
      </w:r>
    </w:p>
    <w:p w:rsidR="00172F34" w:rsidRDefault="00172F34" w:rsidP="00172F34">
      <w:pPr>
        <w:pStyle w:val="Heading2"/>
      </w:pPr>
      <w:bookmarkStart w:id="37" w:name="_Toc448742075"/>
      <w:r>
        <w:lastRenderedPageBreak/>
        <w:t>3.3 Verification Methodology</w:t>
      </w:r>
      <w:bookmarkEnd w:id="37"/>
    </w:p>
    <w:p w:rsidR="00172F34" w:rsidRDefault="00172F34" w:rsidP="00C3277E">
      <w:pPr>
        <w:pStyle w:val="NoSpacing"/>
        <w:ind w:firstLine="720"/>
      </w:pPr>
      <w:r>
        <w:t xml:space="preserve">In this study, a few different verification techniques are employed to properly test the hypotheses outlined in Section 1.3. First, root-mean-squared errors (RMSE) for five </w:t>
      </w:r>
      <w:r w:rsidR="00E86FD9">
        <w:t xml:space="preserve">near-surface </w:t>
      </w:r>
      <w:r>
        <w:t>variables are computed usin</w:t>
      </w:r>
      <w:r w:rsidR="00E86FD9">
        <w:t>g the equation</w:t>
      </w:r>
      <w:r>
        <w:t>,</w:t>
      </w:r>
    </w:p>
    <w:p w:rsidR="00172F34" w:rsidRDefault="00172F34" w:rsidP="00C3277E">
      <w:pPr>
        <w:pStyle w:val="NoSpacing"/>
        <w:jc w:val="right"/>
      </w:pPr>
      <m:oMath>
        <m:r>
          <w:rPr>
            <w:rFonts w:ascii="Cambria Math" w:hAnsi="Cambria Math"/>
          </w:rPr>
          <m:t>RMSE=</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k</m:t>
                            </m:r>
                          </m:sub>
                        </m:sSub>
                      </m:e>
                    </m:d>
                  </m:e>
                  <m:sup>
                    <m:r>
                      <w:rPr>
                        <w:rFonts w:ascii="Cambria Math" w:hAnsi="Cambria Math"/>
                      </w:rPr>
                      <m:t>2</m:t>
                    </m:r>
                  </m:sup>
                </m:sSup>
              </m:e>
            </m:nary>
          </m:e>
        </m:rad>
      </m:oMath>
      <w:r>
        <w:t xml:space="preserve"> , </w:t>
      </w:r>
      <w:r w:rsidR="00C3277E">
        <w:t xml:space="preserve">                           </w:t>
      </w:r>
      <w:r>
        <w:t xml:space="preserve">               </w:t>
      </w:r>
      <w:r w:rsidR="006F62A7">
        <w:t>(4</w:t>
      </w:r>
      <w:r>
        <w:t>)</w:t>
      </w:r>
    </w:p>
    <w:p w:rsidR="00172F34" w:rsidRDefault="00172F34" w:rsidP="00C3277E">
      <w:pPr>
        <w:pStyle w:val="NoSpacing"/>
      </w:pPr>
      <w:r>
        <w:t xml:space="preserve">where </w:t>
      </w:r>
      <w:r>
        <w:rPr>
          <w:i/>
        </w:rPr>
        <w:t>n</w:t>
      </w:r>
      <w:r>
        <w:t xml:space="preserve"> is the total number of observation locations, </w:t>
      </w:r>
      <w:r>
        <w:rPr>
          <w:i/>
        </w:rPr>
        <w:t>f</w:t>
      </w:r>
      <w:r>
        <w:rPr>
          <w:i/>
          <w:vertAlign w:val="subscript"/>
        </w:rPr>
        <w:t>k</w:t>
      </w:r>
      <w:r>
        <w:t xml:space="preserve"> and </w:t>
      </w:r>
      <w:r>
        <w:rPr>
          <w:i/>
        </w:rPr>
        <w:t>o</w:t>
      </w:r>
      <w:r>
        <w:rPr>
          <w:i/>
          <w:vertAlign w:val="subscript"/>
        </w:rPr>
        <w:t>k</w:t>
      </w:r>
      <w:r>
        <w:t xml:space="preserve"> are the forecasted and observed variables, respectively, at the </w:t>
      </w:r>
      <w:r>
        <w:rPr>
          <w:i/>
        </w:rPr>
        <w:t>k</w:t>
      </w:r>
      <w:r w:rsidRPr="00E41435">
        <w:rPr>
          <w:i/>
          <w:vertAlign w:val="superscript"/>
        </w:rPr>
        <w:t>th</w:t>
      </w:r>
      <w:r>
        <w:t xml:space="preserve"> observation location. For consistency of observing instruments, the RMSEs are calculated using only Oklahoma Mesonet data, w</w:t>
      </w:r>
      <w:r w:rsidR="00E86FD9">
        <w:t>hich uses 5-minute averages for</w:t>
      </w:r>
      <w:r>
        <w:t xml:space="preserve"> 1.5-m temperature (</w:t>
      </w:r>
      <w:r w:rsidRPr="00E41435">
        <w:rPr>
          <w:i/>
        </w:rPr>
        <w:t>T</w:t>
      </w:r>
      <w:r>
        <w:t>), 1.5-m dewpoint temperature (</w:t>
      </w:r>
      <w:r w:rsidRPr="00E41435">
        <w:rPr>
          <w:i/>
        </w:rPr>
        <w:t>T</w:t>
      </w:r>
      <w:r w:rsidRPr="00E41435">
        <w:rPr>
          <w:i/>
          <w:vertAlign w:val="subscript"/>
        </w:rPr>
        <w:t>d</w:t>
      </w:r>
      <w:r>
        <w:t>), 10-m u- and v-component wind (</w:t>
      </w:r>
      <w:r w:rsidRPr="00E41435">
        <w:rPr>
          <w:i/>
        </w:rPr>
        <w:t>u</w:t>
      </w:r>
      <w:r>
        <w:t xml:space="preserve"> and </w:t>
      </w:r>
      <w:r w:rsidRPr="00E41435">
        <w:rPr>
          <w:i/>
        </w:rPr>
        <w:t>v</w:t>
      </w:r>
      <w:r>
        <w:t>, respectively), and 0.75-m atmospheric pressure (</w:t>
      </w:r>
      <w:r w:rsidRPr="00E41435">
        <w:rPr>
          <w:i/>
        </w:rPr>
        <w:t>p</w:t>
      </w:r>
      <w:r>
        <w:t>) (</w:t>
      </w:r>
      <w:r w:rsidRPr="00B22305">
        <w:t>Brock et al. 1995).</w:t>
      </w:r>
      <w:r>
        <w:t xml:space="preserve"> The forecasted values, </w:t>
      </w:r>
      <w:r>
        <w:rPr>
          <w:i/>
        </w:rPr>
        <w:t>f</w:t>
      </w:r>
      <w:r>
        <w:rPr>
          <w:i/>
          <w:vertAlign w:val="subscript"/>
        </w:rPr>
        <w:t>k</w:t>
      </w:r>
      <w:r>
        <w:t xml:space="preserve">, for </w:t>
      </w:r>
      <w:r>
        <w:rPr>
          <w:i/>
        </w:rPr>
        <w:t>T</w:t>
      </w:r>
      <w:r>
        <w:t xml:space="preserve">, </w:t>
      </w:r>
      <w:r>
        <w:rPr>
          <w:i/>
        </w:rPr>
        <w:t>T</w:t>
      </w:r>
      <w:r>
        <w:rPr>
          <w:i/>
          <w:vertAlign w:val="subscript"/>
        </w:rPr>
        <w:t>d</w:t>
      </w:r>
      <w:r>
        <w:t xml:space="preserve">, </w:t>
      </w:r>
      <w:r>
        <w:rPr>
          <w:i/>
        </w:rPr>
        <w:t>u</w:t>
      </w:r>
      <w:r>
        <w:t xml:space="preserve">, </w:t>
      </w:r>
      <w:r>
        <w:rPr>
          <w:i/>
        </w:rPr>
        <w:t>v</w:t>
      </w:r>
      <w:r>
        <w:t xml:space="preserve">, and </w:t>
      </w:r>
      <w:r>
        <w:rPr>
          <w:i/>
        </w:rPr>
        <w:t>p</w:t>
      </w:r>
      <w:r>
        <w:t xml:space="preserve"> are first linearly interpolated in the vertical to 2-m, 2-m, 10-m, 10-m, and 2-m</w:t>
      </w:r>
      <w:r w:rsidR="00E86FD9">
        <w:t xml:space="preserve"> AGL</w:t>
      </w:r>
      <w:r>
        <w:t xml:space="preserve">, respectively, and then bi-linearly interpolated to the </w:t>
      </w:r>
      <w:r>
        <w:rPr>
          <w:i/>
        </w:rPr>
        <w:t>n</w:t>
      </w:r>
      <w:r>
        <w:t xml:space="preserve"> mesonet locations. In addi</w:t>
      </w:r>
      <w:r w:rsidR="00C21202">
        <w:t>tion to RMSE, linear regression slopes,</w:t>
      </w:r>
      <w:r>
        <w:t xml:space="preserve"> coefficients of determination</w:t>
      </w:r>
      <w:r w:rsidR="00C21202">
        <w:t xml:space="preserve">, and </w:t>
      </w:r>
      <w:r w:rsidR="008247BA">
        <w:t xml:space="preserve">probability distribution functions (PDFs) </w:t>
      </w:r>
      <w:r w:rsidR="00C21202">
        <w:t>are</w:t>
      </w:r>
      <w:r>
        <w:t xml:space="preserve"> calculated for further comparisons.</w:t>
      </w:r>
      <w:r w:rsidR="008247BA">
        <w:t xml:space="preserve"> The </w:t>
      </w:r>
      <w:r w:rsidR="0058490E">
        <w:t>linear regression slopes are computed using the equation,</w:t>
      </w:r>
    </w:p>
    <w:p w:rsidR="008247BA" w:rsidRDefault="00B67088" w:rsidP="00B67088">
      <w:pPr>
        <w:pStyle w:val="NoSpacing"/>
        <w:jc w:val="right"/>
        <w:rPr>
          <w:rFonts w:eastAsiaTheme="minorEastAsia"/>
        </w:rPr>
      </w:pPr>
      <w:r>
        <w:rPr>
          <w:rFonts w:eastAsiaTheme="minorEastAsia"/>
        </w:rPr>
        <w:t xml:space="preserve">         </w:t>
      </w:r>
      <m:oMath>
        <m:r>
          <w:rPr>
            <w:rFonts w:ascii="Cambria Math" w:hAnsi="Cambria Math"/>
          </w:rPr>
          <m:t>m=</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o</m:t>
                            </m:r>
                          </m:e>
                        </m:acc>
                      </m:e>
                    </m:d>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f</m:t>
                            </m:r>
                          </m:e>
                        </m:acc>
                      </m:e>
                    </m:d>
                  </m:e>
                </m:d>
              </m:e>
            </m:nary>
          </m:num>
          <m:den>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o</m:t>
                            </m:r>
                          </m:e>
                        </m:acc>
                      </m:e>
                    </m:d>
                  </m:e>
                  <m:sup>
                    <m:r>
                      <w:rPr>
                        <w:rFonts w:ascii="Cambria Math" w:hAnsi="Cambria Math"/>
                      </w:rPr>
                      <m:t>2</m:t>
                    </m:r>
                  </m:sup>
                </m:sSup>
              </m:e>
            </m:nary>
          </m:den>
        </m:f>
      </m:oMath>
      <w:r>
        <w:rPr>
          <w:rFonts w:eastAsiaTheme="minorEastAsia"/>
        </w:rPr>
        <w:t xml:space="preserve"> </w:t>
      </w:r>
      <w:r w:rsidR="00A37073">
        <w:rPr>
          <w:rFonts w:eastAsiaTheme="minorEastAsia"/>
        </w:rPr>
        <w:t>.</w:t>
      </w:r>
      <w:r>
        <w:rPr>
          <w:rFonts w:eastAsiaTheme="minorEastAsia"/>
        </w:rPr>
        <w:t xml:space="preserve">                                                (</w:t>
      </w:r>
      <w:r w:rsidR="006F62A7">
        <w:rPr>
          <w:rFonts w:eastAsiaTheme="minorEastAsia"/>
        </w:rPr>
        <w:t>5</w:t>
      </w:r>
      <w:r>
        <w:rPr>
          <w:rFonts w:eastAsiaTheme="minorEastAsia"/>
        </w:rPr>
        <w:t>)</w:t>
      </w:r>
    </w:p>
    <w:p w:rsidR="00A37073" w:rsidRDefault="00A37073" w:rsidP="00A37073">
      <w:pPr>
        <w:pStyle w:val="NoSpacing"/>
        <w:rPr>
          <w:rFonts w:eastAsiaTheme="minorEastAsia"/>
        </w:rPr>
      </w:pPr>
      <w:r>
        <w:rPr>
          <w:rFonts w:eastAsiaTheme="minorEastAsia"/>
        </w:rPr>
        <w:t>The coefficient</w:t>
      </w:r>
      <w:r w:rsidR="0077608D">
        <w:rPr>
          <w:rFonts w:eastAsiaTheme="minorEastAsia"/>
        </w:rPr>
        <w:t>s</w:t>
      </w:r>
      <w:r>
        <w:rPr>
          <w:rFonts w:eastAsiaTheme="minorEastAsia"/>
        </w:rPr>
        <w:t xml:space="preserve"> of determination, which is the square of the Pearson </w:t>
      </w:r>
      <w:r w:rsidR="00DC51F8">
        <w:rPr>
          <w:rFonts w:eastAsiaTheme="minorEastAsia"/>
        </w:rPr>
        <w:t xml:space="preserve">product-moment </w:t>
      </w:r>
      <w:r>
        <w:rPr>
          <w:rFonts w:eastAsiaTheme="minorEastAsia"/>
        </w:rPr>
        <w:t>correlation</w:t>
      </w:r>
      <w:r w:rsidR="00DC51F8">
        <w:rPr>
          <w:rFonts w:eastAsiaTheme="minorEastAsia"/>
        </w:rPr>
        <w:t xml:space="preserve"> coefficient, </w:t>
      </w:r>
      <w:r w:rsidR="0077608D">
        <w:rPr>
          <w:rFonts w:eastAsiaTheme="minorEastAsia"/>
        </w:rPr>
        <w:t>are</w:t>
      </w:r>
      <w:r w:rsidR="00DC51F8">
        <w:rPr>
          <w:rFonts w:eastAsiaTheme="minorEastAsia"/>
        </w:rPr>
        <w:t xml:space="preserve"> computed using the equation,</w:t>
      </w:r>
    </w:p>
    <w:p w:rsidR="00DC51F8" w:rsidRDefault="00D4287A" w:rsidP="0077608D">
      <w:pPr>
        <w:pStyle w:val="NoSpacing"/>
        <w:jc w:val="right"/>
        <w:rPr>
          <w:rFonts w:eastAsiaTheme="minorEastAsia"/>
        </w:rPr>
      </w:pP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o</m:t>
                            </m:r>
                          </m:e>
                        </m:acc>
                      </m:e>
                    </m:d>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f</m:t>
                            </m:r>
                          </m:e>
                        </m:acc>
                      </m:e>
                    </m:d>
                  </m:e>
                  <m:sup>
                    <m:r>
                      <w:rPr>
                        <w:rFonts w:ascii="Cambria Math" w:hAnsi="Cambria Math"/>
                      </w:rPr>
                      <m:t>2</m:t>
                    </m:r>
                  </m:sup>
                </m:sSup>
              </m:e>
            </m:nary>
          </m:den>
        </m:f>
      </m:oMath>
      <w:r w:rsidR="0077608D">
        <w:rPr>
          <w:rFonts w:eastAsiaTheme="minorEastAsia"/>
        </w:rPr>
        <w:t>,                                                    (</w:t>
      </w:r>
      <w:r w:rsidR="006F62A7">
        <w:rPr>
          <w:rFonts w:eastAsiaTheme="minorEastAsia"/>
        </w:rPr>
        <w:t>6</w:t>
      </w:r>
      <w:r w:rsidR="0077608D">
        <w:rPr>
          <w:rFonts w:eastAsiaTheme="minorEastAsia"/>
        </w:rPr>
        <w:t>)</w:t>
      </w:r>
    </w:p>
    <w:p w:rsidR="0077608D" w:rsidRDefault="0077608D" w:rsidP="0077608D">
      <w:pPr>
        <w:pStyle w:val="NoSpacing"/>
      </w:pPr>
      <w:r>
        <w:rPr>
          <w:rFonts w:eastAsiaTheme="minorEastAsia"/>
        </w:rPr>
        <w:t xml:space="preserve">where </w:t>
      </w:r>
      <w:r w:rsidR="00363048">
        <w:rPr>
          <w:rFonts w:eastAsiaTheme="minorEastAsia"/>
        </w:rPr>
        <w:t xml:space="preserve">the numerator is the regression sum of squares </w:t>
      </w:r>
      <w:r w:rsidR="007A3C73">
        <w:rPr>
          <w:rFonts w:eastAsiaTheme="minorEastAsia"/>
        </w:rPr>
        <w:t>and</w:t>
      </w:r>
      <w:r w:rsidR="00363048">
        <w:rPr>
          <w:rFonts w:eastAsiaTheme="minorEastAsia"/>
        </w:rPr>
        <w:t xml:space="preserve"> the denominator is the total sum of squares.</w:t>
      </w:r>
    </w:p>
    <w:p w:rsidR="00172F34" w:rsidRPr="00E41435" w:rsidRDefault="00172F34" w:rsidP="00C3277E">
      <w:pPr>
        <w:pStyle w:val="NoSpacing"/>
        <w:ind w:firstLine="720"/>
      </w:pPr>
      <w:r>
        <w:lastRenderedPageBreak/>
        <w:t xml:space="preserve">To determine how much a forecast of composite reflectivity needs to be “blurred” to exhibit </w:t>
      </w:r>
      <w:r w:rsidR="00E86FD9">
        <w:t>“</w:t>
      </w:r>
      <w:r>
        <w:t>useful</w:t>
      </w:r>
      <w:r w:rsidR="00E86FD9">
        <w:t>”</w:t>
      </w:r>
      <w:r>
        <w:t xml:space="preserve"> skill, the FSS </w:t>
      </w:r>
      <w:r w:rsidRPr="0048222E">
        <w:t>is</w:t>
      </w:r>
      <w:r>
        <w:t xml:space="preserve"> computed for 30-, 40-, and 50-dBZ thresholds using the equation, </w:t>
      </w:r>
    </w:p>
    <w:p w:rsidR="00172F34" w:rsidRDefault="00172F34" w:rsidP="00C3277E">
      <w:pPr>
        <w:pStyle w:val="NoSpacing"/>
        <w:jc w:val="right"/>
      </w:pPr>
      <m:oMath>
        <m:r>
          <w:rPr>
            <w:rFonts w:ascii="Cambria Math" w:hAnsi="Cambria Math"/>
          </w:rPr>
          <m:t>FSS=1-</m:t>
        </m:r>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rPr>
                </m:ctrlPr>
              </m:naryPr>
              <m:sub>
                <m:r>
                  <w:rPr>
                    <w:rFonts w:ascii="Cambria Math" w:hAnsi="Cambria Math"/>
                  </w:rPr>
                  <m:t>N</m:t>
                </m:r>
              </m: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m:t>
                            </m:r>
                          </m:sub>
                        </m:sSub>
                      </m:e>
                    </m:d>
                  </m:e>
                  <m:sup>
                    <m:r>
                      <w:rPr>
                        <w:rFonts w:ascii="Cambria Math" w:hAnsi="Cambria Math"/>
                      </w:rPr>
                      <m:t>2</m:t>
                    </m:r>
                  </m:sup>
                </m:sSup>
              </m:e>
            </m:nary>
          </m:num>
          <m:den>
            <m:f>
              <m:fPr>
                <m:ctrlPr>
                  <w:rPr>
                    <w:rFonts w:ascii="Cambria Math" w:hAnsi="Cambria Math"/>
                    <w:i/>
                  </w:rPr>
                </m:ctrlPr>
              </m:fPr>
              <m:num>
                <m:r>
                  <w:rPr>
                    <w:rFonts w:ascii="Cambria Math" w:hAnsi="Cambria Math"/>
                  </w:rPr>
                  <m:t>1</m:t>
                </m:r>
              </m:num>
              <m:den>
                <m:r>
                  <w:rPr>
                    <w:rFonts w:ascii="Cambria Math" w:hAnsi="Cambria Math"/>
                  </w:rPr>
                  <m:t>N</m:t>
                </m:r>
              </m:den>
            </m:f>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N</m:t>
                    </m:r>
                  </m:sub>
                  <m:sup/>
                  <m:e>
                    <m:sSubSup>
                      <m:sSubSupPr>
                        <m:ctrlPr>
                          <w:rPr>
                            <w:rFonts w:ascii="Cambria Math" w:hAnsi="Cambria Math"/>
                            <w:i/>
                          </w:rPr>
                        </m:ctrlPr>
                      </m:sSubSupPr>
                      <m:e>
                        <m:r>
                          <w:rPr>
                            <w:rFonts w:ascii="Cambria Math" w:hAnsi="Cambria Math"/>
                          </w:rPr>
                          <m:t>P</m:t>
                        </m:r>
                      </m:e>
                      <m:sub>
                        <m:r>
                          <w:rPr>
                            <w:rFonts w:ascii="Cambria Math" w:hAnsi="Cambria Math"/>
                          </w:rPr>
                          <m:t>f</m:t>
                        </m:r>
                      </m:sub>
                      <m:sup>
                        <m:r>
                          <w:rPr>
                            <w:rFonts w:ascii="Cambria Math" w:hAnsi="Cambria Math"/>
                          </w:rPr>
                          <m:t>2</m:t>
                        </m:r>
                      </m:sup>
                    </m:sSubSup>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bSup>
                      <m:sSubSupPr>
                        <m:ctrlPr>
                          <w:rPr>
                            <w:rFonts w:ascii="Cambria Math" w:hAnsi="Cambria Math"/>
                            <w:i/>
                          </w:rPr>
                        </m:ctrlPr>
                      </m:sSubSupPr>
                      <m:e>
                        <m:r>
                          <w:rPr>
                            <w:rFonts w:ascii="Cambria Math" w:hAnsi="Cambria Math"/>
                          </w:rPr>
                          <m:t>P</m:t>
                        </m:r>
                      </m:e>
                      <m:sub>
                        <m:r>
                          <w:rPr>
                            <w:rFonts w:ascii="Cambria Math" w:hAnsi="Cambria Math"/>
                          </w:rPr>
                          <m:t>o</m:t>
                        </m:r>
                      </m:sub>
                      <m:sup>
                        <m:r>
                          <w:rPr>
                            <w:rFonts w:ascii="Cambria Math" w:hAnsi="Cambria Math"/>
                          </w:rPr>
                          <m:t>2</m:t>
                        </m:r>
                      </m:sup>
                    </m:sSubSup>
                  </m:e>
                </m:nary>
              </m:e>
            </m:d>
          </m:den>
        </m:f>
      </m:oMath>
      <w:r>
        <w:t xml:space="preserve"> ,               </w:t>
      </w:r>
      <w:r w:rsidR="00DC51F8">
        <w:t xml:space="preserve">                              (</w:t>
      </w:r>
      <w:r w:rsidR="006F62A7">
        <w:t>7</w:t>
      </w:r>
      <w:r>
        <w:t>)</w:t>
      </w:r>
    </w:p>
    <w:p w:rsidR="00172F34" w:rsidRPr="00C3635A" w:rsidRDefault="00172F34" w:rsidP="00C3277E">
      <w:pPr>
        <w:pStyle w:val="NoSpacing"/>
      </w:pPr>
      <w:r>
        <w:t xml:space="preserve">where </w:t>
      </w:r>
      <w:r w:rsidRPr="00A14B84">
        <w:rPr>
          <w:i/>
        </w:rPr>
        <w:t>P</w:t>
      </w:r>
      <w:r w:rsidRPr="00A14B84">
        <w:rPr>
          <w:i/>
          <w:vertAlign w:val="subscript"/>
        </w:rPr>
        <w:t>f</w:t>
      </w:r>
      <w:r>
        <w:t xml:space="preserve"> and </w:t>
      </w:r>
      <w:r w:rsidRPr="00A14B84">
        <w:rPr>
          <w:i/>
        </w:rPr>
        <w:t>P</w:t>
      </w:r>
      <w:r w:rsidRPr="00A14B84">
        <w:rPr>
          <w:i/>
          <w:vertAlign w:val="subscript"/>
        </w:rPr>
        <w:t>o</w:t>
      </w:r>
      <w:r>
        <w:t xml:space="preserve"> are the fractional coverages of forecasted and observed values, respectively, exceeding a threshold within a neighborhood window and </w:t>
      </w:r>
      <w:r w:rsidRPr="00A56771">
        <w:rPr>
          <w:i/>
        </w:rPr>
        <w:t>N</w:t>
      </w:r>
      <w:r>
        <w:t xml:space="preserve"> is the number of neighborhood windows used for each neighborhood size (Ebert</w:t>
      </w:r>
      <w:r w:rsidR="0058490E">
        <w:t>,</w:t>
      </w:r>
      <w:r>
        <w:t xml:space="preserve"> 2008, 2009). Since FSS ranges from 0 (no skill) to 1 (perfect skill), the equation, FSS</w:t>
      </w:r>
      <w:r>
        <w:rPr>
          <w:vertAlign w:val="subscript"/>
        </w:rPr>
        <w:t>useful</w:t>
      </w:r>
      <w:r>
        <w:t xml:space="preserve"> = 0.5 + </w:t>
      </w:r>
      <w:r w:rsidRPr="00C3635A">
        <w:rPr>
          <w:i/>
        </w:rPr>
        <w:t>f</w:t>
      </w:r>
      <w:r w:rsidRPr="00C3635A">
        <w:rPr>
          <w:i/>
          <w:vertAlign w:val="subscript"/>
        </w:rPr>
        <w:t>o</w:t>
      </w:r>
      <w:r>
        <w:t xml:space="preserve">/2, where </w:t>
      </w:r>
      <w:r w:rsidRPr="008E1089">
        <w:rPr>
          <w:i/>
        </w:rPr>
        <w:t>f</w:t>
      </w:r>
      <w:r w:rsidRPr="008E1089">
        <w:rPr>
          <w:i/>
          <w:vertAlign w:val="subscript"/>
        </w:rPr>
        <w:t>o</w:t>
      </w:r>
      <w:r>
        <w:t xml:space="preserve"> is the base rate</w:t>
      </w:r>
      <w:r w:rsidR="002D1407">
        <w:t xml:space="preserve"> of the observed values</w:t>
      </w:r>
      <w:r>
        <w:t>, from Roberts and Lean (2008) is used in this study to determine the smallest scales with “useful” skill, which is considered to be halfway between a random forecast (FSS</w:t>
      </w:r>
      <w:r>
        <w:rPr>
          <w:vertAlign w:val="subscript"/>
        </w:rPr>
        <w:t>random</w:t>
      </w:r>
      <w:r>
        <w:t xml:space="preserve"> = </w:t>
      </w:r>
      <w:r w:rsidRPr="00C3635A">
        <w:rPr>
          <w:i/>
        </w:rPr>
        <w:t>f</w:t>
      </w:r>
      <w:r w:rsidRPr="00C3635A">
        <w:rPr>
          <w:i/>
          <w:vertAlign w:val="subscript"/>
        </w:rPr>
        <w:t>o</w:t>
      </w:r>
      <w:r>
        <w:t>) and a perfect forecast. Square neighborhood windows are employed, and when grid points within neighborhood windows extend beyond the edge of the domain, those grid points are assigned the value of 0. The observed composite reflectivity from the National Severe Storm Laboratory’s national mosaic and quantitative precipitation estimation (NMQ</w:t>
      </w:r>
      <w:r w:rsidR="002D1407">
        <w:t>; Zhang et al., 2011</w:t>
      </w:r>
      <w:r>
        <w:t xml:space="preserve">) system is used </w:t>
      </w:r>
      <w:r w:rsidR="00733403">
        <w:t>as</w:t>
      </w:r>
      <w:r>
        <w:t xml:space="preserve"> the observation field.</w:t>
      </w:r>
    </w:p>
    <w:p w:rsidR="008466C8" w:rsidRDefault="00224B28" w:rsidP="00C3277E">
      <w:pPr>
        <w:pStyle w:val="NoSpacing"/>
        <w:ind w:firstLine="720"/>
        <w:rPr>
          <w:rFonts w:eastAsiaTheme="minorEastAsia"/>
        </w:rPr>
      </w:pPr>
      <w:r>
        <w:t>A new object-based verification technique was developed to</w:t>
      </w:r>
      <w:r w:rsidR="00172F34">
        <w:t xml:space="preserve"> </w:t>
      </w:r>
      <w:r w:rsidR="00172F34" w:rsidRPr="00B22305">
        <w:t>assess m</w:t>
      </w:r>
      <w:r>
        <w:t>odel performance by verifying</w:t>
      </w:r>
      <w:r w:rsidR="00172F34" w:rsidRPr="00B22305">
        <w:t xml:space="preserve"> simulated </w:t>
      </w:r>
      <w:r w:rsidR="00172F34">
        <w:t>mesocyclone</w:t>
      </w:r>
      <w:r w:rsidR="00172F34" w:rsidRPr="00B22305">
        <w:t xml:space="preserve"> centers</w:t>
      </w:r>
      <w:r>
        <w:t>,</w:t>
      </w:r>
      <w:r w:rsidR="00172F34" w:rsidRPr="00B22305">
        <w:t xml:space="preserve"> </w:t>
      </w:r>
      <w:r>
        <w:t>via the UH field, with</w:t>
      </w:r>
      <w:r w:rsidR="00172F34" w:rsidRPr="00B22305">
        <w:t xml:space="preserve"> estimated tornado points. The locations of the six tornadoes </w:t>
      </w:r>
      <w:r>
        <w:t xml:space="preserve">(i.e., B1, B2, B4, C1, D1, and D2 in </w:t>
      </w:r>
      <w:r>
        <w:fldChar w:fldCharType="begin"/>
      </w:r>
      <w:r>
        <w:instrText xml:space="preserve"> REF _Ref438199623 \h </w:instrText>
      </w:r>
      <w:r>
        <w:fldChar w:fldCharType="separate"/>
      </w:r>
      <w:r w:rsidR="00F7579D" w:rsidRPr="001B47F6">
        <w:t xml:space="preserve">Figure </w:t>
      </w:r>
      <w:r w:rsidR="00F7579D">
        <w:rPr>
          <w:noProof/>
        </w:rPr>
        <w:t>3</w:t>
      </w:r>
      <w:r>
        <w:fldChar w:fldCharType="end"/>
      </w:r>
      <w:r>
        <w:t xml:space="preserve">) </w:t>
      </w:r>
      <w:r w:rsidR="00172F34" w:rsidRPr="00B22305">
        <w:t>associated with the three storms of interest are estimated every minute based on NWS damage surveys, radar data, and high-resolution aerial photos from Google Maps. Two adjacent layers of UH (namely,</w:t>
      </w:r>
      <w:r w:rsidR="00172F34">
        <w:t xml:space="preserve"> 0–1 km and 1–6 km) are used in</w:t>
      </w:r>
      <w:r w:rsidR="00172F34" w:rsidRPr="00B22305">
        <w:t xml:space="preserve"> the verification </w:t>
      </w:r>
      <w:r w:rsidR="00172F34">
        <w:t>process to verify</w:t>
      </w:r>
      <w:r w:rsidR="00172F34" w:rsidRPr="00B22305">
        <w:t xml:space="preserve"> the simulations</w:t>
      </w:r>
      <w:r w:rsidR="008466C8">
        <w:t xml:space="preserve"> and are derived using the equation,</w:t>
      </w:r>
    </w:p>
    <w:p w:rsidR="008466C8" w:rsidRDefault="00984539" w:rsidP="008466C8">
      <w:pPr>
        <w:pStyle w:val="NoSpacing"/>
        <w:ind w:firstLine="720"/>
        <w:jc w:val="right"/>
      </w:pPr>
      <m:oMath>
        <m:r>
          <w:rPr>
            <w:rFonts w:ascii="Cambria Math" w:hAnsi="Cambria Math"/>
          </w:rPr>
          <w:lastRenderedPageBreak/>
          <m:t>UH=</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z</m:t>
                </m:r>
              </m:e>
              <m:sub>
                <m:r>
                  <w:rPr>
                    <w:rFonts w:ascii="Cambria Math" w:hAnsi="Cambria Math"/>
                  </w:rPr>
                  <m:t>1</m:t>
                </m:r>
              </m:sub>
            </m:sSub>
          </m:sub>
          <m:sup>
            <m:sSub>
              <m:sSubPr>
                <m:ctrlPr>
                  <w:rPr>
                    <w:rFonts w:ascii="Cambria Math" w:hAnsi="Cambria Math"/>
                    <w:i/>
                  </w:rPr>
                </m:ctrlPr>
              </m:sSubPr>
              <m:e>
                <m:r>
                  <w:rPr>
                    <w:rFonts w:ascii="Cambria Math" w:hAnsi="Cambria Math"/>
                  </w:rPr>
                  <m:t>z</m:t>
                </m:r>
              </m:e>
              <m:sub>
                <m:r>
                  <w:rPr>
                    <w:rFonts w:ascii="Cambria Math" w:hAnsi="Cambria Math"/>
                  </w:rPr>
                  <m:t>2</m:t>
                </m:r>
              </m:sub>
            </m:sSub>
          </m:sup>
          <m:e>
            <m:r>
              <w:rPr>
                <w:rFonts w:ascii="Cambria Math" w:hAnsi="Cambria Math"/>
              </w:rPr>
              <m:t>wζdz</m:t>
            </m:r>
          </m:e>
        </m:nary>
      </m:oMath>
      <w:r w:rsidR="008466C8">
        <w:t>,</w:t>
      </w:r>
      <w:r w:rsidR="00172F34" w:rsidRPr="00B22305">
        <w:t xml:space="preserve"> </w:t>
      </w:r>
      <w:r w:rsidR="008466C8">
        <w:t xml:space="preserve">                                                </w:t>
      </w:r>
      <w:r w:rsidR="006F62A7">
        <w:t>(8</w:t>
      </w:r>
      <w:r w:rsidR="008466C8">
        <w:t>)</w:t>
      </w:r>
    </w:p>
    <w:p w:rsidR="00172F34" w:rsidRDefault="00984539" w:rsidP="008466C8">
      <w:pPr>
        <w:pStyle w:val="NoSpacing"/>
      </w:pPr>
      <w:r>
        <w:t>w</w:t>
      </w:r>
      <w:r w:rsidR="008466C8">
        <w:t>hich is the integral through the depth</w:t>
      </w:r>
      <w:r>
        <w:t>,</w:t>
      </w:r>
      <w:r w:rsidR="008466C8">
        <w:t xml:space="preserve"> </w:t>
      </w:r>
      <w:r w:rsidR="008466C8" w:rsidRPr="00984539">
        <w:rPr>
          <w:i/>
        </w:rPr>
        <w:t>z</w:t>
      </w:r>
      <w:r w:rsidR="008466C8" w:rsidRPr="00984539">
        <w:rPr>
          <w:i/>
          <w:vertAlign w:val="subscript"/>
        </w:rPr>
        <w:t>1</w:t>
      </w:r>
      <w:r w:rsidR="008466C8">
        <w:t xml:space="preserve"> to </w:t>
      </w:r>
      <w:r w:rsidR="008466C8" w:rsidRPr="00984539">
        <w:rPr>
          <w:i/>
        </w:rPr>
        <w:t>z</w:t>
      </w:r>
      <w:r w:rsidR="008466C8" w:rsidRPr="00984539">
        <w:rPr>
          <w:i/>
          <w:vertAlign w:val="subscript"/>
        </w:rPr>
        <w:t>2</w:t>
      </w:r>
      <w:r>
        <w:t>,</w:t>
      </w:r>
      <w:r w:rsidR="008466C8">
        <w:t xml:space="preserve"> of the product of vertical velocity</w:t>
      </w:r>
      <w:r>
        <w:t xml:space="preserve">, </w:t>
      </w:r>
      <w:r w:rsidRPr="00984539">
        <w:rPr>
          <w:i/>
        </w:rPr>
        <w:t>w</w:t>
      </w:r>
      <w:r>
        <w:t>,</w:t>
      </w:r>
      <w:r w:rsidR="008466C8">
        <w:t xml:space="preserve"> and the vertical component of relative vorticity</w:t>
      </w:r>
      <w:r>
        <w:t xml:space="preserve">, </w:t>
      </w:r>
      <w:r w:rsidRPr="00984539">
        <w:rPr>
          <w:rFonts w:cs="Times New Roman"/>
          <w:i/>
        </w:rPr>
        <w:t>ζ</w:t>
      </w:r>
      <w:r>
        <w:t xml:space="preserve">. </w:t>
      </w:r>
      <w:r w:rsidR="00172F34" w:rsidRPr="00B22305">
        <w:t>These two layers are int</w:t>
      </w:r>
      <w:r w:rsidR="00172F34">
        <w:t>ended to represent simulated low-level and mid</w:t>
      </w:r>
      <w:r w:rsidR="00172F34" w:rsidRPr="00B22305">
        <w:t xml:space="preserve">-level mesocyclones, respectively. </w:t>
      </w:r>
      <w:r w:rsidR="00172F34" w:rsidRPr="00AA0CDD">
        <w:t>Kain et al. (2008) used UH</w:t>
      </w:r>
      <w:r w:rsidR="00172F34">
        <w:t xml:space="preserve"> from 2–5-</w:t>
      </w:r>
      <w:r w:rsidR="00172F34" w:rsidRPr="00B22305">
        <w:t>km AGL to signify mid-level mesocyclones, but for this study, a deeper layer of UH is utilized to give more robust UH values by capturing more of the simulated mid-level</w:t>
      </w:r>
      <w:r w:rsidR="00C565BF">
        <w:t xml:space="preserve"> </w:t>
      </w:r>
      <w:r w:rsidR="007929CF">
        <w:t>mesocyclones</w:t>
      </w:r>
      <w:r w:rsidR="00172F34">
        <w:t>, while the 0–1-km UH value is used to pinpoint rotation near the ground, expected to be more closely associated with damage reports</w:t>
      </w:r>
      <w:r w:rsidR="00172F34" w:rsidRPr="00B22305">
        <w:t>.</w:t>
      </w:r>
      <w:r w:rsidR="00172F34">
        <w:t xml:space="preserve"> </w:t>
      </w:r>
    </w:p>
    <w:p w:rsidR="00172F34" w:rsidRDefault="00172F34" w:rsidP="00C3277E">
      <w:pPr>
        <w:pStyle w:val="NoSpacing"/>
        <w:ind w:firstLine="720"/>
      </w:pPr>
      <w:r w:rsidRPr="00122150">
        <w:t>Since UH is a 2</w:t>
      </w:r>
      <w:r>
        <w:t>-</w:t>
      </w:r>
      <w:r w:rsidRPr="00122150">
        <w:t>D field and not point data, a simple 2</w:t>
      </w:r>
      <w:r>
        <w:t>-</w:t>
      </w:r>
      <w:r w:rsidRPr="00122150">
        <w:t>D object-based technique is utilized to find UH-weighted centers (analogous to mass-weighted centers), which will be compared to the estimated torna</w:t>
      </w:r>
      <w:r>
        <w:t>do points. A search radius of 4 km (i.e., 4</w:t>
      </w:r>
      <w:r w:rsidRPr="00122150">
        <w:t xml:space="preserve"> grid points) is used to isolate 1–6-km (0–1-km) UH maxima tha</w:t>
      </w:r>
      <w:r>
        <w:t>t are greater than or equal to 3</w:t>
      </w:r>
      <w:r w:rsidRPr="00122150">
        <w:t>00 m</w:t>
      </w:r>
      <w:r w:rsidRPr="00DF68EB">
        <w:rPr>
          <w:vertAlign w:val="superscript"/>
        </w:rPr>
        <w:t>2</w:t>
      </w:r>
      <w:r w:rsidRPr="00122150">
        <w:t xml:space="preserve"> s</w:t>
      </w:r>
      <w:r w:rsidRPr="00DF68EB">
        <w:rPr>
          <w:vertAlign w:val="superscript"/>
        </w:rPr>
        <w:t>-2</w:t>
      </w:r>
      <w:r>
        <w:t xml:space="preserve"> (15</w:t>
      </w:r>
      <w:r w:rsidRPr="00122150">
        <w:t xml:space="preserve"> m</w:t>
      </w:r>
      <w:r w:rsidRPr="00DF68EB">
        <w:rPr>
          <w:vertAlign w:val="superscript"/>
        </w:rPr>
        <w:t>2</w:t>
      </w:r>
      <w:r w:rsidRPr="00122150">
        <w:t xml:space="preserve"> s</w:t>
      </w:r>
      <w:r w:rsidRPr="00DF68EB">
        <w:rPr>
          <w:vertAlign w:val="superscript"/>
        </w:rPr>
        <w:t>-2</w:t>
      </w:r>
      <w:r w:rsidRPr="00122150">
        <w:t>) and their surrounding grid point values. A max UH value is considered a UH-c</w:t>
      </w:r>
      <w:r>
        <w:t>enter candidate if 4 out of 8 (1</w:t>
      </w:r>
      <w:r w:rsidRPr="00122150">
        <w:t xml:space="preserve"> out of 8) of the adjacent grid p</w:t>
      </w:r>
      <w:r>
        <w:t>oint values equals or exceeds 15</w:t>
      </w:r>
      <w:r w:rsidRPr="00122150">
        <w:t>0 m</w:t>
      </w:r>
      <w:r w:rsidRPr="00DF68EB">
        <w:rPr>
          <w:vertAlign w:val="superscript"/>
        </w:rPr>
        <w:t>2</w:t>
      </w:r>
      <w:r w:rsidRPr="00122150">
        <w:t xml:space="preserve"> s</w:t>
      </w:r>
      <w:r w:rsidRPr="00DF68EB">
        <w:rPr>
          <w:vertAlign w:val="superscript"/>
        </w:rPr>
        <w:t>-2</w:t>
      </w:r>
      <w:r w:rsidRPr="00122150">
        <w:t xml:space="preserve"> (10 m</w:t>
      </w:r>
      <w:r w:rsidRPr="00DF68EB">
        <w:rPr>
          <w:vertAlign w:val="superscript"/>
        </w:rPr>
        <w:t>2</w:t>
      </w:r>
      <w:r w:rsidRPr="00122150">
        <w:t xml:space="preserve"> s</w:t>
      </w:r>
      <w:r w:rsidRPr="00DF68EB">
        <w:rPr>
          <w:vertAlign w:val="superscript"/>
        </w:rPr>
        <w:t>-2</w:t>
      </w:r>
      <w:r w:rsidRPr="00122150">
        <w:t>). Once the UH-center candidates are determined, the UH-weighted center</w:t>
      </w:r>
      <w:r>
        <w:t xml:space="preserve"> is computed using a radius of 3</w:t>
      </w:r>
      <w:r w:rsidRPr="00122150">
        <w:t xml:space="preserve"> km </w:t>
      </w:r>
      <w:r>
        <w:t xml:space="preserve">(2 km) </w:t>
      </w:r>
      <w:r w:rsidRPr="00122150">
        <w:t xml:space="preserve">extending from the grid point with the max UH value. </w:t>
      </w:r>
      <w:r>
        <w:t xml:space="preserve">The 0–1-km UH-weighted centers are filtered by requiring a 1–6-km UH-weighted center to concurrently exist within 5 km. </w:t>
      </w:r>
      <w:r w:rsidR="00733403" w:rsidRPr="00733403">
        <w:t>This is meant to identify centers of strong low-level updraft rotation that are also associated with a significant mid-level rotating updraft.</w:t>
      </w:r>
    </w:p>
    <w:p w:rsidR="00A82336" w:rsidRPr="007929CF" w:rsidRDefault="00172F34" w:rsidP="007929CF">
      <w:pPr>
        <w:pStyle w:val="NoSpacing"/>
        <w:ind w:firstLine="720"/>
      </w:pPr>
      <w:r w:rsidRPr="00122150">
        <w:t xml:space="preserve">With the </w:t>
      </w:r>
      <w:r>
        <w:t xml:space="preserve">filtered </w:t>
      </w:r>
      <w:r w:rsidRPr="00122150">
        <w:t xml:space="preserve">0–1-km UH-weighted center locations, an objective verification technique is used to quantify location and timing errors. </w:t>
      </w:r>
      <w:r>
        <w:t xml:space="preserve">This technique is </w:t>
      </w:r>
      <w:r>
        <w:lastRenderedPageBreak/>
        <w:t>similar to the method used to verify simulated tropical cyclone tracks and intensities (e.g., Xue et al</w:t>
      </w:r>
      <w:r w:rsidR="00C3277E">
        <w:t>.,</w:t>
      </w:r>
      <w:r>
        <w:t xml:space="preserve"> 2013), but in addition to displacement errors, timing errors are estimated as well since the lead time for tornadic circulations is relatively more important than for tropical cyclones (i.e., small vs. large time scales, respectively). </w:t>
      </w:r>
      <w:r w:rsidRPr="00122150">
        <w:t>First, distance errors are computed between the estimated tornado point locations and the nearest</w:t>
      </w:r>
      <w:r w:rsidR="0058490E">
        <w:t xml:space="preserve"> </w:t>
      </w:r>
      <w:r w:rsidR="0058490E" w:rsidRPr="00122150">
        <w:t>0–1-km</w:t>
      </w:r>
      <w:r w:rsidRPr="00122150">
        <w:t xml:space="preserve"> UH </w:t>
      </w:r>
      <w:r w:rsidR="0058490E">
        <w:t xml:space="preserve">(0-1UH) </w:t>
      </w:r>
      <w:r w:rsidRPr="00122150">
        <w:t xml:space="preserve">center locations at coincident times (referred to as “same time”, or ST, for rest of paper). Second, distance and timing errors are calculated between the estimated tornado point locations and the nearest </w:t>
      </w:r>
      <w:r w:rsidR="0058490E">
        <w:t>0-1</w:t>
      </w:r>
      <w:r w:rsidRPr="00122150">
        <w:t>UH center locations at any time during the life of the tornadoes of interest (referred to as “any time”, or AT, for rest of paper).</w:t>
      </w:r>
      <w:r w:rsidR="0058490E">
        <w:t xml:space="preserve"> The average max 0-1UH value for each center and the total number of 0-1UH centers are also computed for further evaluation.  </w:t>
      </w:r>
      <w:r w:rsidR="007929CF">
        <w:rPr>
          <w:szCs w:val="24"/>
        </w:rPr>
        <w:br w:type="page"/>
      </w:r>
    </w:p>
    <w:p w:rsidR="00A82336" w:rsidRPr="00A82336" w:rsidRDefault="00A82336" w:rsidP="00A82336">
      <w:pPr>
        <w:pStyle w:val="Heading1"/>
      </w:pPr>
      <w:bookmarkStart w:id="38" w:name="_Toc448742076"/>
      <w:r w:rsidRPr="00A82336">
        <w:lastRenderedPageBreak/>
        <w:t>Chapter 4 – Impact of Various Microphysics Schemes</w:t>
      </w:r>
      <w:bookmarkEnd w:id="38"/>
    </w:p>
    <w:p w:rsidR="00A82336" w:rsidRPr="00A82336" w:rsidRDefault="00A82336" w:rsidP="00A82336">
      <w:pPr>
        <w:pStyle w:val="Heading2"/>
      </w:pPr>
      <w:bookmarkStart w:id="39" w:name="_Toc448742077"/>
      <w:r w:rsidRPr="00A82336">
        <w:t>4.1 Introduction and Background</w:t>
      </w:r>
      <w:bookmarkEnd w:id="39"/>
    </w:p>
    <w:p w:rsidR="00A82336" w:rsidRPr="00A82336" w:rsidRDefault="00A82336" w:rsidP="00C3277E">
      <w:pPr>
        <w:pStyle w:val="NoSpacing"/>
        <w:ind w:firstLine="720"/>
      </w:pPr>
      <w:r w:rsidRPr="00A82336">
        <w:t>Cloud</w:t>
      </w:r>
      <w:r w:rsidR="00D15A90">
        <w:t xml:space="preserve"> and precipitation microphysics</w:t>
      </w:r>
      <w:r w:rsidRPr="00A82336">
        <w:t xml:space="preserve"> parameterizations play a large role in all scales of</w:t>
      </w:r>
      <w:r w:rsidR="00D15A90">
        <w:t xml:space="preserve"> NWP. For example, microphysics</w:t>
      </w:r>
      <w:r w:rsidRPr="00A82336">
        <w:t xml:space="preserve"> parameterizations have an impact on latent heating and cooling associated with water phase changes (i.e., freezing, melting, evaporation, condensation, deposition, and sublimation), precipitation type and amount, and surface variables (e.g., varying types of downdrafts can alter near-surface temperatures and/or wind speeds and directions and cloud cover can indirectly alter near-surface temperatures through blocking or trapping of long-wave and short-wave radiation). From a short-term, small-scale convective forecasting perspective, these</w:t>
      </w:r>
      <w:r w:rsidR="00C565BF">
        <w:t xml:space="preserve"> microphysics </w:t>
      </w:r>
      <w:r w:rsidRPr="00A82336">
        <w:t xml:space="preserve">parameterization scheme impacts can affect simulated storm intensity, motion (i.e., speed and direction), and mode (e.g., supercell vs. MCS), which are all attributes of severe weather forecasting. </w:t>
      </w:r>
    </w:p>
    <w:p w:rsidR="00A82336" w:rsidRPr="00A82336" w:rsidRDefault="00A82336" w:rsidP="00C3277E">
      <w:pPr>
        <w:pStyle w:val="NoSpacing"/>
        <w:ind w:firstLine="720"/>
      </w:pPr>
      <w:r w:rsidRPr="00A82336">
        <w:t xml:space="preserve">Microphysical parameterization schemes are generally characterized as bin and bulk schemes. Bin schemes use discrete bins to form particle size distributions for various particle sizes and types, and bulk schemes use continuous functional forms to describe particle size distributions. Bulk schemes are largely preferred for NWP and storm simulation studies over bin schemes due to bin schemes being computationally more expensive and having less success at predicting changes in ice particle concentrations (Stensrud 2007). Therefore, this study will focus on the impact of </w:t>
      </w:r>
      <w:r w:rsidR="00D15A90">
        <w:t xml:space="preserve">various </w:t>
      </w:r>
      <w:r w:rsidRPr="00A82336">
        <w:t>bulk schemes on storm-scale forecasts. Specifically, research experiments are done us</w:t>
      </w:r>
      <w:r w:rsidR="00D15A90">
        <w:t>ing five different microphysics</w:t>
      </w:r>
      <w:r w:rsidRPr="00A82336">
        <w:t xml:space="preserve"> parameterization schemes: Lin 3-ice microphysics scheme (LIN3; Lin et al., 1983), Weather Research and Forecasting (WRF) single-</w:t>
      </w:r>
      <w:r w:rsidRPr="00A82336">
        <w:lastRenderedPageBreak/>
        <w:t xml:space="preserve">moment 6-class microphysics scheme (WSM6; Hong and Lim, 2006), Milbrandt and Yau single-moment bulk microphysics scheme (MYSM), Milbrandt and Yau double-moment bulk microphysics scheme (MYDM), and Milbrandt and Yau triple-moment bulk microphysics scheme (MYTM; Milbrandt and Yau 2005a,b). </w:t>
      </w:r>
    </w:p>
    <w:p w:rsidR="00A82336" w:rsidRPr="00A82336" w:rsidRDefault="00A82336" w:rsidP="007E294A">
      <w:pPr>
        <w:pStyle w:val="NoSpacing"/>
        <w:ind w:firstLine="720"/>
      </w:pPr>
      <w:r w:rsidRPr="00A82336">
        <w:t xml:space="preserve">All five of these schemes are based on particle size distributions most generally described by a gamma distribution: </w:t>
      </w:r>
    </w:p>
    <w:p w:rsidR="00A82336" w:rsidRPr="00A82336" w:rsidRDefault="00D4287A" w:rsidP="007E294A">
      <w:pPr>
        <w:pStyle w:val="NoSpacing"/>
        <w:jc w:val="right"/>
        <w:rPr>
          <w:rFonts w:eastAsiaTheme="minorEastAsia"/>
        </w:rPr>
      </w:pPr>
      <m:oMath>
        <m:sSub>
          <m:sSubPr>
            <m:ctrlPr>
              <w:rPr>
                <w:rFonts w:ascii="Cambria Math" w:hAnsi="Cambria Math"/>
                <w:i/>
              </w:rPr>
            </m:ctrlPr>
          </m:sSubPr>
          <m:e>
            <m:r>
              <w:rPr>
                <w:rFonts w:ascii="Cambria Math" w:hAnsi="Cambria Math"/>
              </w:rPr>
              <m:t>N</m:t>
            </m:r>
          </m:e>
          <m:sub>
            <m:r>
              <w:rPr>
                <w:rFonts w:ascii="Cambria Math" w:hAnsi="Cambria Math"/>
              </w:rPr>
              <m:t>x</m:t>
            </m:r>
          </m:sub>
        </m:sSub>
        <m:d>
          <m:dPr>
            <m:ctrlPr>
              <w:rPr>
                <w:rFonts w:ascii="Cambria Math" w:hAnsi="Cambria Math"/>
                <w:i/>
              </w:rPr>
            </m:ctrlPr>
          </m:dPr>
          <m:e>
            <m:r>
              <w:rPr>
                <w:rFonts w:ascii="Cambria Math" w:hAnsi="Cambria Math"/>
              </w:rPr>
              <m:t>D</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ox</m:t>
            </m:r>
          </m:sub>
        </m:sSub>
        <m:sSup>
          <m:sSupPr>
            <m:ctrlPr>
              <w:rPr>
                <w:rFonts w:ascii="Cambria Math" w:hAnsi="Cambria Math"/>
                <w:i/>
              </w:rPr>
            </m:ctrlPr>
          </m:sSupPr>
          <m:e>
            <m:r>
              <w:rPr>
                <w:rFonts w:ascii="Cambria Math" w:hAnsi="Cambria Math"/>
              </w:rPr>
              <m:t>D</m:t>
            </m:r>
          </m:e>
          <m:sup>
            <m:sSub>
              <m:sSubPr>
                <m:ctrlPr>
                  <w:rPr>
                    <w:rFonts w:ascii="Cambria Math" w:hAnsi="Cambria Math"/>
                    <w:i/>
                  </w:rPr>
                </m:ctrlPr>
              </m:sSubPr>
              <m:e>
                <m:r>
                  <w:rPr>
                    <w:rFonts w:ascii="Cambria Math" w:hAnsi="Cambria Math"/>
                  </w:rPr>
                  <m:t>α</m:t>
                </m:r>
              </m:e>
              <m:sub>
                <m:r>
                  <w:rPr>
                    <w:rFonts w:ascii="Cambria Math" w:hAnsi="Cambria Math"/>
                  </w:rPr>
                  <m:t>x</m:t>
                </m:r>
              </m:sub>
            </m:sSub>
          </m:sup>
        </m:sSup>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x</m:t>
                </m:r>
              </m:sub>
            </m:sSub>
            <m:r>
              <w:rPr>
                <w:rFonts w:ascii="Cambria Math" w:hAnsi="Cambria Math"/>
              </w:rPr>
              <m:t>D</m:t>
            </m:r>
          </m:sup>
        </m:sSup>
      </m:oMath>
      <w:r w:rsidR="00A82336" w:rsidRPr="00A82336">
        <w:rPr>
          <w:rFonts w:eastAsiaTheme="minorEastAsia"/>
        </w:rPr>
        <w:t xml:space="preserve">, </w:t>
      </w:r>
      <w:r w:rsidR="00E44BAE">
        <w:rPr>
          <w:rFonts w:eastAsiaTheme="minorEastAsia"/>
        </w:rPr>
        <w:t xml:space="preserve">                   </w:t>
      </w:r>
      <w:r w:rsidR="007E294A">
        <w:rPr>
          <w:rFonts w:eastAsiaTheme="minorEastAsia"/>
        </w:rPr>
        <w:t xml:space="preserve">    </w:t>
      </w:r>
      <w:r w:rsidR="00A82336" w:rsidRPr="00A82336">
        <w:rPr>
          <w:rFonts w:eastAsiaTheme="minorEastAsia"/>
        </w:rPr>
        <w:t xml:space="preserve">                      </w:t>
      </w:r>
      <w:r w:rsidR="006F62A7">
        <w:rPr>
          <w:rFonts w:eastAsiaTheme="minorEastAsia"/>
        </w:rPr>
        <w:t>(9</w:t>
      </w:r>
      <w:r w:rsidR="00A82336" w:rsidRPr="00A82336">
        <w:rPr>
          <w:rFonts w:eastAsiaTheme="minorEastAsia"/>
        </w:rPr>
        <w:t>)</w:t>
      </w:r>
    </w:p>
    <w:p w:rsidR="00A82336" w:rsidRPr="00A82336" w:rsidRDefault="00A82336" w:rsidP="007E294A">
      <w:pPr>
        <w:pStyle w:val="NoSpacing"/>
        <w:rPr>
          <w:rFonts w:eastAsiaTheme="minorEastAsia"/>
        </w:rPr>
      </w:pPr>
      <w:r w:rsidRPr="00A82336">
        <w:rPr>
          <w:rFonts w:eastAsiaTheme="minorEastAsia"/>
        </w:rPr>
        <w:t xml:space="preserve">where </w:t>
      </w:r>
      <w:r w:rsidRPr="00A82336">
        <w:rPr>
          <w:rFonts w:eastAsiaTheme="minorEastAsia"/>
          <w:i/>
        </w:rPr>
        <w:t>N</w:t>
      </w:r>
      <w:r w:rsidRPr="00A82336">
        <w:rPr>
          <w:rFonts w:eastAsiaTheme="minorEastAsia"/>
          <w:i/>
          <w:vertAlign w:val="subscript"/>
        </w:rPr>
        <w:t>x</w:t>
      </w:r>
      <w:r w:rsidRPr="00A82336">
        <w:rPr>
          <w:rFonts w:eastAsiaTheme="minorEastAsia"/>
        </w:rPr>
        <w:t xml:space="preserve"> is the number of particles per unit volume (m</w:t>
      </w:r>
      <w:r w:rsidRPr="00A82336">
        <w:rPr>
          <w:rFonts w:eastAsiaTheme="minorEastAsia"/>
          <w:vertAlign w:val="superscript"/>
        </w:rPr>
        <w:t>-4</w:t>
      </w:r>
      <w:r w:rsidRPr="00A82336">
        <w:rPr>
          <w:rFonts w:eastAsiaTheme="minorEastAsia"/>
        </w:rPr>
        <w:t xml:space="preserve">) for species </w:t>
      </w:r>
      <w:r w:rsidRPr="00A82336">
        <w:rPr>
          <w:rFonts w:eastAsiaTheme="minorEastAsia"/>
          <w:i/>
        </w:rPr>
        <w:t>x</w:t>
      </w:r>
      <w:r w:rsidRPr="00A82336">
        <w:rPr>
          <w:rFonts w:eastAsiaTheme="minorEastAsia"/>
        </w:rPr>
        <w:t xml:space="preserve">, </w:t>
      </w:r>
      <w:r w:rsidRPr="00A82336">
        <w:rPr>
          <w:rFonts w:eastAsiaTheme="minorEastAsia"/>
          <w:i/>
        </w:rPr>
        <w:t>D</w:t>
      </w:r>
      <w:r w:rsidRPr="00A82336">
        <w:rPr>
          <w:rFonts w:eastAsiaTheme="minorEastAsia"/>
        </w:rPr>
        <w:t xml:space="preserve"> is the particle diameter (m), </w:t>
      </w:r>
      <w:r w:rsidRPr="00A82336">
        <w:rPr>
          <w:rFonts w:eastAsiaTheme="minorEastAsia"/>
          <w:i/>
        </w:rPr>
        <w:t>N</w:t>
      </w:r>
      <w:r w:rsidRPr="00A82336">
        <w:rPr>
          <w:rFonts w:eastAsiaTheme="minorEastAsia"/>
          <w:i/>
          <w:vertAlign w:val="subscript"/>
        </w:rPr>
        <w:t>ox</w:t>
      </w:r>
      <w:r w:rsidRPr="00A82336">
        <w:rPr>
          <w:rFonts w:eastAsiaTheme="minorEastAsia"/>
        </w:rPr>
        <w:t xml:space="preserve"> is the intercept parameter, </w:t>
      </w:r>
      <w:r w:rsidRPr="00A82336">
        <w:rPr>
          <w:rFonts w:eastAsiaTheme="minorEastAsia"/>
          <w:i/>
        </w:rPr>
        <w:t>α</w:t>
      </w:r>
      <w:r w:rsidRPr="00A82336">
        <w:rPr>
          <w:rFonts w:eastAsiaTheme="minorEastAsia"/>
          <w:i/>
          <w:vertAlign w:val="subscript"/>
        </w:rPr>
        <w:t>x</w:t>
      </w:r>
      <w:r w:rsidRPr="00A82336">
        <w:rPr>
          <w:rFonts w:eastAsiaTheme="minorEastAsia"/>
        </w:rPr>
        <w:t xml:space="preserve"> is the spectral shape parameter, and </w:t>
      </w:r>
      <w:r w:rsidRPr="00A82336">
        <w:rPr>
          <w:rFonts w:eastAsiaTheme="minorEastAsia"/>
          <w:i/>
        </w:rPr>
        <w:t>λ</w:t>
      </w:r>
      <w:r w:rsidRPr="00A82336">
        <w:rPr>
          <w:rFonts w:eastAsiaTheme="minorEastAsia"/>
          <w:i/>
          <w:vertAlign w:val="subscript"/>
        </w:rPr>
        <w:t>x</w:t>
      </w:r>
      <w:r w:rsidRPr="00A82336">
        <w:rPr>
          <w:rFonts w:eastAsiaTheme="minorEastAsia"/>
        </w:rPr>
        <w:t xml:space="preserve"> is the slope parameter. LIN3, WSM6, and MYSM only predict the mixing ratios for each species, namely water vapor (q</w:t>
      </w:r>
      <w:r w:rsidRPr="00A82336">
        <w:rPr>
          <w:rFonts w:eastAsiaTheme="minorEastAsia"/>
          <w:vertAlign w:val="subscript"/>
        </w:rPr>
        <w:t>v</w:t>
      </w:r>
      <w:r w:rsidRPr="00A82336">
        <w:rPr>
          <w:rFonts w:eastAsiaTheme="minorEastAsia"/>
        </w:rPr>
        <w:t>), cloud water (q</w:t>
      </w:r>
      <w:r w:rsidRPr="00A82336">
        <w:rPr>
          <w:rFonts w:eastAsiaTheme="minorEastAsia"/>
          <w:vertAlign w:val="subscript"/>
        </w:rPr>
        <w:t>c</w:t>
      </w:r>
      <w:r w:rsidRPr="00A82336">
        <w:rPr>
          <w:rFonts w:eastAsiaTheme="minorEastAsia"/>
        </w:rPr>
        <w:t>), rain (q</w:t>
      </w:r>
      <w:r w:rsidRPr="00A82336">
        <w:rPr>
          <w:rFonts w:eastAsiaTheme="minorEastAsia"/>
          <w:vertAlign w:val="subscript"/>
        </w:rPr>
        <w:t>r</w:t>
      </w:r>
      <w:r w:rsidRPr="00A82336">
        <w:rPr>
          <w:rFonts w:eastAsiaTheme="minorEastAsia"/>
        </w:rPr>
        <w:t>), snow (q</w:t>
      </w:r>
      <w:r w:rsidRPr="00A82336">
        <w:rPr>
          <w:rFonts w:eastAsiaTheme="minorEastAsia"/>
          <w:vertAlign w:val="subscript"/>
        </w:rPr>
        <w:t>s</w:t>
      </w:r>
      <w:r w:rsidRPr="00A82336">
        <w:rPr>
          <w:rFonts w:eastAsiaTheme="minorEastAsia"/>
        </w:rPr>
        <w:t>), ice (q</w:t>
      </w:r>
      <w:r w:rsidRPr="00A82336">
        <w:rPr>
          <w:rFonts w:eastAsiaTheme="minorEastAsia"/>
          <w:vertAlign w:val="subscript"/>
        </w:rPr>
        <w:t>i</w:t>
      </w:r>
      <w:r w:rsidRPr="00A82336">
        <w:rPr>
          <w:rFonts w:eastAsiaTheme="minorEastAsia"/>
        </w:rPr>
        <w:t>), hail (q</w:t>
      </w:r>
      <w:r w:rsidRPr="00A82336">
        <w:rPr>
          <w:rFonts w:eastAsiaTheme="minorEastAsia"/>
          <w:vertAlign w:val="subscript"/>
        </w:rPr>
        <w:t>h</w:t>
      </w:r>
      <w:r w:rsidRPr="00A82336">
        <w:rPr>
          <w:rFonts w:eastAsiaTheme="minorEastAsia"/>
        </w:rPr>
        <w:t>; LIN3 and MYSM only), and graupel (q</w:t>
      </w:r>
      <w:r w:rsidRPr="00A82336">
        <w:rPr>
          <w:rFonts w:eastAsiaTheme="minorEastAsia"/>
          <w:vertAlign w:val="subscript"/>
        </w:rPr>
        <w:t>g</w:t>
      </w:r>
      <w:r w:rsidRPr="00A82336">
        <w:rPr>
          <w:rFonts w:eastAsiaTheme="minorEastAsia"/>
        </w:rPr>
        <w:t xml:space="preserve">; WSM6 and MYSM only). For these single-moment schemes, </w:t>
      </w:r>
      <w:r w:rsidRPr="00A82336">
        <w:rPr>
          <w:rFonts w:eastAsiaTheme="minorEastAsia"/>
          <w:i/>
        </w:rPr>
        <w:t>α</w:t>
      </w:r>
      <w:r w:rsidRPr="00A82336">
        <w:rPr>
          <w:rFonts w:eastAsiaTheme="minorEastAsia"/>
          <w:i/>
          <w:vertAlign w:val="subscript"/>
        </w:rPr>
        <w:t>x</w:t>
      </w:r>
      <w:r w:rsidRPr="00A82336">
        <w:rPr>
          <w:rFonts w:eastAsiaTheme="minorEastAsia"/>
        </w:rPr>
        <w:t xml:space="preserve"> = 0, </w:t>
      </w:r>
      <w:r w:rsidRPr="00A82336">
        <w:rPr>
          <w:rFonts w:eastAsiaTheme="minorEastAsia"/>
          <w:i/>
        </w:rPr>
        <w:t>N</w:t>
      </w:r>
      <w:r w:rsidRPr="00A82336">
        <w:rPr>
          <w:rFonts w:eastAsiaTheme="minorEastAsia"/>
          <w:i/>
          <w:vertAlign w:val="subscript"/>
        </w:rPr>
        <w:t>ox</w:t>
      </w:r>
      <w:r w:rsidRPr="00A82336">
        <w:rPr>
          <w:rFonts w:eastAsiaTheme="minorEastAsia"/>
        </w:rPr>
        <w:t xml:space="preserve"> is constant, and </w:t>
      </w:r>
      <w:r w:rsidRPr="00A82336">
        <w:rPr>
          <w:rFonts w:eastAsiaTheme="minorEastAsia"/>
          <w:i/>
        </w:rPr>
        <w:t>λ</w:t>
      </w:r>
      <w:r w:rsidRPr="00A82336">
        <w:rPr>
          <w:rFonts w:eastAsiaTheme="minorEastAsia"/>
          <w:i/>
          <w:vertAlign w:val="subscript"/>
        </w:rPr>
        <w:t>x</w:t>
      </w:r>
      <w:r w:rsidRPr="00A82336">
        <w:rPr>
          <w:rFonts w:eastAsiaTheme="minorEastAsia"/>
        </w:rPr>
        <w:t xml:space="preserve"> varies via the mixing ratio (i.e., inverse-exponential distribution). MYDM predicts both mixing ratios (</w:t>
      </w:r>
      <w:r w:rsidRPr="00A82336">
        <w:rPr>
          <w:rFonts w:eastAsiaTheme="minorEastAsia"/>
          <w:i/>
        </w:rPr>
        <w:t>q</w:t>
      </w:r>
      <w:r w:rsidRPr="00A82336">
        <w:rPr>
          <w:rFonts w:eastAsiaTheme="minorEastAsia"/>
          <w:i/>
          <w:vertAlign w:val="subscript"/>
        </w:rPr>
        <w:t>x</w:t>
      </w:r>
      <w:r w:rsidRPr="00A82336">
        <w:rPr>
          <w:rFonts w:eastAsiaTheme="minorEastAsia"/>
        </w:rPr>
        <w:t>) and number concentrations (</w:t>
      </w:r>
      <w:r w:rsidRPr="00A82336">
        <w:rPr>
          <w:rFonts w:eastAsiaTheme="minorEastAsia"/>
          <w:i/>
        </w:rPr>
        <w:t>N</w:t>
      </w:r>
      <w:r w:rsidRPr="00A82336">
        <w:rPr>
          <w:rFonts w:eastAsiaTheme="minorEastAsia"/>
          <w:i/>
          <w:vertAlign w:val="subscript"/>
        </w:rPr>
        <w:t>x</w:t>
      </w:r>
      <w:r w:rsidRPr="00A82336">
        <w:rPr>
          <w:rFonts w:eastAsiaTheme="minorEastAsia"/>
        </w:rPr>
        <w:t>) for the same species as MYSM, so while</w:t>
      </w:r>
      <w:r w:rsidRPr="00A82336">
        <w:rPr>
          <w:rFonts w:eastAsiaTheme="minorEastAsia"/>
          <w:i/>
        </w:rPr>
        <w:t xml:space="preserve"> α</w:t>
      </w:r>
      <w:r w:rsidRPr="00A82336">
        <w:rPr>
          <w:rFonts w:eastAsiaTheme="minorEastAsia"/>
          <w:i/>
          <w:vertAlign w:val="subscript"/>
        </w:rPr>
        <w:t>x</w:t>
      </w:r>
      <w:r w:rsidRPr="00A82336">
        <w:rPr>
          <w:rFonts w:eastAsiaTheme="minorEastAsia"/>
        </w:rPr>
        <w:t xml:space="preserve"> = 0 for this study, both </w:t>
      </w:r>
      <w:r w:rsidRPr="00A82336">
        <w:rPr>
          <w:rFonts w:eastAsiaTheme="minorEastAsia"/>
          <w:i/>
        </w:rPr>
        <w:t>N</w:t>
      </w:r>
      <w:r w:rsidRPr="00A82336">
        <w:rPr>
          <w:rFonts w:eastAsiaTheme="minorEastAsia"/>
          <w:i/>
          <w:vertAlign w:val="subscript"/>
        </w:rPr>
        <w:t>ox</w:t>
      </w:r>
      <w:r w:rsidRPr="00A82336">
        <w:rPr>
          <w:rFonts w:eastAsiaTheme="minorEastAsia"/>
        </w:rPr>
        <w:t xml:space="preserve"> and </w:t>
      </w:r>
      <w:r w:rsidRPr="00A82336">
        <w:rPr>
          <w:rFonts w:eastAsiaTheme="minorEastAsia"/>
          <w:i/>
        </w:rPr>
        <w:t>λ</w:t>
      </w:r>
      <w:r w:rsidRPr="00A82336">
        <w:rPr>
          <w:rFonts w:eastAsiaTheme="minorEastAsia"/>
          <w:i/>
          <w:vertAlign w:val="subscript"/>
        </w:rPr>
        <w:t>x</w:t>
      </w:r>
      <w:r w:rsidRPr="00A82336">
        <w:rPr>
          <w:rFonts w:eastAsiaTheme="minorEastAsia"/>
          <w:i/>
        </w:rPr>
        <w:t xml:space="preserve"> </w:t>
      </w:r>
      <w:r w:rsidRPr="00A82336">
        <w:rPr>
          <w:rFonts w:eastAsiaTheme="minorEastAsia"/>
        </w:rPr>
        <w:t xml:space="preserve">can vary with </w:t>
      </w:r>
      <w:r w:rsidRPr="00A82336">
        <w:rPr>
          <w:rFonts w:eastAsiaTheme="minorEastAsia"/>
          <w:i/>
        </w:rPr>
        <w:t>q</w:t>
      </w:r>
      <w:r w:rsidRPr="00A82336">
        <w:rPr>
          <w:rFonts w:eastAsiaTheme="minorEastAsia"/>
          <w:i/>
          <w:vertAlign w:val="subscript"/>
        </w:rPr>
        <w:t>x</w:t>
      </w:r>
      <w:r w:rsidRPr="00A82336">
        <w:rPr>
          <w:rFonts w:eastAsiaTheme="minorEastAsia"/>
        </w:rPr>
        <w:t xml:space="preserve"> and </w:t>
      </w:r>
      <w:r w:rsidRPr="00A82336">
        <w:rPr>
          <w:rFonts w:eastAsiaTheme="minorEastAsia"/>
          <w:i/>
        </w:rPr>
        <w:t>N</w:t>
      </w:r>
      <w:r w:rsidRPr="00A82336">
        <w:rPr>
          <w:rFonts w:eastAsiaTheme="minorEastAsia"/>
          <w:i/>
          <w:vertAlign w:val="subscript"/>
        </w:rPr>
        <w:t>x</w:t>
      </w:r>
      <w:r w:rsidRPr="00A82336">
        <w:rPr>
          <w:rFonts w:eastAsiaTheme="minorEastAsia"/>
        </w:rPr>
        <w:t xml:space="preserve">. Finally, MYTM predicts </w:t>
      </w:r>
      <w:r w:rsidRPr="00A82336">
        <w:rPr>
          <w:rFonts w:eastAsiaTheme="minorEastAsia"/>
          <w:i/>
        </w:rPr>
        <w:t>q</w:t>
      </w:r>
      <w:r w:rsidRPr="00A82336">
        <w:rPr>
          <w:rFonts w:eastAsiaTheme="minorEastAsia"/>
          <w:i/>
          <w:vertAlign w:val="subscript"/>
        </w:rPr>
        <w:t>x</w:t>
      </w:r>
      <w:r w:rsidRPr="00A82336">
        <w:rPr>
          <w:rFonts w:eastAsiaTheme="minorEastAsia"/>
        </w:rPr>
        <w:t xml:space="preserve">, </w:t>
      </w:r>
      <w:r w:rsidRPr="00A82336">
        <w:rPr>
          <w:rFonts w:eastAsiaTheme="minorEastAsia"/>
          <w:i/>
        </w:rPr>
        <w:t>N</w:t>
      </w:r>
      <w:r w:rsidRPr="00A82336">
        <w:rPr>
          <w:rFonts w:eastAsiaTheme="minorEastAsia"/>
          <w:i/>
          <w:vertAlign w:val="subscript"/>
        </w:rPr>
        <w:t>x</w:t>
      </w:r>
      <w:r w:rsidRPr="00A82336">
        <w:rPr>
          <w:rFonts w:eastAsiaTheme="minorEastAsia"/>
        </w:rPr>
        <w:t>, and reflectivities (</w:t>
      </w:r>
      <w:r w:rsidRPr="00A82336">
        <w:rPr>
          <w:rFonts w:eastAsiaTheme="minorEastAsia"/>
          <w:i/>
        </w:rPr>
        <w:t>Z</w:t>
      </w:r>
      <w:r w:rsidRPr="00A82336">
        <w:rPr>
          <w:rFonts w:eastAsiaTheme="minorEastAsia"/>
          <w:i/>
          <w:vertAlign w:val="subscript"/>
        </w:rPr>
        <w:t>x</w:t>
      </w:r>
      <w:r w:rsidRPr="00A82336">
        <w:rPr>
          <w:rFonts w:eastAsiaTheme="minorEastAsia"/>
        </w:rPr>
        <w:t xml:space="preserve">) for the same species as MYSM. The addition of the third moment allows for </w:t>
      </w:r>
      <w:r w:rsidRPr="00A82336">
        <w:rPr>
          <w:rFonts w:eastAsiaTheme="minorEastAsia"/>
          <w:i/>
        </w:rPr>
        <w:t>α</w:t>
      </w:r>
      <w:r w:rsidRPr="00A82336">
        <w:rPr>
          <w:rFonts w:eastAsiaTheme="minorEastAsia"/>
          <w:i/>
          <w:vertAlign w:val="subscript"/>
        </w:rPr>
        <w:t>x</w:t>
      </w:r>
      <w:r w:rsidRPr="00A82336">
        <w:rPr>
          <w:rFonts w:eastAsiaTheme="minorEastAsia"/>
        </w:rPr>
        <w:t xml:space="preserve"> to vary along with </w:t>
      </w:r>
      <w:r w:rsidRPr="00A82336">
        <w:rPr>
          <w:rFonts w:eastAsiaTheme="minorEastAsia"/>
          <w:i/>
        </w:rPr>
        <w:t>N</w:t>
      </w:r>
      <w:r w:rsidRPr="00A82336">
        <w:rPr>
          <w:rFonts w:eastAsiaTheme="minorEastAsia"/>
          <w:i/>
          <w:vertAlign w:val="subscript"/>
        </w:rPr>
        <w:t>ox</w:t>
      </w:r>
      <w:r w:rsidRPr="00A82336">
        <w:rPr>
          <w:rFonts w:eastAsiaTheme="minorEastAsia"/>
        </w:rPr>
        <w:t xml:space="preserve"> and </w:t>
      </w:r>
      <w:r w:rsidRPr="00A82336">
        <w:rPr>
          <w:rFonts w:eastAsiaTheme="minorEastAsia"/>
          <w:i/>
        </w:rPr>
        <w:t>λ</w:t>
      </w:r>
      <w:r w:rsidRPr="00A82336">
        <w:rPr>
          <w:rFonts w:eastAsiaTheme="minorEastAsia"/>
          <w:i/>
          <w:vertAlign w:val="subscript"/>
        </w:rPr>
        <w:t>x</w:t>
      </w:r>
      <w:r w:rsidRPr="00A82336">
        <w:rPr>
          <w:rFonts w:eastAsiaTheme="minorEastAsia"/>
        </w:rPr>
        <w:t xml:space="preserve"> </w:t>
      </w:r>
      <w:r w:rsidRPr="00A82336">
        <w:t>(Milbrandt and Yau 2005a)</w:t>
      </w:r>
      <w:r w:rsidRPr="00A82336">
        <w:rPr>
          <w:rFonts w:eastAsiaTheme="minorEastAsia"/>
        </w:rPr>
        <w:t xml:space="preserve">. </w:t>
      </w:r>
    </w:p>
    <w:p w:rsidR="00A82336" w:rsidRPr="00A82336" w:rsidRDefault="00790220" w:rsidP="0079022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A82336" w:rsidRPr="00A82336" w:rsidRDefault="00A82336" w:rsidP="00A82336">
      <w:pPr>
        <w:pStyle w:val="Heading2"/>
      </w:pPr>
      <w:bookmarkStart w:id="40" w:name="_Toc448742078"/>
      <w:r w:rsidRPr="00A82336">
        <w:lastRenderedPageBreak/>
        <w:t>4.2 Experi</w:t>
      </w:r>
      <w:r w:rsidR="00733403">
        <w:t>ment</w:t>
      </w:r>
      <w:r w:rsidRPr="00A82336">
        <w:t xml:space="preserve"> Design</w:t>
      </w:r>
      <w:bookmarkEnd w:id="40"/>
    </w:p>
    <w:p w:rsidR="00A82336" w:rsidRPr="007E294A" w:rsidRDefault="00A82336" w:rsidP="007E294A">
      <w:pPr>
        <w:pStyle w:val="NoSpacing"/>
        <w:ind w:firstLine="720"/>
      </w:pPr>
      <w:r w:rsidRPr="007E294A">
        <w:t xml:space="preserve">Since this experiment intends to explore the capabilities of the forecast system in a realistic setting, the numerical simulations use data from multiple observing platforms. Surface observations from NWS and FAA METAR and Oklahoma Mesonet stations along with radial wind and reflectivity data from the WSR-88D [Dallas/Fort Worth (KFWS), Dodge City (KDDC), Frederick (KFDR), Tulsa (KINX), Twin Lakes (KTLX), Vance (KVNX), and Wichita (KICT)] and </w:t>
      </w:r>
      <w:r w:rsidR="00355EC3">
        <w:t>CASA</w:t>
      </w:r>
      <w:r w:rsidRPr="007E294A">
        <w:t xml:space="preserve"> IP-1 X-band [Chickasha (KSAO), Cyril (KCYR), Lawton (KLWE), and Rush Springs (KRSP); see </w:t>
      </w:r>
      <w:r w:rsidRPr="007E294A">
        <w:fldChar w:fldCharType="begin"/>
      </w:r>
      <w:r w:rsidRPr="007E294A">
        <w:instrText xml:space="preserve"> REF _Ref438214890 \h  \* MERGEFORMAT </w:instrText>
      </w:r>
      <w:r w:rsidRPr="007E294A">
        <w:fldChar w:fldCharType="separate"/>
      </w:r>
      <w:r w:rsidR="00F7579D" w:rsidRPr="007E294A">
        <w:t xml:space="preserve">Figure </w:t>
      </w:r>
      <w:r w:rsidR="00F7579D">
        <w:t>9</w:t>
      </w:r>
      <w:r w:rsidRPr="007E294A">
        <w:fldChar w:fldCharType="end"/>
      </w:r>
      <w:r w:rsidRPr="007E294A">
        <w:t xml:space="preserve">] radar networks (McLaughlin et al., 2009) are ingested into the initial analyses of the numerical simulations. </w:t>
      </w:r>
    </w:p>
    <w:p w:rsidR="00A82336" w:rsidRPr="00A82336" w:rsidRDefault="00355EC3" w:rsidP="007E294A">
      <w:pPr>
        <w:pStyle w:val="NoSpacing"/>
        <w:ind w:firstLine="720"/>
      </w:pPr>
      <w:r>
        <w:t>Recently, the ARPS</w:t>
      </w:r>
      <w:r w:rsidR="00A82336" w:rsidRPr="007E294A">
        <w:t>’s (ARPS; Xue et al., 2000; Xue et al., 2001; Xue et al.</w:t>
      </w:r>
      <w:r>
        <w:t>, 2003) ADAS</w:t>
      </w:r>
      <w:r w:rsidR="00A82336" w:rsidRPr="007E294A">
        <w:t xml:space="preserve"> complex cloud analysis package (Hu et al., 2006a,b) was updated for several microphysics schemes, including the five in this study (Brewster and Stratman, 2015). The goal of this update was to improve analyses of hydrometeors using scheme-specific reflectivity</w:t>
      </w:r>
      <w:r>
        <w:t xml:space="preserve"> inversion equations. The 1800-</w:t>
      </w:r>
      <w:r w:rsidR="00A82336" w:rsidRPr="007E294A">
        <w:t xml:space="preserve">UTC 12-km NAM (North American Mesoscale) model’s 3-hour forecast is used as a background field </w:t>
      </w:r>
      <w:r>
        <w:t>in</w:t>
      </w:r>
      <w:r w:rsidR="00A82336" w:rsidRPr="007E294A">
        <w:t xml:space="preserve"> the </w:t>
      </w:r>
      <w:r>
        <w:t>3DVAR data assimilation (</w:t>
      </w:r>
      <w:r w:rsidR="00A82336" w:rsidRPr="007E294A">
        <w:t>Gao et al., 2004) and complex cloud analysis (Hu et al, 2006a, Brewster et al., 2015) to produce an initial analysis on a 323x353-km domain with 1-km horizontal grid spacing (</w:t>
      </w:r>
      <w:r w:rsidR="00A82336" w:rsidRPr="007E294A">
        <w:fldChar w:fldCharType="begin"/>
      </w:r>
      <w:r w:rsidR="00A82336" w:rsidRPr="007E294A">
        <w:instrText xml:space="preserve"> REF _Ref438214890 \h  \* MERGEFORMAT </w:instrText>
      </w:r>
      <w:r w:rsidR="00A82336" w:rsidRPr="007E294A">
        <w:fldChar w:fldCharType="separate"/>
      </w:r>
      <w:r w:rsidR="00F7579D" w:rsidRPr="007E294A">
        <w:t xml:space="preserve">Figure </w:t>
      </w:r>
      <w:r w:rsidR="00F7579D">
        <w:rPr>
          <w:noProof/>
        </w:rPr>
        <w:t>9</w:t>
      </w:r>
      <w:r w:rsidR="00A82336" w:rsidRPr="007E294A">
        <w:fldChar w:fldCharType="end"/>
      </w:r>
      <w:r w:rsidR="00A82336" w:rsidRPr="007E294A">
        <w:t xml:space="preserve">) and 53 vertically-stretched levels with a minimum vertical grid spacing of 20 m at the bottom. Three analysis passes with 20, 50, and 50 iterations </w:t>
      </w:r>
      <w:r w:rsidR="00F8396F">
        <w:t xml:space="preserve">for minimizations </w:t>
      </w:r>
      <w:r w:rsidR="00A82336" w:rsidRPr="007E294A">
        <w:t>and horizontal influence radii of 45, 2, and 1 km, respectively, are used to produce the 3DVAR analysis through the minimization of the cost funct</w:t>
      </w:r>
      <w:r w:rsidR="00733403">
        <w:t>ion. The surface in-situ data are</w:t>
      </w:r>
      <w:r w:rsidR="00A82336" w:rsidRPr="007E294A">
        <w:t xml:space="preserve"> utilized in the first and third</w:t>
      </w:r>
      <w:r w:rsidR="00733403">
        <w:t xml:space="preserve"> passes, while the </w:t>
      </w:r>
      <w:r w:rsidR="00733403">
        <w:lastRenderedPageBreak/>
        <w:t>radar data are</w:t>
      </w:r>
      <w:r w:rsidR="00A82336" w:rsidRPr="007E294A">
        <w:t xml:space="preserve"> applied in the second and third passes. In addition, a 3-D mass divergence constraint is utilized to couple the wind components together (Hu et al., 2006b).</w:t>
      </w:r>
    </w:p>
    <w:p w:rsidR="00A82336" w:rsidRPr="00A82336" w:rsidRDefault="00A82336" w:rsidP="00A82336">
      <w:pPr>
        <w:keepNext/>
        <w:spacing w:after="0" w:line="240" w:lineRule="auto"/>
        <w:jc w:val="center"/>
      </w:pPr>
      <w:r w:rsidRPr="00A82336">
        <w:rPr>
          <w:rFonts w:ascii="Times New Roman" w:hAnsi="Times New Roman" w:cs="Times New Roman"/>
          <w:noProof/>
          <w:sz w:val="24"/>
          <w:szCs w:val="24"/>
        </w:rPr>
        <w:drawing>
          <wp:inline distT="0" distB="0" distL="0" distR="0" wp14:anchorId="10E589F4" wp14:editId="50EA1E06">
            <wp:extent cx="3638550" cy="3249753"/>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png"/>
                    <pic:cNvPicPr/>
                  </pic:nvPicPr>
                  <pic:blipFill rotWithShape="1">
                    <a:blip r:embed="rId22" cstate="print">
                      <a:extLst>
                        <a:ext uri="{28A0092B-C50C-407E-A947-70E740481C1C}">
                          <a14:useLocalDpi xmlns:a14="http://schemas.microsoft.com/office/drawing/2010/main" val="0"/>
                        </a:ext>
                      </a:extLst>
                    </a:blip>
                    <a:srcRect l="11383" t="22896" r="9090" b="22277"/>
                    <a:stretch/>
                  </pic:blipFill>
                  <pic:spPr bwMode="auto">
                    <a:xfrm>
                      <a:off x="0" y="0"/>
                      <a:ext cx="3640351" cy="3251362"/>
                    </a:xfrm>
                    <a:prstGeom prst="rect">
                      <a:avLst/>
                    </a:prstGeom>
                    <a:ln>
                      <a:noFill/>
                    </a:ln>
                    <a:extLst>
                      <a:ext uri="{53640926-AAD7-44D8-BBD7-CCE9431645EC}">
                        <a14:shadowObscured xmlns:a14="http://schemas.microsoft.com/office/drawing/2010/main"/>
                      </a:ext>
                    </a:extLst>
                  </pic:spPr>
                </pic:pic>
              </a:graphicData>
            </a:graphic>
          </wp:inline>
        </w:drawing>
      </w:r>
    </w:p>
    <w:p w:rsidR="00A82336" w:rsidRPr="007E294A" w:rsidRDefault="00A82336" w:rsidP="007E294A">
      <w:pPr>
        <w:pStyle w:val="Captions"/>
      </w:pPr>
      <w:bookmarkStart w:id="41" w:name="_Ref438214890"/>
      <w:bookmarkStart w:id="42" w:name="_Toc450593089"/>
      <w:r w:rsidRPr="007E294A">
        <w:t xml:space="preserve">Figure </w:t>
      </w:r>
      <w:fldSimple w:instr=" SEQ Figure \* ARABIC ">
        <w:r w:rsidR="00F7579D">
          <w:rPr>
            <w:noProof/>
          </w:rPr>
          <w:t>9</w:t>
        </w:r>
      </w:fldSimple>
      <w:bookmarkEnd w:id="41"/>
      <w:r w:rsidRPr="007E294A">
        <w:t>. Domain of numerical simulations with CASA radar locations and 40-km range rings, estimated tornado points, and storm IDs.</w:t>
      </w:r>
      <w:bookmarkEnd w:id="42"/>
    </w:p>
    <w:p w:rsidR="007E294A" w:rsidRDefault="007E294A" w:rsidP="00A82336">
      <w:pPr>
        <w:spacing w:after="0" w:line="480" w:lineRule="auto"/>
        <w:jc w:val="both"/>
        <w:rPr>
          <w:rFonts w:ascii="Times New Roman" w:hAnsi="Times New Roman" w:cs="Times New Roman"/>
          <w:sz w:val="24"/>
          <w:szCs w:val="24"/>
        </w:rPr>
      </w:pPr>
    </w:p>
    <w:p w:rsidR="00882F54" w:rsidRDefault="00A82336" w:rsidP="00C407F5">
      <w:pPr>
        <w:pStyle w:val="NoSpacing"/>
        <w:ind w:firstLine="720"/>
      </w:pPr>
      <w:r w:rsidRPr="00A82336">
        <w:t xml:space="preserve">After the 3DVAR analysis is produced, an ARPS’s model simulation is integrated forward to produce forecasts out to 125 minutes. During the first 5 min, an incremental analysis update (IAU, Bloom et al., 1996) assimilation is performed by introducing fractional analysis increments every </w:t>
      </w:r>
      <w:r w:rsidR="00DA184C">
        <w:t xml:space="preserve">20 s (i.e., the fractional increments are added directly to the various variable fields). The fractional increments </w:t>
      </w:r>
      <w:r w:rsidRPr="00A82336">
        <w:t xml:space="preserve">have a triangular time weighting pattern to slowly ramp up and then down with </w:t>
      </w:r>
      <w:r w:rsidR="00F8396F">
        <w:t xml:space="preserve">the </w:t>
      </w:r>
      <w:r w:rsidRPr="00A82336">
        <w:t>maximum around the mid-point of the assimilation window</w:t>
      </w:r>
      <w:r w:rsidR="00355EC3">
        <w:t xml:space="preserve"> (</w:t>
      </w:r>
      <w:r w:rsidR="00882F54">
        <w:fldChar w:fldCharType="begin"/>
      </w:r>
      <w:r w:rsidR="00882F54">
        <w:instrText xml:space="preserve"> REF _Ref450125869 \h </w:instrText>
      </w:r>
      <w:r w:rsidR="00882F54">
        <w:fldChar w:fldCharType="separate"/>
      </w:r>
      <w:r w:rsidR="00F7579D">
        <w:t xml:space="preserve">Figure </w:t>
      </w:r>
      <w:r w:rsidR="00F7579D">
        <w:rPr>
          <w:noProof/>
        </w:rPr>
        <w:t>10</w:t>
      </w:r>
      <w:r w:rsidR="00882F54">
        <w:fldChar w:fldCharType="end"/>
      </w:r>
      <w:r w:rsidR="00355EC3">
        <w:t>)</w:t>
      </w:r>
      <w:r w:rsidRPr="00A82336">
        <w:t xml:space="preserve">. The increments are applied to all fields except for vertical velocity and pressure since those two fields are not directly observed in 3-D and will quickly respond to the other fields to create a balanced state. </w:t>
      </w:r>
    </w:p>
    <w:p w:rsidR="00882F54" w:rsidRDefault="00882F54" w:rsidP="00882F54">
      <w:pPr>
        <w:pStyle w:val="NoSpacing"/>
        <w:keepNext/>
        <w:jc w:val="center"/>
      </w:pPr>
      <w:r>
        <w:rPr>
          <w:noProof/>
        </w:rPr>
        <w:lastRenderedPageBreak/>
        <w:drawing>
          <wp:inline distT="0" distB="0" distL="0" distR="0" wp14:anchorId="408E9CFD" wp14:editId="3A297F1C">
            <wp:extent cx="2365453" cy="154242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AU_original.png"/>
                    <pic:cNvPicPr/>
                  </pic:nvPicPr>
                  <pic:blipFill>
                    <a:blip r:embed="rId23">
                      <a:extLst>
                        <a:ext uri="{28A0092B-C50C-407E-A947-70E740481C1C}">
                          <a14:useLocalDpi xmlns:a14="http://schemas.microsoft.com/office/drawing/2010/main" val="0"/>
                        </a:ext>
                      </a:extLst>
                    </a:blip>
                    <a:stretch>
                      <a:fillRect/>
                    </a:stretch>
                  </pic:blipFill>
                  <pic:spPr>
                    <a:xfrm>
                      <a:off x="0" y="0"/>
                      <a:ext cx="2365453" cy="1542422"/>
                    </a:xfrm>
                    <a:prstGeom prst="rect">
                      <a:avLst/>
                    </a:prstGeom>
                  </pic:spPr>
                </pic:pic>
              </a:graphicData>
            </a:graphic>
          </wp:inline>
        </w:drawing>
      </w:r>
    </w:p>
    <w:p w:rsidR="00882F54" w:rsidRDefault="00882F54" w:rsidP="00882F54">
      <w:pPr>
        <w:pStyle w:val="Captions"/>
      </w:pPr>
      <w:bookmarkStart w:id="43" w:name="_Ref450125869"/>
      <w:bookmarkStart w:id="44" w:name="_Toc450593090"/>
      <w:r>
        <w:t xml:space="preserve">Figure </w:t>
      </w:r>
      <w:fldSimple w:instr=" SEQ Figure \* ARABIC ">
        <w:r w:rsidR="00F7579D">
          <w:rPr>
            <w:noProof/>
          </w:rPr>
          <w:t>10</w:t>
        </w:r>
      </w:fldSimple>
      <w:bookmarkEnd w:id="43"/>
      <w:r>
        <w:t xml:space="preserve">. </w:t>
      </w:r>
      <w:r w:rsidRPr="00A40751">
        <w:t>Schematic of the temporally-weighted distributions of increments for the</w:t>
      </w:r>
      <w:r>
        <w:t xml:space="preserve"> Control runs.</w:t>
      </w:r>
      <w:bookmarkEnd w:id="44"/>
    </w:p>
    <w:p w:rsidR="00882F54" w:rsidRDefault="00882F54" w:rsidP="00882F54">
      <w:pPr>
        <w:pStyle w:val="Captions"/>
        <w:spacing w:line="480" w:lineRule="auto"/>
      </w:pPr>
    </w:p>
    <w:p w:rsidR="00A82336" w:rsidRPr="00A82336" w:rsidRDefault="00A82336" w:rsidP="00C407F5">
      <w:pPr>
        <w:pStyle w:val="NoSpacing"/>
        <w:ind w:firstLine="720"/>
      </w:pPr>
      <w:r w:rsidRPr="00A82336">
        <w:t xml:space="preserve">The simulation proceeds on its own for the remaining 120 min. During this integration of ARPS, a big and small time step of 2.0 s and 0.5 s, respectively, are employed in the leapfrog time formulation. In addition, the 1800-UTC 12-km NAM forecasts are used for the lateral boundary conditions. Some other model details include: 4th-order momentum advection in both the horizontal and vertical directions, scalar advection using Zalesak’s multi-dimensional version of flux-corrected transport (Zalesak, 1979), 1.5-order TKE closure based on Sun and Chang (1986), 4th-order computational mixing, Rayleigh damping beginning at 12-km AGL, National Aeronautics and Space Administration </w:t>
      </w:r>
      <w:r w:rsidR="00C407F5">
        <w:t>(NASA)</w:t>
      </w:r>
      <w:r w:rsidR="00C407F5" w:rsidRPr="00C407F5">
        <w:t xml:space="preserve"> Goddard Space Flight Center</w:t>
      </w:r>
      <w:r w:rsidR="00C407F5">
        <w:t xml:space="preserve"> (GSFC) </w:t>
      </w:r>
      <w:r w:rsidRPr="00A82336">
        <w:t xml:space="preserve">atmospheric </w:t>
      </w:r>
      <w:r w:rsidR="00C407F5" w:rsidRPr="00A82336">
        <w:t xml:space="preserve">parameterization </w:t>
      </w:r>
      <w:r w:rsidR="00C407F5">
        <w:t xml:space="preserve">of long- and short-wave </w:t>
      </w:r>
      <w:r w:rsidRPr="00A82336">
        <w:t xml:space="preserve">radiation </w:t>
      </w:r>
      <w:r w:rsidR="00C407F5">
        <w:t xml:space="preserve">processes (Chou, 1990, 1992 and Chou and Suarez, 1994, respectively) </w:t>
      </w:r>
      <w:r w:rsidRPr="00A82336">
        <w:t xml:space="preserve">, surface fluxes calculated from stability-dependent surface drag coefficients using predicted surface temperature and volumetric water content, and two-layer force-store soil model based on Noilhan and Planton (1989). </w:t>
      </w:r>
    </w:p>
    <w:p w:rsidR="00A82336" w:rsidRPr="00A82336" w:rsidRDefault="00A82336" w:rsidP="00A82336">
      <w:pPr>
        <w:spacing w:after="0" w:line="240" w:lineRule="auto"/>
        <w:jc w:val="center"/>
      </w:pPr>
      <w:r w:rsidRPr="00A82336">
        <w:rPr>
          <w:noProof/>
        </w:rPr>
        <w:lastRenderedPageBreak/>
        <w:drawing>
          <wp:inline distT="0" distB="0" distL="0" distR="0" wp14:anchorId="64FE2FE8" wp14:editId="0680D637">
            <wp:extent cx="4086225" cy="2547853"/>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134" cy="2553408"/>
                    </a:xfrm>
                    <a:prstGeom prst="rect">
                      <a:avLst/>
                    </a:prstGeom>
                    <a:noFill/>
                  </pic:spPr>
                </pic:pic>
              </a:graphicData>
            </a:graphic>
          </wp:inline>
        </w:drawing>
      </w:r>
    </w:p>
    <w:p w:rsidR="00A82336" w:rsidRPr="00A82336" w:rsidRDefault="00A82336" w:rsidP="00A82336">
      <w:pPr>
        <w:pStyle w:val="Captions"/>
      </w:pPr>
      <w:bookmarkStart w:id="45" w:name="_Ref438217658"/>
      <w:bookmarkStart w:id="46" w:name="_Toc448741813"/>
      <w:r w:rsidRPr="00A82336">
        <w:t xml:space="preserve">Table </w:t>
      </w:r>
      <w:fldSimple w:instr=" SEQ Table \* ARABIC ">
        <w:r w:rsidR="00F7579D">
          <w:rPr>
            <w:noProof/>
          </w:rPr>
          <w:t>1</w:t>
        </w:r>
      </w:fldSimple>
      <w:bookmarkEnd w:id="45"/>
      <w:r w:rsidRPr="00A82336">
        <w:t>. Storm ID names and associated tornado and ARPS-simulation forecast times. Positive (green) and negative (red) values indicate the time difference (hour:minute) between the start of the simulations and first tornadogenesis for each of the storms.</w:t>
      </w:r>
      <w:bookmarkEnd w:id="46"/>
    </w:p>
    <w:p w:rsidR="00A82336" w:rsidRDefault="00A82336" w:rsidP="00C407F5">
      <w:pPr>
        <w:spacing w:after="0" w:line="480" w:lineRule="auto"/>
        <w:jc w:val="both"/>
        <w:rPr>
          <w:rFonts w:ascii="Times New Roman" w:hAnsi="Times New Roman" w:cs="Times New Roman"/>
          <w:sz w:val="24"/>
          <w:szCs w:val="24"/>
        </w:rPr>
      </w:pPr>
    </w:p>
    <w:p w:rsidR="00DC36CD" w:rsidRDefault="00A82336" w:rsidP="007E294A">
      <w:pPr>
        <w:pStyle w:val="NoSpacing"/>
        <w:ind w:firstLine="720"/>
      </w:pPr>
      <w:r w:rsidRPr="007E294A">
        <w:t>In addition to microphysics diversity, simulations are run using a potential future real-time, storm-scale forecasting framework. Eight simulations are integrated with start times every 30 minutes beginning at 1900 UTC (with a 5-minute IAU performed prior to the simulation start times) and ending at 2230 UTC (</w:t>
      </w:r>
      <w:r w:rsidRPr="007E294A">
        <w:fldChar w:fldCharType="begin"/>
      </w:r>
      <w:r w:rsidRPr="007E294A">
        <w:instrText xml:space="preserve"> REF _Ref438217658 \h  \* MERGEFORMAT </w:instrText>
      </w:r>
      <w:r w:rsidRPr="007E294A">
        <w:fldChar w:fldCharType="separate"/>
      </w:r>
      <w:r w:rsidR="00F7579D" w:rsidRPr="00A82336">
        <w:t xml:space="preserve">Table </w:t>
      </w:r>
      <w:r w:rsidR="00F7579D">
        <w:t>1</w:t>
      </w:r>
      <w:r w:rsidRPr="007E294A">
        <w:fldChar w:fldCharType="end"/>
      </w:r>
      <w:r w:rsidRPr="007E294A">
        <w:t>). With this framework, four simulations provide forecasts encompassing each observed storm’s first tornadogenesis time (</w:t>
      </w:r>
      <w:r w:rsidRPr="007E294A">
        <w:fldChar w:fldCharType="begin"/>
      </w:r>
      <w:r w:rsidRPr="007E294A">
        <w:instrText xml:space="preserve"> REF _Ref438217658 \h  \* MERGEFORMAT </w:instrText>
      </w:r>
      <w:r w:rsidRPr="007E294A">
        <w:fldChar w:fldCharType="separate"/>
      </w:r>
      <w:r w:rsidR="00F7579D" w:rsidRPr="00A82336">
        <w:t xml:space="preserve">Table </w:t>
      </w:r>
      <w:r w:rsidR="00F7579D">
        <w:rPr>
          <w:noProof/>
        </w:rPr>
        <w:t>1</w:t>
      </w:r>
      <w:r w:rsidRPr="007E294A">
        <w:fldChar w:fldCharType="end"/>
      </w:r>
      <w:r w:rsidRPr="007E294A">
        <w:t xml:space="preserve">). The first storm (S1; storms depicted in </w:t>
      </w:r>
      <w:r w:rsidRPr="007E294A">
        <w:fldChar w:fldCharType="begin"/>
      </w:r>
      <w:r w:rsidRPr="007E294A">
        <w:instrText xml:space="preserve"> REF _Ref438214890 \h  \* MERGEFORMAT </w:instrText>
      </w:r>
      <w:r w:rsidRPr="007E294A">
        <w:fldChar w:fldCharType="separate"/>
      </w:r>
      <w:r w:rsidR="00F7579D" w:rsidRPr="007E294A">
        <w:t xml:space="preserve">Figure </w:t>
      </w:r>
      <w:r w:rsidR="00F7579D">
        <w:t>9</w:t>
      </w:r>
      <w:r w:rsidRPr="007E294A">
        <w:fldChar w:fldCharType="end"/>
      </w:r>
      <w:r w:rsidRPr="007E294A">
        <w:t>) developed and stayed outside the CASA radar network and produced two tornadoes, including the outbreak’s only EF-5 tornado. The second and third storms (S2 and S3, respectively) developed in the CASA radar network and both produced EF-4 tornadoes, which dissipated before impacting the Oklahoma City metro area.</w:t>
      </w:r>
    </w:p>
    <w:p w:rsidR="00A82336" w:rsidRPr="00DC36CD" w:rsidRDefault="00DC36CD" w:rsidP="00DC36CD">
      <w:pPr>
        <w:rPr>
          <w:rFonts w:ascii="Times New Roman" w:hAnsi="Times New Roman"/>
          <w:sz w:val="24"/>
        </w:rPr>
      </w:pPr>
      <w:r>
        <w:br w:type="page"/>
      </w:r>
    </w:p>
    <w:p w:rsidR="00A82336" w:rsidRPr="00A82336" w:rsidRDefault="00A82336" w:rsidP="00A82336">
      <w:pPr>
        <w:pStyle w:val="Heading2"/>
      </w:pPr>
      <w:bookmarkStart w:id="47" w:name="_Toc448742079"/>
      <w:r w:rsidRPr="00A82336">
        <w:lastRenderedPageBreak/>
        <w:t>4.3 Observation Point-Based Results</w:t>
      </w:r>
      <w:bookmarkEnd w:id="47"/>
    </w:p>
    <w:p w:rsidR="0083748A" w:rsidRDefault="00094531" w:rsidP="00C3277E">
      <w:pPr>
        <w:pStyle w:val="NoSpacing"/>
        <w:ind w:firstLine="720"/>
      </w:pPr>
      <w:r>
        <w:t>Since microphysics</w:t>
      </w:r>
      <w:r w:rsidR="00A82336" w:rsidRPr="007E294A">
        <w:t xml:space="preserve"> parameterization schemes can have an impact on near-surface variables, the RMSE is computed for each forecast time for near-surface temperature, dewpoint temperature, pressure, and u- and v-wind components. MYTM has the smallest average RMSE for temperature for all simulations and forecast times with 1.63°C, but MYDM and MYSM’s average RMSE for temperature are within 0.03°C</w:t>
      </w:r>
      <w:r>
        <w:t xml:space="preserve"> </w:t>
      </w:r>
      <w:r w:rsidRPr="007E294A">
        <w:t>(</w:t>
      </w:r>
      <w:r w:rsidRPr="007E294A">
        <w:fldChar w:fldCharType="begin"/>
      </w:r>
      <w:r w:rsidRPr="007E294A">
        <w:instrText xml:space="preserve"> REF _Ref438406711 \h  \* MERGEFORMAT </w:instrText>
      </w:r>
      <w:r w:rsidRPr="007E294A">
        <w:fldChar w:fldCharType="separate"/>
      </w:r>
      <w:r w:rsidR="00F7579D" w:rsidRPr="00A82336">
        <w:t xml:space="preserve">Figure </w:t>
      </w:r>
      <w:r w:rsidR="00F7579D">
        <w:t>11</w:t>
      </w:r>
      <w:r w:rsidRPr="007E294A">
        <w:fldChar w:fldCharType="end"/>
      </w:r>
      <w:r w:rsidRPr="007E294A">
        <w:t>a)</w:t>
      </w:r>
      <w:r w:rsidR="00A82336" w:rsidRPr="007E294A">
        <w:t>. LIN3 and WSM6 both have average RMSEs for temperature around 0.5°C larger than the MY schemes. The RMSEs for dewpoint temperature are approximately twice the RMSEs for temperature, but once again, the MY schemes have the smallest average RMSEs even though the differences are smaller than for temperature (</w:t>
      </w:r>
      <w:r w:rsidR="00A82336" w:rsidRPr="007E294A">
        <w:fldChar w:fldCharType="begin"/>
      </w:r>
      <w:r w:rsidR="00A82336" w:rsidRPr="007E294A">
        <w:instrText xml:space="preserve"> REF _Ref438406711 \h  \* MERGEFORMAT </w:instrText>
      </w:r>
      <w:r w:rsidR="00A82336" w:rsidRPr="007E294A">
        <w:fldChar w:fldCharType="separate"/>
      </w:r>
      <w:r w:rsidR="00F7579D" w:rsidRPr="00A82336">
        <w:t xml:space="preserve">Figure </w:t>
      </w:r>
      <w:r w:rsidR="00F7579D">
        <w:t>11</w:t>
      </w:r>
      <w:r w:rsidR="00A82336" w:rsidRPr="007E294A">
        <w:fldChar w:fldCharType="end"/>
      </w:r>
      <w:r w:rsidR="00A82336" w:rsidRPr="007E294A">
        <w:t>b). For pressure, the MY schemes again having the smallest average RMSEs for pressure, but the differences between the average RMSEs are less than 0.3 hPa (</w:t>
      </w:r>
      <w:r w:rsidR="00A82336" w:rsidRPr="007E294A">
        <w:fldChar w:fldCharType="begin"/>
      </w:r>
      <w:r w:rsidR="00A82336" w:rsidRPr="007E294A">
        <w:instrText xml:space="preserve"> REF _Ref438406711 \h  \* MERGEFORMAT </w:instrText>
      </w:r>
      <w:r w:rsidR="00A82336" w:rsidRPr="007E294A">
        <w:fldChar w:fldCharType="separate"/>
      </w:r>
      <w:r w:rsidR="00F7579D" w:rsidRPr="00A82336">
        <w:t xml:space="preserve">Figure </w:t>
      </w:r>
      <w:r w:rsidR="00F7579D">
        <w:t>11</w:t>
      </w:r>
      <w:r w:rsidR="00A82336" w:rsidRPr="007E294A">
        <w:fldChar w:fldCharType="end"/>
      </w:r>
      <w:r w:rsidR="00A82336" w:rsidRPr="007E294A">
        <w:t xml:space="preserve">c). </w:t>
      </w:r>
    </w:p>
    <w:p w:rsidR="00A82336" w:rsidRPr="007E294A" w:rsidRDefault="00A82336" w:rsidP="00C3277E">
      <w:pPr>
        <w:pStyle w:val="NoSpacing"/>
        <w:ind w:firstLine="720"/>
      </w:pPr>
      <w:r w:rsidRPr="007E294A">
        <w:t>The RMSEs for u-wind gradually increase with later model initialization times while the RMSEs for v-wind largely remain within the 2 to 4 m/s range (</w:t>
      </w:r>
      <w:r w:rsidRPr="007E294A">
        <w:fldChar w:fldCharType="begin"/>
      </w:r>
      <w:r w:rsidRPr="007E294A">
        <w:instrText xml:space="preserve"> REF _Ref438406711 \h  \* MERGEFORMAT </w:instrText>
      </w:r>
      <w:r w:rsidRPr="007E294A">
        <w:fldChar w:fldCharType="separate"/>
      </w:r>
      <w:r w:rsidR="00F7579D" w:rsidRPr="00A82336">
        <w:t xml:space="preserve">Figure </w:t>
      </w:r>
      <w:r w:rsidR="00F7579D">
        <w:t>11</w:t>
      </w:r>
      <w:r w:rsidRPr="007E294A">
        <w:fldChar w:fldCharType="end"/>
      </w:r>
      <w:r w:rsidRPr="007E294A">
        <w:t xml:space="preserve">d,e). Interestingly, the average RMSEs for u-wind are about 0.5 m/s larger than the RMSEs for v-wind. This difference could partially be due to </w:t>
      </w:r>
      <w:r w:rsidR="00094531">
        <w:t>boundary layer</w:t>
      </w:r>
      <w:r w:rsidRPr="007E294A">
        <w:t xml:space="preserve"> and turbulence parameterization schemes improperly mixing westerlies aloft down to the surface in areas of downdrafts or deep, well-mixed boundary layers</w:t>
      </w:r>
      <w:r w:rsidR="00682F39">
        <w:t xml:space="preserve">. </w:t>
      </w:r>
      <w:r w:rsidRPr="007E294A">
        <w:t xml:space="preserve">As with the other variables, the MY schemes generally have the smallest RMSEs for both wind components. For all five near-surface variables, MYDM and MYTM exhibit very similar RMSEs with MYSM having only a slightly larger average RMSE. Compared to WSM6, LIN3 has </w:t>
      </w:r>
      <w:r w:rsidRPr="007E294A">
        <w:lastRenderedPageBreak/>
        <w:t>smaller average RMSEs for all variables except for temperature,</w:t>
      </w:r>
      <w:r w:rsidR="00094531">
        <w:t xml:space="preserve"> which the difference is less than 0.1</w:t>
      </w:r>
      <w:r w:rsidRPr="007E294A">
        <w:t>°C.</w:t>
      </w:r>
    </w:p>
    <w:p w:rsidR="00A82336" w:rsidRPr="007E294A" w:rsidRDefault="00A82336" w:rsidP="00C3277E">
      <w:pPr>
        <w:pStyle w:val="NoSpacing"/>
        <w:ind w:firstLine="720"/>
      </w:pPr>
      <w:r w:rsidRPr="007E294A">
        <w:t>For furthe</w:t>
      </w:r>
      <w:r w:rsidR="00094531">
        <w:t>r comparison, linear regression slopes</w:t>
      </w:r>
      <w:r w:rsidRPr="007E294A">
        <w:t xml:space="preserve">, coefficients of determination, </w:t>
      </w:r>
      <w:r w:rsidRPr="007E294A">
        <w:rPr>
          <w:i/>
        </w:rPr>
        <w:t>R</w:t>
      </w:r>
      <w:r w:rsidRPr="007E294A">
        <w:rPr>
          <w:i/>
          <w:vertAlign w:val="superscript"/>
        </w:rPr>
        <w:t>2</w:t>
      </w:r>
      <w:r w:rsidRPr="007E294A">
        <w:t xml:space="preserve">, and PDFs are computed to assess biases and correlations, respectively, for the same variables, except for pressure. For temperature, MYDM and MYTM have the largest </w:t>
      </w:r>
      <w:r w:rsidRPr="007E294A">
        <w:rPr>
          <w:i/>
        </w:rPr>
        <w:t>R</w:t>
      </w:r>
      <w:r w:rsidRPr="007E294A">
        <w:rPr>
          <w:i/>
          <w:vertAlign w:val="superscript"/>
        </w:rPr>
        <w:t>2</w:t>
      </w:r>
      <w:r w:rsidRPr="007E294A">
        <w:t xml:space="preserve"> values while having the smallest slopes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 xml:space="preserve">a). This is due to MYDM and MYTM having a warm bias for observed temperatures below 25°C. WSM6’s slope for temperature is closest to 1 with LIN3 having a slightly smaller slope, but their </w:t>
      </w:r>
      <w:r w:rsidRPr="007E294A">
        <w:rPr>
          <w:i/>
        </w:rPr>
        <w:t>R</w:t>
      </w:r>
      <w:r w:rsidRPr="007E294A">
        <w:rPr>
          <w:i/>
          <w:vertAlign w:val="superscript"/>
        </w:rPr>
        <w:t>2</w:t>
      </w:r>
      <w:r w:rsidRPr="007E294A">
        <w:t xml:space="preserve"> values are substantially smaller than the MY schemes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 xml:space="preserve">a). MYSM’s slope falls in between the two pairs of slopes, but the </w:t>
      </w:r>
      <w:r w:rsidRPr="007E294A">
        <w:rPr>
          <w:i/>
        </w:rPr>
        <w:t>R</w:t>
      </w:r>
      <w:r w:rsidRPr="007E294A">
        <w:rPr>
          <w:i/>
          <w:vertAlign w:val="superscript"/>
        </w:rPr>
        <w:t>2</w:t>
      </w:r>
      <w:r w:rsidRPr="007E294A">
        <w:t xml:space="preserve"> value is closer to MYDM and MYTM. All schemes shift the distribution peak to the bin that is 1°C warmer than the bin containing the observed distribution peak. Also, LIN3 and WSM6 exhibit higher probabilities in the bins less than 23°C, indicating larger and colder cold pools. </w:t>
      </w:r>
      <w:r w:rsidR="00DC36CD">
        <w:t>Average base rates for temperatures below 20–25</w:t>
      </w:r>
      <w:r w:rsidR="00DC36CD">
        <w:rPr>
          <w:rFonts w:cs="Times New Roman"/>
        </w:rPr>
        <w:t>°</w:t>
      </w:r>
      <w:r w:rsidR="00DC36CD">
        <w:t>C reveal that is indeed the case for LIN3 and WSM6 (</w:t>
      </w:r>
      <w:r w:rsidR="00DC36CD">
        <w:fldChar w:fldCharType="begin"/>
      </w:r>
      <w:r w:rsidR="00DC36CD">
        <w:instrText xml:space="preserve"> REF _Ref450294411 \h </w:instrText>
      </w:r>
      <w:r w:rsidR="00DC36CD">
        <w:fldChar w:fldCharType="separate"/>
      </w:r>
      <w:r w:rsidR="00F7579D">
        <w:t xml:space="preserve">Figure </w:t>
      </w:r>
      <w:r w:rsidR="00F7579D">
        <w:rPr>
          <w:noProof/>
        </w:rPr>
        <w:t>13</w:t>
      </w:r>
      <w:r w:rsidR="00DC36CD">
        <w:fldChar w:fldCharType="end"/>
      </w:r>
      <w:r w:rsidR="00DC36CD">
        <w:t xml:space="preserve">). </w:t>
      </w:r>
      <w:r w:rsidRPr="007E294A">
        <w:t xml:space="preserve">On average, all microphysics schemes lead to forecasted temperatures cooler than observed temperatures for temperatures greater than about 30°C. For dewpoint temperature, all microphysics schemes tend to be too moist for observed dewpoint temperatures less than 15°C (i.e., the dry side of the dryline;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 xml:space="preserve">b). The MY schemes have the largest </w:t>
      </w:r>
      <w:r w:rsidRPr="007E294A">
        <w:rPr>
          <w:i/>
        </w:rPr>
        <w:t>R</w:t>
      </w:r>
      <w:r w:rsidRPr="007E294A">
        <w:rPr>
          <w:i/>
          <w:vertAlign w:val="superscript"/>
        </w:rPr>
        <w:t>2</w:t>
      </w:r>
      <w:r w:rsidRPr="007E294A">
        <w:t xml:space="preserve"> values, and their slopes are slightly closer to 1 than the other microphysics schemes. This is due to their better performance near the observed distribution peak, which was well forecasted by all schemes. </w:t>
      </w:r>
    </w:p>
    <w:p w:rsidR="00A82336" w:rsidRPr="007E294A" w:rsidRDefault="00A82336" w:rsidP="007E294A">
      <w:pPr>
        <w:pStyle w:val="NoSpacing"/>
        <w:ind w:firstLine="720"/>
      </w:pPr>
      <w:r w:rsidRPr="007E294A">
        <w:t xml:space="preserve">The forecasted u-wind speeds tend to be too slow for observed u-wind speeds greater than about 0 m/s and are too fast for observed u-component wind speeds less </w:t>
      </w:r>
      <w:r w:rsidRPr="007E294A">
        <w:lastRenderedPageBreak/>
        <w:t>than about -5 m/s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 xml:space="preserve">c). The PDFs are similar among the observations and schemes’ forecasts with the majority of the u-wind values existing within the -5 to 0 m/s range, which is due to the relatively expansive warm, moist sector. The MY schemes’ simulations produce the steepest slopes and largest </w:t>
      </w:r>
      <w:r w:rsidRPr="007E294A">
        <w:rPr>
          <w:i/>
        </w:rPr>
        <w:t>R</w:t>
      </w:r>
      <w:r w:rsidRPr="007E294A">
        <w:rPr>
          <w:i/>
          <w:vertAlign w:val="superscript"/>
        </w:rPr>
        <w:t>2</w:t>
      </w:r>
      <w:r w:rsidRPr="007E294A">
        <w:t xml:space="preserve"> values for u-wind, but both values remain near or below 0.5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c). Similar to u-wind, the forecasted v-wind speeds are generally too slow (too fast) for observed v-wind greater than (less than) about 5 m/s (</w:t>
      </w:r>
      <w:r w:rsidRPr="007E294A">
        <w:fldChar w:fldCharType="begin"/>
      </w:r>
      <w:r w:rsidRPr="007E294A">
        <w:instrText xml:space="preserve"> REF _Ref439680899 \h  \* MERGEFORMAT </w:instrText>
      </w:r>
      <w:r w:rsidRPr="007E294A">
        <w:fldChar w:fldCharType="separate"/>
      </w:r>
      <w:r w:rsidR="00F7579D" w:rsidRPr="00A82336">
        <w:t xml:space="preserve">Figure </w:t>
      </w:r>
      <w:r w:rsidR="00F7579D">
        <w:t>12</w:t>
      </w:r>
      <w:r w:rsidRPr="007E294A">
        <w:fldChar w:fldCharType="end"/>
      </w:r>
      <w:r w:rsidRPr="007E294A">
        <w:t xml:space="preserve">d). All schemes’ simulations are substantially worse at predicting v-wind than u-wind based on shallow slopes (i.e., &lt; 0.35), small </w:t>
      </w:r>
      <w:r w:rsidRPr="007E294A">
        <w:rPr>
          <w:i/>
        </w:rPr>
        <w:t>R</w:t>
      </w:r>
      <w:r w:rsidRPr="007E294A">
        <w:rPr>
          <w:i/>
          <w:vertAlign w:val="superscript"/>
        </w:rPr>
        <w:t>2</w:t>
      </w:r>
      <w:r w:rsidRPr="007E294A">
        <w:t xml:space="preserve"> values (&lt; 0.20), and forecasted distributions of v-wind being too narrow.</w:t>
      </w:r>
    </w:p>
    <w:p w:rsidR="00A82336" w:rsidRPr="00C3277E" w:rsidRDefault="00A82336" w:rsidP="00C3277E">
      <w:pPr>
        <w:pStyle w:val="NoSpacing"/>
        <w:ind w:firstLine="720"/>
      </w:pPr>
      <w:r w:rsidRPr="007E294A">
        <w:t>Overall, the comparison between Mesonet observations and forecasted values using various statistics has highlighted some model successes and failures. The MY schemes, especially MYDM and MYTM, exhibit the smallest RMSEs for all five near-surface variables, but the largest RMSE differences between the MY schemes and LIN3 and WSM6 are for the near-surface temperatures likely due to LIN3 and WSM6 producing cold pools that are too cold and too large. All simulations result in cooler tropical air masses (i.e., continental and maritime), but slightly less so for the MY schemes. The large differences between the observed and forecasted wind fields (i.e., direction and magnitude) largely stems from areas of observed and forecasted convection and areas o</w:t>
      </w:r>
      <w:r w:rsidR="00962C04">
        <w:t xml:space="preserve">n the dry side of the dry </w:t>
      </w:r>
      <w:r w:rsidR="0083748A">
        <w:t>line (</w:t>
      </w:r>
      <w:r w:rsidR="00D239B2">
        <w:fldChar w:fldCharType="begin"/>
      </w:r>
      <w:r w:rsidR="00D239B2">
        <w:instrText xml:space="preserve"> REF _Ref450566206 \h </w:instrText>
      </w:r>
      <w:r w:rsidR="00D239B2">
        <w:fldChar w:fldCharType="separate"/>
      </w:r>
      <w:r w:rsidR="00F7579D">
        <w:t xml:space="preserve">Figure </w:t>
      </w:r>
      <w:r w:rsidR="00F7579D">
        <w:rPr>
          <w:noProof/>
        </w:rPr>
        <w:t>14</w:t>
      </w:r>
      <w:r w:rsidR="00D239B2">
        <w:fldChar w:fldCharType="end"/>
      </w:r>
      <w:r w:rsidRPr="007E294A">
        <w:t xml:space="preserve">). </w:t>
      </w:r>
      <w:r w:rsidR="00962C04">
        <w:t xml:space="preserve">These </w:t>
      </w:r>
      <w:r w:rsidR="007E195B">
        <w:t>various</w:t>
      </w:r>
      <w:r w:rsidR="00962C04">
        <w:t xml:space="preserve"> air masses within the model domain </w:t>
      </w:r>
      <w:r w:rsidR="00A65B09">
        <w:t xml:space="preserve">likely </w:t>
      </w:r>
      <w:r w:rsidR="00962C04">
        <w:t>contribute to the nonlinear nature of</w:t>
      </w:r>
      <w:r w:rsidR="00A65B09">
        <w:t xml:space="preserve"> the biases (i.e., </w:t>
      </w:r>
      <w:r w:rsidR="00962C04">
        <w:t>overforeca</w:t>
      </w:r>
      <w:r w:rsidR="007E195B">
        <w:t>sting and underforecasting</w:t>
      </w:r>
      <w:r w:rsidR="00A65B09">
        <w:t>)</w:t>
      </w:r>
      <w:r w:rsidR="007E195B">
        <w:t>, especially for the near-surface dewpoint temperature</w:t>
      </w:r>
      <w:r w:rsidR="00A65B09">
        <w:t xml:space="preserve"> field</w:t>
      </w:r>
      <w:r w:rsidR="007E195B">
        <w:t>.</w:t>
      </w:r>
      <w:r w:rsidR="00962C04">
        <w:t xml:space="preserve"> </w:t>
      </w:r>
      <w:r w:rsidRPr="007E294A">
        <w:t xml:space="preserve">Numerous parameterizations and assumptions (e.g., microphysics schemes, turbulence schemes, PBL schemes, soil types, and roughness lengths) likely </w:t>
      </w:r>
      <w:r w:rsidRPr="007E294A">
        <w:lastRenderedPageBreak/>
        <w:t>contribute to not only these problematic near-surface wind forecasts, but also the other near-surface variables.</w:t>
      </w:r>
      <w:r w:rsidRPr="00A82336">
        <w:t xml:space="preserve"> </w:t>
      </w:r>
    </w:p>
    <w:p w:rsidR="00A82336" w:rsidRPr="00A82336" w:rsidRDefault="00A82336" w:rsidP="00A82336">
      <w:pPr>
        <w:keepNext/>
        <w:spacing w:after="0" w:line="480" w:lineRule="auto"/>
        <w:jc w:val="center"/>
      </w:pPr>
      <w:r w:rsidRPr="00A82336">
        <w:rPr>
          <w:noProof/>
        </w:rPr>
        <w:drawing>
          <wp:inline distT="0" distB="0" distL="0" distR="0" wp14:anchorId="17A6A3EC" wp14:editId="6EEB4117">
            <wp:extent cx="4998720" cy="594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mse_mesonet_control.png"/>
                    <pic:cNvPicPr/>
                  </pic:nvPicPr>
                  <pic:blipFill rotWithShape="1">
                    <a:blip r:embed="rId25">
                      <a:extLst>
                        <a:ext uri="{28A0092B-C50C-407E-A947-70E740481C1C}">
                          <a14:useLocalDpi xmlns:a14="http://schemas.microsoft.com/office/drawing/2010/main" val="0"/>
                        </a:ext>
                      </a:extLst>
                    </a:blip>
                    <a:srcRect l="9359" r="6539"/>
                    <a:stretch/>
                  </pic:blipFill>
                  <pic:spPr bwMode="auto">
                    <a:xfrm>
                      <a:off x="0" y="0"/>
                      <a:ext cx="4998720" cy="5943600"/>
                    </a:xfrm>
                    <a:prstGeom prst="rect">
                      <a:avLst/>
                    </a:prstGeom>
                    <a:ln>
                      <a:noFill/>
                    </a:ln>
                    <a:extLst>
                      <a:ext uri="{53640926-AAD7-44D8-BBD7-CCE9431645EC}">
                        <a14:shadowObscured xmlns:a14="http://schemas.microsoft.com/office/drawing/2010/main"/>
                      </a:ext>
                    </a:extLst>
                  </pic:spPr>
                </pic:pic>
              </a:graphicData>
            </a:graphic>
          </wp:inline>
        </w:drawing>
      </w:r>
    </w:p>
    <w:p w:rsidR="00A82336" w:rsidRPr="00A82336" w:rsidRDefault="00A82336" w:rsidP="00A82336">
      <w:pPr>
        <w:pStyle w:val="Captions"/>
      </w:pPr>
      <w:bookmarkStart w:id="48" w:name="_Ref438406711"/>
      <w:bookmarkStart w:id="49" w:name="_Toc450593091"/>
      <w:r w:rsidRPr="00A82336">
        <w:t xml:space="preserve">Figure </w:t>
      </w:r>
      <w:fldSimple w:instr=" SEQ Figure \* ARABIC ">
        <w:r w:rsidR="00F7579D">
          <w:rPr>
            <w:noProof/>
          </w:rPr>
          <w:t>11</w:t>
        </w:r>
      </w:fldSimple>
      <w:bookmarkEnd w:id="48"/>
      <w:r w:rsidRPr="00A82336">
        <w:t>. Average RMSEs plotted for each simulation for near-surface (a) temperature (°C), (b) dewpoint temperature (°C), (c) pressure (hPa), (d) u-component wind (m/s), and (e) v-component wind (m/s). Average RMSEs for all simulations for each microphysics scheme are annotated on the bottom of the plots.</w:t>
      </w:r>
      <w:bookmarkEnd w:id="49"/>
    </w:p>
    <w:p w:rsidR="00A82336" w:rsidRPr="00A82336" w:rsidRDefault="00A82336" w:rsidP="00A82336">
      <w:pPr>
        <w:spacing w:after="0" w:line="480" w:lineRule="auto"/>
        <w:jc w:val="both"/>
        <w:rPr>
          <w:rFonts w:ascii="Times New Roman" w:hAnsi="Times New Roman" w:cs="Times New Roman"/>
          <w:sz w:val="24"/>
          <w:szCs w:val="24"/>
        </w:rPr>
      </w:pPr>
    </w:p>
    <w:p w:rsidR="00A82336" w:rsidRPr="00A82336" w:rsidRDefault="00A82336" w:rsidP="00A82336">
      <w:pPr>
        <w:keepNext/>
        <w:spacing w:after="0" w:line="480" w:lineRule="auto"/>
        <w:jc w:val="center"/>
      </w:pPr>
      <w:r w:rsidRPr="00A82336">
        <w:rPr>
          <w:noProof/>
        </w:rPr>
        <w:lastRenderedPageBreak/>
        <w:drawing>
          <wp:inline distT="0" distB="0" distL="0" distR="0" wp14:anchorId="522CFD93" wp14:editId="2308D1BC">
            <wp:extent cx="5120757" cy="553212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nreg_mesonet_control.png"/>
                    <pic:cNvPicPr/>
                  </pic:nvPicPr>
                  <pic:blipFill rotWithShape="1">
                    <a:blip r:embed="rId26">
                      <a:extLst>
                        <a:ext uri="{28A0092B-C50C-407E-A947-70E740481C1C}">
                          <a14:useLocalDpi xmlns:a14="http://schemas.microsoft.com/office/drawing/2010/main" val="0"/>
                        </a:ext>
                      </a:extLst>
                    </a:blip>
                    <a:srcRect l="3077" r="4360"/>
                    <a:stretch/>
                  </pic:blipFill>
                  <pic:spPr bwMode="auto">
                    <a:xfrm>
                      <a:off x="0" y="0"/>
                      <a:ext cx="5124776" cy="5536462"/>
                    </a:xfrm>
                    <a:prstGeom prst="rect">
                      <a:avLst/>
                    </a:prstGeom>
                    <a:ln>
                      <a:noFill/>
                    </a:ln>
                    <a:extLst>
                      <a:ext uri="{53640926-AAD7-44D8-BBD7-CCE9431645EC}">
                        <a14:shadowObscured xmlns:a14="http://schemas.microsoft.com/office/drawing/2010/main"/>
                      </a:ext>
                    </a:extLst>
                  </pic:spPr>
                </pic:pic>
              </a:graphicData>
            </a:graphic>
          </wp:inline>
        </w:drawing>
      </w:r>
    </w:p>
    <w:p w:rsidR="00A82336" w:rsidRPr="00A82336" w:rsidRDefault="00A82336" w:rsidP="00A82336">
      <w:pPr>
        <w:pStyle w:val="Captions"/>
      </w:pPr>
      <w:bookmarkStart w:id="50" w:name="_Ref439680899"/>
      <w:bookmarkStart w:id="51" w:name="_Toc450593092"/>
      <w:r w:rsidRPr="00A82336">
        <w:t xml:space="preserve">Figure </w:t>
      </w:r>
      <w:fldSimple w:instr=" SEQ Figure \* ARABIC ">
        <w:r w:rsidR="00F7579D">
          <w:rPr>
            <w:noProof/>
          </w:rPr>
          <w:t>12</w:t>
        </w:r>
      </w:fldSimple>
      <w:bookmarkEnd w:id="50"/>
      <w:r w:rsidRPr="00A82336">
        <w:rPr>
          <w:noProof/>
        </w:rPr>
        <w:t xml:space="preserve">. </w:t>
      </w:r>
      <w:r w:rsidR="00C21202">
        <w:rPr>
          <w:noProof/>
        </w:rPr>
        <w:t>Linear regression s</w:t>
      </w:r>
      <w:r w:rsidRPr="00A82336">
        <w:rPr>
          <w:noProof/>
        </w:rPr>
        <w:t>l</w:t>
      </w:r>
      <w:r w:rsidR="00C21202">
        <w:rPr>
          <w:noProof/>
        </w:rPr>
        <w:t xml:space="preserve">opes, </w:t>
      </w:r>
      <w:r w:rsidR="00C21202" w:rsidRPr="002B0723">
        <w:rPr>
          <w:i/>
          <w:noProof/>
        </w:rPr>
        <w:t>m</w:t>
      </w:r>
      <w:r w:rsidR="00C21202">
        <w:rPr>
          <w:noProof/>
        </w:rPr>
        <w:t>,</w:t>
      </w:r>
      <w:r w:rsidRPr="00A82336">
        <w:rPr>
          <w:noProof/>
        </w:rPr>
        <w:t xml:space="preserve"> and </w:t>
      </w:r>
      <w:r w:rsidRPr="002B0723">
        <w:rPr>
          <w:i/>
          <w:noProof/>
        </w:rPr>
        <w:t>R</w:t>
      </w:r>
      <w:r w:rsidRPr="002B0723">
        <w:rPr>
          <w:i/>
          <w:noProof/>
          <w:vertAlign w:val="superscript"/>
        </w:rPr>
        <w:t>2</w:t>
      </w:r>
      <w:r w:rsidRPr="00A82336">
        <w:rPr>
          <w:noProof/>
        </w:rPr>
        <w:t xml:space="preserve"> for all paired observations and forecasts for (a) temperature (°C), (b) dewpoint temperature (°C), (c) u-component wind (m/s), and (d) v-component wind (m/s) are plotted and annotated for LIN3 (red), WSM6 (blue), MYSM (green), MYDM (orange), and MYTM (purple). Colored shapes depict averages for observations in distinct 5-unit bins and their associated forecast values. Probability distribution functions for the number of forecasted and observed values within 1-unit bins are plotted in the top portion of each variable’s plot window.</w:t>
      </w:r>
      <w:bookmarkEnd w:id="51"/>
      <w:r w:rsidRPr="00A82336">
        <w:rPr>
          <w:noProof/>
        </w:rPr>
        <w:t xml:space="preserve"> </w:t>
      </w:r>
    </w:p>
    <w:p w:rsidR="00A82336" w:rsidRDefault="00A82336" w:rsidP="00A82336">
      <w:pPr>
        <w:spacing w:after="0" w:line="480" w:lineRule="auto"/>
        <w:jc w:val="both"/>
        <w:rPr>
          <w:rFonts w:ascii="Times New Roman" w:hAnsi="Times New Roman" w:cs="Times New Roman"/>
          <w:sz w:val="24"/>
          <w:szCs w:val="24"/>
        </w:rPr>
      </w:pPr>
    </w:p>
    <w:p w:rsidR="00DC36CD" w:rsidRDefault="00DC36CD" w:rsidP="00DC36CD">
      <w:pPr>
        <w:keepNext/>
        <w:spacing w:after="0" w:line="480" w:lineRule="auto"/>
        <w:jc w:val="both"/>
      </w:pPr>
      <w:r>
        <w:rPr>
          <w:rFonts w:ascii="Times New Roman" w:hAnsi="Times New Roman" w:cs="Times New Roman"/>
          <w:noProof/>
          <w:sz w:val="24"/>
          <w:szCs w:val="24"/>
        </w:rPr>
        <w:lastRenderedPageBreak/>
        <w:drawing>
          <wp:inline distT="0" distB="0" distL="0" distR="0" wp14:anchorId="2462F144" wp14:editId="02CE7AA0">
            <wp:extent cx="5303520" cy="3528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_brate_control.png"/>
                    <pic:cNvPicPr/>
                  </pic:nvPicPr>
                  <pic:blipFill rotWithShape="1">
                    <a:blip r:embed="rId27">
                      <a:extLst>
                        <a:ext uri="{28A0092B-C50C-407E-A947-70E740481C1C}">
                          <a14:useLocalDpi xmlns:a14="http://schemas.microsoft.com/office/drawing/2010/main" val="0"/>
                        </a:ext>
                      </a:extLst>
                    </a:blip>
                    <a:srcRect t="15948" b="17529"/>
                    <a:stretch/>
                  </pic:blipFill>
                  <pic:spPr bwMode="auto">
                    <a:xfrm>
                      <a:off x="0" y="0"/>
                      <a:ext cx="5303520" cy="3528060"/>
                    </a:xfrm>
                    <a:prstGeom prst="rect">
                      <a:avLst/>
                    </a:prstGeom>
                    <a:ln>
                      <a:noFill/>
                    </a:ln>
                    <a:extLst>
                      <a:ext uri="{53640926-AAD7-44D8-BBD7-CCE9431645EC}">
                        <a14:shadowObscured xmlns:a14="http://schemas.microsoft.com/office/drawing/2010/main"/>
                      </a:ext>
                    </a:extLst>
                  </pic:spPr>
                </pic:pic>
              </a:graphicData>
            </a:graphic>
          </wp:inline>
        </w:drawing>
      </w:r>
    </w:p>
    <w:p w:rsidR="00DC36CD" w:rsidRDefault="00DC36CD" w:rsidP="00DC36CD">
      <w:pPr>
        <w:pStyle w:val="Captions"/>
      </w:pPr>
      <w:bookmarkStart w:id="52" w:name="_Ref450294411"/>
      <w:bookmarkStart w:id="53" w:name="_Toc450593093"/>
      <w:r>
        <w:t xml:space="preserve">Figure </w:t>
      </w:r>
      <w:fldSimple w:instr=" SEQ Figure \* ARABIC ">
        <w:r w:rsidR="00F7579D">
          <w:rPr>
            <w:noProof/>
          </w:rPr>
          <w:t>13</w:t>
        </w:r>
      </w:fldSimple>
      <w:bookmarkEnd w:id="52"/>
      <w:r>
        <w:t>. Bar graph of average base rates of temperatures less than 20.0°C, 22.5°C, and 25.0°C for the different microphysics schemes. Average minimum temperatures are annotated near the top of the plot window.</w:t>
      </w:r>
      <w:bookmarkEnd w:id="53"/>
    </w:p>
    <w:p w:rsidR="0083748A" w:rsidRDefault="0083748A" w:rsidP="00DC36CD">
      <w:pPr>
        <w:pStyle w:val="Captions"/>
      </w:pPr>
    </w:p>
    <w:p w:rsidR="0083748A" w:rsidRDefault="0083748A" w:rsidP="0083748A">
      <w:pPr>
        <w:pStyle w:val="Captions"/>
        <w:keepNext/>
      </w:pPr>
      <w:r>
        <w:rPr>
          <w:noProof/>
        </w:rPr>
        <w:lastRenderedPageBreak/>
        <w:drawing>
          <wp:inline distT="0" distB="0" distL="0" distR="0" wp14:anchorId="4642F316" wp14:editId="11747E38">
            <wp:extent cx="5303520" cy="4648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ind_vectors.png"/>
                    <pic:cNvPicPr/>
                  </pic:nvPicPr>
                  <pic:blipFill rotWithShape="1">
                    <a:blip r:embed="rId28">
                      <a:extLst>
                        <a:ext uri="{28A0092B-C50C-407E-A947-70E740481C1C}">
                          <a14:useLocalDpi xmlns:a14="http://schemas.microsoft.com/office/drawing/2010/main" val="0"/>
                        </a:ext>
                      </a:extLst>
                    </a:blip>
                    <a:srcRect t="6752" b="5604"/>
                    <a:stretch/>
                  </pic:blipFill>
                  <pic:spPr bwMode="auto">
                    <a:xfrm>
                      <a:off x="0" y="0"/>
                      <a:ext cx="5303520" cy="4648200"/>
                    </a:xfrm>
                    <a:prstGeom prst="rect">
                      <a:avLst/>
                    </a:prstGeom>
                    <a:ln>
                      <a:noFill/>
                    </a:ln>
                    <a:extLst>
                      <a:ext uri="{53640926-AAD7-44D8-BBD7-CCE9431645EC}">
                        <a14:shadowObscured xmlns:a14="http://schemas.microsoft.com/office/drawing/2010/main"/>
                      </a:ext>
                    </a:extLst>
                  </pic:spPr>
                </pic:pic>
              </a:graphicData>
            </a:graphic>
          </wp:inline>
        </w:drawing>
      </w:r>
    </w:p>
    <w:p w:rsidR="0083748A" w:rsidRDefault="0083748A" w:rsidP="0083748A">
      <w:pPr>
        <w:pStyle w:val="Captions"/>
      </w:pPr>
      <w:bookmarkStart w:id="54" w:name="_Ref450566206"/>
      <w:bookmarkStart w:id="55" w:name="_Toc450593094"/>
      <w:r>
        <w:t xml:space="preserve">Figure </w:t>
      </w:r>
      <w:fldSimple w:instr=" SEQ Figure \* ARABIC ">
        <w:r w:rsidR="00F7579D">
          <w:rPr>
            <w:noProof/>
          </w:rPr>
          <w:t>14</w:t>
        </w:r>
      </w:fldSimple>
      <w:bookmarkEnd w:id="54"/>
      <w:r>
        <w:t>.</w:t>
      </w:r>
      <w:r w:rsidR="00D239B2">
        <w:t xml:space="preserve"> </w:t>
      </w:r>
      <w:r w:rsidR="006C6EFE">
        <w:t xml:space="preserve">Keychain plot of average wind vectors at all Oklahoma Mesonet stations within the model domain. </w:t>
      </w:r>
      <w:r w:rsidR="00D239B2">
        <w:t xml:space="preserve">Wind barbs depict average wind speeds and directions </w:t>
      </w:r>
      <w:r w:rsidR="00C51F1B">
        <w:t xml:space="preserve">for observed values (black) and </w:t>
      </w:r>
      <w:r w:rsidR="00ED5CF4">
        <w:t xml:space="preserve">forecast </w:t>
      </w:r>
      <w:r w:rsidR="00C51F1B">
        <w:t>values from the Control runs using LIN3 (red), WSM6 (blue), MYSM (green), MYDM (orange), and MYTM (purple).</w:t>
      </w:r>
      <w:r w:rsidR="00ED5CF4">
        <w:t xml:space="preserve"> On the wind barbs, a long (short) “feather” represents 10 m/s (5 m/s). Circles (squares) represent when average observed wind speeds (m/s) are smaller (larger) than average forecasted wind speeds (m/s).</w:t>
      </w:r>
      <w:bookmarkEnd w:id="55"/>
      <w:r w:rsidR="00ED5CF4">
        <w:t xml:space="preserve"> </w:t>
      </w:r>
    </w:p>
    <w:p w:rsidR="00C3277E" w:rsidRPr="00DC36CD" w:rsidRDefault="00DC36CD" w:rsidP="00DC36CD">
      <w:pPr>
        <w:rPr>
          <w:rFonts w:ascii="Times New Roman" w:hAnsi="Times New Roman" w:cs="Times New Roman"/>
          <w:sz w:val="24"/>
          <w:szCs w:val="20"/>
        </w:rPr>
      </w:pPr>
      <w:r>
        <w:br w:type="page"/>
      </w:r>
    </w:p>
    <w:p w:rsidR="00A82336" w:rsidRPr="00A82336" w:rsidRDefault="00A82336" w:rsidP="00A82336">
      <w:pPr>
        <w:pStyle w:val="Heading2"/>
      </w:pPr>
      <w:bookmarkStart w:id="56" w:name="_Toc448742080"/>
      <w:r w:rsidRPr="00A82336">
        <w:lastRenderedPageBreak/>
        <w:t>4.4 Neighborhood-Based Results</w:t>
      </w:r>
      <w:bookmarkEnd w:id="56"/>
    </w:p>
    <w:p w:rsidR="00A82336" w:rsidRPr="007E294A" w:rsidRDefault="00A82336" w:rsidP="00C3277E">
      <w:pPr>
        <w:pStyle w:val="NoSpacing"/>
        <w:ind w:firstLine="720"/>
      </w:pPr>
      <w:r w:rsidRPr="007E294A">
        <w:t xml:space="preserve">Observed composite reflectivity is a spatially-dense, remotely-sensed field and, thus, provides a unique opportunity to spatially verify </w:t>
      </w:r>
      <w:r w:rsidR="00DC36CD">
        <w:t xml:space="preserve">simulated convective systems on </w:t>
      </w:r>
      <w:r w:rsidRPr="007E294A">
        <w:t>the entire grid domain. At the 30-dBZ threshold, LIN3 transitions to useful skill at the smallest scale (~16 km) with MYDM exhibiting useful skill beginning around ~19 km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a). MYSM performs the worst with useful skill only at scales larger than ~41 km. Interestingly, MYTM is more similar to MYSM than MYDM at this threshold. LIN3 depicts the smallest scales for the transition from no useful skill to useful skill for five out of eight sets of simulations with average useful skill beginning at scales less than 9 km twice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b). MYSM performs the worst with average useful skill never occurring at scales less than 17 km. In general, the earlier initiated simulations exhibit useful skill at smaller scales than the later initiated simulations likely due to the increasing number of storms and the complex nature of storm interactions.</w:t>
      </w:r>
    </w:p>
    <w:p w:rsidR="00DC36CD" w:rsidRDefault="00A82336" w:rsidP="00C3277E">
      <w:pPr>
        <w:pStyle w:val="NoSpacing"/>
      </w:pPr>
      <w:r w:rsidRPr="007E294A">
        <w:tab/>
        <w:t>At the 40-dBZ threshold, MYDM begins to show useful skill at scales around ~12 km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 xml:space="preserve">c). Once again, MYSM performs the worst with useful skill on average not existing for scales below ~41 km. MYTM transitions to useful skill around ~18 km, which is now closer to MYDM than MYSM. While not considered useful skill, MYDM and MYTM both depict more skill than </w:t>
      </w:r>
      <w:r w:rsidR="002B0723">
        <w:t>the other microphysics</w:t>
      </w:r>
      <w:r w:rsidRPr="007E294A">
        <w:t xml:space="preserve"> schemes at the smaller scales, but at larger scales, LIN3 and WSM6 match and/or beat MYDM and MYTM. For all initiation times, MYDM on average has the smallest scale at which useful skill begins with over half of the runs falling at or below 9 km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d). Conversely, MYSM starts exhibiting useful skill at scales lar</w:t>
      </w:r>
      <w:r w:rsidR="002B0723">
        <w:t>ger than the other microphysics</w:t>
      </w:r>
      <w:r w:rsidRPr="007E294A">
        <w:t xml:space="preserve"> schemes for all initiation times except for the 1900 UTC simulations. </w:t>
      </w:r>
      <w:r w:rsidRPr="007E294A">
        <w:lastRenderedPageBreak/>
        <w:t xml:space="preserve">Once again, there’s a slight upward trend in scales where useful skill begins with later initiation times likely due to an increase in the areal coverage of reflectivity. </w:t>
      </w:r>
    </w:p>
    <w:p w:rsidR="00A82336" w:rsidRPr="007E294A" w:rsidRDefault="00A82336" w:rsidP="00DC36CD">
      <w:pPr>
        <w:pStyle w:val="NoSpacing"/>
        <w:ind w:firstLine="720"/>
      </w:pPr>
      <w:r w:rsidRPr="007E294A">
        <w:t>For the 50-dBZ threshold, MYDM and MYTM both depict useful skill starting around ~19 km and ~22 km, respectively, while the other three microphysical schemes lead to useful skill beginning around ~40 km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e). For the first six model initiation times, MYDM and MYTM depict similar average scales where useful skill begins while WSM6 and MYSM usually perform the worst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f). As an overview, all of the schemes generally become less skillful with increasing reflectivity threshold at the smaller scales, but at the larger scales, LIN3, WSM6, and MYSM remain similar with all thresholds while MYDM and MYTM increase in skillfulness with increasing thresholds (</w:t>
      </w:r>
      <w:r w:rsidRPr="007E294A">
        <w:fldChar w:fldCharType="begin"/>
      </w:r>
      <w:r w:rsidRPr="007E294A">
        <w:instrText xml:space="preserve"> REF _Ref440270405 \h  \* MERGEFORMAT </w:instrText>
      </w:r>
      <w:r w:rsidRPr="007E294A">
        <w:fldChar w:fldCharType="separate"/>
      </w:r>
      <w:r w:rsidR="00F7579D">
        <w:t>Figure</w:t>
      </w:r>
      <w:r w:rsidR="00F7579D" w:rsidRPr="00A82336">
        <w:t xml:space="preserve"> </w:t>
      </w:r>
      <w:r w:rsidR="00F7579D">
        <w:t>15</w:t>
      </w:r>
      <w:r w:rsidRPr="007E294A">
        <w:fldChar w:fldCharType="end"/>
      </w:r>
      <w:r w:rsidRPr="007E294A">
        <w:t>a,c,e). Also, the dif</w:t>
      </w:r>
      <w:r w:rsidR="002B0723">
        <w:t>ferences among the microphysics</w:t>
      </w:r>
      <w:r w:rsidRPr="007E294A">
        <w:t xml:space="preserve"> schemes’ simulations are greater at larger thresholds, but this is likely due to variability in the number of events exceeding the thresholds among the different schemes. </w:t>
      </w:r>
    </w:p>
    <w:p w:rsidR="00A82336" w:rsidRPr="007E294A" w:rsidRDefault="00A82336" w:rsidP="00C3277E">
      <w:pPr>
        <w:pStyle w:val="NoSpacing"/>
        <w:ind w:firstLine="720"/>
      </w:pPr>
      <w:r w:rsidRPr="007E294A">
        <w:t>Overall, MYDM and MYTM performed the best at the 40- and 50-dBZ thresholds, and MYSM consistently performed the worst at this verification metric. As compared to the observed base rates, all of the microphysics schemes, es</w:t>
      </w:r>
      <w:r w:rsidR="002B0723">
        <w:t>pecially the MY schemes, yield</w:t>
      </w:r>
      <w:r w:rsidRPr="007E294A">
        <w:t xml:space="preserve"> larger forecast base rat</w:t>
      </w:r>
      <w:r w:rsidR="00DC36CD">
        <w:t>es for each threshold (</w:t>
      </w:r>
      <w:r w:rsidR="00DC36CD">
        <w:fldChar w:fldCharType="begin"/>
      </w:r>
      <w:r w:rsidR="00DC36CD">
        <w:instrText xml:space="preserve"> REF _Ref450294878 \h </w:instrText>
      </w:r>
      <w:r w:rsidR="00DC36CD">
        <w:fldChar w:fldCharType="separate"/>
      </w:r>
      <w:r w:rsidR="00F7579D">
        <w:t xml:space="preserve">Figure </w:t>
      </w:r>
      <w:r w:rsidR="00F7579D">
        <w:rPr>
          <w:noProof/>
        </w:rPr>
        <w:t>16</w:t>
      </w:r>
      <w:r w:rsidR="00DC36CD">
        <w:fldChar w:fldCharType="end"/>
      </w:r>
      <w:r w:rsidRPr="007E294A">
        <w:t>). However, LIN3’s base rates have the smallest biases,</w:t>
      </w:r>
      <w:r w:rsidR="002B0723">
        <w:t xml:space="preserve"> so this success likely results</w:t>
      </w:r>
      <w:r w:rsidRPr="007E294A">
        <w:t xml:space="preserve"> in similar FSSs at the 30- and 40-dBZ thresholds as MYDM and MYTM, respectively. Conversely, MYSM’s base rates are the largest for each threshol</w:t>
      </w:r>
      <w:r w:rsidR="002B0723">
        <w:t>d, and this fact likely results</w:t>
      </w:r>
      <w:r w:rsidRPr="007E294A">
        <w:t xml:space="preserve"> in useful skill being first achieved at larger scales. Even with larger forecast base rates than LIN3 and WSM</w:t>
      </w:r>
      <w:r w:rsidR="002B0723">
        <w:t>6, MYDM and MYTM still exhibit</w:t>
      </w:r>
      <w:r w:rsidRPr="007E294A">
        <w:t xml:space="preserve"> the most forecast skill at the smaller </w:t>
      </w:r>
      <w:r w:rsidRPr="007E294A">
        <w:lastRenderedPageBreak/>
        <w:t xml:space="preserve">scales at the 40- and 50-dBZ thresholds, which are usually associated with strong to severe weather when deep, moist convection is present. </w:t>
      </w:r>
    </w:p>
    <w:p w:rsidR="00A82336" w:rsidRPr="00A82336" w:rsidRDefault="00A82336" w:rsidP="00A82336">
      <w:pPr>
        <w:keepNext/>
        <w:spacing w:after="0" w:line="480" w:lineRule="auto"/>
        <w:jc w:val="center"/>
      </w:pPr>
      <w:r w:rsidRPr="00A82336">
        <w:rPr>
          <w:noProof/>
        </w:rPr>
        <w:drawing>
          <wp:inline distT="0" distB="0" distL="0" distR="0" wp14:anchorId="3D1AF20D" wp14:editId="4DC4B00B">
            <wp:extent cx="4701540" cy="59436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ss_crefl_control.png"/>
                    <pic:cNvPicPr/>
                  </pic:nvPicPr>
                  <pic:blipFill rotWithShape="1">
                    <a:blip r:embed="rId29">
                      <a:extLst>
                        <a:ext uri="{28A0092B-C50C-407E-A947-70E740481C1C}">
                          <a14:useLocalDpi xmlns:a14="http://schemas.microsoft.com/office/drawing/2010/main" val="0"/>
                        </a:ext>
                      </a:extLst>
                    </a:blip>
                    <a:srcRect l="11666" r="9232"/>
                    <a:stretch/>
                  </pic:blipFill>
                  <pic:spPr bwMode="auto">
                    <a:xfrm>
                      <a:off x="0" y="0"/>
                      <a:ext cx="4701540" cy="5943600"/>
                    </a:xfrm>
                    <a:prstGeom prst="rect">
                      <a:avLst/>
                    </a:prstGeom>
                    <a:ln>
                      <a:noFill/>
                    </a:ln>
                    <a:extLst>
                      <a:ext uri="{53640926-AAD7-44D8-BBD7-CCE9431645EC}">
                        <a14:shadowObscured xmlns:a14="http://schemas.microsoft.com/office/drawing/2010/main"/>
                      </a:ext>
                    </a:extLst>
                  </pic:spPr>
                </pic:pic>
              </a:graphicData>
            </a:graphic>
          </wp:inline>
        </w:drawing>
      </w:r>
    </w:p>
    <w:p w:rsidR="00A82336" w:rsidRPr="00A82336" w:rsidRDefault="006F7DE8" w:rsidP="007E294A">
      <w:pPr>
        <w:pStyle w:val="Captions"/>
      </w:pPr>
      <w:bookmarkStart w:id="57" w:name="_Ref440270405"/>
      <w:bookmarkStart w:id="58" w:name="_Toc450593095"/>
      <w:r>
        <w:t>Figure</w:t>
      </w:r>
      <w:r w:rsidR="00A82336" w:rsidRPr="00A82336">
        <w:t xml:space="preserve"> </w:t>
      </w:r>
      <w:fldSimple w:instr=" SEQ Figure \* ARABIC ">
        <w:r w:rsidR="00F7579D">
          <w:rPr>
            <w:noProof/>
          </w:rPr>
          <w:t>15</w:t>
        </w:r>
      </w:fldSimple>
      <w:bookmarkEnd w:id="57"/>
      <w:r w:rsidR="00A82336" w:rsidRPr="00A82336">
        <w:rPr>
          <w:noProof/>
        </w:rPr>
        <w:t>. Average FSS-FSS</w:t>
      </w:r>
      <w:r w:rsidR="00A82336" w:rsidRPr="00A82336">
        <w:rPr>
          <w:noProof/>
          <w:vertAlign w:val="subscript"/>
        </w:rPr>
        <w:t>useful</w:t>
      </w:r>
      <w:r w:rsidR="00A82336" w:rsidRPr="00A82336">
        <w:rPr>
          <w:noProof/>
        </w:rPr>
        <w:t xml:space="preserve"> across all simulations for LIN3 (red), WMS6 (blue), MYSM (green), MYDM (orange), and MYTM (purple) are plotted for thresholds of (a) 30 dBZ, (c) 40 dBZ, and (e) 50 dBZ. Average neighborhood sizes (km) at which FSS-FSS</w:t>
      </w:r>
      <w:r w:rsidR="00A82336" w:rsidRPr="00A82336">
        <w:rPr>
          <w:noProof/>
          <w:vertAlign w:val="subscript"/>
        </w:rPr>
        <w:t>useful</w:t>
      </w:r>
      <w:r w:rsidR="00A82336" w:rsidRPr="00A82336">
        <w:rPr>
          <w:noProof/>
        </w:rPr>
        <w:t xml:space="preserve"> = 0 for each model initiation time (UTC) and microphysical scheme are plotted for thresholds of (b) 30 dBZ, (d) 40 dBZ, and (f) 50 dBZ. Average neighborhood size (km) at which FSS-FSS</w:t>
      </w:r>
      <w:r w:rsidR="00A82336" w:rsidRPr="00A82336">
        <w:rPr>
          <w:noProof/>
          <w:vertAlign w:val="subscript"/>
        </w:rPr>
        <w:t>useful</w:t>
      </w:r>
      <w:r w:rsidR="00A82336" w:rsidRPr="00A82336">
        <w:rPr>
          <w:noProof/>
        </w:rPr>
        <w:t xml:space="preserve"> = 0 for each microphysics scheme is annotated in (a), (b), and (c).</w:t>
      </w:r>
      <w:bookmarkEnd w:id="58"/>
    </w:p>
    <w:p w:rsidR="00DC36CD" w:rsidRDefault="00DC36CD" w:rsidP="00DC36CD">
      <w:pPr>
        <w:keepNext/>
        <w:spacing w:after="0" w:line="480" w:lineRule="auto"/>
        <w:jc w:val="both"/>
      </w:pPr>
      <w:r>
        <w:rPr>
          <w:rFonts w:ascii="Times New Roman" w:hAnsi="Times New Roman" w:cs="Times New Roman"/>
          <w:noProof/>
          <w:sz w:val="24"/>
          <w:szCs w:val="24"/>
        </w:rPr>
        <w:lastRenderedPageBreak/>
        <w:drawing>
          <wp:inline distT="0" distB="0" distL="0" distR="0" wp14:anchorId="0DA26F3D" wp14:editId="2B923773">
            <wp:extent cx="5303520" cy="3558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ef_brate_control.png"/>
                    <pic:cNvPicPr/>
                  </pic:nvPicPr>
                  <pic:blipFill rotWithShape="1">
                    <a:blip r:embed="rId30">
                      <a:extLst>
                        <a:ext uri="{28A0092B-C50C-407E-A947-70E740481C1C}">
                          <a14:useLocalDpi xmlns:a14="http://schemas.microsoft.com/office/drawing/2010/main" val="0"/>
                        </a:ext>
                      </a:extLst>
                    </a:blip>
                    <a:srcRect t="10776" b="22126"/>
                    <a:stretch/>
                  </pic:blipFill>
                  <pic:spPr bwMode="auto">
                    <a:xfrm>
                      <a:off x="0" y="0"/>
                      <a:ext cx="5303520" cy="3558540"/>
                    </a:xfrm>
                    <a:prstGeom prst="rect">
                      <a:avLst/>
                    </a:prstGeom>
                    <a:ln>
                      <a:noFill/>
                    </a:ln>
                    <a:extLst>
                      <a:ext uri="{53640926-AAD7-44D8-BBD7-CCE9431645EC}">
                        <a14:shadowObscured xmlns:a14="http://schemas.microsoft.com/office/drawing/2010/main"/>
                      </a:ext>
                    </a:extLst>
                  </pic:spPr>
                </pic:pic>
              </a:graphicData>
            </a:graphic>
          </wp:inline>
        </w:drawing>
      </w:r>
    </w:p>
    <w:p w:rsidR="00A82336" w:rsidRDefault="00DC36CD" w:rsidP="00DC36CD">
      <w:pPr>
        <w:pStyle w:val="Captions"/>
      </w:pPr>
      <w:bookmarkStart w:id="59" w:name="_Ref450294878"/>
      <w:bookmarkStart w:id="60" w:name="_Toc450593096"/>
      <w:r>
        <w:t xml:space="preserve">Figure </w:t>
      </w:r>
      <w:fldSimple w:instr=" SEQ Figure \* ARABIC ">
        <w:r w:rsidR="00F7579D">
          <w:rPr>
            <w:noProof/>
          </w:rPr>
          <w:t>16</w:t>
        </w:r>
      </w:fldSimple>
      <w:bookmarkEnd w:id="59"/>
      <w:r>
        <w:t>. Bar graph of the forecasted base rate of composite reflectivity minus the observed base rate of composite reflectivity for the 30-dBZ, 40-dBZ, and 50-dBZ thresholds. Positive values indicate overforecasting, and negative values indicate underforecasting.</w:t>
      </w:r>
      <w:bookmarkEnd w:id="60"/>
    </w:p>
    <w:p w:rsidR="00DC36CD" w:rsidRPr="00DC36CD" w:rsidRDefault="00DC36CD" w:rsidP="00DC36CD">
      <w:pPr>
        <w:rPr>
          <w:rFonts w:ascii="Times New Roman" w:hAnsi="Times New Roman" w:cs="Times New Roman"/>
          <w:sz w:val="24"/>
          <w:szCs w:val="20"/>
        </w:rPr>
      </w:pPr>
      <w:r>
        <w:br w:type="page"/>
      </w:r>
    </w:p>
    <w:p w:rsidR="00A82336" w:rsidRPr="00A82336" w:rsidRDefault="00A82336" w:rsidP="00A82336">
      <w:pPr>
        <w:pStyle w:val="Heading2"/>
      </w:pPr>
      <w:bookmarkStart w:id="61" w:name="_Toc448742081"/>
      <w:r w:rsidRPr="00A82336">
        <w:lastRenderedPageBreak/>
        <w:t>4.5 Object-Based Results</w:t>
      </w:r>
      <w:bookmarkEnd w:id="61"/>
    </w:p>
    <w:p w:rsidR="00A82336" w:rsidRPr="00A82336" w:rsidRDefault="00A82336" w:rsidP="00C3277E">
      <w:pPr>
        <w:pStyle w:val="NoSpacing"/>
        <w:ind w:firstLine="720"/>
      </w:pPr>
      <w:r w:rsidRPr="00A82336">
        <w:t>Supercell mesocyclones are mostly discontinuous in space, so simulated mesocyclones can be treated as objects using the UH field for verification purposes. The thresholds detailed in Section 3.3 define what constitutes a simulated mesocyclone, so the number of simulated mesocyclones can be greatly altered by adjusting the thresholds. For this study, less stringent thresholds are utilized to potentially produce more robust results and to agree with visual assessment of what constitutes a mesocyclone. However, the thresholds have minimal impact on the overall re</w:t>
      </w:r>
      <w:r w:rsidR="00DB5F5D">
        <w:t>sults. As stated before, 0-1UH</w:t>
      </w:r>
      <w:r w:rsidRPr="00A82336">
        <w:t xml:space="preserve"> centers are used to represent low-level mesocyclones and are filtered by the 1–6-km UH centers, which represent mid-level mesocyclones</w:t>
      </w:r>
      <w:r w:rsidR="00733403">
        <w:t xml:space="preserve">, </w:t>
      </w:r>
      <w:r w:rsidR="00733403" w:rsidRPr="00733403">
        <w:t>to insure that dete</w:t>
      </w:r>
      <w:r w:rsidR="00733403">
        <w:t>cted features have deep support</w:t>
      </w:r>
      <w:r w:rsidRPr="00A82336">
        <w:t>.</w:t>
      </w:r>
    </w:p>
    <w:p w:rsidR="00A82336" w:rsidRPr="00A82336" w:rsidRDefault="00A82336" w:rsidP="00C3277E">
      <w:pPr>
        <w:pStyle w:val="NoSpacing"/>
        <w:ind w:firstLine="720"/>
      </w:pPr>
      <w:r w:rsidRPr="00A82336">
        <w:t>Using all simulations’ output from every 5 min, several hundred 0-1UH centers were identified as objects for each microphysics scheme (</w:t>
      </w:r>
      <w:r w:rsidRPr="00A82336">
        <w:fldChar w:fldCharType="begin"/>
      </w:r>
      <w:r w:rsidRPr="00A82336">
        <w:instrText xml:space="preserve"> REF _Ref440446809 \h  \* MERGEFORMAT </w:instrText>
      </w:r>
      <w:r w:rsidRPr="00A82336">
        <w:fldChar w:fldCharType="separate"/>
      </w:r>
      <w:r w:rsidR="00F7579D" w:rsidRPr="00A82336">
        <w:t xml:space="preserve">Figure </w:t>
      </w:r>
      <w:r w:rsidR="00F7579D">
        <w:t>17</w:t>
      </w:r>
      <w:r w:rsidRPr="00A82336">
        <w:fldChar w:fldCharType="end"/>
      </w:r>
      <w:r w:rsidRPr="00A82336">
        <w:t xml:space="preserve">a). Both S1 and S2 have a plethora of 0-1UH centers near their tornado points, </w:t>
      </w:r>
      <w:r w:rsidR="00DB5F5D">
        <w:t>but S3 has substantially fewer 0-1</w:t>
      </w:r>
      <w:r w:rsidRPr="00A82336">
        <w:t xml:space="preserve">UH centers nearby, which indicates </w:t>
      </w:r>
      <w:r w:rsidR="00733403">
        <w:t xml:space="preserve">relatively </w:t>
      </w:r>
      <w:r w:rsidRPr="00A82336">
        <w:t>po</w:t>
      </w:r>
      <w:r w:rsidR="00DB5F5D">
        <w:t>or forecasting of S3’s</w:t>
      </w:r>
      <w:r w:rsidRPr="00A82336">
        <w:t xml:space="preserve"> </w:t>
      </w:r>
      <w:r w:rsidR="00DB5F5D">
        <w:t>low-level circulation</w:t>
      </w:r>
      <w:r w:rsidRPr="00A82336">
        <w:t xml:space="preserve"> by the forecast system. 0-1UH centers generally surround S1’s tornado points, but are largely clustered to the north of S2’s tornado </w:t>
      </w:r>
      <w:r w:rsidR="00DB5F5D">
        <w:t>locations</w:t>
      </w:r>
      <w:r w:rsidRPr="00A82336">
        <w:t>. All of the simulations in this set of experiments produce similar numbers of 0-1UH centers with LIN3 yielding the most and MYDM yielding the least (</w:t>
      </w:r>
      <w:r w:rsidRPr="00A82336">
        <w:fldChar w:fldCharType="begin"/>
      </w:r>
      <w:r w:rsidRPr="00A82336">
        <w:instrText xml:space="preserve"> REF _Ref440446809 \h  \* MERGEFORMAT </w:instrText>
      </w:r>
      <w:r w:rsidRPr="00A82336">
        <w:fldChar w:fldCharType="separate"/>
      </w:r>
      <w:r w:rsidR="00F7579D" w:rsidRPr="00A82336">
        <w:t xml:space="preserve">Figure </w:t>
      </w:r>
      <w:r w:rsidR="00F7579D">
        <w:t>17</w:t>
      </w:r>
      <w:r w:rsidRPr="00A82336">
        <w:fldChar w:fldCharType="end"/>
      </w:r>
      <w:r w:rsidRPr="00A82336">
        <w:t>b). The simulations initialized at 2130 UTC produce the largest number of 0-1UH centers with 150 to 200 centers. MYDM has the largest average max 0-1UH for each center, and WSM6 has the smallest average max 0-1UH for each center (</w:t>
      </w:r>
      <w:r w:rsidRPr="00A82336">
        <w:fldChar w:fldCharType="begin"/>
      </w:r>
      <w:r w:rsidRPr="00A82336">
        <w:instrText xml:space="preserve"> REF _Ref440446809 \h  \* MERGEFORMAT </w:instrText>
      </w:r>
      <w:r w:rsidRPr="00A82336">
        <w:fldChar w:fldCharType="separate"/>
      </w:r>
      <w:r w:rsidR="00F7579D" w:rsidRPr="00A82336">
        <w:t xml:space="preserve">Figure </w:t>
      </w:r>
      <w:r w:rsidR="00F7579D">
        <w:t>17</w:t>
      </w:r>
      <w:r w:rsidRPr="00A82336">
        <w:fldChar w:fldCharType="end"/>
      </w:r>
      <w:r w:rsidRPr="00A82336">
        <w:t xml:space="preserve">c). For most initialization times, the MY schemes, especially for MYDM and MYTM, have distinctly larger average max </w:t>
      </w:r>
      <w:r w:rsidRPr="00A82336">
        <w:lastRenderedPageBreak/>
        <w:t xml:space="preserve">0-1UH </w:t>
      </w:r>
      <w:r w:rsidR="00DB5F5D">
        <w:t xml:space="preserve">values </w:t>
      </w:r>
      <w:r w:rsidRPr="00A82336">
        <w:t>for each center than LIN3 and WSM6, which are very similar in this respect. To briefly summarize, the MY schemes produce stronger and fewer 0-1UH centers than LIN3 and WSM6.</w:t>
      </w:r>
    </w:p>
    <w:p w:rsidR="00A82336" w:rsidRPr="00A82336" w:rsidRDefault="00645036" w:rsidP="00A82336">
      <w:pPr>
        <w:keepNext/>
        <w:spacing w:after="0" w:line="480" w:lineRule="auto"/>
        <w:jc w:val="center"/>
      </w:pPr>
      <w:r>
        <w:rPr>
          <w:noProof/>
        </w:rPr>
        <w:drawing>
          <wp:inline distT="0" distB="0" distL="0" distR="0" wp14:anchorId="23660AC6" wp14:editId="1CB81929">
            <wp:extent cx="5303520" cy="5303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h_pts_01uh_control.png"/>
                    <pic:cNvPicPr/>
                  </pic:nvPicPr>
                  <pic:blipFill>
                    <a:blip r:embed="rId31">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82336" w:rsidRPr="00A82336" w:rsidRDefault="00A82336" w:rsidP="00A82336">
      <w:pPr>
        <w:pStyle w:val="Captions"/>
      </w:pPr>
      <w:bookmarkStart w:id="62" w:name="_Ref440446809"/>
      <w:bookmarkStart w:id="63" w:name="_Toc450593097"/>
      <w:r w:rsidRPr="00A82336">
        <w:t xml:space="preserve">Figure </w:t>
      </w:r>
      <w:fldSimple w:instr=" SEQ Figure \* ARABIC ">
        <w:r w:rsidR="00F7579D">
          <w:rPr>
            <w:noProof/>
          </w:rPr>
          <w:t>17</w:t>
        </w:r>
      </w:fldSimple>
      <w:bookmarkEnd w:id="62"/>
      <w:r w:rsidRPr="00A82336">
        <w:rPr>
          <w:noProof/>
        </w:rPr>
        <w:t>. (a) Filtered 0-1UH centers for LIN3 (red circle), WSM6 (blue square), MYSM (green triangle), MYDM (orange diamond), and MYTM (purple star) for all simulations. Grey upside-down triangles respresent tornado locations every minute, while black upside-down triangles represent tornado locations occurring at the same times of the forecast output. (b) Line graph of the total number of 0-1UH centers for all simulations with the total number of centers across all simulations annotated at the bottom of the plot. (c) Line graph of average max 0-1UH (m</w:t>
      </w:r>
      <w:r w:rsidRPr="00A82336">
        <w:rPr>
          <w:noProof/>
          <w:vertAlign w:val="superscript"/>
        </w:rPr>
        <w:t>2</w:t>
      </w:r>
      <w:r w:rsidRPr="00A82336">
        <w:rPr>
          <w:noProof/>
        </w:rPr>
        <w:t>/s</w:t>
      </w:r>
      <w:r w:rsidRPr="00A82336">
        <w:rPr>
          <w:noProof/>
          <w:vertAlign w:val="superscript"/>
        </w:rPr>
        <w:t>2</w:t>
      </w:r>
      <w:r w:rsidRPr="00A82336">
        <w:rPr>
          <w:noProof/>
        </w:rPr>
        <w:t>) for each simulation’s centers with the overall average max 0-1UH annotated at the bottom of the plot.</w:t>
      </w:r>
      <w:bookmarkEnd w:id="63"/>
    </w:p>
    <w:p w:rsidR="00A82336" w:rsidRPr="00A82336" w:rsidRDefault="00A82336" w:rsidP="00A82336">
      <w:pPr>
        <w:pStyle w:val="Heading3"/>
      </w:pPr>
      <w:bookmarkStart w:id="64" w:name="_Toc448742082"/>
      <w:r w:rsidRPr="00A82336">
        <w:lastRenderedPageBreak/>
        <w:t>4.5.1 Storm 1</w:t>
      </w:r>
      <w:bookmarkEnd w:id="64"/>
    </w:p>
    <w:p w:rsidR="00A82336" w:rsidRPr="00A82336" w:rsidRDefault="00A82336" w:rsidP="00C3277E">
      <w:pPr>
        <w:pStyle w:val="NoSpacing"/>
        <w:ind w:firstLine="720"/>
      </w:pPr>
      <w:r w:rsidRPr="00A82336">
        <w:t>As seen previously, numerous 0-1UH centers are generally close to S1’s tornado locations with many same-time centers within 10 km. Use of a 1-km model with the 3DVAR and IAU produced accurate simulations in a computationally efficient manner. Digging into the details, LIN3 and WMS6 lead to same-time 0-1UH centers that tend to be too fast and too far south of the tornado locations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a). The MY schemes have same-time 0-1UH centers that are generally much closer to the tornado locations and each other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a). For any-time 0-1UH centers, all schemes contribute to a similar number of centers, which are evenly spread north and south of S1’s tornado locations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 xml:space="preserve">b). </w:t>
      </w:r>
    </w:p>
    <w:p w:rsidR="00A82336" w:rsidRPr="00A82336" w:rsidRDefault="00A82336" w:rsidP="00C3277E">
      <w:pPr>
        <w:pStyle w:val="NoSpacing"/>
        <w:ind w:firstLine="720"/>
      </w:pPr>
      <w:r w:rsidRPr="00A82336">
        <w:t>The MY schemes have average ST dista</w:t>
      </w:r>
      <w:r w:rsidR="00DB5F5D">
        <w:t>nce errors less than 11 km for 0-1</w:t>
      </w:r>
      <w:r w:rsidRPr="00A82336">
        <w:t>UH, but LIN3 and WSM6 have average ST distance errors 5–10 km larger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c). The ST distance errors for each microphysics scheme are fairly consistent across all simulations. It’s worth noting that for the 1900-UTC simulations all of the microphysical schemes, except for LIN3, have average ST distance errors around or less than 5 km, which is considered to be very good given the nearly 90 minute lead time.</w:t>
      </w:r>
      <w:r w:rsidR="00C02F8F">
        <w:t xml:space="preserve"> As an example, the simulated reflectivity and 0-1UH fields</w:t>
      </w:r>
      <w:r w:rsidR="00B60996">
        <w:t xml:space="preserve"> from the MYDM run are</w:t>
      </w:r>
      <w:r w:rsidR="00C02F8F">
        <w:t xml:space="preserve"> plotted in </w:t>
      </w:r>
      <w:r w:rsidR="00B60996">
        <w:fldChar w:fldCharType="begin"/>
      </w:r>
      <w:r w:rsidR="00B60996">
        <w:instrText xml:space="preserve"> REF _Ref450510390 \h </w:instrText>
      </w:r>
      <w:r w:rsidR="00B60996">
        <w:fldChar w:fldCharType="separate"/>
      </w:r>
      <w:r w:rsidR="00F7579D">
        <w:t xml:space="preserve">Figure </w:t>
      </w:r>
      <w:r w:rsidR="00F7579D">
        <w:rPr>
          <w:noProof/>
        </w:rPr>
        <w:t>19</w:t>
      </w:r>
      <w:r w:rsidR="00B60996">
        <w:fldChar w:fldCharType="end"/>
      </w:r>
      <w:r w:rsidR="00B60996">
        <w:t xml:space="preserve"> and </w:t>
      </w:r>
      <w:r w:rsidR="00C02F8F">
        <w:t xml:space="preserve">depict </w:t>
      </w:r>
      <w:r w:rsidR="00C326F6">
        <w:t>very successful forecasts of S1 at one and two hour lead times.</w:t>
      </w:r>
      <w:r w:rsidRPr="00A82336">
        <w:t xml:space="preserve"> The differences in the AT distance errors among the five schemes is smaller than for the ST distance errors, and the average AT distance errors are less than 9 km for all of the schemes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 xml:space="preserve">d). Even though LIN3 and WSM6 exhibit AT distance errors similar to the MY schemes, those schemes’ AT timing errors are </w:t>
      </w:r>
      <w:r w:rsidR="00DB5F5D">
        <w:t xml:space="preserve">on average </w:t>
      </w:r>
      <w:r w:rsidRPr="00A82336">
        <w:t>mostly 15–20 min too fast (</w:t>
      </w:r>
      <w:r w:rsidRPr="00A82336">
        <w:fldChar w:fldCharType="begin"/>
      </w:r>
      <w:r w:rsidRPr="00A82336">
        <w:instrText xml:space="preserve"> REF _Ref440638120 \h  \* MERGEFORMAT </w:instrText>
      </w:r>
      <w:r w:rsidRPr="00A82336">
        <w:fldChar w:fldCharType="separate"/>
      </w:r>
      <w:r w:rsidR="00F7579D" w:rsidRPr="00A82336">
        <w:t xml:space="preserve">Figure </w:t>
      </w:r>
      <w:r w:rsidR="00F7579D">
        <w:t>18</w:t>
      </w:r>
      <w:r w:rsidRPr="00A82336">
        <w:fldChar w:fldCharType="end"/>
      </w:r>
      <w:r w:rsidRPr="00A82336">
        <w:t xml:space="preserve">e). The MY schemes have substantially smaller AT timing </w:t>
      </w:r>
      <w:r w:rsidRPr="00A82336">
        <w:lastRenderedPageBreak/>
        <w:t xml:space="preserve">errors with most 0-1UH centers occurring within ±10 min (i.e., too fast and too slow) of the estimated tornado times. </w:t>
      </w:r>
    </w:p>
    <w:p w:rsidR="00A82336" w:rsidRDefault="00A82336" w:rsidP="00C3277E">
      <w:pPr>
        <w:pStyle w:val="NoSpacing"/>
        <w:ind w:firstLine="720"/>
      </w:pPr>
      <w:r w:rsidRPr="00A82336">
        <w:t xml:space="preserve">Overall for S1, all of schemes contributed to successful forecasts of low-level circulations near S1’s tornado points. The MY schemes tend to produce the smallest distance and timing errors, and WSM6 generally has the largest errors with LIN3 not too different. The largest issue with LIN3 and WSM6 is their tendency to produce 0-1UH centers that are too fast. As previous studies and the near-surface variables have alluded to, this is likely due to those schemes producing cold pools that are too cold. </w:t>
      </w:r>
    </w:p>
    <w:p w:rsidR="00645036" w:rsidRPr="00A82336" w:rsidRDefault="00645036" w:rsidP="00C3277E">
      <w:pPr>
        <w:pStyle w:val="NoSpacing"/>
        <w:ind w:firstLine="720"/>
      </w:pPr>
    </w:p>
    <w:p w:rsidR="00A82336" w:rsidRPr="00A82336" w:rsidRDefault="00645036" w:rsidP="00A82336">
      <w:pPr>
        <w:keepNext/>
        <w:spacing w:after="0" w:line="480" w:lineRule="auto"/>
        <w:jc w:val="center"/>
      </w:pPr>
      <w:r>
        <w:rPr>
          <w:noProof/>
        </w:rPr>
        <w:lastRenderedPageBreak/>
        <w:drawing>
          <wp:inline distT="0" distB="0" distL="0" distR="0" wp14:anchorId="5DA9FB75" wp14:editId="5D208EDE">
            <wp:extent cx="5303520" cy="5303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enters_01uh_control_S1.png"/>
                    <pic:cNvPicPr/>
                  </pic:nvPicPr>
                  <pic:blipFill>
                    <a:blip r:embed="rId32">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82336" w:rsidRPr="00A82336" w:rsidRDefault="00A82336" w:rsidP="00A82336">
      <w:pPr>
        <w:pStyle w:val="Captions"/>
        <w:rPr>
          <w:color w:val="5B9BD5" w:themeColor="accent1"/>
        </w:rPr>
      </w:pPr>
      <w:bookmarkStart w:id="65" w:name="_Ref440638120"/>
      <w:bookmarkStart w:id="66" w:name="_Ref440638107"/>
      <w:bookmarkStart w:id="67" w:name="_Toc450593098"/>
      <w:r w:rsidRPr="00A82336">
        <w:t xml:space="preserve">Figure </w:t>
      </w:r>
      <w:fldSimple w:instr=" SEQ Figure \* ARABIC ">
        <w:r w:rsidR="00F7579D">
          <w:rPr>
            <w:noProof/>
          </w:rPr>
          <w:t>18</w:t>
        </w:r>
      </w:fldSimple>
      <w:bookmarkEnd w:id="65"/>
      <w:r w:rsidRPr="00A82336">
        <w:rPr>
          <w:noProof/>
        </w:rPr>
        <w:t>.</w:t>
      </w:r>
      <w:bookmarkEnd w:id="66"/>
      <w:r w:rsidRPr="00A82336">
        <w:rPr>
          <w:noProof/>
        </w:rPr>
        <w:t xml:space="preserve"> (a) Same-time and (b) any-time 0-1UH centers for Storm 1 from all simulations with LIN3 (red circle), WSM6 (blue square), MYSM (green triangle), MYDM (orange diamond), and MYTM (purple star). Black shapes represent the average locations of the microphysical schemes’ 0-1UH centers. The number of 0-1UH centers within the plot window are annotated in (a) and (b). Line graphs of average (c) ST distance errors (km), (d) AT distance errors (km), and (e) AT timing errors (min) for all simulations’ 0-1UH centers, and the respective averages across all simulations for each of the microphysical schemes is annotated within the plots.</w:t>
      </w:r>
      <w:bookmarkEnd w:id="67"/>
    </w:p>
    <w:p w:rsidR="00A82336" w:rsidRDefault="00A82336" w:rsidP="00A82336">
      <w:pPr>
        <w:spacing w:after="0" w:line="480" w:lineRule="auto"/>
        <w:jc w:val="both"/>
        <w:rPr>
          <w:rFonts w:ascii="Times New Roman" w:hAnsi="Times New Roman" w:cs="Times New Roman"/>
          <w:sz w:val="24"/>
          <w:szCs w:val="24"/>
        </w:rPr>
      </w:pPr>
    </w:p>
    <w:p w:rsidR="00C326F6" w:rsidRDefault="00C326F6" w:rsidP="00C326F6">
      <w:pPr>
        <w:keepNext/>
        <w:spacing w:after="0" w:line="240" w:lineRule="auto"/>
        <w:jc w:val="both"/>
      </w:pPr>
      <w:r>
        <w:rPr>
          <w:rFonts w:ascii="Times New Roman" w:hAnsi="Times New Roman" w:cs="Times New Roman"/>
          <w:noProof/>
          <w:sz w:val="24"/>
          <w:szCs w:val="24"/>
        </w:rPr>
        <w:lastRenderedPageBreak/>
        <w:drawing>
          <wp:inline distT="0" distB="0" distL="0" distR="0" wp14:anchorId="4515D2E9" wp14:editId="7148FC93">
            <wp:extent cx="5303520" cy="43967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trol_vs_ktlx_1900.png"/>
                    <pic:cNvPicPr/>
                  </pic:nvPicPr>
                  <pic:blipFill rotWithShape="1">
                    <a:blip r:embed="rId33">
                      <a:extLst>
                        <a:ext uri="{28A0092B-C50C-407E-A947-70E740481C1C}">
                          <a14:useLocalDpi xmlns:a14="http://schemas.microsoft.com/office/drawing/2010/main" val="0"/>
                        </a:ext>
                      </a:extLst>
                    </a:blip>
                    <a:srcRect t="4885" b="12212"/>
                    <a:stretch/>
                  </pic:blipFill>
                  <pic:spPr bwMode="auto">
                    <a:xfrm>
                      <a:off x="0" y="0"/>
                      <a:ext cx="5303520" cy="4396740"/>
                    </a:xfrm>
                    <a:prstGeom prst="rect">
                      <a:avLst/>
                    </a:prstGeom>
                    <a:ln>
                      <a:noFill/>
                    </a:ln>
                    <a:extLst>
                      <a:ext uri="{53640926-AAD7-44D8-BBD7-CCE9431645EC}">
                        <a14:shadowObscured xmlns:a14="http://schemas.microsoft.com/office/drawing/2010/main"/>
                      </a:ext>
                    </a:extLst>
                  </pic:spPr>
                </pic:pic>
              </a:graphicData>
            </a:graphic>
          </wp:inline>
        </w:drawing>
      </w:r>
    </w:p>
    <w:p w:rsidR="00C326F6" w:rsidRDefault="00C326F6" w:rsidP="00C326F6">
      <w:pPr>
        <w:pStyle w:val="Captions"/>
      </w:pPr>
      <w:bookmarkStart w:id="68" w:name="_Ref450510390"/>
      <w:bookmarkStart w:id="69" w:name="_Toc450593099"/>
      <w:r>
        <w:t xml:space="preserve">Figure </w:t>
      </w:r>
      <w:fldSimple w:instr=" SEQ Figure \* ARABIC ">
        <w:r w:rsidR="00F7579D">
          <w:rPr>
            <w:noProof/>
          </w:rPr>
          <w:t>19</w:t>
        </w:r>
      </w:fldSimple>
      <w:bookmarkEnd w:id="68"/>
      <w:r>
        <w:t xml:space="preserve">. Observed 0.5°-tilt reflectivity (dBZ) from KTLX for (a) 1902 UTC, (b) 2002 UTC, and (c) 2102 UTC </w:t>
      </w:r>
      <w:r w:rsidR="00B60996">
        <w:t xml:space="preserve">are </w:t>
      </w:r>
      <w:r>
        <w:t>interpolated and plotted to the 1-km model grid. Forecasts of 1-km AGL simulated reflectivity (dBZ</w:t>
      </w:r>
      <w:r w:rsidR="00EA00E3">
        <w:t>; colored</w:t>
      </w:r>
      <w:r>
        <w:t xml:space="preserve">) from the 1900-UTC Control run using MYDM </w:t>
      </w:r>
      <w:r w:rsidR="00B60996">
        <w:t xml:space="preserve">are plotted </w:t>
      </w:r>
      <w:r w:rsidR="00EA00E3">
        <w:t>for (d) 1900 UTC (t = 0 s), (e) 2000 UTC (t = 3600 s), and (f) 2100 UTC (t = 7200 s). 0-1UH is contoured in black in (d), (e), and (f) from 10 m</w:t>
      </w:r>
      <w:r w:rsidR="00EA00E3" w:rsidRPr="00EA00E3">
        <w:rPr>
          <w:vertAlign w:val="superscript"/>
        </w:rPr>
        <w:t>2</w:t>
      </w:r>
      <w:r w:rsidR="00EA00E3">
        <w:t>/s</w:t>
      </w:r>
      <w:r w:rsidR="00EA00E3" w:rsidRPr="00EA00E3">
        <w:rPr>
          <w:vertAlign w:val="superscript"/>
        </w:rPr>
        <w:t>2</w:t>
      </w:r>
      <w:r w:rsidR="00EA00E3">
        <w:t xml:space="preserve"> to 210 m</w:t>
      </w:r>
      <w:r w:rsidR="00EA00E3" w:rsidRPr="00EA00E3">
        <w:rPr>
          <w:vertAlign w:val="superscript"/>
        </w:rPr>
        <w:t>2</w:t>
      </w:r>
      <w:r w:rsidR="00EA00E3">
        <w:t>/s</w:t>
      </w:r>
      <w:r w:rsidR="00EA00E3" w:rsidRPr="00EA00E3">
        <w:rPr>
          <w:vertAlign w:val="superscript"/>
        </w:rPr>
        <w:t>2</w:t>
      </w:r>
      <w:r w:rsidR="00EA00E3">
        <w:t xml:space="preserve"> </w:t>
      </w:r>
      <w:r w:rsidR="00B60996">
        <w:t xml:space="preserve">with an interval of </w:t>
      </w:r>
      <w:r w:rsidR="00EA00E3">
        <w:t>25 m</w:t>
      </w:r>
      <w:r w:rsidR="00EA00E3" w:rsidRPr="00EA00E3">
        <w:rPr>
          <w:vertAlign w:val="superscript"/>
        </w:rPr>
        <w:t>2</w:t>
      </w:r>
      <w:r w:rsidR="00EA00E3">
        <w:t>/s</w:t>
      </w:r>
      <w:r w:rsidR="00EA00E3" w:rsidRPr="00EA00E3">
        <w:rPr>
          <w:vertAlign w:val="superscript"/>
        </w:rPr>
        <w:t>2</w:t>
      </w:r>
      <w:r w:rsidR="00EA00E3">
        <w:t xml:space="preserve">, and the max UH value </w:t>
      </w:r>
      <w:r w:rsidR="00B60996">
        <w:t>(m</w:t>
      </w:r>
      <w:r w:rsidR="00B60996" w:rsidRPr="00EA00E3">
        <w:rPr>
          <w:vertAlign w:val="superscript"/>
        </w:rPr>
        <w:t>2</w:t>
      </w:r>
      <w:r w:rsidR="00B60996">
        <w:t>/s</w:t>
      </w:r>
      <w:r w:rsidR="00B60996" w:rsidRPr="00EA00E3">
        <w:rPr>
          <w:vertAlign w:val="superscript"/>
        </w:rPr>
        <w:t>2</w:t>
      </w:r>
      <w:r w:rsidR="00B60996">
        <w:t xml:space="preserve">) </w:t>
      </w:r>
      <w:r w:rsidR="00EA00E3">
        <w:t xml:space="preserve">in </w:t>
      </w:r>
      <w:r w:rsidR="00B60996">
        <w:t>each</w:t>
      </w:r>
      <w:r w:rsidR="00EA00E3">
        <w:t xml:space="preserve"> plot window is annotated near the bottom of each plot. Light gray upside-down triangles depict the estimated tornado locations every minute, and darker gray circles in (c) and (d) indicate the </w:t>
      </w:r>
      <w:r w:rsidR="008361D5">
        <w:t>estimated location of the tornado</w:t>
      </w:r>
      <w:r w:rsidR="00EA00E3">
        <w:t xml:space="preserve"> occurring</w:t>
      </w:r>
      <w:r w:rsidR="008361D5">
        <w:t xml:space="preserve"> at 2100 UTC</w:t>
      </w:r>
      <w:r w:rsidR="00EA00E3">
        <w:t>.</w:t>
      </w:r>
      <w:bookmarkEnd w:id="69"/>
      <w:r w:rsidR="00EA00E3">
        <w:t xml:space="preserve"> </w:t>
      </w:r>
    </w:p>
    <w:p w:rsidR="008361D5" w:rsidRPr="008361D5" w:rsidRDefault="008361D5" w:rsidP="008361D5">
      <w:pPr>
        <w:rPr>
          <w:rFonts w:ascii="Times New Roman" w:hAnsi="Times New Roman" w:cs="Times New Roman"/>
          <w:sz w:val="24"/>
          <w:szCs w:val="24"/>
        </w:rPr>
      </w:pPr>
      <w:r>
        <w:rPr>
          <w:szCs w:val="24"/>
        </w:rPr>
        <w:br w:type="page"/>
      </w:r>
    </w:p>
    <w:p w:rsidR="00A82336" w:rsidRPr="00A82336" w:rsidRDefault="00A82336" w:rsidP="00A82336">
      <w:pPr>
        <w:pStyle w:val="Heading3"/>
      </w:pPr>
      <w:bookmarkStart w:id="70" w:name="_Toc448742083"/>
      <w:r w:rsidRPr="00A82336">
        <w:lastRenderedPageBreak/>
        <w:t>4.5.2 Storm 2</w:t>
      </w:r>
      <w:bookmarkEnd w:id="70"/>
    </w:p>
    <w:p w:rsidR="00A82336" w:rsidRPr="00A82336" w:rsidRDefault="00A82336" w:rsidP="00C3277E">
      <w:pPr>
        <w:pStyle w:val="NoSpacing"/>
        <w:ind w:firstLine="720"/>
      </w:pPr>
      <w:r w:rsidRPr="00A82336">
        <w:t xml:space="preserve">While ~70% fewer 0-1UH centers occur near S2 than S1, a plethora of 0-1UH centers still exist near S2’s tornado points for all schemes. Given that a 1-km model is trying to accurately forecast the locations of tornadic circulations, these forecasts are considered successful. The MY schemes’ ST 0-1UH centers are generally 5–10 km north of the tornado locations, and while LIN3’s 0-1UH centers are mostly </w:t>
      </w:r>
      <w:r w:rsidR="00986031">
        <w:t xml:space="preserve">just </w:t>
      </w:r>
      <w:r w:rsidRPr="00A82336">
        <w:t>too fast, WSM6’s 0-1UH centers are too fast and too far south (</w:t>
      </w:r>
      <w:r w:rsidRPr="00A82336">
        <w:fldChar w:fldCharType="begin"/>
      </w:r>
      <w:r w:rsidRPr="00A82336">
        <w:instrText xml:space="preserve"> REF _Ref440810539 \h  \* MERGEFORMAT </w:instrText>
      </w:r>
      <w:r w:rsidRPr="00A82336">
        <w:fldChar w:fldCharType="separate"/>
      </w:r>
      <w:r w:rsidR="00F7579D" w:rsidRPr="00A82336">
        <w:t xml:space="preserve">Figure </w:t>
      </w:r>
      <w:r w:rsidR="00F7579D">
        <w:t>20</w:t>
      </w:r>
      <w:r w:rsidRPr="00A82336">
        <w:fldChar w:fldCharType="end"/>
      </w:r>
      <w:r w:rsidRPr="00A82336">
        <w:t>a). For any-time centers, the majority of the 0-1UH centers occur near the tornado locations with a bias to the north, except for WMS6 (</w:t>
      </w:r>
      <w:r w:rsidRPr="00A82336">
        <w:fldChar w:fldCharType="begin"/>
      </w:r>
      <w:r w:rsidRPr="00A82336">
        <w:instrText xml:space="preserve"> REF _Ref440810539 \h  \* MERGEFORMAT </w:instrText>
      </w:r>
      <w:r w:rsidRPr="00A82336">
        <w:fldChar w:fldCharType="separate"/>
      </w:r>
      <w:r w:rsidR="00F7579D" w:rsidRPr="00A82336">
        <w:t xml:space="preserve">Figure </w:t>
      </w:r>
      <w:r w:rsidR="00F7579D">
        <w:t>20</w:t>
      </w:r>
      <w:r w:rsidRPr="00A82336">
        <w:fldChar w:fldCharType="end"/>
      </w:r>
      <w:r w:rsidRPr="00A82336">
        <w:t>b). The earlier initiated sets of simulations exhibit more variability in ST distance errors a</w:t>
      </w:r>
      <w:r w:rsidR="00986031">
        <w:t>mong the different microphysics</w:t>
      </w:r>
      <w:r w:rsidRPr="00A82336">
        <w:t xml:space="preserve"> schemes than the later simulation runs, and average ST distance errors for 0-1UH centers range from about 15–20 km for the MY schemes to ~29 km for LIN3 and WSM6 (</w:t>
      </w:r>
      <w:r w:rsidRPr="00A82336">
        <w:fldChar w:fldCharType="begin"/>
      </w:r>
      <w:r w:rsidRPr="00A82336">
        <w:instrText xml:space="preserve"> REF _Ref440810539 \h  \* MERGEFORMAT </w:instrText>
      </w:r>
      <w:r w:rsidRPr="00A82336">
        <w:fldChar w:fldCharType="separate"/>
      </w:r>
      <w:r w:rsidR="00F7579D" w:rsidRPr="00A82336">
        <w:t xml:space="preserve">Figure </w:t>
      </w:r>
      <w:r w:rsidR="00F7579D">
        <w:t>20</w:t>
      </w:r>
      <w:r w:rsidRPr="00A82336">
        <w:fldChar w:fldCharType="end"/>
      </w:r>
      <w:r w:rsidRPr="00A82336">
        <w:t>c). The 0-1UH AT distance errors are substantially smaller than the ST distance errors with average errors less than 15 km for all schemes, and the differences among the schemes are smaller, as well (</w:t>
      </w:r>
      <w:r w:rsidRPr="00A82336">
        <w:fldChar w:fldCharType="begin"/>
      </w:r>
      <w:r w:rsidRPr="00A82336">
        <w:instrText xml:space="preserve"> REF _Ref440810539 \h  \* MERGEFORMAT </w:instrText>
      </w:r>
      <w:r w:rsidRPr="00A82336">
        <w:fldChar w:fldCharType="separate"/>
      </w:r>
      <w:r w:rsidR="00F7579D" w:rsidRPr="00A82336">
        <w:t xml:space="preserve">Figure </w:t>
      </w:r>
      <w:r w:rsidR="00F7579D">
        <w:t>20</w:t>
      </w:r>
      <w:r w:rsidRPr="00A82336">
        <w:fldChar w:fldCharType="end"/>
      </w:r>
      <w:r w:rsidRPr="00A82336">
        <w:t>d). However, timi</w:t>
      </w:r>
      <w:r w:rsidR="00986031">
        <w:t>ng errors range from ~14 min</w:t>
      </w:r>
      <w:r w:rsidRPr="00A82336">
        <w:t xml:space="preserve"> with MYDM and MYTM, which tend to b</w:t>
      </w:r>
      <w:r w:rsidR="00986031">
        <w:t>e too slow, to nearly 30 min</w:t>
      </w:r>
      <w:r w:rsidRPr="00A82336">
        <w:t xml:space="preserve"> with LIN3, which is generally too fast (</w:t>
      </w:r>
      <w:r w:rsidRPr="00A82336">
        <w:fldChar w:fldCharType="begin"/>
      </w:r>
      <w:r w:rsidRPr="00A82336">
        <w:instrText xml:space="preserve"> REF _Ref440810539 \h  \* MERGEFORMAT </w:instrText>
      </w:r>
      <w:r w:rsidRPr="00A82336">
        <w:fldChar w:fldCharType="separate"/>
      </w:r>
      <w:r w:rsidR="00F7579D" w:rsidRPr="00A82336">
        <w:t xml:space="preserve">Figure </w:t>
      </w:r>
      <w:r w:rsidR="00F7579D">
        <w:t>20</w:t>
      </w:r>
      <w:r w:rsidRPr="00A82336">
        <w:fldChar w:fldCharType="end"/>
      </w:r>
      <w:r w:rsidRPr="00A82336">
        <w:t xml:space="preserve">e). </w:t>
      </w:r>
    </w:p>
    <w:p w:rsidR="00A82336" w:rsidRPr="00A82336" w:rsidRDefault="00A82336" w:rsidP="00C3277E">
      <w:pPr>
        <w:pStyle w:val="NoSpacing"/>
        <w:ind w:firstLine="720"/>
      </w:pPr>
      <w:r w:rsidRPr="00A82336">
        <w:t xml:space="preserve">Overall for S2, the MY schemes mostly outperform the LIN3 and WSM6 with </w:t>
      </w:r>
      <w:r w:rsidR="00986031">
        <w:t xml:space="preserve">mostly </w:t>
      </w:r>
      <w:r w:rsidRPr="00A82336">
        <w:t xml:space="preserve">smaller distance and timing errors. As mentioned before, there are fewer 0-1UH centers near S2 than near S1 even though S2 developed within the CASA radar network. However, S1 was, at least initially, a more isolated storm than S2, which in reality was influenced by storm interactions and mergers. This complication likely lead to larger </w:t>
      </w:r>
      <w:r w:rsidRPr="00A82336">
        <w:lastRenderedPageBreak/>
        <w:t>distance and timing errors, but the forecast system still managed to produce successful forecasts of low-level circulations.</w:t>
      </w:r>
    </w:p>
    <w:p w:rsidR="00A82336" w:rsidRPr="00A82336" w:rsidRDefault="00645036" w:rsidP="00A82336">
      <w:pPr>
        <w:keepNext/>
        <w:spacing w:after="0" w:line="480" w:lineRule="auto"/>
        <w:jc w:val="center"/>
      </w:pPr>
      <w:r>
        <w:rPr>
          <w:noProof/>
        </w:rPr>
        <w:drawing>
          <wp:inline distT="0" distB="0" distL="0" distR="0" wp14:anchorId="180E7BA1" wp14:editId="7EA99C70">
            <wp:extent cx="5303520" cy="53035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enters_01uh_control_S2.png"/>
                    <pic:cNvPicPr/>
                  </pic:nvPicPr>
                  <pic:blipFill>
                    <a:blip r:embed="rId34">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82336" w:rsidRPr="00A82336" w:rsidRDefault="00A82336" w:rsidP="00A82336">
      <w:pPr>
        <w:pStyle w:val="Captions"/>
        <w:rPr>
          <w:color w:val="5B9BD5" w:themeColor="accent1"/>
        </w:rPr>
      </w:pPr>
      <w:bookmarkStart w:id="71" w:name="_Ref440810539"/>
      <w:bookmarkStart w:id="72" w:name="_Toc450593100"/>
      <w:r w:rsidRPr="00A82336">
        <w:t xml:space="preserve">Figure </w:t>
      </w:r>
      <w:fldSimple w:instr=" SEQ Figure \* ARABIC ">
        <w:r w:rsidR="00F7579D">
          <w:rPr>
            <w:noProof/>
          </w:rPr>
          <w:t>20</w:t>
        </w:r>
      </w:fldSimple>
      <w:bookmarkEnd w:id="71"/>
      <w:r w:rsidRPr="00A82336">
        <w:rPr>
          <w:noProof/>
        </w:rPr>
        <w:t xml:space="preserve">. Same as for </w:t>
      </w:r>
      <w:r w:rsidRPr="00A82336">
        <w:rPr>
          <w:noProof/>
        </w:rPr>
        <w:fldChar w:fldCharType="begin"/>
      </w:r>
      <w:r w:rsidRPr="00A82336">
        <w:rPr>
          <w:noProof/>
        </w:rPr>
        <w:instrText xml:space="preserve"> REF _Ref440638120 \h </w:instrText>
      </w:r>
      <w:r>
        <w:rPr>
          <w:noProof/>
        </w:rPr>
        <w:instrText xml:space="preserve"> \* MERGEFORMAT </w:instrText>
      </w:r>
      <w:r w:rsidRPr="00A82336">
        <w:rPr>
          <w:noProof/>
        </w:rPr>
      </w:r>
      <w:r w:rsidRPr="00A82336">
        <w:rPr>
          <w:noProof/>
        </w:rPr>
        <w:fldChar w:fldCharType="separate"/>
      </w:r>
      <w:r w:rsidR="00F7579D" w:rsidRPr="00A82336">
        <w:t xml:space="preserve">Figure </w:t>
      </w:r>
      <w:r w:rsidR="00F7579D">
        <w:t>18</w:t>
      </w:r>
      <w:r w:rsidRPr="00A82336">
        <w:rPr>
          <w:noProof/>
        </w:rPr>
        <w:fldChar w:fldCharType="end"/>
      </w:r>
      <w:r w:rsidRPr="00A82336">
        <w:rPr>
          <w:noProof/>
        </w:rPr>
        <w:t>, but for Storm 2.</w:t>
      </w:r>
      <w:bookmarkEnd w:id="72"/>
    </w:p>
    <w:p w:rsidR="00865366" w:rsidRPr="00A82336" w:rsidRDefault="00790220" w:rsidP="00790220">
      <w:pPr>
        <w:rPr>
          <w:rFonts w:ascii="Times New Roman" w:hAnsi="Times New Roman" w:cs="Times New Roman"/>
          <w:sz w:val="24"/>
          <w:szCs w:val="24"/>
        </w:rPr>
      </w:pPr>
      <w:r>
        <w:rPr>
          <w:rFonts w:ascii="Times New Roman" w:hAnsi="Times New Roman" w:cs="Times New Roman"/>
          <w:sz w:val="24"/>
          <w:szCs w:val="24"/>
        </w:rPr>
        <w:br w:type="page"/>
      </w:r>
    </w:p>
    <w:p w:rsidR="00A82336" w:rsidRPr="00A82336" w:rsidRDefault="00A82336" w:rsidP="00A82336">
      <w:pPr>
        <w:pStyle w:val="Heading3"/>
      </w:pPr>
      <w:bookmarkStart w:id="73" w:name="_Toc448742084"/>
      <w:r w:rsidRPr="00A82336">
        <w:lastRenderedPageBreak/>
        <w:t>4.5.3 Storm 3</w:t>
      </w:r>
      <w:bookmarkEnd w:id="73"/>
    </w:p>
    <w:p w:rsidR="00A82336" w:rsidRPr="00A82336" w:rsidRDefault="00A82336" w:rsidP="00C3277E">
      <w:pPr>
        <w:pStyle w:val="NoSpacing"/>
        <w:ind w:firstLine="720"/>
      </w:pPr>
      <w:r w:rsidRPr="00A82336">
        <w:t xml:space="preserve">While the microphysically-diverse set of simulations had good success with forecasting 0-1UH centers for S1 and S2, most of the simulations struggle with forecasting 0-1UH centers near S3’s tornado locations, as depicted in </w:t>
      </w:r>
      <w:r w:rsidRPr="00A82336">
        <w:fldChar w:fldCharType="begin"/>
      </w:r>
      <w:r w:rsidRPr="00A82336">
        <w:instrText xml:space="preserve"> REF _Ref440446809 \h  \* MERGEFORMAT </w:instrText>
      </w:r>
      <w:r w:rsidRPr="00A82336">
        <w:fldChar w:fldCharType="separate"/>
      </w:r>
      <w:r w:rsidR="00F7579D" w:rsidRPr="00A82336">
        <w:t xml:space="preserve">Figure </w:t>
      </w:r>
      <w:r w:rsidR="00F7579D">
        <w:t>17</w:t>
      </w:r>
      <w:r w:rsidRPr="00A82336">
        <w:fldChar w:fldCharType="end"/>
      </w:r>
      <w:r w:rsidRPr="00A82336">
        <w:t>. Few same-time 0-1UH centers exist within 10 km of S3’s tornado points, and average 0-1UH centers indicate a southeast bias due to a simulated supercell existing ~30 km to the southeast of S3 (</w:t>
      </w:r>
      <w:r w:rsidRPr="00A82336">
        <w:fldChar w:fldCharType="begin"/>
      </w:r>
      <w:r w:rsidRPr="00A82336">
        <w:instrText xml:space="preserve"> REF _Ref440919913 \h  \* MERGEFORMAT </w:instrText>
      </w:r>
      <w:r w:rsidRPr="00A82336">
        <w:fldChar w:fldCharType="separate"/>
      </w:r>
      <w:r w:rsidR="00F7579D" w:rsidRPr="00A82336">
        <w:t xml:space="preserve">Figure </w:t>
      </w:r>
      <w:r w:rsidR="00F7579D">
        <w:t>21</w:t>
      </w:r>
      <w:r w:rsidRPr="00A82336">
        <w:fldChar w:fldCharType="end"/>
      </w:r>
      <w:r w:rsidRPr="00A82336">
        <w:t>a). This bias is even more evident when timing differences are ignored (</w:t>
      </w:r>
      <w:r w:rsidRPr="00A82336">
        <w:fldChar w:fldCharType="begin"/>
      </w:r>
      <w:r w:rsidRPr="00A82336">
        <w:instrText xml:space="preserve"> REF _Ref440919913 \h  \* MERGEFORMAT </w:instrText>
      </w:r>
      <w:r w:rsidRPr="00A82336">
        <w:fldChar w:fldCharType="separate"/>
      </w:r>
      <w:r w:rsidR="00F7579D" w:rsidRPr="00A82336">
        <w:t xml:space="preserve">Figure </w:t>
      </w:r>
      <w:r w:rsidR="00F7579D">
        <w:t>21</w:t>
      </w:r>
      <w:r w:rsidRPr="00A82336">
        <w:fldChar w:fldCharType="end"/>
      </w:r>
      <w:r w:rsidRPr="00A82336">
        <w:t>b). Not surprisingly, ST and AT distance errors for 0-1UH are generally greater than 20 km for all microphysics schemes (</w:t>
      </w:r>
      <w:r w:rsidRPr="00A82336">
        <w:fldChar w:fldCharType="begin"/>
      </w:r>
      <w:r w:rsidRPr="00A82336">
        <w:instrText xml:space="preserve"> REF _Ref440919913 \h  \* MERGEFORMAT </w:instrText>
      </w:r>
      <w:r w:rsidRPr="00A82336">
        <w:fldChar w:fldCharType="separate"/>
      </w:r>
      <w:r w:rsidR="00F7579D" w:rsidRPr="00A82336">
        <w:t xml:space="preserve">Figure </w:t>
      </w:r>
      <w:r w:rsidR="00F7579D">
        <w:t>21</w:t>
      </w:r>
      <w:r w:rsidRPr="00A82336">
        <w:fldChar w:fldCharType="end"/>
      </w:r>
      <w:r w:rsidRPr="00A82336">
        <w:t>c,d). All simulations produce 0-1UH centers that are mostly within 20 minutes of the tornado occurrence times, and WSM6 is the only scheme that is consistently too fast (</w:t>
      </w:r>
      <w:r w:rsidRPr="00A82336">
        <w:fldChar w:fldCharType="begin"/>
      </w:r>
      <w:r w:rsidRPr="00A82336">
        <w:instrText xml:space="preserve"> REF _Ref440919913 \h  \* MERGEFORMAT </w:instrText>
      </w:r>
      <w:r w:rsidRPr="00A82336">
        <w:fldChar w:fldCharType="separate"/>
      </w:r>
      <w:r w:rsidR="00F7579D" w:rsidRPr="00A82336">
        <w:t xml:space="preserve">Figure </w:t>
      </w:r>
      <w:r w:rsidR="00F7579D">
        <w:t>21</w:t>
      </w:r>
      <w:r w:rsidRPr="00A82336">
        <w:fldChar w:fldCharType="end"/>
      </w:r>
      <w:r w:rsidRPr="00A82336">
        <w:t xml:space="preserve">e). </w:t>
      </w:r>
    </w:p>
    <w:p w:rsidR="00A82336" w:rsidRPr="00A82336" w:rsidRDefault="00A82336" w:rsidP="00C3277E">
      <w:pPr>
        <w:pStyle w:val="NoSpacing"/>
        <w:ind w:firstLine="720"/>
      </w:pPr>
      <w:r w:rsidRPr="00A82336">
        <w:t>Since very few 0-1UH centers were forecasted near S3, the results above aren’t too meaningful except that the forecast system as a whole struggled with S3 even though it developed and propagated through the CASA radar network. Other model configurations</w:t>
      </w:r>
      <w:r w:rsidR="00986031">
        <w:t>,</w:t>
      </w:r>
      <w:r w:rsidRPr="00A82336">
        <w:t xml:space="preserve"> besides using more advanced microphysics schemes</w:t>
      </w:r>
      <w:r w:rsidR="00986031">
        <w:t>,</w:t>
      </w:r>
      <w:r w:rsidRPr="00A82336">
        <w:t xml:space="preserve"> need to be explored to improve the forecasts of S3, which was directly affected by storm interactions and mergers. </w:t>
      </w:r>
    </w:p>
    <w:p w:rsidR="00A82336" w:rsidRPr="00A82336" w:rsidRDefault="00A82336" w:rsidP="00A82336">
      <w:pPr>
        <w:spacing w:after="0" w:line="480" w:lineRule="auto"/>
        <w:jc w:val="center"/>
        <w:rPr>
          <w:rFonts w:ascii="Times New Roman" w:hAnsi="Times New Roman" w:cs="Times New Roman"/>
          <w:noProof/>
          <w:sz w:val="24"/>
          <w:szCs w:val="24"/>
        </w:rPr>
      </w:pPr>
    </w:p>
    <w:p w:rsidR="00A82336" w:rsidRPr="00A82336" w:rsidRDefault="00645036" w:rsidP="00A82336">
      <w:pPr>
        <w:keepNext/>
        <w:spacing w:after="0" w:line="480" w:lineRule="auto"/>
        <w:jc w:val="center"/>
      </w:pPr>
      <w:r>
        <w:rPr>
          <w:noProof/>
        </w:rPr>
        <w:lastRenderedPageBreak/>
        <w:drawing>
          <wp:inline distT="0" distB="0" distL="0" distR="0" wp14:anchorId="4BE3636E" wp14:editId="6D6A5EC8">
            <wp:extent cx="5303520" cy="53035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enters_01uh_control_S3.png"/>
                    <pic:cNvPicPr/>
                  </pic:nvPicPr>
                  <pic:blipFill>
                    <a:blip r:embed="rId35">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82336" w:rsidRPr="00A82336" w:rsidRDefault="00A82336" w:rsidP="00A82336">
      <w:pPr>
        <w:pStyle w:val="Captions"/>
        <w:rPr>
          <w:noProof/>
        </w:rPr>
      </w:pPr>
      <w:bookmarkStart w:id="74" w:name="_Ref440919913"/>
      <w:bookmarkStart w:id="75" w:name="_Toc450593101"/>
      <w:r w:rsidRPr="00A82336">
        <w:t xml:space="preserve">Figure </w:t>
      </w:r>
      <w:fldSimple w:instr=" SEQ Figure \* ARABIC ">
        <w:r w:rsidR="00F7579D">
          <w:rPr>
            <w:noProof/>
          </w:rPr>
          <w:t>21</w:t>
        </w:r>
      </w:fldSimple>
      <w:bookmarkEnd w:id="74"/>
      <w:r w:rsidRPr="00A82336">
        <w:rPr>
          <w:noProof/>
        </w:rPr>
        <w:t xml:space="preserve">. Same as for </w:t>
      </w:r>
      <w:r w:rsidRPr="00A82336">
        <w:rPr>
          <w:noProof/>
        </w:rPr>
        <w:fldChar w:fldCharType="begin"/>
      </w:r>
      <w:r w:rsidRPr="00A82336">
        <w:rPr>
          <w:noProof/>
        </w:rPr>
        <w:instrText xml:space="preserve"> REF _Ref440638120 \h </w:instrText>
      </w:r>
      <w:r>
        <w:rPr>
          <w:noProof/>
        </w:rPr>
        <w:instrText xml:space="preserve"> \* MERGEFORMAT </w:instrText>
      </w:r>
      <w:r w:rsidRPr="00A82336">
        <w:rPr>
          <w:noProof/>
        </w:rPr>
      </w:r>
      <w:r w:rsidRPr="00A82336">
        <w:rPr>
          <w:noProof/>
        </w:rPr>
        <w:fldChar w:fldCharType="separate"/>
      </w:r>
      <w:r w:rsidR="00F7579D" w:rsidRPr="00A82336">
        <w:t xml:space="preserve">Figure </w:t>
      </w:r>
      <w:r w:rsidR="00F7579D">
        <w:t>18</w:t>
      </w:r>
      <w:r w:rsidRPr="00A82336">
        <w:rPr>
          <w:noProof/>
        </w:rPr>
        <w:fldChar w:fldCharType="end"/>
      </w:r>
      <w:r w:rsidRPr="00A82336">
        <w:rPr>
          <w:noProof/>
        </w:rPr>
        <w:t>, but for Storm 3.</w:t>
      </w:r>
      <w:bookmarkEnd w:id="75"/>
    </w:p>
    <w:p w:rsidR="00417E74" w:rsidRPr="00790220" w:rsidRDefault="00790220" w:rsidP="00790220">
      <w:pPr>
        <w:rPr>
          <w:rFonts w:ascii="Times New Roman" w:hAnsi="Times New Roman"/>
          <w:sz w:val="24"/>
        </w:rPr>
      </w:pPr>
      <w:r>
        <w:br w:type="page"/>
      </w:r>
    </w:p>
    <w:p w:rsidR="00417E74" w:rsidRPr="00417E74" w:rsidRDefault="00417E74" w:rsidP="005E1E4A">
      <w:pPr>
        <w:pStyle w:val="Heading1"/>
      </w:pPr>
      <w:bookmarkStart w:id="76" w:name="_Toc448742085"/>
      <w:r w:rsidRPr="00417E74">
        <w:lastRenderedPageBreak/>
        <w:t>Chapter 5 – Impact of Assimilating CASA Radar Data</w:t>
      </w:r>
      <w:bookmarkEnd w:id="76"/>
    </w:p>
    <w:p w:rsidR="00417E74" w:rsidRPr="00417E74" w:rsidRDefault="00417E74" w:rsidP="005E1E4A">
      <w:pPr>
        <w:pStyle w:val="Heading2"/>
      </w:pPr>
      <w:bookmarkStart w:id="77" w:name="_Toc448742086"/>
      <w:r w:rsidRPr="00417E74">
        <w:t>5.1 Introduction and Background</w:t>
      </w:r>
      <w:bookmarkEnd w:id="77"/>
    </w:p>
    <w:p w:rsidR="00417E74" w:rsidRPr="00417E74" w:rsidRDefault="00417E74" w:rsidP="005E1E4A">
      <w:pPr>
        <w:pStyle w:val="NoSpacing"/>
        <w:ind w:firstLine="720"/>
      </w:pPr>
      <w:r w:rsidRPr="00417E74">
        <w:t xml:space="preserve">The most popular way to remotely observe phenomena related to the evolution of severe storms is with radars. A national network of WSR-88D S-band radars sufficiently covers most of the heavily populated areas across the United States with a range of ~230 km. However, if operational meteorologists want to “see” what is occurring below 1-km AGL within a storm, the coverage is drastically reduced from near 100% coverage at 3 km to &lt; 20% coverage at 500 m east of the Rocky Mountains (McLaughlin </w:t>
      </w:r>
      <w:r w:rsidR="00C565BF">
        <w:t xml:space="preserve">et al., </w:t>
      </w:r>
      <w:r w:rsidRPr="00417E74">
        <w:t xml:space="preserve">2009). X-band radars are a potential solution to filling these radar-observing gaps </w:t>
      </w:r>
      <w:r w:rsidR="00DA184C">
        <w:t>wherever they occur</w:t>
      </w:r>
      <w:r w:rsidRPr="00417E74">
        <w:t xml:space="preserve">. </w:t>
      </w:r>
      <w:r w:rsidR="008730F8">
        <w:t xml:space="preserve">For example, </w:t>
      </w:r>
      <w:r w:rsidRPr="00417E74">
        <w:t>CASA radars</w:t>
      </w:r>
      <w:r w:rsidR="008730F8">
        <w:t>, such as those used in CASA IP-1,</w:t>
      </w:r>
      <w:r w:rsidRPr="00417E74">
        <w:t xml:space="preserve"> have a range of ~40 km and provide higher-resolution reflectivity and radial velocity data with a range increment around 100 m</w:t>
      </w:r>
      <w:r w:rsidR="00DA184C">
        <w:t xml:space="preserve"> (note, beam width is wider than WSR-88D</w:t>
      </w:r>
      <w:r w:rsidR="00175104">
        <w:t xml:space="preserve"> radars’ beam width)</w:t>
      </w:r>
      <w:r w:rsidRPr="00417E74">
        <w:t xml:space="preserve">, so </w:t>
      </w:r>
      <w:r w:rsidR="00733403">
        <w:t xml:space="preserve">that atmospheric </w:t>
      </w:r>
      <w:r w:rsidRPr="00417E74">
        <w:t xml:space="preserve">processes leading to genesis, maintenance, and dissipation of tornadic circulations, which typically occur on scales </w:t>
      </w:r>
      <w:r w:rsidRPr="00417E74">
        <w:rPr>
          <w:i/>
        </w:rPr>
        <w:t>O</w:t>
      </w:r>
      <w:r w:rsidRPr="00417E74">
        <w:t>(10–100) meters and within the lowest couple of kilometers AGL, can be further observed and detected (e.g., Brotzge and Luttrell 2015).</w:t>
      </w:r>
    </w:p>
    <w:p w:rsidR="00417E74" w:rsidRPr="00417E74" w:rsidRDefault="00417E74" w:rsidP="005E1E4A">
      <w:pPr>
        <w:pStyle w:val="NoSpacing"/>
        <w:ind w:firstLine="720"/>
      </w:pPr>
      <w:r w:rsidRPr="00417E74">
        <w:t xml:space="preserve">A few studies have explored the impact of assimilating CASA radar data on the forecasts of a tornadic MCS, which occurred on 8–9 May 2007 and moved across the CASA radar network. Schenkman et al. (2011a) used 3DVAR and ADAS complex cloud analysis and found that assimilating CASA radar data led to small improvements, which yielded more accurate forecasts of the tornadic MCS. Schenkman et al. (2011b) expanded on this research, but instead of using 2-km horizontal grid spacing, they decreased the horizontal grid spacing to 400 m. This difference resulted in the CASA </w:t>
      </w:r>
      <w:r w:rsidRPr="00417E74">
        <w:lastRenderedPageBreak/>
        <w:t>radial velocity data having a larger positive impact on the forecasts of the low-level winds, gust fronts, and mesovortices in both strength and location. Snook et al. (2011) and Snook et al. (2012) used EnKF and also discovered that the forecasted low-level vorticity maximum associated with the mesovortex was stronger when the CASA radial velocity data was also assimilated due to improved wind fields in the lowest few kilometers AGL. This research will also examine the impact of assimilating CASA radar data, but this study is the first known study to explore this impact using an outbreak of tornadic supercells.</w:t>
      </w:r>
    </w:p>
    <w:p w:rsidR="00417E74" w:rsidRPr="00790220" w:rsidRDefault="00790220" w:rsidP="00790220">
      <w:pPr>
        <w:rPr>
          <w:rFonts w:ascii="Times New Roman" w:hAnsi="Times New Roman"/>
          <w:sz w:val="24"/>
        </w:rPr>
      </w:pPr>
      <w:r>
        <w:br w:type="page"/>
      </w:r>
    </w:p>
    <w:p w:rsidR="00417E74" w:rsidRPr="00417E74" w:rsidRDefault="00733403" w:rsidP="005E1E4A">
      <w:pPr>
        <w:pStyle w:val="Heading2"/>
      </w:pPr>
      <w:bookmarkStart w:id="78" w:name="_Toc448742087"/>
      <w:r>
        <w:lastRenderedPageBreak/>
        <w:t>5.2 Experiment</w:t>
      </w:r>
      <w:r w:rsidR="00417E74" w:rsidRPr="00417E74">
        <w:t xml:space="preserve"> Design</w:t>
      </w:r>
      <w:bookmarkEnd w:id="78"/>
    </w:p>
    <w:p w:rsidR="00417E74" w:rsidRPr="00417E74" w:rsidRDefault="00417E74" w:rsidP="005E1E4A">
      <w:pPr>
        <w:pStyle w:val="NoSpacing"/>
        <w:ind w:firstLine="720"/>
      </w:pPr>
      <w:r w:rsidRPr="00417E74">
        <w:t>This part of the study uses the same model configurations and forecast system framework as detailed in Chapter 4. To explore the impact of assimilating CASA reflectivity and radial velocity radar data on the forecasts of the 24 May 2011 tornado outbreak, three additional analyses and associated simulations are completed by withholding data from different radars during the data assimilation process. For one of the sets of sim</w:t>
      </w:r>
      <w:r w:rsidR="00733403">
        <w:t>ulations, all CASA radar data are</w:t>
      </w:r>
      <w:r w:rsidRPr="00417E74">
        <w:t xml:space="preserve"> withheld during the </w:t>
      </w:r>
      <w:r w:rsidR="00902ECE">
        <w:t xml:space="preserve">data </w:t>
      </w:r>
      <w:r w:rsidRPr="00417E74">
        <w:t xml:space="preserve">assimilation process (NoCASA). </w:t>
      </w:r>
      <w:r w:rsidR="008730F8">
        <w:t>In this case, the KTLX (Twin Lakes/Oklahoma City) WSR-88D radar provides fairly good low-level coverage in the domain of interest, so t</w:t>
      </w:r>
      <w:r w:rsidRPr="00417E74">
        <w:t xml:space="preserve">o investigate the ability of the CASA radars to act as gap-filling radars, KTLX radar </w:t>
      </w:r>
      <w:r w:rsidR="00DB0979">
        <w:t>data are</w:t>
      </w:r>
      <w:r w:rsidRPr="00417E74">
        <w:t xml:space="preserve"> withheld during the data assimilation process for another set of simulations</w:t>
      </w:r>
      <w:r w:rsidR="008730F8">
        <w:t>, while all other WSR-88D radars are retained</w:t>
      </w:r>
      <w:r w:rsidRPr="00417E74">
        <w:t xml:space="preserve"> (NoKTLX). For completeness, additional simulations are completed by withholding both CASA and KTLX radar data during the </w:t>
      </w:r>
      <w:r w:rsidR="00902ECE">
        <w:t xml:space="preserve">data </w:t>
      </w:r>
      <w:r w:rsidRPr="00417E74">
        <w:t xml:space="preserve">assimilation process (NoCASAKTLX). All simulations </w:t>
      </w:r>
      <w:r w:rsidR="00902ECE">
        <w:t>are</w:t>
      </w:r>
      <w:r w:rsidRPr="00417E74">
        <w:t xml:space="preserve"> completed using the five microphysi</w:t>
      </w:r>
      <w:r w:rsidR="000737E7">
        <w:t>cs parameterization schemes described in</w:t>
      </w:r>
      <w:r w:rsidRPr="00417E74">
        <w:t xml:space="preserve"> Chapter 4. </w:t>
      </w:r>
    </w:p>
    <w:p w:rsidR="00417E74" w:rsidRPr="00417E74" w:rsidRDefault="00790220" w:rsidP="00790220">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2"/>
      </w:pPr>
      <w:bookmarkStart w:id="79" w:name="_Toc448742088"/>
      <w:r w:rsidRPr="00417E74">
        <w:lastRenderedPageBreak/>
        <w:t>5.3 Observation Point-Based Results</w:t>
      </w:r>
      <w:bookmarkEnd w:id="79"/>
    </w:p>
    <w:p w:rsidR="00417E74" w:rsidRPr="00417E74" w:rsidRDefault="00417E74" w:rsidP="005E1E4A">
      <w:pPr>
        <w:pStyle w:val="NoSpacing"/>
        <w:ind w:firstLine="720"/>
      </w:pPr>
      <w:r w:rsidRPr="00417E74">
        <w:t>For RMSE, there are no substantial differences (i.e., a difference of 0.01 units is &lt; 1%) between the Control and NoCASA runs (</w:t>
      </w:r>
      <w:r w:rsidRPr="00417E74">
        <w:fldChar w:fldCharType="begin"/>
      </w:r>
      <w:r w:rsidRPr="00417E74">
        <w:instrText xml:space="preserve"> REF _Ref446420645 \h  \* MERGEFORMAT </w:instrText>
      </w:r>
      <w:r w:rsidRPr="00417E74">
        <w:fldChar w:fldCharType="separate"/>
      </w:r>
      <w:r w:rsidR="00F7579D" w:rsidRPr="00417E74">
        <w:t xml:space="preserve">Figure </w:t>
      </w:r>
      <w:r w:rsidR="00F7579D">
        <w:t>22</w:t>
      </w:r>
      <w:r w:rsidRPr="00417E74">
        <w:fldChar w:fldCharType="end"/>
      </w:r>
      <w:r w:rsidRPr="00417E74">
        <w:t>). For NoKTLX, the average RMSEs are smaller for LIN3 and WSM6 for all five near-surface variables (</w:t>
      </w:r>
      <w:r w:rsidRPr="00417E74">
        <w:fldChar w:fldCharType="begin"/>
      </w:r>
      <w:r w:rsidRPr="00417E74">
        <w:instrText xml:space="preserve"> REF _Ref446420694 \h  \* MERGEFORMAT </w:instrText>
      </w:r>
      <w:r w:rsidRPr="00417E74">
        <w:fldChar w:fldCharType="separate"/>
      </w:r>
      <w:r w:rsidR="00F7579D" w:rsidRPr="00417E74">
        <w:t xml:space="preserve">Figure </w:t>
      </w:r>
      <w:r w:rsidR="00F7579D">
        <w:t>23</w:t>
      </w:r>
      <w:r w:rsidRPr="00417E74">
        <w:fldChar w:fldCharType="end"/>
      </w:r>
      <w:r w:rsidRPr="00417E74">
        <w:t xml:space="preserve">). The MY schemes show mixed changes (e.g., larger RMSEs for </w:t>
      </w:r>
      <w:r w:rsidRPr="00417E74">
        <w:rPr>
          <w:i/>
        </w:rPr>
        <w:t>T</w:t>
      </w:r>
      <w:r w:rsidRPr="00417E74">
        <w:t xml:space="preserve"> and </w:t>
      </w:r>
      <w:r w:rsidRPr="00417E74">
        <w:rPr>
          <w:i/>
        </w:rPr>
        <w:t>T</w:t>
      </w:r>
      <w:r w:rsidRPr="00417E74">
        <w:rPr>
          <w:i/>
          <w:vertAlign w:val="subscript"/>
        </w:rPr>
        <w:t>d</w:t>
      </w:r>
      <w:r w:rsidRPr="00417E74">
        <w:t xml:space="preserve"> and smaller RMSEs for </w:t>
      </w:r>
      <w:r w:rsidRPr="00417E74">
        <w:rPr>
          <w:i/>
        </w:rPr>
        <w:t>p</w:t>
      </w:r>
      <w:r w:rsidRPr="00417E74">
        <w:t>), but the changes are generally smaller than for LIN3 and WSM6. This could be due to less convection being assimilated by withholding KTLX radar data, so the cold pools are smaller in areal size. The changes in the RMSEs for NoCASAKTLX are similar to the changes for NoKTLX (</w:t>
      </w:r>
      <w:r w:rsidRPr="00417E74">
        <w:fldChar w:fldCharType="begin"/>
      </w:r>
      <w:r w:rsidRPr="00417E74">
        <w:instrText xml:space="preserve"> REF _Ref446421160 \h  \* MERGEFORMAT </w:instrText>
      </w:r>
      <w:r w:rsidRPr="00417E74">
        <w:fldChar w:fldCharType="separate"/>
      </w:r>
      <w:r w:rsidR="00F7579D" w:rsidRPr="00417E74">
        <w:t xml:space="preserve">Figure </w:t>
      </w:r>
      <w:r w:rsidR="00F7579D">
        <w:t>24</w:t>
      </w:r>
      <w:r w:rsidRPr="00417E74">
        <w:fldChar w:fldCharType="end"/>
      </w:r>
      <w:r w:rsidRPr="00417E74">
        <w:t>). This result indicates the withholding of KTLX radar data has more of an impact on RMSEs for near-surface variables than the withholding of CASA radar data during the data assimilation process.</w:t>
      </w:r>
    </w:p>
    <w:p w:rsidR="00417E74" w:rsidRPr="00417E74" w:rsidRDefault="00417E74" w:rsidP="005E1E4A">
      <w:pPr>
        <w:pStyle w:val="NoSpacing"/>
        <w:ind w:firstLine="720"/>
      </w:pPr>
      <w:r w:rsidRPr="00417E74">
        <w:t xml:space="preserve">Once again, there are no substantial differences between the NoCASA and Control runs for the linear regression slopes and </w:t>
      </w:r>
      <w:r w:rsidRPr="00417E74">
        <w:rPr>
          <w:i/>
        </w:rPr>
        <w:t>R</w:t>
      </w:r>
      <w:r w:rsidRPr="00417E74">
        <w:rPr>
          <w:i/>
          <w:vertAlign w:val="superscript"/>
        </w:rPr>
        <w:t>2</w:t>
      </w:r>
      <w:r w:rsidRPr="00417E74">
        <w:t xml:space="preserve"> values for the near-surface variables (</w:t>
      </w:r>
      <w:r w:rsidRPr="00417E74">
        <w:fldChar w:fldCharType="begin"/>
      </w:r>
      <w:r w:rsidRPr="00417E74">
        <w:instrText xml:space="preserve"> REF _Ref446421856 \h  \* MERGEFORMAT </w:instrText>
      </w:r>
      <w:r w:rsidRPr="00417E74">
        <w:fldChar w:fldCharType="separate"/>
      </w:r>
      <w:r w:rsidR="00F7579D" w:rsidRPr="00417E74">
        <w:t xml:space="preserve">Figure </w:t>
      </w:r>
      <w:r w:rsidR="00F7579D">
        <w:t>25</w:t>
      </w:r>
      <w:r w:rsidRPr="00417E74">
        <w:fldChar w:fldCharType="end"/>
      </w:r>
      <w:r w:rsidRPr="00417E74">
        <w:t xml:space="preserve">). The differences between the NoKTLX and Control runs for the slopes and </w:t>
      </w:r>
      <w:r w:rsidRPr="00417E74">
        <w:rPr>
          <w:i/>
        </w:rPr>
        <w:t>R</w:t>
      </w:r>
      <w:r w:rsidRPr="00417E74">
        <w:rPr>
          <w:i/>
          <w:vertAlign w:val="superscript"/>
        </w:rPr>
        <w:t>2</w:t>
      </w:r>
      <w:r w:rsidRPr="00417E74">
        <w:t xml:space="preserve"> values are slightly larger than the differences between the NoCASA and Control runs (</w:t>
      </w:r>
      <w:r w:rsidRPr="00417E74">
        <w:fldChar w:fldCharType="begin"/>
      </w:r>
      <w:r w:rsidRPr="00417E74">
        <w:instrText xml:space="preserve"> REF _Ref446424290 \h  \* MERGEFORMAT </w:instrText>
      </w:r>
      <w:r w:rsidRPr="00417E74">
        <w:fldChar w:fldCharType="separate"/>
      </w:r>
      <w:r w:rsidR="00F7579D" w:rsidRPr="00417E74">
        <w:t xml:space="preserve">Figure </w:t>
      </w:r>
      <w:r w:rsidR="00F7579D">
        <w:t>26</w:t>
      </w:r>
      <w:r w:rsidRPr="00417E74">
        <w:fldChar w:fldCharType="end"/>
      </w:r>
      <w:r w:rsidRPr="00417E74">
        <w:t xml:space="preserve">). Most of differences between the NoKTLX and Control runs are not substantial, but LIN3 and WSM6 mostly show improved </w:t>
      </w:r>
      <w:r w:rsidRPr="00417E74">
        <w:rPr>
          <w:i/>
        </w:rPr>
        <w:t>R</w:t>
      </w:r>
      <w:r w:rsidRPr="00417E74">
        <w:rPr>
          <w:i/>
          <w:vertAlign w:val="superscript"/>
        </w:rPr>
        <w:t>2</w:t>
      </w:r>
      <w:r w:rsidRPr="00417E74">
        <w:t xml:space="preserve"> values, which could be due to the smaller cold pools. As for the RMSEs, the NoCASAKTLX runs depict slopes and </w:t>
      </w:r>
      <w:r w:rsidRPr="00417E74">
        <w:rPr>
          <w:i/>
        </w:rPr>
        <w:t>R</w:t>
      </w:r>
      <w:r w:rsidRPr="00417E74">
        <w:rPr>
          <w:i/>
          <w:vertAlign w:val="superscript"/>
        </w:rPr>
        <w:t>2</w:t>
      </w:r>
      <w:r w:rsidRPr="00417E74">
        <w:t xml:space="preserve"> values more similar to NoKTLX than NoCASA (</w:t>
      </w:r>
      <w:r w:rsidRPr="00417E74">
        <w:fldChar w:fldCharType="begin"/>
      </w:r>
      <w:r w:rsidRPr="00417E74">
        <w:instrText xml:space="preserve"> REF _Ref446424645 \h  \* MERGEFORMAT </w:instrText>
      </w:r>
      <w:r w:rsidRPr="00417E74">
        <w:fldChar w:fldCharType="separate"/>
      </w:r>
      <w:r w:rsidR="00F7579D" w:rsidRPr="00417E74">
        <w:t xml:space="preserve">Figure </w:t>
      </w:r>
      <w:r w:rsidR="00F7579D">
        <w:t>27</w:t>
      </w:r>
      <w:r w:rsidRPr="00417E74">
        <w:fldChar w:fldCharType="end"/>
      </w:r>
      <w:r w:rsidRPr="00417E74">
        <w:t xml:space="preserve">). </w:t>
      </w:r>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24C3071C" wp14:editId="68F478BD">
            <wp:extent cx="5303520" cy="5303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mse_mesonet_nocasa.png"/>
                    <pic:cNvPicPr/>
                  </pic:nvPicPr>
                  <pic:blipFill>
                    <a:blip r:embed="rId36">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80" w:name="_Ref446420645"/>
      <w:bookmarkStart w:id="81" w:name="_Toc450593102"/>
      <w:r w:rsidRPr="00417E74">
        <w:t xml:space="preserve">Figure </w:t>
      </w:r>
      <w:fldSimple w:instr=" SEQ Figure \* ARABIC ">
        <w:r w:rsidR="00F7579D">
          <w:rPr>
            <w:noProof/>
          </w:rPr>
          <w:t>22</w:t>
        </w:r>
      </w:fldSimple>
      <w:bookmarkEnd w:id="80"/>
      <w:r w:rsidRPr="00417E74">
        <w:t>.</w:t>
      </w:r>
      <w:r w:rsidR="00875B1A">
        <w:t xml:space="preserve"> Same as for </w:t>
      </w:r>
      <w:r w:rsidR="00875B1A">
        <w:fldChar w:fldCharType="begin"/>
      </w:r>
      <w:r w:rsidR="00875B1A">
        <w:instrText xml:space="preserve"> REF _Ref438406711 \h </w:instrText>
      </w:r>
      <w:r w:rsidR="00875B1A">
        <w:fldChar w:fldCharType="separate"/>
      </w:r>
      <w:r w:rsidR="00F7579D" w:rsidRPr="00A82336">
        <w:t xml:space="preserve">Figure </w:t>
      </w:r>
      <w:r w:rsidR="00F7579D">
        <w:rPr>
          <w:noProof/>
        </w:rPr>
        <w:t>11</w:t>
      </w:r>
      <w:r w:rsidR="00875B1A">
        <w:fldChar w:fldCharType="end"/>
      </w:r>
      <w:r w:rsidR="00875B1A">
        <w:t xml:space="preserve"> </w:t>
      </w:r>
      <w:r w:rsidRPr="00417E74">
        <w:t>in Chapter 4, but for NoCASA.</w:t>
      </w:r>
      <w:bookmarkEnd w:id="81"/>
    </w:p>
    <w:p w:rsidR="00417E74" w:rsidRPr="00417E74" w:rsidRDefault="00417E74" w:rsidP="00417E74">
      <w:pPr>
        <w:spacing w:after="0" w:line="480" w:lineRule="auto"/>
        <w:jc w:val="both"/>
        <w:rPr>
          <w:rFonts w:ascii="Times New Roman" w:hAnsi="Times New Roman" w:cs="Times New Roman"/>
          <w:sz w:val="24"/>
          <w:szCs w:val="24"/>
        </w:rPr>
      </w:pPr>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05C8D403" wp14:editId="047A3968">
            <wp:extent cx="5303520" cy="53035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mse_mesonet_noktlx.png"/>
                    <pic:cNvPicPr/>
                  </pic:nvPicPr>
                  <pic:blipFill>
                    <a:blip r:embed="rId37">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82" w:name="_Ref446420694"/>
      <w:bookmarkStart w:id="83" w:name="_Toc450593103"/>
      <w:r w:rsidRPr="00417E74">
        <w:t xml:space="preserve">Figure </w:t>
      </w:r>
      <w:fldSimple w:instr=" SEQ Figure \* ARABIC ">
        <w:r w:rsidR="00F7579D">
          <w:rPr>
            <w:noProof/>
          </w:rPr>
          <w:t>23</w:t>
        </w:r>
      </w:fldSimple>
      <w:bookmarkEnd w:id="82"/>
      <w:r w:rsidRPr="00417E74">
        <w:t>.</w:t>
      </w:r>
      <w:r w:rsidR="00875B1A">
        <w:t xml:space="preserve"> Same as for </w:t>
      </w:r>
      <w:r w:rsidR="00875B1A">
        <w:fldChar w:fldCharType="begin"/>
      </w:r>
      <w:r w:rsidR="00875B1A">
        <w:instrText xml:space="preserve"> REF _Ref438406711 \h </w:instrText>
      </w:r>
      <w:r w:rsidR="00875B1A">
        <w:fldChar w:fldCharType="separate"/>
      </w:r>
      <w:r w:rsidR="00F7579D" w:rsidRPr="00A82336">
        <w:t xml:space="preserve">Figure </w:t>
      </w:r>
      <w:r w:rsidR="00F7579D">
        <w:rPr>
          <w:noProof/>
        </w:rPr>
        <w:t>11</w:t>
      </w:r>
      <w:r w:rsidR="00875B1A">
        <w:fldChar w:fldCharType="end"/>
      </w:r>
      <w:r w:rsidRPr="00417E74">
        <w:t xml:space="preserve"> in Chapter 4, but for NoKTLX.</w:t>
      </w:r>
      <w:bookmarkEnd w:id="83"/>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5FF8F4BD" wp14:editId="6CD1EC12">
            <wp:extent cx="5303520" cy="53035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mse_mesonet_nocasaktlx.png"/>
                    <pic:cNvPicPr/>
                  </pic:nvPicPr>
                  <pic:blipFill>
                    <a:blip r:embed="rId38">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84" w:name="_Ref446421160"/>
      <w:bookmarkStart w:id="85" w:name="_Toc450593104"/>
      <w:r w:rsidRPr="00417E74">
        <w:t xml:space="preserve">Figure </w:t>
      </w:r>
      <w:fldSimple w:instr=" SEQ Figure \* ARABIC ">
        <w:r w:rsidR="00F7579D">
          <w:rPr>
            <w:noProof/>
          </w:rPr>
          <w:t>24</w:t>
        </w:r>
      </w:fldSimple>
      <w:bookmarkEnd w:id="84"/>
      <w:r w:rsidRPr="00417E74">
        <w:t>.</w:t>
      </w:r>
      <w:r w:rsidR="00875B1A">
        <w:t xml:space="preserve"> Same as for </w:t>
      </w:r>
      <w:r w:rsidR="00875B1A">
        <w:fldChar w:fldCharType="begin"/>
      </w:r>
      <w:r w:rsidR="00875B1A">
        <w:instrText xml:space="preserve"> REF _Ref438406711 \h </w:instrText>
      </w:r>
      <w:r w:rsidR="00875B1A">
        <w:fldChar w:fldCharType="separate"/>
      </w:r>
      <w:r w:rsidR="00F7579D" w:rsidRPr="00A82336">
        <w:t xml:space="preserve">Figure </w:t>
      </w:r>
      <w:r w:rsidR="00F7579D">
        <w:rPr>
          <w:noProof/>
        </w:rPr>
        <w:t>11</w:t>
      </w:r>
      <w:r w:rsidR="00875B1A">
        <w:fldChar w:fldCharType="end"/>
      </w:r>
      <w:r w:rsidRPr="00417E74">
        <w:t xml:space="preserve"> in Chapter 4, but for NoCASAKTLX.</w:t>
      </w:r>
      <w:bookmarkEnd w:id="85"/>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4C5A6094" wp14:editId="4237F94A">
            <wp:extent cx="5303520" cy="53035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reg_mesonet_nocasa.png"/>
                    <pic:cNvPicPr/>
                  </pic:nvPicPr>
                  <pic:blipFill>
                    <a:blip r:embed="rId39">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86" w:name="_Ref446421856"/>
      <w:bookmarkStart w:id="87" w:name="_Toc450593105"/>
      <w:r w:rsidRPr="00417E74">
        <w:t xml:space="preserve">Figure </w:t>
      </w:r>
      <w:fldSimple w:instr=" SEQ Figure \* ARABIC ">
        <w:r w:rsidR="00F7579D">
          <w:rPr>
            <w:noProof/>
          </w:rPr>
          <w:t>25</w:t>
        </w:r>
      </w:fldSimple>
      <w:bookmarkEnd w:id="86"/>
      <w:r w:rsidRPr="00417E74">
        <w:t>.</w:t>
      </w:r>
      <w:r w:rsidR="00875B1A">
        <w:t xml:space="preserve"> Same as for </w:t>
      </w:r>
      <w:r w:rsidR="00875B1A">
        <w:fldChar w:fldCharType="begin"/>
      </w:r>
      <w:r w:rsidR="00875B1A">
        <w:instrText xml:space="preserve"> REF _Ref439680899 \h </w:instrText>
      </w:r>
      <w:r w:rsidR="00875B1A">
        <w:fldChar w:fldCharType="separate"/>
      </w:r>
      <w:r w:rsidR="00F7579D" w:rsidRPr="00A82336">
        <w:t xml:space="preserve">Figure </w:t>
      </w:r>
      <w:r w:rsidR="00F7579D">
        <w:rPr>
          <w:noProof/>
        </w:rPr>
        <w:t>12</w:t>
      </w:r>
      <w:r w:rsidR="00875B1A">
        <w:fldChar w:fldCharType="end"/>
      </w:r>
      <w:r w:rsidR="00875B1A">
        <w:t xml:space="preserve"> </w:t>
      </w:r>
      <w:r w:rsidRPr="00417E74">
        <w:t>in Chapter 4, but for NoCASA.</w:t>
      </w:r>
      <w:bookmarkEnd w:id="87"/>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78635875" wp14:editId="164572C6">
            <wp:extent cx="5303520" cy="53035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nreg_mesonet_noktlx.png"/>
                    <pic:cNvPicPr/>
                  </pic:nvPicPr>
                  <pic:blipFill>
                    <a:blip r:embed="rId40">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88" w:name="_Ref446424290"/>
      <w:bookmarkStart w:id="89" w:name="_Toc450593106"/>
      <w:r w:rsidRPr="00417E74">
        <w:t xml:space="preserve">Figure </w:t>
      </w:r>
      <w:fldSimple w:instr=" SEQ Figure \* ARABIC ">
        <w:r w:rsidR="00F7579D">
          <w:rPr>
            <w:noProof/>
          </w:rPr>
          <w:t>26</w:t>
        </w:r>
      </w:fldSimple>
      <w:bookmarkEnd w:id="88"/>
      <w:r w:rsidRPr="00417E74">
        <w:t>.</w:t>
      </w:r>
      <w:r w:rsidR="00875B1A">
        <w:t xml:space="preserve"> Same as for </w:t>
      </w:r>
      <w:r w:rsidR="00875B1A">
        <w:fldChar w:fldCharType="begin"/>
      </w:r>
      <w:r w:rsidR="00875B1A">
        <w:instrText xml:space="preserve"> REF _Ref439680899 \h </w:instrText>
      </w:r>
      <w:r w:rsidR="00875B1A">
        <w:fldChar w:fldCharType="separate"/>
      </w:r>
      <w:r w:rsidR="00F7579D" w:rsidRPr="00A82336">
        <w:t xml:space="preserve">Figure </w:t>
      </w:r>
      <w:r w:rsidR="00F7579D">
        <w:rPr>
          <w:noProof/>
        </w:rPr>
        <w:t>12</w:t>
      </w:r>
      <w:r w:rsidR="00875B1A">
        <w:fldChar w:fldCharType="end"/>
      </w:r>
      <w:r w:rsidRPr="00417E74">
        <w:t xml:space="preserve"> in Chapter 4, but for NoKTLX.</w:t>
      </w:r>
      <w:bookmarkEnd w:id="89"/>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0150C98F" wp14:editId="13512C33">
            <wp:extent cx="5303520" cy="53035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reg_mesonet_nocasaktlx.png"/>
                    <pic:cNvPicPr/>
                  </pic:nvPicPr>
                  <pic:blipFill>
                    <a:blip r:embed="rId41">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90" w:name="_Ref446424645"/>
      <w:bookmarkStart w:id="91" w:name="_Toc450593107"/>
      <w:r w:rsidRPr="00417E74">
        <w:t xml:space="preserve">Figure </w:t>
      </w:r>
      <w:fldSimple w:instr=" SEQ Figure \* ARABIC ">
        <w:r w:rsidR="00F7579D">
          <w:rPr>
            <w:noProof/>
          </w:rPr>
          <w:t>27</w:t>
        </w:r>
      </w:fldSimple>
      <w:bookmarkEnd w:id="90"/>
      <w:r w:rsidRPr="00417E74">
        <w:t>.</w:t>
      </w:r>
      <w:r w:rsidR="00875B1A">
        <w:t xml:space="preserve"> Same as for </w:t>
      </w:r>
      <w:r w:rsidR="00875B1A">
        <w:fldChar w:fldCharType="begin"/>
      </w:r>
      <w:r w:rsidR="00875B1A">
        <w:instrText xml:space="preserve"> REF _Ref439680899 \h </w:instrText>
      </w:r>
      <w:r w:rsidR="00875B1A">
        <w:fldChar w:fldCharType="separate"/>
      </w:r>
      <w:r w:rsidR="00F7579D" w:rsidRPr="00A82336">
        <w:t xml:space="preserve">Figure </w:t>
      </w:r>
      <w:r w:rsidR="00F7579D">
        <w:rPr>
          <w:noProof/>
        </w:rPr>
        <w:t>12</w:t>
      </w:r>
      <w:r w:rsidR="00875B1A">
        <w:fldChar w:fldCharType="end"/>
      </w:r>
      <w:r w:rsidRPr="00417E74">
        <w:t xml:space="preserve"> in Chapter 4, but for NoCASAKTLX.</w:t>
      </w:r>
      <w:bookmarkEnd w:id="91"/>
    </w:p>
    <w:p w:rsidR="00417E74" w:rsidRPr="00417E74" w:rsidRDefault="00790220" w:rsidP="00790220">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2"/>
      </w:pPr>
      <w:bookmarkStart w:id="92" w:name="_Toc448742089"/>
      <w:r w:rsidRPr="00417E74">
        <w:lastRenderedPageBreak/>
        <w:t>5.4 Neighborhood-Based Results</w:t>
      </w:r>
      <w:bookmarkEnd w:id="92"/>
    </w:p>
    <w:p w:rsidR="00417E74" w:rsidRPr="005E1E4A" w:rsidRDefault="00417E74" w:rsidP="005E1E4A">
      <w:pPr>
        <w:pStyle w:val="NoSpacing"/>
        <w:ind w:firstLine="720"/>
      </w:pPr>
      <w:r w:rsidRPr="005E1E4A">
        <w:t>Withholding CASA radar data from the data assimilation process has negligible impact on the skill of the simulations’ composite reflectivity field (</w:t>
      </w:r>
      <w:r w:rsidRPr="005E1E4A">
        <w:fldChar w:fldCharType="begin"/>
      </w:r>
      <w:r w:rsidRPr="005E1E4A">
        <w:instrText xml:space="preserve"> REF _Ref446503272 \h  \* MERGEFORMAT </w:instrText>
      </w:r>
      <w:r w:rsidRPr="005E1E4A">
        <w:fldChar w:fldCharType="separate"/>
      </w:r>
      <w:r w:rsidR="00F7579D" w:rsidRPr="00417E74">
        <w:t xml:space="preserve">Figure </w:t>
      </w:r>
      <w:r w:rsidR="00F7579D">
        <w:t>28</w:t>
      </w:r>
      <w:r w:rsidRPr="005E1E4A">
        <w:fldChar w:fldCharType="end"/>
      </w:r>
      <w:r w:rsidRPr="005E1E4A">
        <w:t>). However for NoKTLX, all of the microphysics schemes experience at least a slight improvement in overall skill for the 30- and 40-dBZ thresholds, with MYSM exhibiting the largest improvements at all three thresholds (</w:t>
      </w:r>
      <w:r w:rsidRPr="005E1E4A">
        <w:fldChar w:fldCharType="begin"/>
      </w:r>
      <w:r w:rsidRPr="005E1E4A">
        <w:instrText xml:space="preserve"> REF _Ref446504114 \h  \* MERGEFORMAT </w:instrText>
      </w:r>
      <w:r w:rsidRPr="005E1E4A">
        <w:fldChar w:fldCharType="separate"/>
      </w:r>
      <w:r w:rsidR="00F7579D" w:rsidRPr="00417E74">
        <w:t xml:space="preserve">Figure </w:t>
      </w:r>
      <w:r w:rsidR="00F7579D">
        <w:t>29</w:t>
      </w:r>
      <w:r w:rsidRPr="005E1E4A">
        <w:fldChar w:fldCharType="end"/>
      </w:r>
      <w:r w:rsidRPr="005E1E4A">
        <w:t xml:space="preserve">). These improvements can be mostly explained by a decrease in overforecasting convection due to initially assimilating less convection </w:t>
      </w:r>
      <w:r w:rsidR="000737E7">
        <w:t>owing to</w:t>
      </w:r>
      <w:r w:rsidRPr="005E1E4A">
        <w:t xml:space="preserve"> the withholding of KTLX radar data from the data assimilation process. Also with NoKTLX, LIN3 and WSM6 flip from slightly overforecasting to slightly underforecasting 50+ dBZ simulated reflectivity. This fact has little effect on LIN3’s results at the 50-dBZ threshold, but WSM6 is noticeably worse at scales &gt; 17 km. The results for NoCASAKTLX are very similar to the results for NoKTLX (</w:t>
      </w:r>
      <w:r w:rsidRPr="005E1E4A">
        <w:fldChar w:fldCharType="begin"/>
      </w:r>
      <w:r w:rsidRPr="005E1E4A">
        <w:instrText xml:space="preserve"> REF _Ref446509593 \h  \* MERGEFORMAT </w:instrText>
      </w:r>
      <w:r w:rsidRPr="005E1E4A">
        <w:fldChar w:fldCharType="separate"/>
      </w:r>
      <w:r w:rsidR="00F7579D" w:rsidRPr="00417E74">
        <w:t xml:space="preserve">Figure </w:t>
      </w:r>
      <w:r w:rsidR="00F7579D">
        <w:t>30</w:t>
      </w:r>
      <w:r w:rsidRPr="005E1E4A">
        <w:fldChar w:fldCharType="end"/>
      </w:r>
      <w:r w:rsidRPr="005E1E4A">
        <w:t xml:space="preserve">). </w:t>
      </w:r>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2C194B50" wp14:editId="616B1689">
            <wp:extent cx="5303520" cy="53035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ss_crefl_nocasa.png"/>
                    <pic:cNvPicPr/>
                  </pic:nvPicPr>
                  <pic:blipFill>
                    <a:blip r:embed="rId42">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93" w:name="_Ref446503272"/>
      <w:bookmarkStart w:id="94" w:name="_Toc450593108"/>
      <w:r w:rsidRPr="00417E74">
        <w:t xml:space="preserve">Figure </w:t>
      </w:r>
      <w:fldSimple w:instr=" SEQ Figure \* ARABIC ">
        <w:r w:rsidR="00F7579D">
          <w:rPr>
            <w:noProof/>
          </w:rPr>
          <w:t>28</w:t>
        </w:r>
      </w:fldSimple>
      <w:bookmarkEnd w:id="93"/>
      <w:r w:rsidRPr="00417E74">
        <w:t>.</w:t>
      </w:r>
      <w:r w:rsidR="00875B1A">
        <w:t xml:space="preserve"> Same as for </w:t>
      </w:r>
      <w:r w:rsidR="00875B1A">
        <w:fldChar w:fldCharType="begin"/>
      </w:r>
      <w:r w:rsidR="00875B1A">
        <w:instrText xml:space="preserve"> REF _Ref440270405 \h </w:instrText>
      </w:r>
      <w:r w:rsidR="00875B1A">
        <w:fldChar w:fldCharType="separate"/>
      </w:r>
      <w:r w:rsidR="00F7579D">
        <w:t>Figure</w:t>
      </w:r>
      <w:r w:rsidR="00F7579D" w:rsidRPr="00A82336">
        <w:t xml:space="preserve"> </w:t>
      </w:r>
      <w:r w:rsidR="00F7579D">
        <w:rPr>
          <w:noProof/>
        </w:rPr>
        <w:t>15</w:t>
      </w:r>
      <w:r w:rsidR="00875B1A">
        <w:fldChar w:fldCharType="end"/>
      </w:r>
      <w:r w:rsidR="00875B1A">
        <w:t xml:space="preserve"> </w:t>
      </w:r>
      <w:r w:rsidRPr="00417E74">
        <w:t>in Chapter 4, but for NoCASA.</w:t>
      </w:r>
      <w:bookmarkEnd w:id="94"/>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644C7F7D" wp14:editId="65C3CE5A">
            <wp:extent cx="5303520" cy="5303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ss_crefl_noktlx.png"/>
                    <pic:cNvPicPr/>
                  </pic:nvPicPr>
                  <pic:blipFill>
                    <a:blip r:embed="rId43">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95" w:name="_Ref446504114"/>
      <w:bookmarkStart w:id="96" w:name="_Toc450593109"/>
      <w:r w:rsidRPr="00417E74">
        <w:t xml:space="preserve">Figure </w:t>
      </w:r>
      <w:fldSimple w:instr=" SEQ Figure \* ARABIC ">
        <w:r w:rsidR="00F7579D">
          <w:rPr>
            <w:noProof/>
          </w:rPr>
          <w:t>29</w:t>
        </w:r>
      </w:fldSimple>
      <w:bookmarkEnd w:id="95"/>
      <w:r w:rsidRPr="00417E74">
        <w:t>.</w:t>
      </w:r>
      <w:r w:rsidR="00875B1A">
        <w:t xml:space="preserve"> Same as for </w:t>
      </w:r>
      <w:r w:rsidR="00875B1A">
        <w:fldChar w:fldCharType="begin"/>
      </w:r>
      <w:r w:rsidR="00875B1A">
        <w:instrText xml:space="preserve"> REF _Ref440270405 \h </w:instrText>
      </w:r>
      <w:r w:rsidR="00875B1A">
        <w:fldChar w:fldCharType="separate"/>
      </w:r>
      <w:r w:rsidR="00F7579D">
        <w:t>Figure</w:t>
      </w:r>
      <w:r w:rsidR="00F7579D" w:rsidRPr="00A82336">
        <w:t xml:space="preserve"> </w:t>
      </w:r>
      <w:r w:rsidR="00F7579D">
        <w:rPr>
          <w:noProof/>
        </w:rPr>
        <w:t>15</w:t>
      </w:r>
      <w:r w:rsidR="00875B1A">
        <w:fldChar w:fldCharType="end"/>
      </w:r>
      <w:r w:rsidRPr="00417E74">
        <w:t xml:space="preserve"> in Chapter 4, but for NoKTLX.</w:t>
      </w:r>
      <w:bookmarkEnd w:id="96"/>
    </w:p>
    <w:p w:rsidR="00417E74" w:rsidRPr="00417E74" w:rsidRDefault="00417E74" w:rsidP="00417E74">
      <w:pPr>
        <w:keepNext/>
        <w:spacing w:after="0" w:line="480" w:lineRule="auto"/>
        <w:jc w:val="both"/>
      </w:pPr>
      <w:r w:rsidRPr="00417E74">
        <w:rPr>
          <w:rFonts w:ascii="Times New Roman" w:hAnsi="Times New Roman" w:cs="Times New Roman"/>
          <w:noProof/>
          <w:sz w:val="24"/>
          <w:szCs w:val="24"/>
        </w:rPr>
        <w:lastRenderedPageBreak/>
        <w:drawing>
          <wp:inline distT="0" distB="0" distL="0" distR="0" wp14:anchorId="23D03AC6" wp14:editId="066B7CE0">
            <wp:extent cx="5303520" cy="53035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ss_crefl_nocasaktlx.png"/>
                    <pic:cNvPicPr/>
                  </pic:nvPicPr>
                  <pic:blipFill>
                    <a:blip r:embed="rId44">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97" w:name="_Ref446509593"/>
      <w:bookmarkStart w:id="98" w:name="_Toc450593110"/>
      <w:r w:rsidRPr="00417E74">
        <w:t xml:space="preserve">Figure </w:t>
      </w:r>
      <w:fldSimple w:instr=" SEQ Figure \* ARABIC ">
        <w:r w:rsidR="00F7579D">
          <w:rPr>
            <w:noProof/>
          </w:rPr>
          <w:t>30</w:t>
        </w:r>
      </w:fldSimple>
      <w:bookmarkEnd w:id="97"/>
      <w:r w:rsidRPr="00417E74">
        <w:t>.</w:t>
      </w:r>
      <w:r w:rsidR="00875B1A">
        <w:t xml:space="preserve"> Same as for </w:t>
      </w:r>
      <w:r w:rsidR="00875B1A">
        <w:fldChar w:fldCharType="begin"/>
      </w:r>
      <w:r w:rsidR="00875B1A">
        <w:instrText xml:space="preserve"> REF _Ref440270405 \h </w:instrText>
      </w:r>
      <w:r w:rsidR="00875B1A">
        <w:fldChar w:fldCharType="separate"/>
      </w:r>
      <w:r w:rsidR="00F7579D">
        <w:t>Figure</w:t>
      </w:r>
      <w:r w:rsidR="00F7579D" w:rsidRPr="00A82336">
        <w:t xml:space="preserve"> </w:t>
      </w:r>
      <w:r w:rsidR="00F7579D">
        <w:rPr>
          <w:noProof/>
        </w:rPr>
        <w:t>15</w:t>
      </w:r>
      <w:r w:rsidR="00875B1A">
        <w:fldChar w:fldCharType="end"/>
      </w:r>
      <w:r w:rsidRPr="00417E74">
        <w:t xml:space="preserve"> in Chapter 4, but for NoCASAKTLX.</w:t>
      </w:r>
      <w:bookmarkEnd w:id="98"/>
    </w:p>
    <w:p w:rsidR="00417E74" w:rsidRPr="00417E74" w:rsidRDefault="00790220" w:rsidP="00790220">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2"/>
      </w:pPr>
      <w:bookmarkStart w:id="99" w:name="_Toc448742090"/>
      <w:r w:rsidRPr="00417E74">
        <w:lastRenderedPageBreak/>
        <w:t>5.5 Object-Based Results</w:t>
      </w:r>
      <w:bookmarkEnd w:id="99"/>
    </w:p>
    <w:p w:rsidR="00417E74" w:rsidRPr="00417E74" w:rsidRDefault="00417E74" w:rsidP="005E1E4A">
      <w:pPr>
        <w:pStyle w:val="NoSpacing"/>
        <w:ind w:firstLine="720"/>
      </w:pPr>
      <w:r w:rsidRPr="00417E74">
        <w:t>Compared to the Control runs, the NoCASA simulations produce similar (WSM6 and MYDM) or slightly fewer (~35–55 for LIN3, MYSM, and MYTM) 0-1UH centers, and there are no substantial differences in the average max 0-1UH values (</w:t>
      </w:r>
      <w:r w:rsidRPr="00417E74">
        <w:fldChar w:fldCharType="begin"/>
      </w:r>
      <w:r w:rsidRPr="00417E74">
        <w:instrText xml:space="preserve"> REF _Ref446525105 \h  \* MERGEFORMAT </w:instrText>
      </w:r>
      <w:r w:rsidRPr="00417E74">
        <w:fldChar w:fldCharType="separate"/>
      </w:r>
      <w:r w:rsidR="00F7579D" w:rsidRPr="00417E74">
        <w:t xml:space="preserve">Figure </w:t>
      </w:r>
      <w:r w:rsidR="00F7579D">
        <w:t>31</w:t>
      </w:r>
      <w:r w:rsidRPr="00417E74">
        <w:fldChar w:fldCharType="end"/>
      </w:r>
      <w:r w:rsidRPr="00417E74">
        <w:t xml:space="preserve">). When KTLX radar data </w:t>
      </w:r>
      <w:r w:rsidR="000737E7">
        <w:t>are</w:t>
      </w:r>
      <w:r w:rsidRPr="00417E74">
        <w:t xml:space="preserve"> withheld from the data assimilation process, all of the microphysics schemes produce ~100 fewer 0-1UH centers, and the average max 0-1UH values are slightly weaker, especially for the MY schemes, than for the Control runs (</w:t>
      </w:r>
      <w:r w:rsidRPr="00417E74">
        <w:fldChar w:fldCharType="begin"/>
      </w:r>
      <w:r w:rsidRPr="00417E74">
        <w:instrText xml:space="preserve"> REF _Ref446525431 \h  \* MERGEFORMAT </w:instrText>
      </w:r>
      <w:r w:rsidRPr="00417E74">
        <w:fldChar w:fldCharType="separate"/>
      </w:r>
      <w:r w:rsidR="00F7579D" w:rsidRPr="00417E74">
        <w:t xml:space="preserve">Figure </w:t>
      </w:r>
      <w:r w:rsidR="00F7579D">
        <w:t>32</w:t>
      </w:r>
      <w:r w:rsidRPr="00417E74">
        <w:fldChar w:fldCharType="end"/>
      </w:r>
      <w:r w:rsidRPr="00417E74">
        <w:t>). The</w:t>
      </w:r>
      <w:r w:rsidR="000737E7">
        <w:t xml:space="preserve"> simulations initialized early in the afternoon</w:t>
      </w:r>
      <w:r w:rsidRPr="00417E74">
        <w:t xml:space="preserve"> (1930 UTC – 2030 UTC) experience the largest decreases in the number of 0-1UH centers, and for the MY schemes, the 1900-UTC simulations produce weaker 0-1UH centers. Both of these findings could be due to insufficient assimilation of pre-mature storms (i.e., weakly rotating, shallower storms) from the withholding of KTLX radar data. Similar to the NoKTLX simulations, the NoCASAKTLX simulations generally result in fewer 0-1UH centers from 48 for WSM6 to 117 for MYTM (</w:t>
      </w:r>
      <w:r w:rsidRPr="00417E74">
        <w:fldChar w:fldCharType="begin"/>
      </w:r>
      <w:r w:rsidRPr="00417E74">
        <w:instrText xml:space="preserve"> REF _Ref446526988 \h  \* MERGEFORMAT </w:instrText>
      </w:r>
      <w:r w:rsidRPr="00417E74">
        <w:fldChar w:fldCharType="separate"/>
      </w:r>
      <w:r w:rsidR="00F7579D" w:rsidRPr="00417E74">
        <w:t xml:space="preserve">Figure </w:t>
      </w:r>
      <w:r w:rsidR="00F7579D">
        <w:t>33</w:t>
      </w:r>
      <w:r w:rsidRPr="00417E74">
        <w:fldChar w:fldCharType="end"/>
      </w:r>
      <w:r w:rsidRPr="00417E74">
        <w:t>). MYDM and MYTM experience the largest decrease in average max 0-1UH values, but the MY sc</w:t>
      </w:r>
      <w:r w:rsidR="000737E7">
        <w:t>hemes’ 0-1UH centers are still more than</w:t>
      </w:r>
      <w:r w:rsidRPr="00417E74">
        <w:t xml:space="preserve"> 20 m</w:t>
      </w:r>
      <w:r w:rsidRPr="00417E74">
        <w:rPr>
          <w:vertAlign w:val="superscript"/>
        </w:rPr>
        <w:t>2</w:t>
      </w:r>
      <w:r w:rsidRPr="00417E74">
        <w:t>/s</w:t>
      </w:r>
      <w:r w:rsidRPr="00417E74">
        <w:rPr>
          <w:vertAlign w:val="superscript"/>
        </w:rPr>
        <w:t>2</w:t>
      </w:r>
      <w:r w:rsidRPr="00417E74">
        <w:t xml:space="preserve"> stronger than LIN3 and WSM6’s 0-1UH centers.</w:t>
      </w:r>
    </w:p>
    <w:p w:rsidR="00417E74" w:rsidRPr="00417E74" w:rsidRDefault="00645036" w:rsidP="00417E74">
      <w:pPr>
        <w:keepNext/>
        <w:spacing w:after="0" w:line="480" w:lineRule="auto"/>
        <w:jc w:val="both"/>
      </w:pPr>
      <w:r>
        <w:rPr>
          <w:noProof/>
        </w:rPr>
        <w:lastRenderedPageBreak/>
        <w:drawing>
          <wp:inline distT="0" distB="0" distL="0" distR="0" wp14:anchorId="64A240AA" wp14:editId="3F97A8CD">
            <wp:extent cx="5303520" cy="53035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h_pts_01uh_nocasa.png"/>
                    <pic:cNvPicPr/>
                  </pic:nvPicPr>
                  <pic:blipFill>
                    <a:blip r:embed="rId45">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00" w:name="_Ref446525105"/>
      <w:bookmarkStart w:id="101" w:name="_Toc450593111"/>
      <w:r w:rsidRPr="00417E74">
        <w:t xml:space="preserve">Figure </w:t>
      </w:r>
      <w:fldSimple w:instr=" SEQ Figure \* ARABIC ">
        <w:r w:rsidR="00F7579D">
          <w:rPr>
            <w:noProof/>
          </w:rPr>
          <w:t>31</w:t>
        </w:r>
      </w:fldSimple>
      <w:bookmarkEnd w:id="100"/>
      <w:r w:rsidRPr="00417E74">
        <w:t>.</w:t>
      </w:r>
      <w:r w:rsidR="00875B1A">
        <w:t xml:space="preserve"> Same as for </w:t>
      </w:r>
      <w:r w:rsidR="00875B1A">
        <w:fldChar w:fldCharType="begin"/>
      </w:r>
      <w:r w:rsidR="00875B1A">
        <w:instrText xml:space="preserve"> REF _Ref440446809 \h </w:instrText>
      </w:r>
      <w:r w:rsidR="00875B1A">
        <w:fldChar w:fldCharType="separate"/>
      </w:r>
      <w:r w:rsidR="00F7579D" w:rsidRPr="00A82336">
        <w:t xml:space="preserve">Figure </w:t>
      </w:r>
      <w:r w:rsidR="00F7579D">
        <w:rPr>
          <w:noProof/>
        </w:rPr>
        <w:t>17</w:t>
      </w:r>
      <w:r w:rsidR="00875B1A">
        <w:fldChar w:fldCharType="end"/>
      </w:r>
      <w:r w:rsidRPr="00417E74">
        <w:t xml:space="preserve"> in Chapter 4, but for NoCASA.</w:t>
      </w:r>
      <w:r w:rsidR="006F7DE8">
        <w:t xml:space="preserve"> Light gray shading in (b) and (c) represents the max/min bounds of the Control runs for comparison purposes.</w:t>
      </w:r>
      <w:bookmarkEnd w:id="101"/>
    </w:p>
    <w:p w:rsidR="00417E74" w:rsidRPr="00417E74" w:rsidRDefault="00417E74" w:rsidP="00417E74">
      <w:pPr>
        <w:spacing w:after="0" w:line="480" w:lineRule="auto"/>
        <w:jc w:val="both"/>
        <w:rPr>
          <w:rFonts w:ascii="Times New Roman" w:hAnsi="Times New Roman" w:cs="Times New Roman"/>
          <w:sz w:val="24"/>
          <w:szCs w:val="24"/>
        </w:rPr>
      </w:pPr>
    </w:p>
    <w:p w:rsidR="00417E74" w:rsidRPr="00417E74" w:rsidRDefault="00645036" w:rsidP="00417E74">
      <w:pPr>
        <w:keepNext/>
        <w:spacing w:after="0" w:line="480" w:lineRule="auto"/>
        <w:jc w:val="both"/>
      </w:pPr>
      <w:r>
        <w:rPr>
          <w:noProof/>
        </w:rPr>
        <w:lastRenderedPageBreak/>
        <w:drawing>
          <wp:inline distT="0" distB="0" distL="0" distR="0" wp14:anchorId="3833A1A8" wp14:editId="2FCD7410">
            <wp:extent cx="5303520" cy="5303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uh_pts_01uh_noktlx.png"/>
                    <pic:cNvPicPr/>
                  </pic:nvPicPr>
                  <pic:blipFill>
                    <a:blip r:embed="rId46">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02" w:name="_Ref446525431"/>
      <w:bookmarkStart w:id="103" w:name="_Toc450593112"/>
      <w:r w:rsidRPr="00417E74">
        <w:t xml:space="preserve">Figure </w:t>
      </w:r>
      <w:fldSimple w:instr=" SEQ Figure \* ARABIC ">
        <w:r w:rsidR="00F7579D">
          <w:rPr>
            <w:noProof/>
          </w:rPr>
          <w:t>32</w:t>
        </w:r>
      </w:fldSimple>
      <w:bookmarkEnd w:id="102"/>
      <w:r w:rsidRPr="00417E74">
        <w:t>.</w:t>
      </w:r>
      <w:r w:rsidR="00875B1A">
        <w:t xml:space="preserve"> Same as for </w:t>
      </w:r>
      <w:r w:rsidR="00875B1A">
        <w:fldChar w:fldCharType="begin"/>
      </w:r>
      <w:r w:rsidR="00875B1A">
        <w:instrText xml:space="preserve"> REF _Ref440446809 \h </w:instrText>
      </w:r>
      <w:r w:rsidR="00875B1A">
        <w:fldChar w:fldCharType="separate"/>
      </w:r>
      <w:r w:rsidR="00F7579D" w:rsidRPr="00A82336">
        <w:t xml:space="preserve">Figure </w:t>
      </w:r>
      <w:r w:rsidR="00F7579D">
        <w:rPr>
          <w:noProof/>
        </w:rPr>
        <w:t>17</w:t>
      </w:r>
      <w:r w:rsidR="00875B1A">
        <w:fldChar w:fldCharType="end"/>
      </w:r>
      <w:r w:rsidRPr="00417E74">
        <w:t xml:space="preserve"> in Chapter 4, but for NoKTLX.</w:t>
      </w:r>
      <w:r w:rsidR="006F7DE8">
        <w:t xml:space="preserve"> Light gray shading in (b) and (c) represents the max/min bounds of the Control runs for comparison purposes.</w:t>
      </w:r>
      <w:bookmarkEnd w:id="103"/>
    </w:p>
    <w:p w:rsidR="00417E74" w:rsidRPr="00417E74" w:rsidRDefault="00645036" w:rsidP="00417E74">
      <w:pPr>
        <w:keepNext/>
        <w:spacing w:after="0" w:line="480" w:lineRule="auto"/>
        <w:jc w:val="both"/>
      </w:pPr>
      <w:r>
        <w:rPr>
          <w:noProof/>
        </w:rPr>
        <w:lastRenderedPageBreak/>
        <w:drawing>
          <wp:inline distT="0" distB="0" distL="0" distR="0" wp14:anchorId="77EA4EF8" wp14:editId="72E47308">
            <wp:extent cx="5303520" cy="53035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uh_pts_01uh_nocasaktlx.png"/>
                    <pic:cNvPicPr/>
                  </pic:nvPicPr>
                  <pic:blipFill>
                    <a:blip r:embed="rId47">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04" w:name="_Ref446526988"/>
      <w:bookmarkStart w:id="105" w:name="_Toc450593113"/>
      <w:r w:rsidRPr="00417E74">
        <w:t xml:space="preserve">Figure </w:t>
      </w:r>
      <w:fldSimple w:instr=" SEQ Figure \* ARABIC ">
        <w:r w:rsidR="00F7579D">
          <w:rPr>
            <w:noProof/>
          </w:rPr>
          <w:t>33</w:t>
        </w:r>
      </w:fldSimple>
      <w:bookmarkEnd w:id="104"/>
      <w:r w:rsidRPr="00417E74">
        <w:t>.</w:t>
      </w:r>
      <w:r w:rsidR="00875B1A">
        <w:t xml:space="preserve"> Same as for </w:t>
      </w:r>
      <w:r w:rsidR="00875B1A">
        <w:fldChar w:fldCharType="begin"/>
      </w:r>
      <w:r w:rsidR="00875B1A">
        <w:instrText xml:space="preserve"> REF _Ref440446809 \h </w:instrText>
      </w:r>
      <w:r w:rsidR="00875B1A">
        <w:fldChar w:fldCharType="separate"/>
      </w:r>
      <w:r w:rsidR="00F7579D" w:rsidRPr="00A82336">
        <w:t xml:space="preserve">Figure </w:t>
      </w:r>
      <w:r w:rsidR="00F7579D">
        <w:rPr>
          <w:noProof/>
        </w:rPr>
        <w:t>17</w:t>
      </w:r>
      <w:r w:rsidR="00875B1A">
        <w:fldChar w:fldCharType="end"/>
      </w:r>
      <w:r w:rsidRPr="00417E74">
        <w:t xml:space="preserve"> in Chapter 4, but for NoCASAKTLX.</w:t>
      </w:r>
      <w:r w:rsidR="00787028">
        <w:t xml:space="preserve"> Light gray shading in (b) and (c) represents the max/min bounds of the Control runs for comparison purposes.</w:t>
      </w:r>
      <w:bookmarkEnd w:id="105"/>
    </w:p>
    <w:p w:rsidR="00417E74" w:rsidRPr="00417E74" w:rsidRDefault="00787028" w:rsidP="00787028">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3"/>
      </w:pPr>
      <w:bookmarkStart w:id="106" w:name="_Toc448742091"/>
      <w:r w:rsidRPr="00417E74">
        <w:lastRenderedPageBreak/>
        <w:t>5.5.1 Storm 1</w:t>
      </w:r>
      <w:bookmarkEnd w:id="106"/>
    </w:p>
    <w:p w:rsidR="00417E74" w:rsidRPr="00417E74" w:rsidRDefault="00417E74" w:rsidP="005E1E4A">
      <w:pPr>
        <w:pStyle w:val="NoSpacing"/>
        <w:ind w:firstLine="720"/>
      </w:pPr>
      <w:r w:rsidRPr="00417E74">
        <w:t>Compared to the Control runs, the NoCASA simulations produce similar spatial distributions of ST and AT 0-1UH centers for S1 (</w:t>
      </w:r>
      <w:r w:rsidRPr="00417E74">
        <w:fldChar w:fldCharType="begin"/>
      </w:r>
      <w:r w:rsidRPr="00417E74">
        <w:instrText xml:space="preserve"> REF _Ref446528058 \h  \* MERGEFORMAT </w:instrText>
      </w:r>
      <w:r w:rsidRPr="00417E74">
        <w:fldChar w:fldCharType="separate"/>
      </w:r>
      <w:r w:rsidR="00F7579D" w:rsidRPr="00417E74">
        <w:t xml:space="preserve">Figure </w:t>
      </w:r>
      <w:r w:rsidR="00F7579D">
        <w:t>34</w:t>
      </w:r>
      <w:r w:rsidRPr="00417E74">
        <w:fldChar w:fldCharType="end"/>
      </w:r>
      <w:r w:rsidRPr="00417E74">
        <w:t>a,b). Hence, the differences in ST and AT distance and timing errors between the Control and NoCASA runs are relatively minor (</w:t>
      </w:r>
      <w:r w:rsidRPr="00417E74">
        <w:fldChar w:fldCharType="begin"/>
      </w:r>
      <w:r w:rsidRPr="00417E74">
        <w:instrText xml:space="preserve"> REF _Ref446528058 \h  \* MERGEFORMAT </w:instrText>
      </w:r>
      <w:r w:rsidRPr="00417E74">
        <w:fldChar w:fldCharType="separate"/>
      </w:r>
      <w:r w:rsidR="00F7579D" w:rsidRPr="00417E74">
        <w:t xml:space="preserve">Figure </w:t>
      </w:r>
      <w:r w:rsidR="00F7579D">
        <w:t>34</w:t>
      </w:r>
      <w:r w:rsidRPr="00417E74">
        <w:fldChar w:fldCharType="end"/>
      </w:r>
      <w:r w:rsidRPr="00417E74">
        <w:t>c,d,e). This result is not surprising since S1 developed and stayed well outside of the CASA radar network. Conversely, the NoKTLX simulations yield fewer ST and AT 0-1UH centers near S1, and for all microphysics schemes, the average ST centers are at least slightly further away from S1’s tornado points (</w:t>
      </w:r>
      <w:r w:rsidRPr="00417E74">
        <w:fldChar w:fldCharType="begin"/>
      </w:r>
      <w:r w:rsidRPr="00417E74">
        <w:instrText xml:space="preserve"> REF _Ref446528629 \h  \* MERGEFORMAT </w:instrText>
      </w:r>
      <w:r w:rsidRPr="00417E74">
        <w:fldChar w:fldCharType="separate"/>
      </w:r>
      <w:r w:rsidR="00F7579D" w:rsidRPr="00417E74">
        <w:t xml:space="preserve">Figure </w:t>
      </w:r>
      <w:r w:rsidR="00F7579D">
        <w:t>35</w:t>
      </w:r>
      <w:r w:rsidRPr="00417E74">
        <w:fldChar w:fldCharType="end"/>
      </w:r>
      <w:r w:rsidRPr="00417E74">
        <w:t>a,b). Generally, all of the schemes’ NoKTLX simulations, especially MYDM and MYTM, result in larger ST and AT distance and timing errors, which are more apparent for the 1900-UTC and 2230-UTC runs (</w:t>
      </w:r>
      <w:r w:rsidRPr="00417E74">
        <w:fldChar w:fldCharType="begin"/>
      </w:r>
      <w:r w:rsidRPr="00417E74">
        <w:instrText xml:space="preserve"> REF _Ref446528629 \h  \* MERGEFORMAT </w:instrText>
      </w:r>
      <w:r w:rsidRPr="00417E74">
        <w:fldChar w:fldCharType="separate"/>
      </w:r>
      <w:r w:rsidR="00F7579D" w:rsidRPr="00417E74">
        <w:t xml:space="preserve">Figure </w:t>
      </w:r>
      <w:r w:rsidR="00F7579D">
        <w:t>35</w:t>
      </w:r>
      <w:r w:rsidRPr="00417E74">
        <w:fldChar w:fldCharType="end"/>
      </w:r>
      <w:r w:rsidRPr="00417E74">
        <w:t>c,d,e). In fact, the NoKTLX 1900-UTC simulation using MYDM produces no 0-1UH centers near S1. This result is in stark contrast to the success of the Control runs using the MY schemes in predicting S1. Similar to the NoKTLX runs, the MY schemes’ NoCASAKTLX runs experience relatively large increases in ST and AT distance and timing errors compared to the Control runs (</w:t>
      </w:r>
      <w:r w:rsidRPr="00417E74">
        <w:fldChar w:fldCharType="begin"/>
      </w:r>
      <w:r w:rsidRPr="00417E74">
        <w:instrText xml:space="preserve"> REF _Ref446531196 \h  \* MERGEFORMAT </w:instrText>
      </w:r>
      <w:r w:rsidRPr="00417E74">
        <w:fldChar w:fldCharType="separate"/>
      </w:r>
      <w:r w:rsidR="00F7579D" w:rsidRPr="00417E74">
        <w:t xml:space="preserve">Figure </w:t>
      </w:r>
      <w:r w:rsidR="00F7579D">
        <w:t>36</w:t>
      </w:r>
      <w:r w:rsidRPr="00417E74">
        <w:fldChar w:fldCharType="end"/>
      </w:r>
      <w:r w:rsidRPr="00417E74">
        <w:t>c,d,e). Conversely, WSM6’s NoCASAKTLX simulations result in slightly more 0-1UH centers near S1 and slightly smaller ST and AT distance and timing errors (</w:t>
      </w:r>
      <w:r w:rsidRPr="00417E74">
        <w:fldChar w:fldCharType="begin"/>
      </w:r>
      <w:r w:rsidRPr="00417E74">
        <w:instrText xml:space="preserve"> REF _Ref446531196 \h  \* MERGEFORMAT </w:instrText>
      </w:r>
      <w:r w:rsidRPr="00417E74">
        <w:fldChar w:fldCharType="separate"/>
      </w:r>
      <w:r w:rsidR="00F7579D" w:rsidRPr="00417E74">
        <w:t xml:space="preserve">Figure </w:t>
      </w:r>
      <w:r w:rsidR="00F7579D">
        <w:t>36</w:t>
      </w:r>
      <w:r w:rsidRPr="00417E74">
        <w:fldChar w:fldCharType="end"/>
      </w:r>
      <w:r w:rsidRPr="00417E74">
        <w:t>). However, even with larger errors, the MY schemes still generally performed better than LIN3 and WSM6.</w:t>
      </w:r>
    </w:p>
    <w:p w:rsidR="00417E74" w:rsidRPr="00417E74" w:rsidRDefault="00417E74" w:rsidP="005E1E4A">
      <w:pPr>
        <w:pStyle w:val="NoSpacing"/>
        <w:ind w:firstLine="720"/>
      </w:pPr>
      <w:r w:rsidRPr="00417E74">
        <w:t>Overall for S1, the NoCASA runs performed similar to the Control runs. The lack of impact of assimilating CASA radar data on storms outside the CASA radar network is apparent</w:t>
      </w:r>
      <w:r w:rsidR="00902ECE">
        <w:t xml:space="preserve"> and not surprising</w:t>
      </w:r>
      <w:r w:rsidRPr="00417E74">
        <w:t xml:space="preserve">. Even though the NoKTLX and NoCASAKTLX </w:t>
      </w:r>
      <w:r w:rsidRPr="00417E74">
        <w:lastRenderedPageBreak/>
        <w:t xml:space="preserve">runs generally performed worse than the Control runs, their forecasts still had good success at forecasting S1. </w:t>
      </w:r>
    </w:p>
    <w:p w:rsidR="00417E74" w:rsidRPr="00417E74" w:rsidRDefault="00645036" w:rsidP="00417E74">
      <w:pPr>
        <w:keepNext/>
        <w:spacing w:after="0" w:line="480" w:lineRule="auto"/>
        <w:jc w:val="both"/>
      </w:pPr>
      <w:r>
        <w:rPr>
          <w:noProof/>
        </w:rPr>
        <w:drawing>
          <wp:inline distT="0" distB="0" distL="0" distR="0" wp14:anchorId="411DEC52" wp14:editId="33FFEDB7">
            <wp:extent cx="5303520" cy="53035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enters_01uh_nocasa_S1.png"/>
                    <pic:cNvPicPr/>
                  </pic:nvPicPr>
                  <pic:blipFill>
                    <a:blip r:embed="rId48">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07" w:name="_Ref446528058"/>
      <w:bookmarkStart w:id="108" w:name="_Toc450593114"/>
      <w:r w:rsidRPr="00417E74">
        <w:t xml:space="preserve">Figure </w:t>
      </w:r>
      <w:fldSimple w:instr=" SEQ Figure \* ARABIC ">
        <w:r w:rsidR="00F7579D">
          <w:rPr>
            <w:noProof/>
          </w:rPr>
          <w:t>34</w:t>
        </w:r>
      </w:fldSimple>
      <w:bookmarkEnd w:id="107"/>
      <w:r w:rsidRPr="00417E74">
        <w:t>.</w:t>
      </w:r>
      <w:r w:rsidR="00875B1A">
        <w:t xml:space="preserve"> Same as for </w:t>
      </w:r>
      <w:r w:rsidR="00875B1A">
        <w:fldChar w:fldCharType="begin"/>
      </w:r>
      <w:r w:rsidR="00875B1A">
        <w:instrText xml:space="preserve"> REF _Ref440638120 \h </w:instrText>
      </w:r>
      <w:r w:rsidR="00875B1A">
        <w:fldChar w:fldCharType="separate"/>
      </w:r>
      <w:r w:rsidR="00F7579D" w:rsidRPr="00A82336">
        <w:t xml:space="preserve">Figure </w:t>
      </w:r>
      <w:r w:rsidR="00F7579D">
        <w:rPr>
          <w:noProof/>
        </w:rPr>
        <w:t>18</w:t>
      </w:r>
      <w:r w:rsidR="00875B1A">
        <w:fldChar w:fldCharType="end"/>
      </w:r>
      <w:r w:rsidRPr="00417E74">
        <w:t xml:space="preserve"> in Chapter 4, but for NoCASA.</w:t>
      </w:r>
      <w:r w:rsidR="00787028">
        <w:t xml:space="preserve"> Light gray shading</w:t>
      </w:r>
      <w:r w:rsidR="0049043F">
        <w:t xml:space="preserve"> in (c), (d</w:t>
      </w:r>
      <w:r w:rsidR="00787028">
        <w:t>)</w:t>
      </w:r>
      <w:r w:rsidR="0049043F">
        <w:t>, and (e)</w:t>
      </w:r>
      <w:r w:rsidR="00787028">
        <w:t xml:space="preserve"> represents the max/min bounds of the Control runs for comparison purposes.</w:t>
      </w:r>
      <w:bookmarkEnd w:id="108"/>
    </w:p>
    <w:p w:rsidR="00417E74" w:rsidRPr="00417E74" w:rsidRDefault="00645036" w:rsidP="00417E74">
      <w:pPr>
        <w:keepNext/>
        <w:spacing w:after="0" w:line="480" w:lineRule="auto"/>
        <w:jc w:val="both"/>
      </w:pPr>
      <w:r>
        <w:rPr>
          <w:noProof/>
        </w:rPr>
        <w:lastRenderedPageBreak/>
        <w:drawing>
          <wp:inline distT="0" distB="0" distL="0" distR="0" wp14:anchorId="7C4F5CD8" wp14:editId="0BA9C2BB">
            <wp:extent cx="5303520" cy="53035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enters_01uh_noktlx_S1.png"/>
                    <pic:cNvPicPr/>
                  </pic:nvPicPr>
                  <pic:blipFill>
                    <a:blip r:embed="rId49">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09" w:name="_Ref446528629"/>
      <w:bookmarkStart w:id="110" w:name="_Toc450593115"/>
      <w:r w:rsidRPr="00417E74">
        <w:t xml:space="preserve">Figure </w:t>
      </w:r>
      <w:fldSimple w:instr=" SEQ Figure \* ARABIC ">
        <w:r w:rsidR="00F7579D">
          <w:rPr>
            <w:noProof/>
          </w:rPr>
          <w:t>35</w:t>
        </w:r>
      </w:fldSimple>
      <w:bookmarkEnd w:id="109"/>
      <w:r w:rsidRPr="00417E74">
        <w:t>.</w:t>
      </w:r>
      <w:r w:rsidR="00875B1A">
        <w:t xml:space="preserve"> Same as for </w:t>
      </w:r>
      <w:r w:rsidR="00875B1A">
        <w:fldChar w:fldCharType="begin"/>
      </w:r>
      <w:r w:rsidR="00875B1A">
        <w:instrText xml:space="preserve"> REF _Ref440638120 \h </w:instrText>
      </w:r>
      <w:r w:rsidR="00875B1A">
        <w:fldChar w:fldCharType="separate"/>
      </w:r>
      <w:r w:rsidR="00F7579D" w:rsidRPr="00A82336">
        <w:t xml:space="preserve">Figure </w:t>
      </w:r>
      <w:r w:rsidR="00F7579D">
        <w:rPr>
          <w:noProof/>
        </w:rPr>
        <w:t>18</w:t>
      </w:r>
      <w:r w:rsidR="00875B1A">
        <w:fldChar w:fldCharType="end"/>
      </w:r>
      <w:r w:rsidRPr="00417E74">
        <w:t xml:space="preserve"> in Chapter 4, but for NoKTLX.</w:t>
      </w:r>
      <w:r w:rsidR="0049043F">
        <w:t xml:space="preserve"> Light gray shading in (c), (d), and (e) represents the max/min bounds of the Control runs for comparison purposes.</w:t>
      </w:r>
      <w:bookmarkEnd w:id="110"/>
    </w:p>
    <w:p w:rsidR="00417E74" w:rsidRPr="00417E74" w:rsidRDefault="00645036" w:rsidP="00417E74">
      <w:pPr>
        <w:keepNext/>
        <w:spacing w:after="0" w:line="480" w:lineRule="auto"/>
        <w:jc w:val="both"/>
      </w:pPr>
      <w:r>
        <w:rPr>
          <w:noProof/>
        </w:rPr>
        <w:lastRenderedPageBreak/>
        <w:drawing>
          <wp:inline distT="0" distB="0" distL="0" distR="0" wp14:anchorId="0AA047F1" wp14:editId="41F4B162">
            <wp:extent cx="5303520" cy="53035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centers_01uh_nocasaktlx_S1.png"/>
                    <pic:cNvPicPr/>
                  </pic:nvPicPr>
                  <pic:blipFill>
                    <a:blip r:embed="rId50">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11" w:name="_Ref446531196"/>
      <w:bookmarkStart w:id="112" w:name="_Toc450593116"/>
      <w:r w:rsidRPr="00417E74">
        <w:t xml:space="preserve">Figure </w:t>
      </w:r>
      <w:fldSimple w:instr=" SEQ Figure \* ARABIC ">
        <w:r w:rsidR="00F7579D">
          <w:rPr>
            <w:noProof/>
          </w:rPr>
          <w:t>36</w:t>
        </w:r>
      </w:fldSimple>
      <w:bookmarkEnd w:id="111"/>
      <w:r w:rsidRPr="00417E74">
        <w:t>.</w:t>
      </w:r>
      <w:r w:rsidR="00875B1A">
        <w:t xml:space="preserve"> Same as for </w:t>
      </w:r>
      <w:r w:rsidR="00875B1A">
        <w:fldChar w:fldCharType="begin"/>
      </w:r>
      <w:r w:rsidR="00875B1A">
        <w:instrText xml:space="preserve"> REF _Ref440638120 \h </w:instrText>
      </w:r>
      <w:r w:rsidR="00875B1A">
        <w:fldChar w:fldCharType="separate"/>
      </w:r>
      <w:r w:rsidR="00F7579D" w:rsidRPr="00A82336">
        <w:t xml:space="preserve">Figure </w:t>
      </w:r>
      <w:r w:rsidR="00F7579D">
        <w:rPr>
          <w:noProof/>
        </w:rPr>
        <w:t>18</w:t>
      </w:r>
      <w:r w:rsidR="00875B1A">
        <w:fldChar w:fldCharType="end"/>
      </w:r>
      <w:r w:rsidRPr="00417E74">
        <w:t xml:space="preserve"> in Chapter 4, but for NoCASAKTLX.</w:t>
      </w:r>
      <w:r w:rsidR="0049043F">
        <w:t xml:space="preserve"> Light gray shading in (c), (d), and (e) represents the max/min bounds of the Control runs for comparison purposes.</w:t>
      </w:r>
      <w:bookmarkEnd w:id="112"/>
    </w:p>
    <w:p w:rsidR="00417E74" w:rsidRPr="00417E74" w:rsidRDefault="0049043F" w:rsidP="0049043F">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3"/>
      </w:pPr>
      <w:bookmarkStart w:id="113" w:name="_Toc448742092"/>
      <w:r w:rsidRPr="00417E74">
        <w:lastRenderedPageBreak/>
        <w:t>5.5.2 Storm 2</w:t>
      </w:r>
      <w:bookmarkEnd w:id="113"/>
    </w:p>
    <w:p w:rsidR="00417E74" w:rsidRPr="00417E74" w:rsidRDefault="00417E74" w:rsidP="005E1E4A">
      <w:pPr>
        <w:pStyle w:val="NoSpacing"/>
        <w:ind w:firstLine="720"/>
      </w:pPr>
      <w:r w:rsidRPr="00417E74">
        <w:t>Unlike S1, S2 developed and propagated through the CASA radar network, so the impact of assimilating CASA radar data should be more evident. While the number of 0-1UH centers from the NoCASA simulations are similar (or a little less than) to what the Control runs produced, the cluster of 0-1UH centers north of S2’s tornado points is more spaced out for both ST and AT (</w:t>
      </w:r>
      <w:r w:rsidRPr="00417E74">
        <w:fldChar w:fldCharType="begin"/>
      </w:r>
      <w:r w:rsidRPr="00417E74">
        <w:instrText xml:space="preserve"> REF _Ref446578708 \h  \* MERGEFORMAT </w:instrText>
      </w:r>
      <w:r w:rsidRPr="00417E74">
        <w:fldChar w:fldCharType="separate"/>
      </w:r>
      <w:r w:rsidR="00F7579D" w:rsidRPr="00417E74">
        <w:t xml:space="preserve">Figure </w:t>
      </w:r>
      <w:r w:rsidR="00F7579D">
        <w:t>37</w:t>
      </w:r>
      <w:r w:rsidRPr="00417E74">
        <w:fldChar w:fldCharType="end"/>
      </w:r>
      <w:r w:rsidRPr="00417E74">
        <w:t xml:space="preserve">a,b). This translates to larger ST and AT distance and timing errors for the MY schemes, but the error changes are mixed for LIN3 and WSM6, which </w:t>
      </w:r>
      <w:r w:rsidR="00D12B47">
        <w:t xml:space="preserve">also </w:t>
      </w:r>
      <w:r w:rsidRPr="00417E74">
        <w:t>experience</w:t>
      </w:r>
      <w:r w:rsidR="00D12B47">
        <w:t>s</w:t>
      </w:r>
      <w:r w:rsidRPr="00417E74">
        <w:t xml:space="preserve"> a substantial increase in the timing error (</w:t>
      </w:r>
      <w:r w:rsidRPr="00417E74">
        <w:fldChar w:fldCharType="begin"/>
      </w:r>
      <w:r w:rsidRPr="00417E74">
        <w:instrText xml:space="preserve"> REF _Ref446578708 \h  \* MERGEFORMAT </w:instrText>
      </w:r>
      <w:r w:rsidRPr="00417E74">
        <w:fldChar w:fldCharType="separate"/>
      </w:r>
      <w:r w:rsidR="00F7579D" w:rsidRPr="00417E74">
        <w:t xml:space="preserve">Figure </w:t>
      </w:r>
      <w:r w:rsidR="00F7579D">
        <w:t>37</w:t>
      </w:r>
      <w:r w:rsidRPr="00417E74">
        <w:fldChar w:fldCharType="end"/>
      </w:r>
      <w:r w:rsidRPr="00417E74">
        <w:t xml:space="preserve">c,d,e). It should be noted that the relative impact of one 0-1UH center on the different errors is larger for S2 than for S1 due to S2 having ~70% fewer centers nearby. </w:t>
      </w:r>
    </w:p>
    <w:p w:rsidR="00417E74" w:rsidRPr="00417E74" w:rsidRDefault="00417E74" w:rsidP="005E1E4A">
      <w:pPr>
        <w:pStyle w:val="NoSpacing"/>
        <w:ind w:firstLine="720"/>
      </w:pPr>
      <w:r w:rsidRPr="00417E74">
        <w:t>Similar to the NoCASA runs, the NoKTLX runs produce similar numbers of 0-1UH centers as the Control runs (</w:t>
      </w:r>
      <w:r w:rsidRPr="00417E74">
        <w:fldChar w:fldCharType="begin"/>
      </w:r>
      <w:r w:rsidRPr="00417E74">
        <w:instrText xml:space="preserve"> REF _Ref446580087 \h  \* MERGEFORMAT </w:instrText>
      </w:r>
      <w:r w:rsidRPr="00417E74">
        <w:fldChar w:fldCharType="separate"/>
      </w:r>
      <w:r w:rsidR="00F7579D" w:rsidRPr="00417E74">
        <w:t xml:space="preserve">Figure </w:t>
      </w:r>
      <w:r w:rsidR="00F7579D">
        <w:t>38</w:t>
      </w:r>
      <w:r w:rsidRPr="00417E74">
        <w:fldChar w:fldCharType="end"/>
      </w:r>
      <w:r w:rsidRPr="00417E74">
        <w:t>a,b). The ST and AT distance and timing errors for NoKTLX’s MYDM and MYTM are larger than they are for the NoCASA runs, but the results are mixed for the single-moment schemes (</w:t>
      </w:r>
      <w:r w:rsidRPr="00417E74">
        <w:fldChar w:fldCharType="begin"/>
      </w:r>
      <w:r w:rsidRPr="00417E74">
        <w:instrText xml:space="preserve"> REF _Ref446580087 \h  \* MERGEFORMAT </w:instrText>
      </w:r>
      <w:r w:rsidRPr="00417E74">
        <w:fldChar w:fldCharType="separate"/>
      </w:r>
      <w:r w:rsidR="00F7579D" w:rsidRPr="00417E74">
        <w:t xml:space="preserve">Figure </w:t>
      </w:r>
      <w:r w:rsidR="00F7579D">
        <w:t>38</w:t>
      </w:r>
      <w:r w:rsidRPr="00417E74">
        <w:fldChar w:fldCharType="end"/>
      </w:r>
      <w:r w:rsidRPr="00417E74">
        <w:t>c,d,e). For example, LIN3 has larger ST distance errors and smaller AT distance and timing errors compared to the Control runs. The clustering and number of 0-1UH centers for the NoCASAKTLX runs is somewhat similar to both the NoCASA and NoKTLX runs, but in different respects (</w:t>
      </w:r>
      <w:r w:rsidRPr="00417E74">
        <w:fldChar w:fldCharType="begin"/>
      </w:r>
      <w:r w:rsidRPr="00417E74">
        <w:instrText xml:space="preserve"> REF _Ref446581170 \h  \* MERGEFORMAT </w:instrText>
      </w:r>
      <w:r w:rsidRPr="00417E74">
        <w:fldChar w:fldCharType="separate"/>
      </w:r>
      <w:r w:rsidR="00F7579D" w:rsidRPr="00417E74">
        <w:t xml:space="preserve">Figure </w:t>
      </w:r>
      <w:r w:rsidR="00F7579D">
        <w:t>39</w:t>
      </w:r>
      <w:r w:rsidRPr="00417E74">
        <w:fldChar w:fldCharType="end"/>
      </w:r>
      <w:r w:rsidRPr="00417E74">
        <w:t xml:space="preserve">a,b). For example, the average location of MYTM’s 0-1UH centers is closer to NoCASA than NoKTLX, but the average location of LIN3’s 0-1UH centers is closer to NoKTLX than NoCASA. The ST and AT distance and timing errors for LIN3 and WSM6 are more similar to their errors with the NoKTLX runs than the NoCASA runs, but MYSM’s errors are more similar to its errors with the NoCASA </w:t>
      </w:r>
      <w:r w:rsidRPr="00417E74">
        <w:lastRenderedPageBreak/>
        <w:t>runs than the NoKTLX runs (</w:t>
      </w:r>
      <w:r w:rsidRPr="00417E74">
        <w:fldChar w:fldCharType="begin"/>
      </w:r>
      <w:r w:rsidRPr="00417E74">
        <w:instrText xml:space="preserve"> REF _Ref446581170 \h  \* MERGEFORMAT </w:instrText>
      </w:r>
      <w:r w:rsidRPr="00417E74">
        <w:fldChar w:fldCharType="separate"/>
      </w:r>
      <w:r w:rsidR="00F7579D" w:rsidRPr="00417E74">
        <w:t xml:space="preserve">Figure </w:t>
      </w:r>
      <w:r w:rsidR="00F7579D">
        <w:t>39</w:t>
      </w:r>
      <w:r w:rsidRPr="00417E74">
        <w:fldChar w:fldCharType="end"/>
      </w:r>
      <w:r w:rsidRPr="00417E74">
        <w:t>c,d,e). The AT and ST distance and timing errors for MYDM and MYTM are similar and or greater than the corresponding errors for the NoKTLX and NoCASA runs.</w:t>
      </w:r>
    </w:p>
    <w:p w:rsidR="00417E74" w:rsidRPr="00417E74" w:rsidRDefault="000737E7" w:rsidP="005E1E4A">
      <w:pPr>
        <w:pStyle w:val="NoSpacing"/>
        <w:ind w:firstLine="720"/>
      </w:pPr>
      <w:r>
        <w:t>Summarizing</w:t>
      </w:r>
      <w:r w:rsidR="00417E74" w:rsidRPr="00417E74">
        <w:t xml:space="preserve"> for S2, the simulations </w:t>
      </w:r>
      <w:r>
        <w:t>generally</w:t>
      </w:r>
      <w:r w:rsidR="00417E74" w:rsidRPr="00417E74">
        <w:t xml:space="preserve"> perform worse when CASA and/or KTLX radar data </w:t>
      </w:r>
      <w:r>
        <w:t>are</w:t>
      </w:r>
      <w:r w:rsidR="00417E74" w:rsidRPr="00417E74">
        <w:t xml:space="preserve"> withheld during the data assimilation process. This is especially true for the MY schemes. These results indicate that withholding CASA radar data during the data assimilation process has a similar impact to withholding KTLX radar data, so while the ability of the CASA radar data to provide gap-filling benefits to 1-km forecasts is still unclear, the results are clear that assimilating CASA radar data has a similar impact to assimilating KTLX radar data for rotating storms developing and propagating within the CASA radar network. </w:t>
      </w:r>
    </w:p>
    <w:p w:rsidR="00417E74" w:rsidRPr="00417E74" w:rsidRDefault="00645036" w:rsidP="00417E74">
      <w:pPr>
        <w:keepNext/>
        <w:spacing w:after="0" w:line="480" w:lineRule="auto"/>
        <w:jc w:val="both"/>
      </w:pPr>
      <w:r>
        <w:rPr>
          <w:noProof/>
        </w:rPr>
        <w:lastRenderedPageBreak/>
        <w:drawing>
          <wp:inline distT="0" distB="0" distL="0" distR="0" wp14:anchorId="6345C55B" wp14:editId="06B11C36">
            <wp:extent cx="5303520" cy="53035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centers_01uh_nocasa_S2.png"/>
                    <pic:cNvPicPr/>
                  </pic:nvPicPr>
                  <pic:blipFill>
                    <a:blip r:embed="rId51">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14" w:name="_Ref446578708"/>
      <w:bookmarkStart w:id="115" w:name="_Toc450593117"/>
      <w:r w:rsidRPr="00417E74">
        <w:t xml:space="preserve">Figure </w:t>
      </w:r>
      <w:fldSimple w:instr=" SEQ Figure \* ARABIC ">
        <w:r w:rsidR="00F7579D">
          <w:rPr>
            <w:noProof/>
          </w:rPr>
          <w:t>37</w:t>
        </w:r>
      </w:fldSimple>
      <w:bookmarkEnd w:id="114"/>
      <w:r w:rsidRPr="00417E74">
        <w:t>.</w:t>
      </w:r>
      <w:r w:rsidR="00875B1A">
        <w:t xml:space="preserve"> Same as for </w:t>
      </w:r>
      <w:r w:rsidR="00875B1A">
        <w:fldChar w:fldCharType="begin"/>
      </w:r>
      <w:r w:rsidR="00875B1A">
        <w:instrText xml:space="preserve"> REF _Ref440810539 \h </w:instrText>
      </w:r>
      <w:r w:rsidR="00875B1A">
        <w:fldChar w:fldCharType="separate"/>
      </w:r>
      <w:r w:rsidR="00F7579D" w:rsidRPr="00A82336">
        <w:t xml:space="preserve">Figure </w:t>
      </w:r>
      <w:r w:rsidR="00F7579D">
        <w:rPr>
          <w:noProof/>
        </w:rPr>
        <w:t>20</w:t>
      </w:r>
      <w:r w:rsidR="00875B1A">
        <w:fldChar w:fldCharType="end"/>
      </w:r>
      <w:r w:rsidRPr="00417E74">
        <w:t xml:space="preserve"> in Chapter 4, but for NoCASA.</w:t>
      </w:r>
      <w:r w:rsidR="0049043F">
        <w:t xml:space="preserve"> Light gray shading in (c), (d), and (e) represents the max/min bounds of the Control runs for comparison purposes.</w:t>
      </w:r>
      <w:bookmarkEnd w:id="115"/>
    </w:p>
    <w:p w:rsidR="00417E74" w:rsidRPr="00417E74" w:rsidRDefault="00645036" w:rsidP="00417E74">
      <w:pPr>
        <w:keepNext/>
        <w:spacing w:after="0" w:line="480" w:lineRule="auto"/>
        <w:jc w:val="both"/>
      </w:pPr>
      <w:r>
        <w:rPr>
          <w:noProof/>
        </w:rPr>
        <w:lastRenderedPageBreak/>
        <w:drawing>
          <wp:inline distT="0" distB="0" distL="0" distR="0" wp14:anchorId="53940986" wp14:editId="713E4593">
            <wp:extent cx="5303520" cy="53035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enters_01uh_noktlx_S2.png"/>
                    <pic:cNvPicPr/>
                  </pic:nvPicPr>
                  <pic:blipFill>
                    <a:blip r:embed="rId52">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16" w:name="_Ref446580087"/>
      <w:bookmarkStart w:id="117" w:name="_Toc450593118"/>
      <w:r w:rsidRPr="00417E74">
        <w:t xml:space="preserve">Figure </w:t>
      </w:r>
      <w:fldSimple w:instr=" SEQ Figure \* ARABIC ">
        <w:r w:rsidR="00F7579D">
          <w:rPr>
            <w:noProof/>
          </w:rPr>
          <w:t>38</w:t>
        </w:r>
      </w:fldSimple>
      <w:bookmarkEnd w:id="116"/>
      <w:r w:rsidRPr="00417E74">
        <w:t>.</w:t>
      </w:r>
      <w:r w:rsidR="00875B1A">
        <w:t xml:space="preserve"> Same as for </w:t>
      </w:r>
      <w:r w:rsidR="00875B1A">
        <w:fldChar w:fldCharType="begin"/>
      </w:r>
      <w:r w:rsidR="00875B1A">
        <w:instrText xml:space="preserve"> REF _Ref440810539 \h </w:instrText>
      </w:r>
      <w:r w:rsidR="00875B1A">
        <w:fldChar w:fldCharType="separate"/>
      </w:r>
      <w:r w:rsidR="00F7579D" w:rsidRPr="00A82336">
        <w:t xml:space="preserve">Figure </w:t>
      </w:r>
      <w:r w:rsidR="00F7579D">
        <w:rPr>
          <w:noProof/>
        </w:rPr>
        <w:t>20</w:t>
      </w:r>
      <w:r w:rsidR="00875B1A">
        <w:fldChar w:fldCharType="end"/>
      </w:r>
      <w:r w:rsidRPr="00417E74">
        <w:t xml:space="preserve"> in Chapter 4, but for NoKTLX.</w:t>
      </w:r>
      <w:r w:rsidR="0049043F">
        <w:t xml:space="preserve"> Light gray shading in (c), (d), and (e) represents the max/min bounds of the Control runs for comparison purposes.</w:t>
      </w:r>
      <w:bookmarkEnd w:id="117"/>
    </w:p>
    <w:p w:rsidR="00417E74" w:rsidRPr="00417E74" w:rsidRDefault="00645036" w:rsidP="00417E74">
      <w:pPr>
        <w:keepNext/>
        <w:spacing w:after="0" w:line="480" w:lineRule="auto"/>
        <w:jc w:val="both"/>
      </w:pPr>
      <w:r>
        <w:rPr>
          <w:noProof/>
        </w:rPr>
        <w:lastRenderedPageBreak/>
        <w:drawing>
          <wp:inline distT="0" distB="0" distL="0" distR="0" wp14:anchorId="7D0007D1" wp14:editId="0538E107">
            <wp:extent cx="5303520" cy="53035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enters_01uh_nocasaktlx_S2.png"/>
                    <pic:cNvPicPr/>
                  </pic:nvPicPr>
                  <pic:blipFill>
                    <a:blip r:embed="rId53">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18" w:name="_Ref446581170"/>
      <w:bookmarkStart w:id="119" w:name="_Toc450593119"/>
      <w:r w:rsidRPr="00417E74">
        <w:t xml:space="preserve">Figure </w:t>
      </w:r>
      <w:fldSimple w:instr=" SEQ Figure \* ARABIC ">
        <w:r w:rsidR="00F7579D">
          <w:rPr>
            <w:noProof/>
          </w:rPr>
          <w:t>39</w:t>
        </w:r>
      </w:fldSimple>
      <w:bookmarkEnd w:id="118"/>
      <w:r w:rsidRPr="00417E74">
        <w:t>.</w:t>
      </w:r>
      <w:r w:rsidR="00875B1A">
        <w:t xml:space="preserve"> Same as for </w:t>
      </w:r>
      <w:r w:rsidR="00875B1A">
        <w:fldChar w:fldCharType="begin"/>
      </w:r>
      <w:r w:rsidR="00875B1A">
        <w:instrText xml:space="preserve"> REF _Ref440810539 \h </w:instrText>
      </w:r>
      <w:r w:rsidR="00875B1A">
        <w:fldChar w:fldCharType="separate"/>
      </w:r>
      <w:r w:rsidR="00F7579D" w:rsidRPr="00A82336">
        <w:t xml:space="preserve">Figure </w:t>
      </w:r>
      <w:r w:rsidR="00F7579D">
        <w:rPr>
          <w:noProof/>
        </w:rPr>
        <w:t>20</w:t>
      </w:r>
      <w:r w:rsidR="00875B1A">
        <w:fldChar w:fldCharType="end"/>
      </w:r>
      <w:r w:rsidRPr="00417E74">
        <w:t xml:space="preserve"> in Chapter 4, but for NoCASAKTLX.</w:t>
      </w:r>
      <w:r w:rsidR="0049043F">
        <w:t xml:space="preserve"> Light gray shading in (c), (d), and (e) represents the max/min bounds of the Control runs for comparison purposes.</w:t>
      </w:r>
      <w:bookmarkEnd w:id="119"/>
    </w:p>
    <w:p w:rsidR="00417E74" w:rsidRPr="00417E74" w:rsidRDefault="0049043F" w:rsidP="0049043F">
      <w:pPr>
        <w:rPr>
          <w:rFonts w:ascii="Times New Roman" w:hAnsi="Times New Roman" w:cs="Times New Roman"/>
          <w:sz w:val="24"/>
          <w:szCs w:val="24"/>
        </w:rPr>
      </w:pPr>
      <w:r>
        <w:rPr>
          <w:rFonts w:ascii="Times New Roman" w:hAnsi="Times New Roman" w:cs="Times New Roman"/>
          <w:sz w:val="24"/>
          <w:szCs w:val="24"/>
        </w:rPr>
        <w:br w:type="page"/>
      </w:r>
    </w:p>
    <w:p w:rsidR="00417E74" w:rsidRPr="00417E74" w:rsidRDefault="00417E74" w:rsidP="005E1E4A">
      <w:pPr>
        <w:pStyle w:val="Heading3"/>
      </w:pPr>
      <w:bookmarkStart w:id="120" w:name="_Toc448742093"/>
      <w:r w:rsidRPr="00417E74">
        <w:lastRenderedPageBreak/>
        <w:t>5.5.3 Storm 3</w:t>
      </w:r>
      <w:bookmarkEnd w:id="120"/>
    </w:p>
    <w:p w:rsidR="00417E74" w:rsidRPr="00417E74" w:rsidRDefault="00417E74" w:rsidP="00D37547">
      <w:pPr>
        <w:pStyle w:val="NoSpacing"/>
        <w:ind w:firstLine="720"/>
      </w:pPr>
      <w:r w:rsidRPr="00417E74">
        <w:t xml:space="preserve">As depicted in Chapter 4, S3 is </w:t>
      </w:r>
      <w:r w:rsidR="000737E7">
        <w:t>not well</w:t>
      </w:r>
      <w:r w:rsidRPr="00417E74">
        <w:t xml:space="preserve"> forecasted by the Contr</w:t>
      </w:r>
      <w:r w:rsidR="00D12B47">
        <w:t>ol runs. When CASA radar data are</w:t>
      </w:r>
      <w:r w:rsidRPr="00417E74">
        <w:t xml:space="preserve"> withheld from the data assimilation process, similar forecasts of 0-1UH centers are produced with very few centers near S3’s tornado points and a </w:t>
      </w:r>
      <w:r w:rsidR="000737E7">
        <w:t>spray</w:t>
      </w:r>
      <w:r w:rsidRPr="00417E74">
        <w:t xml:space="preserve"> of centers ~30 km to the southeast (</w:t>
      </w:r>
      <w:r w:rsidRPr="00417E74">
        <w:fldChar w:fldCharType="begin"/>
      </w:r>
      <w:r w:rsidRPr="00417E74">
        <w:instrText xml:space="preserve"> REF _Ref446589550 \h  \* MERGEFORMAT </w:instrText>
      </w:r>
      <w:r w:rsidRPr="00417E74">
        <w:fldChar w:fldCharType="separate"/>
      </w:r>
      <w:r w:rsidR="00F7579D" w:rsidRPr="00417E74">
        <w:t xml:space="preserve">Figure </w:t>
      </w:r>
      <w:r w:rsidR="00F7579D">
        <w:t>40</w:t>
      </w:r>
      <w:r w:rsidRPr="00417E74">
        <w:fldChar w:fldCharType="end"/>
      </w:r>
      <w:r w:rsidRPr="00417E74">
        <w:t>a,b). The ST and AT distance and timing errors for NoCASA have mixed results as compared to the Control runs, but MYSM and MYDM show reduced errors for all three error types (</w:t>
      </w:r>
      <w:r w:rsidRPr="00417E74">
        <w:fldChar w:fldCharType="begin"/>
      </w:r>
      <w:r w:rsidRPr="00417E74">
        <w:instrText xml:space="preserve"> REF _Ref446589550 \h  \* MERGEFORMAT </w:instrText>
      </w:r>
      <w:r w:rsidRPr="00417E74">
        <w:fldChar w:fldCharType="separate"/>
      </w:r>
      <w:r w:rsidR="00F7579D" w:rsidRPr="00417E74">
        <w:t xml:space="preserve">Figure </w:t>
      </w:r>
      <w:r w:rsidR="00F7579D">
        <w:t>40</w:t>
      </w:r>
      <w:r w:rsidRPr="00417E74">
        <w:fldChar w:fldCharType="end"/>
      </w:r>
      <w:r w:rsidRPr="00417E74">
        <w:t>c,d,</w:t>
      </w:r>
      <w:r w:rsidR="00A2421B">
        <w:t>e). However, as mentioned in</w:t>
      </w:r>
      <w:r w:rsidRPr="00417E74">
        <w:t xml:space="preserve"> Section 5.5.2, a single 0-1UH center can have a substantial impact on the average errors due to the small number of centers (i.e., &lt; 20). Interestingly, when KTLX radar </w:t>
      </w:r>
      <w:r w:rsidR="00DB0979">
        <w:t>data are</w:t>
      </w:r>
      <w:r w:rsidRPr="00417E74">
        <w:t xml:space="preserve"> withheld from the data assimilation process, a small cluster of 0-1UH centers appears near S3’s tornado points (</w:t>
      </w:r>
      <w:r w:rsidRPr="00417E74">
        <w:fldChar w:fldCharType="begin"/>
      </w:r>
      <w:r w:rsidRPr="00417E74">
        <w:instrText xml:space="preserve"> REF _Ref446590163 \h  \* MERGEFORMAT </w:instrText>
      </w:r>
      <w:r w:rsidRPr="00417E74">
        <w:fldChar w:fldCharType="separate"/>
      </w:r>
      <w:r w:rsidR="00F7579D" w:rsidRPr="00417E74">
        <w:t xml:space="preserve">Figure </w:t>
      </w:r>
      <w:r w:rsidR="00F7579D">
        <w:t>41</w:t>
      </w:r>
      <w:r w:rsidRPr="00417E74">
        <w:fldChar w:fldCharType="end"/>
      </w:r>
      <w:r w:rsidRPr="00417E74">
        <w:t>a,b). This result contributes to mostly smaller ST and AT distance and timing errors for all of the microphysics schemes, especially the MY schemes (</w:t>
      </w:r>
      <w:r w:rsidRPr="00417E74">
        <w:fldChar w:fldCharType="begin"/>
      </w:r>
      <w:r w:rsidRPr="00417E74">
        <w:instrText xml:space="preserve"> REF _Ref446590163 \h  \* MERGEFORMAT </w:instrText>
      </w:r>
      <w:r w:rsidRPr="00417E74">
        <w:fldChar w:fldCharType="separate"/>
      </w:r>
      <w:r w:rsidR="00F7579D" w:rsidRPr="00417E74">
        <w:t xml:space="preserve">Figure </w:t>
      </w:r>
      <w:r w:rsidR="00F7579D">
        <w:t>41</w:t>
      </w:r>
      <w:r w:rsidRPr="00417E74">
        <w:fldChar w:fldCharType="end"/>
      </w:r>
      <w:r w:rsidRPr="00417E74">
        <w:t>c,d,e). The NoCASAKTLX simulations exhibit similar results to the NoKTLX runs (</w:t>
      </w:r>
      <w:r w:rsidRPr="00417E74">
        <w:fldChar w:fldCharType="begin"/>
      </w:r>
      <w:r w:rsidRPr="00417E74">
        <w:instrText xml:space="preserve"> REF _Ref446590673 \h  \* MERGEFORMAT </w:instrText>
      </w:r>
      <w:r w:rsidRPr="00417E74">
        <w:fldChar w:fldCharType="separate"/>
      </w:r>
      <w:r w:rsidR="00F7579D" w:rsidRPr="00417E74">
        <w:t xml:space="preserve">Figure </w:t>
      </w:r>
      <w:r w:rsidR="00F7579D">
        <w:t>42</w:t>
      </w:r>
      <w:r w:rsidRPr="00417E74">
        <w:fldChar w:fldCharType="end"/>
      </w:r>
      <w:r w:rsidRPr="00417E74">
        <w:t xml:space="preserve">). </w:t>
      </w:r>
    </w:p>
    <w:p w:rsidR="00417E74" w:rsidRPr="00417E74" w:rsidRDefault="00417E74" w:rsidP="00D37547">
      <w:pPr>
        <w:pStyle w:val="NoSpacing"/>
        <w:ind w:firstLine="720"/>
      </w:pPr>
      <w:r w:rsidRPr="00417E74">
        <w:t xml:space="preserve">Overall for S3, the NoCASA, NoKTLX, and NoCASAKTLX runs struggled to successfully forecast S3 </w:t>
      </w:r>
      <w:r w:rsidR="00D12B47">
        <w:t>as in</w:t>
      </w:r>
      <w:r w:rsidRPr="00417E74">
        <w:t xml:space="preserve"> the Control runs. The small cluster of 0-1UH centers near S3 in the NoKTLX runs might indicate that the KTLX radar </w:t>
      </w:r>
      <w:r w:rsidR="00DB0979">
        <w:t>data are</w:t>
      </w:r>
      <w:r w:rsidRPr="00417E74">
        <w:t xml:space="preserve"> hampering the CASA radar data during the data assimilation process, but this </w:t>
      </w:r>
      <w:r w:rsidR="000737E7">
        <w:rPr>
          <w:rFonts w:cs="Times New Roman"/>
          <w:szCs w:val="24"/>
        </w:rPr>
        <w:t>needs more investigation in order to conclusively determine the cause</w:t>
      </w:r>
      <w:r w:rsidRPr="00417E74">
        <w:t>. What is conclusive</w:t>
      </w:r>
      <w:r w:rsidR="000737E7">
        <w:t>,</w:t>
      </w:r>
      <w:r w:rsidRPr="00417E74">
        <w:t xml:space="preserve"> though</w:t>
      </w:r>
      <w:r w:rsidR="000737E7">
        <w:t>,</w:t>
      </w:r>
      <w:r w:rsidRPr="00417E74">
        <w:t xml:space="preserve"> is the need to explore other data assimilation techniques to potentially improve the forecasts of S3. The next chapter will do exactly that.</w:t>
      </w:r>
    </w:p>
    <w:p w:rsidR="00417E74" w:rsidRPr="00417E74" w:rsidRDefault="00645036" w:rsidP="00417E74">
      <w:pPr>
        <w:keepNext/>
        <w:spacing w:after="0" w:line="480" w:lineRule="auto"/>
        <w:jc w:val="both"/>
      </w:pPr>
      <w:r>
        <w:rPr>
          <w:noProof/>
        </w:rPr>
        <w:lastRenderedPageBreak/>
        <w:drawing>
          <wp:inline distT="0" distB="0" distL="0" distR="0" wp14:anchorId="721D8602" wp14:editId="71AAEAF7">
            <wp:extent cx="5303520" cy="53035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centers_01uh_nocasa_S3.png"/>
                    <pic:cNvPicPr/>
                  </pic:nvPicPr>
                  <pic:blipFill>
                    <a:blip r:embed="rId54">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21" w:name="_Ref446589550"/>
      <w:bookmarkStart w:id="122" w:name="_Toc450593120"/>
      <w:r w:rsidRPr="00417E74">
        <w:t xml:space="preserve">Figure </w:t>
      </w:r>
      <w:fldSimple w:instr=" SEQ Figure \* ARABIC ">
        <w:r w:rsidR="00F7579D">
          <w:rPr>
            <w:noProof/>
          </w:rPr>
          <w:t>40</w:t>
        </w:r>
      </w:fldSimple>
      <w:bookmarkEnd w:id="121"/>
      <w:r w:rsidRPr="00417E74">
        <w:t>.</w:t>
      </w:r>
      <w:r w:rsidR="00875B1A">
        <w:t xml:space="preserve"> Same as for </w:t>
      </w:r>
      <w:r w:rsidR="00875B1A">
        <w:fldChar w:fldCharType="begin"/>
      </w:r>
      <w:r w:rsidR="00875B1A">
        <w:instrText xml:space="preserve"> REF _Ref440919913 \h </w:instrText>
      </w:r>
      <w:r w:rsidR="00875B1A">
        <w:fldChar w:fldCharType="separate"/>
      </w:r>
      <w:r w:rsidR="00F7579D" w:rsidRPr="00A82336">
        <w:t xml:space="preserve">Figure </w:t>
      </w:r>
      <w:r w:rsidR="00F7579D">
        <w:rPr>
          <w:noProof/>
        </w:rPr>
        <w:t>21</w:t>
      </w:r>
      <w:r w:rsidR="00875B1A">
        <w:fldChar w:fldCharType="end"/>
      </w:r>
      <w:r w:rsidRPr="00417E74">
        <w:t xml:space="preserve"> in Chapter 4, but for NoCASA.</w:t>
      </w:r>
      <w:r w:rsidR="0049043F">
        <w:t xml:space="preserve"> Light gray shading in (c), (d), and (e) represents the max/min bounds of the Control runs for comparison purposes.</w:t>
      </w:r>
      <w:bookmarkEnd w:id="122"/>
    </w:p>
    <w:p w:rsidR="00417E74" w:rsidRPr="00417E74" w:rsidRDefault="00645036" w:rsidP="00417E74">
      <w:pPr>
        <w:keepNext/>
        <w:spacing w:after="0" w:line="480" w:lineRule="auto"/>
        <w:jc w:val="both"/>
      </w:pPr>
      <w:r>
        <w:rPr>
          <w:noProof/>
        </w:rPr>
        <w:lastRenderedPageBreak/>
        <w:drawing>
          <wp:inline distT="0" distB="0" distL="0" distR="0" wp14:anchorId="450509D4" wp14:editId="6D56ECD8">
            <wp:extent cx="5303520" cy="53035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enters_01uh_noktlx_S3.png"/>
                    <pic:cNvPicPr/>
                  </pic:nvPicPr>
                  <pic:blipFill>
                    <a:blip r:embed="rId55">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Pr="00417E74" w:rsidRDefault="00417E74" w:rsidP="005E1E4A">
      <w:pPr>
        <w:pStyle w:val="Captions"/>
      </w:pPr>
      <w:bookmarkStart w:id="123" w:name="_Ref446590163"/>
      <w:bookmarkStart w:id="124" w:name="_Toc450593121"/>
      <w:r w:rsidRPr="00417E74">
        <w:t xml:space="preserve">Figure </w:t>
      </w:r>
      <w:fldSimple w:instr=" SEQ Figure \* ARABIC ">
        <w:r w:rsidR="00F7579D">
          <w:rPr>
            <w:noProof/>
          </w:rPr>
          <w:t>41</w:t>
        </w:r>
      </w:fldSimple>
      <w:bookmarkEnd w:id="123"/>
      <w:r w:rsidRPr="00417E74">
        <w:t>.</w:t>
      </w:r>
      <w:r w:rsidR="00875B1A">
        <w:t xml:space="preserve"> Same as for </w:t>
      </w:r>
      <w:r w:rsidR="00875B1A">
        <w:fldChar w:fldCharType="begin"/>
      </w:r>
      <w:r w:rsidR="00875B1A">
        <w:instrText xml:space="preserve"> REF _Ref440919913 \h </w:instrText>
      </w:r>
      <w:r w:rsidR="00875B1A">
        <w:fldChar w:fldCharType="separate"/>
      </w:r>
      <w:r w:rsidR="00F7579D" w:rsidRPr="00A82336">
        <w:t xml:space="preserve">Figure </w:t>
      </w:r>
      <w:r w:rsidR="00F7579D">
        <w:rPr>
          <w:noProof/>
        </w:rPr>
        <w:t>21</w:t>
      </w:r>
      <w:r w:rsidR="00875B1A">
        <w:fldChar w:fldCharType="end"/>
      </w:r>
      <w:r w:rsidRPr="00417E74">
        <w:t xml:space="preserve"> in Chapter 4, but for NoKTLX.</w:t>
      </w:r>
      <w:r w:rsidR="0049043F">
        <w:t xml:space="preserve"> Light gray shading in (c), (d), and (e) represents the max/min bounds of the Control runs for comparison purposes.</w:t>
      </w:r>
      <w:bookmarkEnd w:id="124"/>
    </w:p>
    <w:p w:rsidR="00417E74" w:rsidRPr="00417E74" w:rsidRDefault="00645036" w:rsidP="00417E74">
      <w:pPr>
        <w:keepNext/>
        <w:spacing w:after="0" w:line="480" w:lineRule="auto"/>
        <w:jc w:val="both"/>
      </w:pPr>
      <w:r>
        <w:rPr>
          <w:noProof/>
        </w:rPr>
        <w:lastRenderedPageBreak/>
        <w:drawing>
          <wp:inline distT="0" distB="0" distL="0" distR="0" wp14:anchorId="3AC90AB6" wp14:editId="4DACC5DA">
            <wp:extent cx="5303520" cy="530352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centers_01uh_nocasaktlx_S3.png"/>
                    <pic:cNvPicPr/>
                  </pic:nvPicPr>
                  <pic:blipFill>
                    <a:blip r:embed="rId56">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417E74" w:rsidRDefault="00417E74" w:rsidP="005E1E4A">
      <w:pPr>
        <w:pStyle w:val="Captions"/>
      </w:pPr>
      <w:bookmarkStart w:id="125" w:name="_Ref446590673"/>
      <w:bookmarkStart w:id="126" w:name="_Toc450593122"/>
      <w:r w:rsidRPr="00417E74">
        <w:t xml:space="preserve">Figure </w:t>
      </w:r>
      <w:fldSimple w:instr=" SEQ Figure \* ARABIC ">
        <w:r w:rsidR="00F7579D">
          <w:rPr>
            <w:noProof/>
          </w:rPr>
          <w:t>42</w:t>
        </w:r>
      </w:fldSimple>
      <w:bookmarkEnd w:id="125"/>
      <w:r w:rsidRPr="00417E74">
        <w:t>.</w:t>
      </w:r>
      <w:r w:rsidR="00875B1A">
        <w:t xml:space="preserve"> Same as for </w:t>
      </w:r>
      <w:r w:rsidR="00875B1A">
        <w:fldChar w:fldCharType="begin"/>
      </w:r>
      <w:r w:rsidR="00875B1A">
        <w:instrText xml:space="preserve"> REF _Ref440919913 \h </w:instrText>
      </w:r>
      <w:r w:rsidR="00875B1A">
        <w:fldChar w:fldCharType="separate"/>
      </w:r>
      <w:r w:rsidR="00F7579D" w:rsidRPr="00A82336">
        <w:t xml:space="preserve">Figure </w:t>
      </w:r>
      <w:r w:rsidR="00F7579D">
        <w:rPr>
          <w:noProof/>
        </w:rPr>
        <w:t>21</w:t>
      </w:r>
      <w:r w:rsidR="00875B1A">
        <w:fldChar w:fldCharType="end"/>
      </w:r>
      <w:r w:rsidRPr="00417E74">
        <w:t xml:space="preserve"> in Chapter 4, but for NoCASAKTLX.</w:t>
      </w:r>
      <w:r w:rsidR="0049043F">
        <w:t xml:space="preserve"> Light gray shading in (c), (d), and (e) represents the max/min bounds of the Control runs for comparison purposes.</w:t>
      </w:r>
      <w:bookmarkEnd w:id="126"/>
    </w:p>
    <w:p w:rsidR="00875B1A" w:rsidRPr="00790220" w:rsidRDefault="00790220" w:rsidP="00790220">
      <w:pPr>
        <w:rPr>
          <w:rFonts w:ascii="Times New Roman" w:hAnsi="Times New Roman"/>
          <w:sz w:val="24"/>
        </w:rPr>
      </w:pPr>
      <w:r>
        <w:br w:type="page"/>
      </w:r>
    </w:p>
    <w:p w:rsidR="00A40751" w:rsidRPr="00A40751" w:rsidRDefault="00A40751" w:rsidP="00A40751">
      <w:pPr>
        <w:pStyle w:val="Heading1"/>
      </w:pPr>
      <w:bookmarkStart w:id="127" w:name="_Toc448742094"/>
      <w:r w:rsidRPr="00A40751">
        <w:lastRenderedPageBreak/>
        <w:t>Chapter 6 – Impact of Other Data Assimilation Techniques</w:t>
      </w:r>
      <w:bookmarkEnd w:id="127"/>
    </w:p>
    <w:p w:rsidR="00A40751" w:rsidRPr="00A40751" w:rsidRDefault="000737E7" w:rsidP="00A40751">
      <w:pPr>
        <w:pStyle w:val="Heading2"/>
      </w:pPr>
      <w:bookmarkStart w:id="128" w:name="_Toc448742095"/>
      <w:r>
        <w:t>6</w:t>
      </w:r>
      <w:r w:rsidR="00A40751" w:rsidRPr="00A40751">
        <w:t>.1 Introduction and Background</w:t>
      </w:r>
      <w:bookmarkEnd w:id="128"/>
    </w:p>
    <w:p w:rsidR="00A40751" w:rsidRPr="00A40751" w:rsidRDefault="00A40751" w:rsidP="00213D89">
      <w:pPr>
        <w:pStyle w:val="NoSpacing"/>
        <w:ind w:firstLine="720"/>
      </w:pPr>
      <w:r w:rsidRPr="00A40751">
        <w:t xml:space="preserve">A primary goal of various data assimilation techniques is to produce accurate analyses by minimizing </w:t>
      </w:r>
      <w:r w:rsidR="00735771">
        <w:rPr>
          <w:rFonts w:cs="Times New Roman"/>
          <w:szCs w:val="24"/>
        </w:rPr>
        <w:t>deviations from observations while also minimizing</w:t>
      </w:r>
      <w:r w:rsidR="00735771" w:rsidRPr="00A40751">
        <w:t xml:space="preserve"> </w:t>
      </w:r>
      <w:r w:rsidRPr="00A40751">
        <w:t>imbalances</w:t>
      </w:r>
      <w:r w:rsidR="00735771">
        <w:t xml:space="preserve"> that</w:t>
      </w:r>
      <w:r w:rsidRPr="00A40751">
        <w:t xml:space="preserve"> can lead to, for example, </w:t>
      </w:r>
      <w:r w:rsidR="00D12B47">
        <w:t>spurious</w:t>
      </w:r>
      <w:r w:rsidRPr="00A40751">
        <w:t xml:space="preserve"> gravity waves, within the initial model state. In Chapter 1, a brief overview of the 3DVAR (Gao </w:t>
      </w:r>
      <w:r w:rsidR="00C565BF">
        <w:t xml:space="preserve">et al., </w:t>
      </w:r>
      <w:r w:rsidRPr="00A40751">
        <w:t>2004) and EnKF (Evensen</w:t>
      </w:r>
      <w:r w:rsidR="00C565BF">
        <w:t>,</w:t>
      </w:r>
      <w:r w:rsidRPr="00A40751">
        <w:t xml:space="preserve"> 1994) data assimilation systems was discussed, and a few benefits can be attributed to each system. However, additional data assimilation techniques within each data assimilation system may further </w:t>
      </w:r>
      <w:r w:rsidR="00033FF3">
        <w:t>increase</w:t>
      </w:r>
      <w:r w:rsidRPr="00A40751">
        <w:t xml:space="preserve"> forecast skill</w:t>
      </w:r>
      <w:r w:rsidR="00033FF3">
        <w:t xml:space="preserve"> through improved analyses</w:t>
      </w:r>
      <w:r w:rsidRPr="00A40751">
        <w:t xml:space="preserve">. One such technique, as discussed and used before, is IAU (Bloom </w:t>
      </w:r>
      <w:r w:rsidR="00C565BF">
        <w:t xml:space="preserve">et al., </w:t>
      </w:r>
      <w:r w:rsidRPr="00A40751">
        <w:t>1996). Another data assimilation method somewhat similar to the IAU technique is Newtonian relaxation, or nudging, which provides an additional way to foster a dynamically-balanced model state by making use of the observational innovation (Hoke and Anthes 1976). Both methods act to minimize the “s</w:t>
      </w:r>
      <w:r w:rsidR="00735771">
        <w:t xml:space="preserve">hock” to the model state </w:t>
      </w:r>
      <w:r w:rsidRPr="00A40751">
        <w:t xml:space="preserve">by </w:t>
      </w:r>
      <w:r w:rsidR="00735771">
        <w:t xml:space="preserve">gradually </w:t>
      </w:r>
      <w:r w:rsidRPr="00A40751">
        <w:t>updating the analysis during the data assimilation process.</w:t>
      </w:r>
    </w:p>
    <w:p w:rsidR="00A40751" w:rsidRPr="00A40751" w:rsidRDefault="00A40751" w:rsidP="00213D89">
      <w:pPr>
        <w:pStyle w:val="NoSpacing"/>
        <w:ind w:firstLine="720"/>
      </w:pPr>
      <w:r w:rsidRPr="00A40751">
        <w:t xml:space="preserve">Brewster et al. (2015) and Brewster and Stratman (2016) expand on the original IAU method by allowing for variable-dependent, temporally-weighted distributions of the </w:t>
      </w:r>
      <w:r w:rsidR="00735771">
        <w:t xml:space="preserve">increments of the </w:t>
      </w:r>
      <w:r w:rsidRPr="00A40751">
        <w:t xml:space="preserve">model state variables. Both studies determine that introducing the majority of the hydrometeor increments after the temperature, water vapor, and wind increments </w:t>
      </w:r>
      <w:r w:rsidR="00735771">
        <w:t>results in</w:t>
      </w:r>
      <w:r w:rsidRPr="00A40751">
        <w:t xml:space="preserve"> stronger vertical velocities and </w:t>
      </w:r>
      <w:r w:rsidR="00735771">
        <w:t xml:space="preserve">preserves </w:t>
      </w:r>
      <w:r w:rsidRPr="00A40751">
        <w:t xml:space="preserve">larger graupel and hail mixing ratios. The CAPS’ real-time 1-km forecast system for the Dallas-Fort Worth Urban Testbed utilizes the modified IAU method along with another data assimilation technique, </w:t>
      </w:r>
      <w:r w:rsidR="00033FF3">
        <w:t xml:space="preserve">analysis </w:t>
      </w:r>
      <w:r w:rsidRPr="00A40751">
        <w:t xml:space="preserve">cycling. The majority of storm-scale NWP studies use </w:t>
      </w:r>
      <w:r w:rsidR="00033FF3">
        <w:t xml:space="preserve">analysis </w:t>
      </w:r>
      <w:r w:rsidRPr="00A40751">
        <w:lastRenderedPageBreak/>
        <w:t xml:space="preserve">cycling to </w:t>
      </w:r>
      <w:r w:rsidR="00735771">
        <w:t>bring in observations from multiple time periods</w:t>
      </w:r>
      <w:r w:rsidRPr="00A40751">
        <w:t xml:space="preserve"> during the </w:t>
      </w:r>
      <w:r w:rsidR="00735771">
        <w:t xml:space="preserve">data </w:t>
      </w:r>
      <w:r w:rsidRPr="00A40751">
        <w:t xml:space="preserve">assimilation process. While some forecast systems use continuously cycled analysis systems (e.g., Sobash and Stensrud, 2015), the CAPS’ real-time 1-km forecast system uses two assimilation cycles with 10-min windows. Also, as described in Brewster and Stratman (2016), each assimilation cycle employs a different set of increment distributions. In this chapter, the </w:t>
      </w:r>
      <w:r w:rsidR="00033FF3">
        <w:t xml:space="preserve">analysis </w:t>
      </w:r>
      <w:r w:rsidRPr="00A40751">
        <w:t>cycling and variable-dependent IAU techniques will be examined using the various forecast verification techniques.</w:t>
      </w:r>
    </w:p>
    <w:p w:rsidR="00A40751" w:rsidRPr="00790220" w:rsidRDefault="00790220" w:rsidP="00790220">
      <w:pPr>
        <w:rPr>
          <w:rFonts w:ascii="Times New Roman" w:hAnsi="Times New Roman"/>
          <w:sz w:val="24"/>
        </w:rPr>
      </w:pPr>
      <w:r>
        <w:br w:type="page"/>
      </w:r>
    </w:p>
    <w:p w:rsidR="00A40751" w:rsidRPr="00A40751" w:rsidRDefault="000737E7" w:rsidP="00A40751">
      <w:pPr>
        <w:pStyle w:val="Heading2"/>
      </w:pPr>
      <w:bookmarkStart w:id="129" w:name="_Toc448742096"/>
      <w:r>
        <w:lastRenderedPageBreak/>
        <w:t>6</w:t>
      </w:r>
      <w:r w:rsidR="00D12B47">
        <w:t>.2 Experiment</w:t>
      </w:r>
      <w:r w:rsidR="00A40751" w:rsidRPr="00A40751">
        <w:t xml:space="preserve"> Design</w:t>
      </w:r>
      <w:bookmarkEnd w:id="129"/>
    </w:p>
    <w:p w:rsidR="00A40751" w:rsidRPr="00A40751" w:rsidRDefault="00A40751" w:rsidP="00213D89">
      <w:pPr>
        <w:pStyle w:val="NoSpacing"/>
        <w:ind w:firstLine="720"/>
      </w:pPr>
      <w:r w:rsidRPr="00A40751">
        <w:t>For this set of numerical experiments, the same model configurations as in Chapter 4 are used with the same microphysically-diverse set of simulations. To examine the potential benefits of cycling, a set of simulations is initialized from analyses created from two 5-min analysis cycles (Cycling) using the same IAU method as the Control runs (</w:t>
      </w:r>
      <w:r w:rsidRPr="00A40751">
        <w:fldChar w:fldCharType="begin"/>
      </w:r>
      <w:r w:rsidRPr="00A40751">
        <w:instrText xml:space="preserve"> REF _Ref447018364 \h  \* MERGEFORMAT </w:instrText>
      </w:r>
      <w:r w:rsidRPr="00A40751">
        <w:fldChar w:fldCharType="separate"/>
      </w:r>
      <w:r w:rsidR="00F7579D" w:rsidRPr="00A40751">
        <w:t xml:space="preserve">Figure </w:t>
      </w:r>
      <w:r w:rsidR="00F7579D">
        <w:t>43</w:t>
      </w:r>
      <w:r w:rsidRPr="00A40751">
        <w:fldChar w:fldCharType="end"/>
      </w:r>
      <w:r w:rsidRPr="00A40751">
        <w:t xml:space="preserve">a). The first analysis cycle begins 10 min prior to the start of the simulations (e.g., 2050 UTC for simulations starting at 2100 UTC). To explore the potential benefits of varying the temporal distributions for each state variable’s increments, a set of simulations is initialized from the modified IAU (ModIAU) using the temporally-weighted distributions in </w:t>
      </w:r>
      <w:r w:rsidRPr="00A40751">
        <w:fldChar w:fldCharType="begin"/>
      </w:r>
      <w:r w:rsidRPr="00A40751">
        <w:instrText xml:space="preserve"> REF _Ref447018364 \h  \* MERGEFORMAT </w:instrText>
      </w:r>
      <w:r w:rsidRPr="00A40751">
        <w:fldChar w:fldCharType="separate"/>
      </w:r>
      <w:r w:rsidR="00F7579D" w:rsidRPr="00A40751">
        <w:t xml:space="preserve">Figure </w:t>
      </w:r>
      <w:r w:rsidR="00F7579D">
        <w:t>43</w:t>
      </w:r>
      <w:r w:rsidRPr="00A40751">
        <w:fldChar w:fldCharType="end"/>
      </w:r>
      <w:r w:rsidRPr="00A40751">
        <w:t>b, where the hydrometeor fields’ increments are introduced during the second half of the</w:t>
      </w:r>
      <w:r w:rsidR="00735771">
        <w:t xml:space="preserve"> IAU window. Unlike the</w:t>
      </w:r>
      <w:r w:rsidRPr="00A40751">
        <w:t xml:space="preserve"> IAU </w:t>
      </w:r>
      <w:r w:rsidR="00735771">
        <w:t>process used in the experiments in Chapters 4 and 5</w:t>
      </w:r>
      <w:r w:rsidRPr="00A40751">
        <w:t xml:space="preserve">, where increments </w:t>
      </w:r>
      <w:r w:rsidR="006776FE">
        <w:t>were</w:t>
      </w:r>
      <w:r w:rsidRPr="00A40751">
        <w:t xml:space="preserve"> introduced every 20 s, the modified IAU </w:t>
      </w:r>
      <w:r w:rsidR="003D6070">
        <w:t>process</w:t>
      </w:r>
      <w:r w:rsidRPr="00A40751">
        <w:t xml:space="preserve"> </w:t>
      </w:r>
      <w:r w:rsidR="00735771">
        <w:t>used in these experi</w:t>
      </w:r>
      <w:r w:rsidR="003D6070">
        <w:t xml:space="preserve">ments </w:t>
      </w:r>
      <w:r w:rsidRPr="00A40751">
        <w:t>introduces increments every 26 s</w:t>
      </w:r>
      <w:r w:rsidR="00033FF3">
        <w:t xml:space="preserve"> to better </w:t>
      </w:r>
      <w:r w:rsidR="00184033">
        <w:t>accommodate</w:t>
      </w:r>
      <w:r w:rsidR="00033FF3">
        <w:t xml:space="preserve"> the temporal</w:t>
      </w:r>
      <w:r w:rsidR="003D6070">
        <w:t>ly-weighted</w:t>
      </w:r>
      <w:r w:rsidR="00033FF3">
        <w:t xml:space="preserve"> distributions</w:t>
      </w:r>
      <w:r w:rsidRPr="00A40751">
        <w:t xml:space="preserve">. Finally, as in Brewster and Stratman (2015), a set of simulations is initialized using </w:t>
      </w:r>
      <w:r w:rsidR="00920C84">
        <w:t xml:space="preserve">both </w:t>
      </w:r>
      <w:r w:rsidRPr="00A40751">
        <w:t xml:space="preserve">the </w:t>
      </w:r>
      <w:r w:rsidR="00033FF3">
        <w:t xml:space="preserve">analysis </w:t>
      </w:r>
      <w:r w:rsidRPr="00A40751">
        <w:t xml:space="preserve">cycling and modified IAU techniques (CyModIAU). The first 5-min analysis cycle uses the </w:t>
      </w:r>
      <w:r w:rsidR="00920C84">
        <w:t xml:space="preserve">same </w:t>
      </w:r>
      <w:r w:rsidRPr="00A40751">
        <w:t>temporally-weighted distributions in</w:t>
      </w:r>
      <w:r w:rsidR="00920C84">
        <w:t xml:space="preserve"> the ModIAU runs</w:t>
      </w:r>
      <w:r w:rsidRPr="00A40751">
        <w:t>, and the seco</w:t>
      </w:r>
      <w:r w:rsidR="00920C84">
        <w:t>nd 5-min analysis cycle uses a slightly different set of distributions</w:t>
      </w:r>
      <w:r w:rsidRPr="00A40751">
        <w:t xml:space="preserve"> </w:t>
      </w:r>
      <w:r w:rsidR="00920C84">
        <w:t>(</w:t>
      </w:r>
      <w:r w:rsidRPr="00A40751">
        <w:fldChar w:fldCharType="begin"/>
      </w:r>
      <w:r w:rsidRPr="00A40751">
        <w:instrText xml:space="preserve"> REF _Ref447018364 \h  \* MERGEFORMAT </w:instrText>
      </w:r>
      <w:r w:rsidRPr="00A40751">
        <w:fldChar w:fldCharType="separate"/>
      </w:r>
      <w:r w:rsidR="00F7579D" w:rsidRPr="00A40751">
        <w:t xml:space="preserve">Figure </w:t>
      </w:r>
      <w:r w:rsidR="00F7579D">
        <w:t>43</w:t>
      </w:r>
      <w:r w:rsidRPr="00A40751">
        <w:fldChar w:fldCharType="end"/>
      </w:r>
      <w:r w:rsidRPr="00A40751">
        <w:t>c</w:t>
      </w:r>
      <w:r w:rsidR="00920C84">
        <w:t>)</w:t>
      </w:r>
      <w:r w:rsidRPr="00A40751">
        <w:t xml:space="preserve">. </w:t>
      </w:r>
      <w:r w:rsidR="003D6070">
        <w:t>The use of the analysis cycling and IAU</w:t>
      </w:r>
      <w:r w:rsidRPr="00A40751">
        <w:t xml:space="preserve"> techniques require very little additional computational cost, so even small improvements in forecast skill will be considered worthwhile for futur</w:t>
      </w:r>
      <w:r w:rsidR="00D12B47">
        <w:t>e implementation in</w:t>
      </w:r>
      <w:r w:rsidR="00033FF3">
        <w:t xml:space="preserve"> real-time </w:t>
      </w:r>
      <w:r w:rsidRPr="00A40751">
        <w:t>systems.</w:t>
      </w:r>
    </w:p>
    <w:p w:rsidR="00A40751" w:rsidRPr="00A40751" w:rsidRDefault="00920C84" w:rsidP="00A40751">
      <w:pPr>
        <w:keepNext/>
        <w:spacing w:after="0" w:line="480" w:lineRule="auto"/>
        <w:jc w:val="center"/>
      </w:pPr>
      <w:r>
        <w:rPr>
          <w:noProof/>
        </w:rPr>
        <w:lastRenderedPageBreak/>
        <w:drawing>
          <wp:inline distT="0" distB="0" distL="0" distR="0" wp14:anchorId="782F1EF3" wp14:editId="42C3398D">
            <wp:extent cx="4243184" cy="49320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AU_figure.png"/>
                    <pic:cNvPicPr/>
                  </pic:nvPicPr>
                  <pic:blipFill>
                    <a:blip r:embed="rId57">
                      <a:extLst>
                        <a:ext uri="{28A0092B-C50C-407E-A947-70E740481C1C}">
                          <a14:useLocalDpi xmlns:a14="http://schemas.microsoft.com/office/drawing/2010/main" val="0"/>
                        </a:ext>
                      </a:extLst>
                    </a:blip>
                    <a:stretch>
                      <a:fillRect/>
                    </a:stretch>
                  </pic:blipFill>
                  <pic:spPr>
                    <a:xfrm>
                      <a:off x="0" y="0"/>
                      <a:ext cx="4243184" cy="4932091"/>
                    </a:xfrm>
                    <a:prstGeom prst="rect">
                      <a:avLst/>
                    </a:prstGeom>
                  </pic:spPr>
                </pic:pic>
              </a:graphicData>
            </a:graphic>
          </wp:inline>
        </w:drawing>
      </w:r>
    </w:p>
    <w:p w:rsidR="00A40751" w:rsidRPr="00A40751" w:rsidRDefault="00A40751" w:rsidP="00A40751">
      <w:pPr>
        <w:pStyle w:val="Captions"/>
      </w:pPr>
      <w:bookmarkStart w:id="130" w:name="_Ref447018364"/>
      <w:bookmarkStart w:id="131" w:name="_Toc450593123"/>
      <w:r w:rsidRPr="00A40751">
        <w:t xml:space="preserve">Figure </w:t>
      </w:r>
      <w:fldSimple w:instr=" SEQ Figure \* ARABIC ">
        <w:r w:rsidR="00F7579D">
          <w:rPr>
            <w:noProof/>
          </w:rPr>
          <w:t>43</w:t>
        </w:r>
      </w:fldSimple>
      <w:bookmarkEnd w:id="130"/>
      <w:r w:rsidRPr="00A40751">
        <w:t xml:space="preserve">. Schematic of the temporally-weighted distributions of increments for the (a) </w:t>
      </w:r>
      <w:r w:rsidR="00920C84">
        <w:t>Cycling runs</w:t>
      </w:r>
      <w:r w:rsidRPr="00A40751">
        <w:t xml:space="preserve">, (b) </w:t>
      </w:r>
      <w:r w:rsidR="00920C84">
        <w:t>ModIAU runs</w:t>
      </w:r>
      <w:r w:rsidRPr="00A40751">
        <w:t xml:space="preserve">, and (c) </w:t>
      </w:r>
      <w:r w:rsidR="00920C84">
        <w:t>CyModIAU runs</w:t>
      </w:r>
      <w:r w:rsidRPr="00A40751">
        <w:t>.</w:t>
      </w:r>
      <w:bookmarkEnd w:id="131"/>
    </w:p>
    <w:p w:rsidR="00A40751" w:rsidRPr="00A40751" w:rsidRDefault="00790220" w:rsidP="00790220">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0737E7" w:rsidP="00A40751">
      <w:pPr>
        <w:pStyle w:val="Heading2"/>
      </w:pPr>
      <w:bookmarkStart w:id="132" w:name="_Toc448742097"/>
      <w:r>
        <w:lastRenderedPageBreak/>
        <w:t>6</w:t>
      </w:r>
      <w:r w:rsidR="00A40751" w:rsidRPr="00A40751">
        <w:t>.3 Observation Point-Based Results</w:t>
      </w:r>
      <w:bookmarkEnd w:id="132"/>
    </w:p>
    <w:p w:rsidR="00A40751" w:rsidRPr="00A40751" w:rsidRDefault="00A40751" w:rsidP="00213D89">
      <w:pPr>
        <w:pStyle w:val="NoSpacing"/>
        <w:ind w:firstLine="720"/>
      </w:pPr>
      <w:r w:rsidRPr="00A40751">
        <w:t>For the Cycling runs, LIN3 and WSM6 mostly have larger RMSEs than the Control runs, esp</w:t>
      </w:r>
      <w:r w:rsidR="003D6070">
        <w:t>ecially for temperature (i.e., more than</w:t>
      </w:r>
      <w:r w:rsidRPr="00A40751">
        <w:t xml:space="preserve"> 0.25°C larger), but MYDM and MYTM have smaller RMSEs for all variables, except for pressure (</w:t>
      </w:r>
      <w:r w:rsidRPr="00A40751">
        <w:fldChar w:fldCharType="begin"/>
      </w:r>
      <w:r w:rsidRPr="00A40751">
        <w:instrText xml:space="preserve"> REF _Ref447023493 \h  \* MERGEFORMAT </w:instrText>
      </w:r>
      <w:r w:rsidRPr="00A40751">
        <w:fldChar w:fldCharType="separate"/>
      </w:r>
      <w:r w:rsidR="00F7579D" w:rsidRPr="00A40751">
        <w:t xml:space="preserve">Figure </w:t>
      </w:r>
      <w:r w:rsidR="00F7579D">
        <w:t>44</w:t>
      </w:r>
      <w:r w:rsidRPr="00A40751">
        <w:fldChar w:fldCharType="end"/>
      </w:r>
      <w:r w:rsidRPr="00A40751">
        <w:t>). Besides the MY schemes’ RMSEs for temperature, the ModIAU runs generally experience smaller RMSEs than the Control runs (</w:t>
      </w:r>
      <w:r w:rsidRPr="00A40751">
        <w:fldChar w:fldCharType="begin"/>
      </w:r>
      <w:r w:rsidRPr="00A40751">
        <w:instrText xml:space="preserve"> REF _Ref447023863 \h  \* MERGEFORMAT </w:instrText>
      </w:r>
      <w:r w:rsidRPr="00A40751">
        <w:fldChar w:fldCharType="separate"/>
      </w:r>
      <w:r w:rsidR="00F7579D" w:rsidRPr="00F7579D">
        <w:t>Figure 45</w:t>
      </w:r>
      <w:r w:rsidRPr="00A40751">
        <w:fldChar w:fldCharType="end"/>
      </w:r>
      <w:r w:rsidRPr="00A40751">
        <w:t>). All of the microphysics schemes’ CyModIAU runs result in larger temperature RMSEs than the Control runs, especially WSM6, but all of the schemes’ CyModIAU runs result in substantially smaller RMSEs for dewpoint temperature, especially LIN3 and the MY schemes (</w:t>
      </w:r>
      <w:r w:rsidRPr="00A40751">
        <w:fldChar w:fldCharType="begin"/>
      </w:r>
      <w:r w:rsidRPr="00A40751">
        <w:instrText xml:space="preserve"> REF _Ref447026999 \h  \* MERGEFORMAT </w:instrText>
      </w:r>
      <w:r w:rsidRPr="00A40751">
        <w:fldChar w:fldCharType="separate"/>
      </w:r>
      <w:r w:rsidR="00F7579D" w:rsidRPr="00F7579D">
        <w:t>Figure 46</w:t>
      </w:r>
      <w:r w:rsidRPr="00A40751">
        <w:fldChar w:fldCharType="end"/>
      </w:r>
      <w:r w:rsidRPr="00A40751">
        <w:t>). Also, the MY schemes’ RMSEs for u-wind and v-wind are substantially smaller.</w:t>
      </w:r>
    </w:p>
    <w:p w:rsidR="00A40751" w:rsidRPr="00A40751" w:rsidRDefault="00A40751" w:rsidP="00213D89">
      <w:pPr>
        <w:pStyle w:val="NoSpacing"/>
        <w:ind w:firstLine="720"/>
      </w:pPr>
      <w:r w:rsidRPr="00A40751">
        <w:t>For all microphysics schemes and near-surface variables, the Cycling runs have linear regression slopes closer to 1 than the Control runs (</w:t>
      </w:r>
      <w:r w:rsidRPr="00A40751">
        <w:fldChar w:fldCharType="begin"/>
      </w:r>
      <w:r w:rsidRPr="00A40751">
        <w:instrText xml:space="preserve"> REF _Ref447031116 \h  \* MERGEFORMAT </w:instrText>
      </w:r>
      <w:r w:rsidRPr="00A40751">
        <w:fldChar w:fldCharType="separate"/>
      </w:r>
      <w:r w:rsidR="00F7579D" w:rsidRPr="00A40751">
        <w:t xml:space="preserve">Figure </w:t>
      </w:r>
      <w:r w:rsidR="00F7579D">
        <w:t>47</w:t>
      </w:r>
      <w:r w:rsidRPr="00A40751">
        <w:fldChar w:fldCharType="end"/>
      </w:r>
      <w:r w:rsidRPr="00A40751">
        <w:t xml:space="preserve">). However, the </w:t>
      </w:r>
      <w:r w:rsidRPr="00094531">
        <w:rPr>
          <w:i/>
        </w:rPr>
        <w:t>R</w:t>
      </w:r>
      <w:r w:rsidRPr="00094531">
        <w:rPr>
          <w:i/>
          <w:vertAlign w:val="superscript"/>
        </w:rPr>
        <w:t>2</w:t>
      </w:r>
      <w:r w:rsidRPr="00A40751">
        <w:t xml:space="preserve"> values depict mixed results with smaller </w:t>
      </w:r>
      <w:r w:rsidRPr="00094531">
        <w:rPr>
          <w:i/>
        </w:rPr>
        <w:t>R</w:t>
      </w:r>
      <w:r w:rsidRPr="00094531">
        <w:rPr>
          <w:i/>
          <w:vertAlign w:val="superscript"/>
        </w:rPr>
        <w:t>2</w:t>
      </w:r>
      <w:r w:rsidRPr="00A40751">
        <w:t xml:space="preserve"> values for temperature and u-wind for the single-moment schemes and larger </w:t>
      </w:r>
      <w:r w:rsidRPr="00094531">
        <w:rPr>
          <w:i/>
        </w:rPr>
        <w:t>R</w:t>
      </w:r>
      <w:r w:rsidRPr="00094531">
        <w:rPr>
          <w:i/>
          <w:vertAlign w:val="superscript"/>
        </w:rPr>
        <w:t>2</w:t>
      </w:r>
      <w:r w:rsidRPr="00A40751">
        <w:t xml:space="preserve"> values for v-wind for the MY schemes. Also of note, all of the simulations appear to be colder in the Cycling runs than in the Control runs for temperatures less than 30°C, and the runs using LIN3 and WSM6 depict an increase in the number of forecasted</w:t>
      </w:r>
      <w:r w:rsidR="003D6070">
        <w:t xml:space="preserve"> near-surface</w:t>
      </w:r>
      <w:r w:rsidRPr="00A40751">
        <w:t xml:space="preserve"> temperatures between 18 and 21°C (</w:t>
      </w:r>
      <w:r w:rsidRPr="00A40751">
        <w:fldChar w:fldCharType="begin"/>
      </w:r>
      <w:r w:rsidRPr="00A40751">
        <w:instrText xml:space="preserve"> REF _Ref447031116 \h  \* MERGEFORMAT </w:instrText>
      </w:r>
      <w:r w:rsidRPr="00A40751">
        <w:fldChar w:fldCharType="separate"/>
      </w:r>
      <w:r w:rsidR="00F7579D" w:rsidRPr="00A40751">
        <w:t xml:space="preserve">Figure </w:t>
      </w:r>
      <w:r w:rsidR="00F7579D">
        <w:t>47</w:t>
      </w:r>
      <w:r w:rsidRPr="00A40751">
        <w:fldChar w:fldCharType="end"/>
      </w:r>
      <w:r w:rsidRPr="00A40751">
        <w:t xml:space="preserve">a). Interestingly, the PDFs for v-wind for all of the schemes is less </w:t>
      </w:r>
      <w:r w:rsidR="003D6070">
        <w:t xml:space="preserve">narrow </w:t>
      </w:r>
      <w:r w:rsidRPr="00A40751">
        <w:t>and closer to the observed v-wind PDF (</w:t>
      </w:r>
      <w:r w:rsidRPr="00A40751">
        <w:fldChar w:fldCharType="begin"/>
      </w:r>
      <w:r w:rsidRPr="00A40751">
        <w:instrText xml:space="preserve"> REF _Ref447031116 \h  \* MERGEFORMAT </w:instrText>
      </w:r>
      <w:r w:rsidRPr="00A40751">
        <w:fldChar w:fldCharType="separate"/>
      </w:r>
      <w:r w:rsidR="00F7579D" w:rsidRPr="00A40751">
        <w:t xml:space="preserve">Figure </w:t>
      </w:r>
      <w:r w:rsidR="00F7579D">
        <w:t>47</w:t>
      </w:r>
      <w:r w:rsidRPr="00A40751">
        <w:fldChar w:fldCharType="end"/>
      </w:r>
      <w:r w:rsidRPr="00A40751">
        <w:t xml:space="preserve">d). The ModIAU runs exhibit small differences from the Control runs for both slopes and </w:t>
      </w:r>
      <w:r w:rsidRPr="00094531">
        <w:rPr>
          <w:i/>
        </w:rPr>
        <w:t>R</w:t>
      </w:r>
      <w:r w:rsidRPr="00094531">
        <w:rPr>
          <w:i/>
          <w:vertAlign w:val="superscript"/>
        </w:rPr>
        <w:t>2</w:t>
      </w:r>
      <w:r w:rsidRPr="00A40751">
        <w:t xml:space="preserve"> values (</w:t>
      </w:r>
      <w:r w:rsidRPr="00A40751">
        <w:fldChar w:fldCharType="begin"/>
      </w:r>
      <w:r w:rsidRPr="00A40751">
        <w:instrText xml:space="preserve"> REF _Ref447031166 \h  \* MERGEFORMAT </w:instrText>
      </w:r>
      <w:r w:rsidRPr="00A40751">
        <w:fldChar w:fldCharType="separate"/>
      </w:r>
      <w:r w:rsidR="00F7579D" w:rsidRPr="00A40751">
        <w:t xml:space="preserve">Figure </w:t>
      </w:r>
      <w:r w:rsidR="00F7579D">
        <w:t>48</w:t>
      </w:r>
      <w:r w:rsidRPr="00A40751">
        <w:fldChar w:fldCharType="end"/>
      </w:r>
      <w:r w:rsidRPr="00A40751">
        <w:t xml:space="preserve">). Except for the MY schemes’ slopes for temperature, the CyModIAU runs result in slopes closer to 1 for all variables, and the </w:t>
      </w:r>
      <w:r w:rsidRPr="00094531">
        <w:rPr>
          <w:i/>
        </w:rPr>
        <w:t>R</w:t>
      </w:r>
      <w:r w:rsidRPr="00094531">
        <w:rPr>
          <w:i/>
          <w:vertAlign w:val="superscript"/>
        </w:rPr>
        <w:t>2</w:t>
      </w:r>
      <w:r w:rsidRPr="00A40751">
        <w:t xml:space="preserve"> values are mostly larger for the MY schemes and mixed for LIN3 and WSM6 (</w:t>
      </w:r>
      <w:r w:rsidRPr="00A40751">
        <w:fldChar w:fldCharType="begin"/>
      </w:r>
      <w:r w:rsidRPr="00A40751">
        <w:instrText xml:space="preserve"> REF _Ref447031172 \h  \* MERGEFORMAT </w:instrText>
      </w:r>
      <w:r w:rsidRPr="00A40751">
        <w:fldChar w:fldCharType="separate"/>
      </w:r>
      <w:r w:rsidR="00F7579D" w:rsidRPr="00A40751">
        <w:t xml:space="preserve">Figure </w:t>
      </w:r>
      <w:r w:rsidR="00F7579D">
        <w:t>49</w:t>
      </w:r>
      <w:r w:rsidRPr="00A40751">
        <w:fldChar w:fldCharType="end"/>
      </w:r>
      <w:r w:rsidRPr="00A40751">
        <w:t>).</w:t>
      </w:r>
    </w:p>
    <w:p w:rsidR="00A40751" w:rsidRDefault="00A40751" w:rsidP="00213D89">
      <w:pPr>
        <w:pStyle w:val="NoSpacing"/>
        <w:ind w:firstLine="720"/>
      </w:pPr>
      <w:r w:rsidRPr="00A40751">
        <w:lastRenderedPageBreak/>
        <w:t xml:space="preserve">Overall, analysis cycling improves some aspects of the forecasts of the near-surface variables, and the modified IAU technique improves similar and other aspects of the same forecasts. The CyModIAU runs’ forecasts of the near-surface variables resemble a combination of both the Cycling and ModIAU runs. Analysis cycling in both the Cycling and CyModIAU runs leads to colder and larger cold pools, especially for LIN3 and WSM6, likely due larger areas of convection and cloud cover, as will be shown in the </w:t>
      </w:r>
      <w:r w:rsidR="00554F48">
        <w:t>Section 5.4</w:t>
      </w:r>
      <w:r w:rsidRPr="00A40751">
        <w:t>. Additionally, both analysis cycling and the modified IAU contribute to better forecasts of the near-surface winds for the MY schemes in the CyModIAU runs.</w:t>
      </w:r>
    </w:p>
    <w:p w:rsidR="00554F48" w:rsidRPr="00A40751" w:rsidRDefault="00554F48" w:rsidP="00554F48">
      <w:pPr>
        <w:pStyle w:val="NoSpacing"/>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5683B801" wp14:editId="1636D9C7">
            <wp:extent cx="5303520" cy="53035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mse_mesonet_cycling.png"/>
                    <pic:cNvPicPr/>
                  </pic:nvPicPr>
                  <pic:blipFill>
                    <a:blip r:embed="rId58">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pPr>
      <w:bookmarkStart w:id="133" w:name="_Ref447023493"/>
      <w:bookmarkStart w:id="134" w:name="_Toc450593124"/>
      <w:r w:rsidRPr="00A40751">
        <w:t xml:space="preserve">Figure </w:t>
      </w:r>
      <w:fldSimple w:instr=" SEQ Figure \* ARABIC ">
        <w:r w:rsidR="00F7579D">
          <w:rPr>
            <w:noProof/>
          </w:rPr>
          <w:t>44</w:t>
        </w:r>
      </w:fldSimple>
      <w:bookmarkEnd w:id="133"/>
      <w:r w:rsidR="00213D89">
        <w:t xml:space="preserve">. Same as for </w:t>
      </w:r>
      <w:r w:rsidR="00213D89">
        <w:fldChar w:fldCharType="begin"/>
      </w:r>
      <w:r w:rsidR="00213D89">
        <w:instrText xml:space="preserve"> REF _Ref438406711 \h </w:instrText>
      </w:r>
      <w:r w:rsidR="00213D89">
        <w:fldChar w:fldCharType="separate"/>
      </w:r>
      <w:r w:rsidR="00F7579D" w:rsidRPr="00A82336">
        <w:t xml:space="preserve">Figure </w:t>
      </w:r>
      <w:r w:rsidR="00F7579D">
        <w:rPr>
          <w:noProof/>
        </w:rPr>
        <w:t>11</w:t>
      </w:r>
      <w:r w:rsidR="00213D89">
        <w:fldChar w:fldCharType="end"/>
      </w:r>
      <w:r w:rsidRPr="00A40751">
        <w:t xml:space="preserve"> in Chapter 4, but for Cycling.</w:t>
      </w:r>
      <w:bookmarkEnd w:id="134"/>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514D71D9" wp14:editId="23156168">
            <wp:extent cx="5303520" cy="53035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mse_mesonet_modiau.png"/>
                    <pic:cNvPicPr/>
                  </pic:nvPicPr>
                  <pic:blipFill>
                    <a:blip r:embed="rId59">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 w:val="28"/>
          <w:szCs w:val="24"/>
        </w:rPr>
      </w:pPr>
      <w:bookmarkStart w:id="135" w:name="_Ref447023863"/>
      <w:bookmarkStart w:id="136" w:name="_Toc450593125"/>
      <w:r w:rsidRPr="00A40751">
        <w:rPr>
          <w:szCs w:val="18"/>
        </w:rPr>
        <w:t xml:space="preserve">Figure </w:t>
      </w:r>
      <w:r w:rsidRPr="00A40751">
        <w:rPr>
          <w:szCs w:val="18"/>
        </w:rPr>
        <w:fldChar w:fldCharType="begin"/>
      </w:r>
      <w:r w:rsidRPr="00A40751">
        <w:rPr>
          <w:szCs w:val="18"/>
        </w:rPr>
        <w:instrText xml:space="preserve"> SEQ Figure \* ARABIC </w:instrText>
      </w:r>
      <w:r w:rsidRPr="00A40751">
        <w:rPr>
          <w:szCs w:val="18"/>
        </w:rPr>
        <w:fldChar w:fldCharType="separate"/>
      </w:r>
      <w:r w:rsidR="00F7579D">
        <w:rPr>
          <w:noProof/>
          <w:szCs w:val="18"/>
        </w:rPr>
        <w:t>45</w:t>
      </w:r>
      <w:r w:rsidRPr="00A40751">
        <w:rPr>
          <w:szCs w:val="18"/>
        </w:rPr>
        <w:fldChar w:fldCharType="end"/>
      </w:r>
      <w:bookmarkEnd w:id="135"/>
      <w:r w:rsidRPr="00A40751">
        <w:rPr>
          <w:szCs w:val="18"/>
        </w:rPr>
        <w:t xml:space="preserve">. </w:t>
      </w:r>
      <w:r w:rsidR="00213D89">
        <w:t xml:space="preserve">Same as for </w:t>
      </w:r>
      <w:r w:rsidR="00213D89">
        <w:fldChar w:fldCharType="begin"/>
      </w:r>
      <w:r w:rsidR="00213D89">
        <w:instrText xml:space="preserve"> REF _Ref438406711 \h </w:instrText>
      </w:r>
      <w:r w:rsidR="00213D89">
        <w:fldChar w:fldCharType="separate"/>
      </w:r>
      <w:r w:rsidR="00F7579D" w:rsidRPr="00A82336">
        <w:t xml:space="preserve">Figure </w:t>
      </w:r>
      <w:r w:rsidR="00F7579D">
        <w:rPr>
          <w:noProof/>
        </w:rPr>
        <w:t>11</w:t>
      </w:r>
      <w:r w:rsidR="00213D89">
        <w:fldChar w:fldCharType="end"/>
      </w:r>
      <w:r w:rsidRPr="00A40751">
        <w:t xml:space="preserve"> in Chapter 4, but for ModIAU.</w:t>
      </w:r>
      <w:bookmarkEnd w:id="136"/>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0646A8E1" wp14:editId="5FC967E6">
            <wp:extent cx="5303520" cy="53035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mse_mesonet_cymodiau.png"/>
                    <pic:cNvPicPr/>
                  </pic:nvPicPr>
                  <pic:blipFill>
                    <a:blip r:embed="rId60">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 w:val="28"/>
          <w:szCs w:val="24"/>
        </w:rPr>
      </w:pPr>
      <w:bookmarkStart w:id="137" w:name="_Ref447026999"/>
      <w:bookmarkStart w:id="138" w:name="_Toc450593126"/>
      <w:r w:rsidRPr="00A40751">
        <w:rPr>
          <w:szCs w:val="18"/>
        </w:rPr>
        <w:t xml:space="preserve">Figure </w:t>
      </w:r>
      <w:r w:rsidRPr="00A40751">
        <w:rPr>
          <w:szCs w:val="18"/>
        </w:rPr>
        <w:fldChar w:fldCharType="begin"/>
      </w:r>
      <w:r w:rsidRPr="00A40751">
        <w:rPr>
          <w:szCs w:val="18"/>
        </w:rPr>
        <w:instrText xml:space="preserve"> SEQ Figure \* ARABIC </w:instrText>
      </w:r>
      <w:r w:rsidRPr="00A40751">
        <w:rPr>
          <w:szCs w:val="18"/>
        </w:rPr>
        <w:fldChar w:fldCharType="separate"/>
      </w:r>
      <w:r w:rsidR="00F7579D">
        <w:rPr>
          <w:noProof/>
          <w:szCs w:val="18"/>
        </w:rPr>
        <w:t>46</w:t>
      </w:r>
      <w:r w:rsidRPr="00A40751">
        <w:rPr>
          <w:szCs w:val="18"/>
        </w:rPr>
        <w:fldChar w:fldCharType="end"/>
      </w:r>
      <w:bookmarkEnd w:id="137"/>
      <w:r w:rsidRPr="00A40751">
        <w:rPr>
          <w:szCs w:val="18"/>
        </w:rPr>
        <w:t xml:space="preserve">. </w:t>
      </w:r>
      <w:r w:rsidR="00213D89">
        <w:t xml:space="preserve">Same as for </w:t>
      </w:r>
      <w:r w:rsidR="00213D89">
        <w:fldChar w:fldCharType="begin"/>
      </w:r>
      <w:r w:rsidR="00213D89">
        <w:instrText xml:space="preserve"> REF _Ref438406711 \h </w:instrText>
      </w:r>
      <w:r w:rsidR="00213D89">
        <w:fldChar w:fldCharType="separate"/>
      </w:r>
      <w:r w:rsidR="00F7579D" w:rsidRPr="00A82336">
        <w:t xml:space="preserve">Figure </w:t>
      </w:r>
      <w:r w:rsidR="00F7579D">
        <w:rPr>
          <w:noProof/>
        </w:rPr>
        <w:t>11</w:t>
      </w:r>
      <w:r w:rsidR="00213D89">
        <w:fldChar w:fldCharType="end"/>
      </w:r>
      <w:r w:rsidRPr="00A40751">
        <w:t xml:space="preserve"> in Chapter 4, but for CyModIAU.</w:t>
      </w:r>
      <w:bookmarkEnd w:id="138"/>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4CA3CA2E" wp14:editId="42902891">
            <wp:extent cx="5303520" cy="53035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nreg_mesonet_cycling.png"/>
                    <pic:cNvPicPr/>
                  </pic:nvPicPr>
                  <pic:blipFill>
                    <a:blip r:embed="rId61">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pPr>
      <w:bookmarkStart w:id="139" w:name="_Ref447031116"/>
      <w:bookmarkStart w:id="140" w:name="_Toc450593127"/>
      <w:r w:rsidRPr="00A40751">
        <w:t xml:space="preserve">Figure </w:t>
      </w:r>
      <w:fldSimple w:instr=" SEQ Figure \* ARABIC ">
        <w:r w:rsidR="00F7579D">
          <w:rPr>
            <w:noProof/>
          </w:rPr>
          <w:t>47</w:t>
        </w:r>
      </w:fldSimple>
      <w:bookmarkEnd w:id="139"/>
      <w:r w:rsidR="00213D89">
        <w:t xml:space="preserve">. Same as for </w:t>
      </w:r>
      <w:r w:rsidR="00213D89">
        <w:fldChar w:fldCharType="begin"/>
      </w:r>
      <w:r w:rsidR="00213D89">
        <w:instrText xml:space="preserve"> REF _Ref439680899 \h </w:instrText>
      </w:r>
      <w:r w:rsidR="00213D89">
        <w:fldChar w:fldCharType="separate"/>
      </w:r>
      <w:r w:rsidR="00F7579D" w:rsidRPr="00A82336">
        <w:t xml:space="preserve">Figure </w:t>
      </w:r>
      <w:r w:rsidR="00F7579D">
        <w:rPr>
          <w:noProof/>
        </w:rPr>
        <w:t>12</w:t>
      </w:r>
      <w:r w:rsidR="00213D89">
        <w:fldChar w:fldCharType="end"/>
      </w:r>
      <w:r w:rsidRPr="00A40751">
        <w:t xml:space="preserve"> in Chapter 4, but for Cycling.</w:t>
      </w:r>
      <w:bookmarkEnd w:id="140"/>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2F71250F" wp14:editId="22A776E2">
            <wp:extent cx="5303520" cy="53035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nreg_mesonet_modiau.png"/>
                    <pic:cNvPicPr/>
                  </pic:nvPicPr>
                  <pic:blipFill>
                    <a:blip r:embed="rId62">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pPr>
      <w:bookmarkStart w:id="141" w:name="_Ref447031166"/>
      <w:bookmarkStart w:id="142" w:name="_Toc450593128"/>
      <w:r w:rsidRPr="00A40751">
        <w:t xml:space="preserve">Figure </w:t>
      </w:r>
      <w:fldSimple w:instr=" SEQ Figure \* ARABIC ">
        <w:r w:rsidR="00F7579D">
          <w:rPr>
            <w:noProof/>
          </w:rPr>
          <w:t>48</w:t>
        </w:r>
      </w:fldSimple>
      <w:bookmarkEnd w:id="141"/>
      <w:r w:rsidR="00213D89">
        <w:t xml:space="preserve">. Same as for </w:t>
      </w:r>
      <w:r w:rsidR="00213D89">
        <w:fldChar w:fldCharType="begin"/>
      </w:r>
      <w:r w:rsidR="00213D89">
        <w:instrText xml:space="preserve"> REF _Ref439680899 \h </w:instrText>
      </w:r>
      <w:r w:rsidR="00213D89">
        <w:fldChar w:fldCharType="separate"/>
      </w:r>
      <w:r w:rsidR="00F7579D" w:rsidRPr="00A82336">
        <w:t xml:space="preserve">Figure </w:t>
      </w:r>
      <w:r w:rsidR="00F7579D">
        <w:rPr>
          <w:noProof/>
        </w:rPr>
        <w:t>12</w:t>
      </w:r>
      <w:r w:rsidR="00213D89">
        <w:fldChar w:fldCharType="end"/>
      </w:r>
      <w:r w:rsidRPr="00A40751">
        <w:t xml:space="preserve"> in Chapter 4, but for ModIAU.</w:t>
      </w:r>
      <w:bookmarkEnd w:id="142"/>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0D888C0E" wp14:editId="4A71A14B">
            <wp:extent cx="5303520" cy="53035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nreg_mesonet_cymodiau.png"/>
                    <pic:cNvPicPr/>
                  </pic:nvPicPr>
                  <pic:blipFill>
                    <a:blip r:embed="rId63">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pPr>
      <w:bookmarkStart w:id="143" w:name="_Ref447031172"/>
      <w:bookmarkStart w:id="144" w:name="_Toc450593129"/>
      <w:r w:rsidRPr="00A40751">
        <w:t xml:space="preserve">Figure </w:t>
      </w:r>
      <w:fldSimple w:instr=" SEQ Figure \* ARABIC ">
        <w:r w:rsidR="00F7579D">
          <w:rPr>
            <w:noProof/>
          </w:rPr>
          <w:t>49</w:t>
        </w:r>
      </w:fldSimple>
      <w:bookmarkEnd w:id="143"/>
      <w:r w:rsidR="00213D89">
        <w:t xml:space="preserve">. Same as for </w:t>
      </w:r>
      <w:r w:rsidR="00213D89">
        <w:fldChar w:fldCharType="begin"/>
      </w:r>
      <w:r w:rsidR="00213D89">
        <w:instrText xml:space="preserve"> REF _Ref439680899 \h </w:instrText>
      </w:r>
      <w:r w:rsidR="00213D89">
        <w:fldChar w:fldCharType="separate"/>
      </w:r>
      <w:r w:rsidR="00F7579D" w:rsidRPr="00A82336">
        <w:t xml:space="preserve">Figure </w:t>
      </w:r>
      <w:r w:rsidR="00F7579D">
        <w:rPr>
          <w:noProof/>
        </w:rPr>
        <w:t>12</w:t>
      </w:r>
      <w:r w:rsidR="00213D89">
        <w:fldChar w:fldCharType="end"/>
      </w:r>
      <w:r w:rsidRPr="00A40751">
        <w:t xml:space="preserve"> in Chapter 4, but for CyModIAU.</w:t>
      </w:r>
      <w:bookmarkEnd w:id="144"/>
    </w:p>
    <w:p w:rsidR="00A40751" w:rsidRPr="00A40751" w:rsidRDefault="00A674B2" w:rsidP="00A674B2">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0737E7" w:rsidP="00A40751">
      <w:pPr>
        <w:pStyle w:val="Heading2"/>
      </w:pPr>
      <w:bookmarkStart w:id="145" w:name="_Toc448742098"/>
      <w:r>
        <w:lastRenderedPageBreak/>
        <w:t>6</w:t>
      </w:r>
      <w:r w:rsidR="00A40751" w:rsidRPr="00A40751">
        <w:t>.4 Neighborhood-Based Results</w:t>
      </w:r>
      <w:bookmarkEnd w:id="145"/>
    </w:p>
    <w:p w:rsidR="00A40751" w:rsidRPr="00A40751" w:rsidRDefault="00A40751" w:rsidP="00213D89">
      <w:pPr>
        <w:pStyle w:val="NoSpacing"/>
        <w:ind w:firstLine="720"/>
      </w:pPr>
      <w:r w:rsidRPr="00A40751">
        <w:t>All of the Cycling runs experience a decrease in skill at all scales, especially those using MYSM (</w:t>
      </w:r>
      <w:r w:rsidRPr="00A40751">
        <w:fldChar w:fldCharType="begin"/>
      </w:r>
      <w:r w:rsidRPr="00A40751">
        <w:instrText xml:space="preserve"> REF _Ref447028049 \h  \* MERGEFORMAT </w:instrText>
      </w:r>
      <w:r w:rsidRPr="00A40751">
        <w:fldChar w:fldCharType="separate"/>
      </w:r>
      <w:r w:rsidR="00F7579D" w:rsidRPr="00F7579D">
        <w:t>Figure 50</w:t>
      </w:r>
      <w:r w:rsidRPr="00A40751">
        <w:fldChar w:fldCharType="end"/>
      </w:r>
      <w:r w:rsidRPr="00A40751">
        <w:t>). Not surprisingly, this loss in skill can likely be attributed to the increase in areal coverages of the simulated composite reflectivity. The results are mixed for the ModIAU runs (</w:t>
      </w:r>
      <w:r w:rsidRPr="00A40751">
        <w:fldChar w:fldCharType="begin"/>
      </w:r>
      <w:r w:rsidRPr="00A40751">
        <w:instrText xml:space="preserve"> REF _Ref447030216 \h  \* MERGEFORMAT </w:instrText>
      </w:r>
      <w:r w:rsidRPr="00A40751">
        <w:fldChar w:fldCharType="separate"/>
      </w:r>
      <w:r w:rsidR="00F7579D" w:rsidRPr="00F7579D">
        <w:t>Figure 51</w:t>
      </w:r>
      <w:r w:rsidRPr="00A40751">
        <w:fldChar w:fldCharType="end"/>
      </w:r>
      <w:r w:rsidRPr="00A40751">
        <w:t>). For example, the MYTM runs lost quite a bit of skill at the 30-dBZ threshold, but gained skill at the large scales at the 50-dBZ threshold. The spread across the spectrum of microphysics schemes is larger at the 30-dBZ threshold (</w:t>
      </w:r>
      <w:r w:rsidRPr="00A40751">
        <w:fldChar w:fldCharType="begin"/>
      </w:r>
      <w:r w:rsidRPr="00A40751">
        <w:instrText xml:space="preserve"> REF _Ref447030216 \h  \* MERGEFORMAT </w:instrText>
      </w:r>
      <w:r w:rsidRPr="00A40751">
        <w:fldChar w:fldCharType="separate"/>
      </w:r>
      <w:r w:rsidR="00F7579D" w:rsidRPr="00F7579D">
        <w:t>Figure 51</w:t>
      </w:r>
      <w:r w:rsidRPr="00A40751">
        <w:fldChar w:fldCharType="end"/>
      </w:r>
      <w:r w:rsidRPr="00A40751">
        <w:t>a), but the 40- and 50-dBZ threshold results are fairly similar to the Control runs’ results (</w:t>
      </w:r>
      <w:r w:rsidRPr="00A40751">
        <w:fldChar w:fldCharType="begin"/>
      </w:r>
      <w:r w:rsidRPr="00A40751">
        <w:instrText xml:space="preserve"> REF _Ref447030216 \h  \* MERGEFORMAT </w:instrText>
      </w:r>
      <w:r w:rsidRPr="00A40751">
        <w:fldChar w:fldCharType="separate"/>
      </w:r>
      <w:r w:rsidR="00F7579D" w:rsidRPr="00F7579D">
        <w:t>Figure 51</w:t>
      </w:r>
      <w:r w:rsidRPr="00A40751">
        <w:fldChar w:fldCharType="end"/>
      </w:r>
      <w:r w:rsidRPr="00A40751">
        <w:t xml:space="preserve">b,c). Interestingly, the </w:t>
      </w:r>
      <w:r w:rsidR="00554F48">
        <w:t>ModIAU</w:t>
      </w:r>
      <w:r w:rsidRPr="00A40751">
        <w:t xml:space="preserve"> runs </w:t>
      </w:r>
      <w:r w:rsidR="00554F48">
        <w:t xml:space="preserve">using MYDM </w:t>
      </w:r>
      <w:r w:rsidRPr="00A40751">
        <w:t>are the only simulations to exhibit a decrease in forecasted base rates at all three thresholds (not shown). Similar to the Cycling runs, the CyModIAU runs generally depict smaller FSSs at most scales (</w:t>
      </w:r>
      <w:r w:rsidRPr="00A40751">
        <w:fldChar w:fldCharType="begin"/>
      </w:r>
      <w:r w:rsidRPr="00A40751">
        <w:instrText xml:space="preserve"> REF _Ref447054811 \h  \* MERGEFORMAT </w:instrText>
      </w:r>
      <w:r w:rsidRPr="00A40751">
        <w:fldChar w:fldCharType="separate"/>
      </w:r>
      <w:r w:rsidR="00F7579D" w:rsidRPr="00F7579D">
        <w:t>Figure 52</w:t>
      </w:r>
      <w:r w:rsidRPr="00A40751">
        <w:fldChar w:fldCharType="end"/>
      </w:r>
      <w:r w:rsidRPr="00A40751">
        <w:t>). When the ModIAU runs perform better than the Control runs and the Cycling runs perform worse than the Control runs, the CyModIAU runs typically perform somewhere in between the ModIAU and Cycling runs. However, when both the ModIAU and Cycling runs perform worse than the Control runs, the CyModIAU generally perform worse than both the ModIAU and Cycling runs.</w:t>
      </w:r>
    </w:p>
    <w:p w:rsidR="00A40751" w:rsidRPr="00A40751" w:rsidRDefault="00A40751" w:rsidP="00213D89">
      <w:pPr>
        <w:pStyle w:val="NoSpacing"/>
        <w:ind w:firstLine="720"/>
      </w:pPr>
      <w:r w:rsidRPr="00A40751">
        <w:t xml:space="preserve">Overall, analysis cycling has the greatest negative impact on the FSS results for the Cycling and CyModIAU runs. This finding is </w:t>
      </w:r>
      <w:r w:rsidR="00554F48">
        <w:t xml:space="preserve">likely </w:t>
      </w:r>
      <w:r w:rsidRPr="00A40751">
        <w:t xml:space="preserve">tied to the increase in areal coverage of the simulated composite reflectivity, except for the CyModIAU runs using MYDM. Conversely to analysis cycling, the modified IAU technique has some beneficial impact for some of the microphysics schemes and reflectivity thresholds, but </w:t>
      </w:r>
      <w:r w:rsidRPr="00A40751">
        <w:lastRenderedPageBreak/>
        <w:t>as indicated before, these changes are largely related to the changes in the forecasted base rates.</w:t>
      </w:r>
    </w:p>
    <w:p w:rsidR="00A40751" w:rsidRPr="00A40751" w:rsidRDefault="00A40751" w:rsidP="00A40751">
      <w:pPr>
        <w:keepNext/>
        <w:spacing w:after="0" w:line="480" w:lineRule="auto"/>
      </w:pPr>
      <w:r w:rsidRPr="00A40751">
        <w:rPr>
          <w:rFonts w:ascii="Times New Roman" w:hAnsi="Times New Roman" w:cs="Times New Roman"/>
          <w:noProof/>
          <w:sz w:val="24"/>
          <w:szCs w:val="24"/>
        </w:rPr>
        <w:drawing>
          <wp:inline distT="0" distB="0" distL="0" distR="0" wp14:anchorId="04459A88" wp14:editId="7D46168A">
            <wp:extent cx="5303520" cy="53035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s_crefl_cycling.png"/>
                    <pic:cNvPicPr/>
                  </pic:nvPicPr>
                  <pic:blipFill>
                    <a:blip r:embed="rId64">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 w:val="28"/>
          <w:szCs w:val="24"/>
        </w:rPr>
      </w:pPr>
      <w:bookmarkStart w:id="146" w:name="_Ref447028049"/>
      <w:bookmarkStart w:id="147" w:name="_Toc450593130"/>
      <w:r w:rsidRPr="00A40751">
        <w:rPr>
          <w:szCs w:val="18"/>
        </w:rPr>
        <w:t xml:space="preserve">Figure </w:t>
      </w:r>
      <w:r w:rsidRPr="00A40751">
        <w:rPr>
          <w:szCs w:val="18"/>
        </w:rPr>
        <w:fldChar w:fldCharType="begin"/>
      </w:r>
      <w:r w:rsidRPr="00A40751">
        <w:rPr>
          <w:szCs w:val="18"/>
        </w:rPr>
        <w:instrText xml:space="preserve"> SEQ Figure \* ARABIC </w:instrText>
      </w:r>
      <w:r w:rsidRPr="00A40751">
        <w:rPr>
          <w:szCs w:val="18"/>
        </w:rPr>
        <w:fldChar w:fldCharType="separate"/>
      </w:r>
      <w:r w:rsidR="00F7579D">
        <w:rPr>
          <w:noProof/>
          <w:szCs w:val="18"/>
        </w:rPr>
        <w:t>50</w:t>
      </w:r>
      <w:r w:rsidRPr="00A40751">
        <w:rPr>
          <w:szCs w:val="18"/>
        </w:rPr>
        <w:fldChar w:fldCharType="end"/>
      </w:r>
      <w:bookmarkEnd w:id="146"/>
      <w:r w:rsidRPr="00A40751">
        <w:rPr>
          <w:szCs w:val="18"/>
        </w:rPr>
        <w:t xml:space="preserve">. </w:t>
      </w:r>
      <w:r w:rsidR="00213D89">
        <w:t xml:space="preserve">Same as for </w:t>
      </w:r>
      <w:r w:rsidR="00213D89">
        <w:fldChar w:fldCharType="begin"/>
      </w:r>
      <w:r w:rsidR="00213D89">
        <w:instrText xml:space="preserve"> REF _Ref440270405 \h </w:instrText>
      </w:r>
      <w:r w:rsidR="00213D89">
        <w:fldChar w:fldCharType="separate"/>
      </w:r>
      <w:r w:rsidR="00F7579D">
        <w:t>Figure</w:t>
      </w:r>
      <w:r w:rsidR="00F7579D" w:rsidRPr="00A82336">
        <w:t xml:space="preserve"> </w:t>
      </w:r>
      <w:r w:rsidR="00F7579D">
        <w:rPr>
          <w:noProof/>
        </w:rPr>
        <w:t>15</w:t>
      </w:r>
      <w:r w:rsidR="00213D89">
        <w:fldChar w:fldCharType="end"/>
      </w:r>
      <w:r w:rsidRPr="00A40751">
        <w:t xml:space="preserve"> in Chapter 4, but for Cycling.</w:t>
      </w:r>
      <w:bookmarkEnd w:id="147"/>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04DBA2C0" wp14:editId="78FF418A">
            <wp:extent cx="5303520" cy="53035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ss_crefl_modiau.png"/>
                    <pic:cNvPicPr/>
                  </pic:nvPicPr>
                  <pic:blipFill>
                    <a:blip r:embed="rId65">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48" w:name="_Ref447030216"/>
      <w:bookmarkStart w:id="149" w:name="_Toc450593131"/>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51</w:t>
      </w:r>
      <w:r w:rsidRPr="00A40751">
        <w:rPr>
          <w:szCs w:val="24"/>
        </w:rPr>
        <w:fldChar w:fldCharType="end"/>
      </w:r>
      <w:bookmarkEnd w:id="148"/>
      <w:r w:rsidRPr="00A40751">
        <w:rPr>
          <w:szCs w:val="24"/>
        </w:rPr>
        <w:t xml:space="preserve">. </w:t>
      </w:r>
      <w:r w:rsidR="00213D89">
        <w:t xml:space="preserve">Same as for </w:t>
      </w:r>
      <w:r w:rsidR="00213D89">
        <w:fldChar w:fldCharType="begin"/>
      </w:r>
      <w:r w:rsidR="00213D89">
        <w:instrText xml:space="preserve"> REF _Ref440270405 \h </w:instrText>
      </w:r>
      <w:r w:rsidR="00213D89">
        <w:fldChar w:fldCharType="separate"/>
      </w:r>
      <w:r w:rsidR="00F7579D">
        <w:t>Figure</w:t>
      </w:r>
      <w:r w:rsidR="00F7579D" w:rsidRPr="00A82336">
        <w:t xml:space="preserve"> </w:t>
      </w:r>
      <w:r w:rsidR="00F7579D">
        <w:rPr>
          <w:noProof/>
        </w:rPr>
        <w:t>15</w:t>
      </w:r>
      <w:r w:rsidR="00213D89">
        <w:fldChar w:fldCharType="end"/>
      </w:r>
      <w:r w:rsidRPr="00A40751">
        <w:t xml:space="preserve"> in Chapter 4, but for ModIAU.</w:t>
      </w:r>
      <w:bookmarkEnd w:id="149"/>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A40751" w:rsidP="00A40751">
      <w:pPr>
        <w:keepNext/>
        <w:spacing w:after="0" w:line="480" w:lineRule="auto"/>
      </w:pPr>
      <w:r w:rsidRPr="00A40751">
        <w:rPr>
          <w:rFonts w:ascii="Times New Roman" w:hAnsi="Times New Roman" w:cs="Times New Roman"/>
          <w:noProof/>
          <w:sz w:val="24"/>
          <w:szCs w:val="24"/>
        </w:rPr>
        <w:lastRenderedPageBreak/>
        <w:drawing>
          <wp:inline distT="0" distB="0" distL="0" distR="0" wp14:anchorId="73824843" wp14:editId="681B195D">
            <wp:extent cx="5303520" cy="53035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ss_crefl_cymodiau.png"/>
                    <pic:cNvPicPr/>
                  </pic:nvPicPr>
                  <pic:blipFill>
                    <a:blip r:embed="rId66">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 w:val="28"/>
          <w:szCs w:val="24"/>
        </w:rPr>
      </w:pPr>
      <w:bookmarkStart w:id="150" w:name="_Ref447054811"/>
      <w:bookmarkStart w:id="151" w:name="_Toc450593132"/>
      <w:r w:rsidRPr="00A40751">
        <w:rPr>
          <w:szCs w:val="18"/>
        </w:rPr>
        <w:t xml:space="preserve">Figure </w:t>
      </w:r>
      <w:r w:rsidRPr="00A40751">
        <w:rPr>
          <w:szCs w:val="18"/>
        </w:rPr>
        <w:fldChar w:fldCharType="begin"/>
      </w:r>
      <w:r w:rsidRPr="00A40751">
        <w:rPr>
          <w:szCs w:val="18"/>
        </w:rPr>
        <w:instrText xml:space="preserve"> SEQ Figure \* ARABIC </w:instrText>
      </w:r>
      <w:r w:rsidRPr="00A40751">
        <w:rPr>
          <w:szCs w:val="18"/>
        </w:rPr>
        <w:fldChar w:fldCharType="separate"/>
      </w:r>
      <w:r w:rsidR="00F7579D">
        <w:rPr>
          <w:noProof/>
          <w:szCs w:val="18"/>
        </w:rPr>
        <w:t>52</w:t>
      </w:r>
      <w:r w:rsidRPr="00A40751">
        <w:rPr>
          <w:szCs w:val="18"/>
        </w:rPr>
        <w:fldChar w:fldCharType="end"/>
      </w:r>
      <w:bookmarkEnd w:id="150"/>
      <w:r w:rsidRPr="00A40751">
        <w:rPr>
          <w:szCs w:val="18"/>
        </w:rPr>
        <w:t xml:space="preserve">. </w:t>
      </w:r>
      <w:r w:rsidR="00213D89">
        <w:t xml:space="preserve">Same as for </w:t>
      </w:r>
      <w:r w:rsidR="00213D89">
        <w:fldChar w:fldCharType="begin"/>
      </w:r>
      <w:r w:rsidR="00213D89">
        <w:instrText xml:space="preserve"> REF _Ref440270405 \h </w:instrText>
      </w:r>
      <w:r w:rsidR="00213D89">
        <w:fldChar w:fldCharType="separate"/>
      </w:r>
      <w:r w:rsidR="00F7579D">
        <w:t>Figure</w:t>
      </w:r>
      <w:r w:rsidR="00F7579D" w:rsidRPr="00A82336">
        <w:t xml:space="preserve"> </w:t>
      </w:r>
      <w:r w:rsidR="00F7579D">
        <w:rPr>
          <w:noProof/>
        </w:rPr>
        <w:t>15</w:t>
      </w:r>
      <w:r w:rsidR="00213D89">
        <w:fldChar w:fldCharType="end"/>
      </w:r>
      <w:r w:rsidRPr="00A40751">
        <w:t xml:space="preserve"> in Chapter 4, but for CyModIAU.</w:t>
      </w:r>
      <w:bookmarkEnd w:id="151"/>
    </w:p>
    <w:p w:rsidR="00A40751" w:rsidRPr="00A40751" w:rsidRDefault="00A674B2" w:rsidP="00A674B2">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0737E7" w:rsidP="00213D89">
      <w:pPr>
        <w:pStyle w:val="Heading2"/>
      </w:pPr>
      <w:bookmarkStart w:id="152" w:name="_Toc448742099"/>
      <w:r>
        <w:lastRenderedPageBreak/>
        <w:t>6</w:t>
      </w:r>
      <w:r w:rsidR="00A40751" w:rsidRPr="00A40751">
        <w:t>.5 Object-Based Results</w:t>
      </w:r>
      <w:bookmarkEnd w:id="152"/>
    </w:p>
    <w:p w:rsidR="00A40751" w:rsidRPr="00A40751" w:rsidRDefault="00A40751" w:rsidP="00213D89">
      <w:pPr>
        <w:pStyle w:val="NoSpacing"/>
        <w:ind w:firstLine="720"/>
      </w:pPr>
      <w:r w:rsidRPr="00A40751">
        <w:t>Subjective evaluation of the locations of all 0-1UH centers from the Cycling runs reveals similar densities of centers near S1’s tornado locations as the Control runs, but now a higher density of 0-1UH centers surrounds S2 and, to lesser extent, S3’s tornado points (</w:t>
      </w:r>
      <w:r w:rsidRPr="00A40751">
        <w:fldChar w:fldCharType="begin"/>
      </w:r>
      <w:r w:rsidRPr="00A40751">
        <w:instrText xml:space="preserve"> REF _Ref447138970 \h  \* MERGEFORMAT </w:instrText>
      </w:r>
      <w:r w:rsidRPr="00A40751">
        <w:fldChar w:fldCharType="separate"/>
      </w:r>
      <w:r w:rsidR="00F7579D" w:rsidRPr="00F7579D">
        <w:t>Figure 53</w:t>
      </w:r>
      <w:r w:rsidRPr="00A40751">
        <w:fldChar w:fldCharType="end"/>
      </w:r>
      <w:r w:rsidRPr="00A40751">
        <w:t>a). Also, the Cycling runs yield nearly 150 or more 0-1UH centers across all eight simulations for each microphysics scheme with little change to the average of each center’s max 0-1UH value, except for MYDM (</w:t>
      </w:r>
      <w:r w:rsidRPr="00A40751">
        <w:fldChar w:fldCharType="begin"/>
      </w:r>
      <w:r w:rsidRPr="00A40751">
        <w:instrText xml:space="preserve"> REF _Ref447138970 \h  \* MERGEFORMAT </w:instrText>
      </w:r>
      <w:r w:rsidRPr="00A40751">
        <w:fldChar w:fldCharType="separate"/>
      </w:r>
      <w:r w:rsidR="00F7579D" w:rsidRPr="00F7579D">
        <w:t>Figure 53</w:t>
      </w:r>
      <w:r w:rsidRPr="00A40751">
        <w:fldChar w:fldCharType="end"/>
      </w:r>
      <w:r w:rsidRPr="00A40751">
        <w:t>b,c). For the ModIAU runs, the density of 0-1UH centers are similar to the Control runs’ density of centers for all three storms of interest (</w:t>
      </w:r>
      <w:r w:rsidRPr="00A40751">
        <w:fldChar w:fldCharType="begin"/>
      </w:r>
      <w:r w:rsidRPr="00A40751">
        <w:instrText xml:space="preserve"> REF _Ref447140109 \h  \* MERGEFORMAT </w:instrText>
      </w:r>
      <w:r w:rsidRPr="00A40751">
        <w:fldChar w:fldCharType="separate"/>
      </w:r>
      <w:r w:rsidR="00F7579D" w:rsidRPr="00F7579D">
        <w:t>Figure 54</w:t>
      </w:r>
      <w:r w:rsidRPr="00A40751">
        <w:fldChar w:fldCharType="end"/>
      </w:r>
      <w:r w:rsidRPr="00A40751">
        <w:t>a). The ModIAU simulations using the MY schemes exhibit fewer 0-1UH centers than the Control runs, but the runs with LIN3 and WSM6 experience more 0-1UH centers (</w:t>
      </w:r>
      <w:r w:rsidRPr="00A40751">
        <w:fldChar w:fldCharType="begin"/>
      </w:r>
      <w:r w:rsidRPr="00A40751">
        <w:instrText xml:space="preserve"> REF _Ref447140109 \h  \* MERGEFORMAT </w:instrText>
      </w:r>
      <w:r w:rsidRPr="00A40751">
        <w:fldChar w:fldCharType="separate"/>
      </w:r>
      <w:r w:rsidR="00F7579D" w:rsidRPr="00F7579D">
        <w:t>Figure 54</w:t>
      </w:r>
      <w:r w:rsidRPr="00A40751">
        <w:fldChar w:fldCharType="end"/>
      </w:r>
      <w:r w:rsidRPr="00A40751">
        <w:t>b). Even with this contrast, all simulations, especially the MYDM runs, generally depict weaker max 0-1UH values for each center (</w:t>
      </w:r>
      <w:r w:rsidRPr="00A40751">
        <w:fldChar w:fldCharType="begin"/>
      </w:r>
      <w:r w:rsidRPr="00A40751">
        <w:instrText xml:space="preserve"> REF _Ref447140109 \h  \* MERGEFORMAT </w:instrText>
      </w:r>
      <w:r w:rsidRPr="00A40751">
        <w:fldChar w:fldCharType="separate"/>
      </w:r>
      <w:r w:rsidR="00F7579D" w:rsidRPr="00F7579D">
        <w:t>Figure 54</w:t>
      </w:r>
      <w:r w:rsidRPr="00A40751">
        <w:fldChar w:fldCharType="end"/>
      </w:r>
      <w:r w:rsidRPr="00A40751">
        <w:t xml:space="preserve">c). </w:t>
      </w:r>
    </w:p>
    <w:p w:rsidR="00A40751" w:rsidRPr="00A40751" w:rsidRDefault="00A40751" w:rsidP="00213D89">
      <w:pPr>
        <w:pStyle w:val="NoSpacing"/>
        <w:ind w:firstLine="720"/>
      </w:pPr>
      <w:r w:rsidRPr="00A40751">
        <w:t>While the CyModIAU runs exhibit similar densities of 0-1UH centers near S1 and S2’s tornado locations as the Cycling runs, the density of 0-1UH centers near S3’s tornado locations appears to be less than the Cycling runs, but more than the ModIAU runs (</w:t>
      </w:r>
      <w:r w:rsidRPr="00A40751">
        <w:fldChar w:fldCharType="begin"/>
      </w:r>
      <w:r w:rsidRPr="00A40751">
        <w:instrText xml:space="preserve"> REF _Ref447141144 \h  \* MERGEFORMAT </w:instrText>
      </w:r>
      <w:r w:rsidRPr="00A40751">
        <w:fldChar w:fldCharType="separate"/>
      </w:r>
      <w:r w:rsidR="00F7579D" w:rsidRPr="00F7579D">
        <w:t>Figure 55</w:t>
      </w:r>
      <w:r w:rsidRPr="00A40751">
        <w:fldChar w:fldCharType="end"/>
      </w:r>
      <w:r w:rsidRPr="00A40751">
        <w:t>a). The CyModIAU runs using LIN3 and WSM6 result in substantially more 0-1UH centers than the Control runs, and although the runs with MYDM and MYTM have about the same number of 0-1UH centers, the runs with MYSM have substantially fewer 0-1UH centers than the Control runs (</w:t>
      </w:r>
      <w:r w:rsidRPr="00A40751">
        <w:fldChar w:fldCharType="begin"/>
      </w:r>
      <w:r w:rsidRPr="00A40751">
        <w:instrText xml:space="preserve"> REF _Ref447141144 \h  \* MERGEFORMAT </w:instrText>
      </w:r>
      <w:r w:rsidRPr="00A40751">
        <w:fldChar w:fldCharType="separate"/>
      </w:r>
      <w:r w:rsidR="00F7579D" w:rsidRPr="00F7579D">
        <w:t>Figure 55</w:t>
      </w:r>
      <w:r w:rsidRPr="00A40751">
        <w:fldChar w:fldCharType="end"/>
      </w:r>
      <w:r w:rsidRPr="00A40751">
        <w:t>b). The CyModIAU simulations using the single-moment microphysics schemes exhibit little change in the average of each center’s max 0-1UH value, but the runs using MYTM and, especially, MYDM mostly experience substantially weaker max 0-1UH values (</w:t>
      </w:r>
      <w:r w:rsidRPr="00A40751">
        <w:fldChar w:fldCharType="begin"/>
      </w:r>
      <w:r w:rsidRPr="00A40751">
        <w:instrText xml:space="preserve"> REF _Ref447141144 \h  \* MERGEFORMAT </w:instrText>
      </w:r>
      <w:r w:rsidRPr="00A40751">
        <w:fldChar w:fldCharType="separate"/>
      </w:r>
      <w:r w:rsidR="00F7579D" w:rsidRPr="00F7579D">
        <w:t>Figure 55</w:t>
      </w:r>
      <w:r w:rsidRPr="00A40751">
        <w:fldChar w:fldCharType="end"/>
      </w:r>
      <w:r w:rsidRPr="00A40751">
        <w:t>c).</w:t>
      </w:r>
    </w:p>
    <w:p w:rsidR="00A40751" w:rsidRPr="00A40751" w:rsidRDefault="00A40751" w:rsidP="00213D89">
      <w:pPr>
        <w:pStyle w:val="NoSpacing"/>
        <w:ind w:firstLine="720"/>
      </w:pPr>
      <w:r w:rsidRPr="00A40751">
        <w:lastRenderedPageBreak/>
        <w:t xml:space="preserve">Overall, analysis cycling improves the densities of 0-1UH centers near S2 and S3’s tornado locations while not greatly affecting the density around S1’s tornado locations. All of the Cycling, ModIAU, and CyModIAU runs with LIN3 and WSM6 result in an increase in the number of 0-1UH centers, while not substantially impacting the average max strength of each 0-1UH center. However, for the simulations using the MY schemes, analysis cycling leads to considerably more 0-1UH centers, while the modified IAU technique yields fewer 0-1UH centers than the Control runs. Combining the analysis cycling with the modified IAU results in 0-1UH center counts somewhere in between the center counts for the Cycling and ModIAU runs. Also, the runs using the MY schemes, especially MYDM, experience weaker 0-1UH centers for all three types of simulations. </w:t>
      </w:r>
    </w:p>
    <w:p w:rsidR="00A40751" w:rsidRPr="00A40751" w:rsidRDefault="00645036" w:rsidP="00A40751">
      <w:pPr>
        <w:keepNext/>
        <w:spacing w:after="0" w:line="480" w:lineRule="auto"/>
      </w:pPr>
      <w:r>
        <w:rPr>
          <w:noProof/>
        </w:rPr>
        <w:lastRenderedPageBreak/>
        <w:drawing>
          <wp:inline distT="0" distB="0" distL="0" distR="0" wp14:anchorId="72A8FBB2" wp14:editId="57CCBF9E">
            <wp:extent cx="5303520" cy="53035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uh_pts_01uh_cycling.png"/>
                    <pic:cNvPicPr/>
                  </pic:nvPicPr>
                  <pic:blipFill>
                    <a:blip r:embed="rId67">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 w:val="28"/>
          <w:szCs w:val="24"/>
        </w:rPr>
      </w:pPr>
      <w:bookmarkStart w:id="153" w:name="_Ref447138970"/>
      <w:bookmarkStart w:id="154" w:name="_Toc450593133"/>
      <w:r w:rsidRPr="00A40751">
        <w:rPr>
          <w:szCs w:val="18"/>
        </w:rPr>
        <w:t xml:space="preserve">Figure </w:t>
      </w:r>
      <w:r w:rsidRPr="00A40751">
        <w:rPr>
          <w:szCs w:val="18"/>
        </w:rPr>
        <w:fldChar w:fldCharType="begin"/>
      </w:r>
      <w:r w:rsidRPr="00A40751">
        <w:rPr>
          <w:szCs w:val="18"/>
        </w:rPr>
        <w:instrText xml:space="preserve"> SEQ Figure \* ARABIC </w:instrText>
      </w:r>
      <w:r w:rsidRPr="00A40751">
        <w:rPr>
          <w:szCs w:val="18"/>
        </w:rPr>
        <w:fldChar w:fldCharType="separate"/>
      </w:r>
      <w:r w:rsidR="00F7579D">
        <w:rPr>
          <w:noProof/>
          <w:szCs w:val="18"/>
        </w:rPr>
        <w:t>53</w:t>
      </w:r>
      <w:r w:rsidRPr="00A40751">
        <w:rPr>
          <w:szCs w:val="18"/>
        </w:rPr>
        <w:fldChar w:fldCharType="end"/>
      </w:r>
      <w:bookmarkEnd w:id="153"/>
      <w:r w:rsidRPr="00A40751">
        <w:rPr>
          <w:szCs w:val="18"/>
        </w:rPr>
        <w:t xml:space="preserve">. </w:t>
      </w:r>
      <w:r w:rsidR="00213D89">
        <w:t xml:space="preserve">Same as for </w:t>
      </w:r>
      <w:r w:rsidR="00213D89">
        <w:fldChar w:fldCharType="begin"/>
      </w:r>
      <w:r w:rsidR="00213D89">
        <w:instrText xml:space="preserve"> REF _Ref440446809 \h </w:instrText>
      </w:r>
      <w:r w:rsidR="00213D89">
        <w:fldChar w:fldCharType="separate"/>
      </w:r>
      <w:r w:rsidR="00F7579D" w:rsidRPr="00A82336">
        <w:t xml:space="preserve">Figure </w:t>
      </w:r>
      <w:r w:rsidR="00F7579D">
        <w:rPr>
          <w:noProof/>
        </w:rPr>
        <w:t>17</w:t>
      </w:r>
      <w:r w:rsidR="00213D89">
        <w:fldChar w:fldCharType="end"/>
      </w:r>
      <w:r w:rsidRPr="00A40751">
        <w:t xml:space="preserve"> in Chapter 4, but for Cycling.</w:t>
      </w:r>
      <w:r w:rsidR="0049043F">
        <w:t xml:space="preserve"> Light gray shading in (c), (d), and (e) represents the max/min bounds of the Control runs for comparison purposes.</w:t>
      </w:r>
      <w:bookmarkEnd w:id="154"/>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64DFF639" wp14:editId="7EF5E323">
            <wp:extent cx="5303520" cy="53035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uh_pts_01uh_modiau.png"/>
                    <pic:cNvPicPr/>
                  </pic:nvPicPr>
                  <pic:blipFill>
                    <a:blip r:embed="rId68">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55" w:name="_Ref447140109"/>
      <w:bookmarkStart w:id="156" w:name="_Toc450593134"/>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54</w:t>
      </w:r>
      <w:r w:rsidRPr="00A40751">
        <w:rPr>
          <w:szCs w:val="24"/>
        </w:rPr>
        <w:fldChar w:fldCharType="end"/>
      </w:r>
      <w:bookmarkEnd w:id="155"/>
      <w:r w:rsidRPr="00A40751">
        <w:rPr>
          <w:szCs w:val="24"/>
        </w:rPr>
        <w:t xml:space="preserve">. </w:t>
      </w:r>
      <w:r w:rsidR="00213D89">
        <w:t xml:space="preserve">Same as for </w:t>
      </w:r>
      <w:r w:rsidR="00213D89">
        <w:fldChar w:fldCharType="begin"/>
      </w:r>
      <w:r w:rsidR="00213D89">
        <w:instrText xml:space="preserve"> REF _Ref440446809 \h </w:instrText>
      </w:r>
      <w:r w:rsidR="00213D89">
        <w:fldChar w:fldCharType="separate"/>
      </w:r>
      <w:r w:rsidR="00F7579D" w:rsidRPr="00A82336">
        <w:t xml:space="preserve">Figure </w:t>
      </w:r>
      <w:r w:rsidR="00F7579D">
        <w:rPr>
          <w:noProof/>
        </w:rPr>
        <w:t>17</w:t>
      </w:r>
      <w:r w:rsidR="00213D89">
        <w:fldChar w:fldCharType="end"/>
      </w:r>
      <w:r w:rsidRPr="00A40751">
        <w:t xml:space="preserve"> in Chapter 4, but for ModIAU.</w:t>
      </w:r>
      <w:r w:rsidR="0049043F">
        <w:t xml:space="preserve"> Light gray shading in (c), (d), and (e) represents the max/min bounds of the Control runs for comparison purposes.</w:t>
      </w:r>
      <w:bookmarkEnd w:id="156"/>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3A17AE46" wp14:editId="3985974F">
            <wp:extent cx="5303520" cy="53035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uh_pts_01uh_cymodiau.png"/>
                    <pic:cNvPicPr/>
                  </pic:nvPicPr>
                  <pic:blipFill>
                    <a:blip r:embed="rId69">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57" w:name="_Ref447141144"/>
      <w:bookmarkStart w:id="158" w:name="_Toc450593135"/>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55</w:t>
      </w:r>
      <w:r w:rsidRPr="00A40751">
        <w:rPr>
          <w:szCs w:val="24"/>
        </w:rPr>
        <w:fldChar w:fldCharType="end"/>
      </w:r>
      <w:bookmarkEnd w:id="157"/>
      <w:r w:rsidRPr="00A40751">
        <w:rPr>
          <w:szCs w:val="24"/>
        </w:rPr>
        <w:t xml:space="preserve">. </w:t>
      </w:r>
      <w:r w:rsidR="00213D89">
        <w:t xml:space="preserve">Same as for </w:t>
      </w:r>
      <w:r w:rsidR="00213D89">
        <w:fldChar w:fldCharType="begin"/>
      </w:r>
      <w:r w:rsidR="00213D89">
        <w:instrText xml:space="preserve"> REF _Ref440446809 \h </w:instrText>
      </w:r>
      <w:r w:rsidR="00213D89">
        <w:fldChar w:fldCharType="separate"/>
      </w:r>
      <w:r w:rsidR="00F7579D" w:rsidRPr="00A82336">
        <w:t xml:space="preserve">Figure </w:t>
      </w:r>
      <w:r w:rsidR="00F7579D">
        <w:rPr>
          <w:noProof/>
        </w:rPr>
        <w:t>17</w:t>
      </w:r>
      <w:r w:rsidR="00213D89">
        <w:fldChar w:fldCharType="end"/>
      </w:r>
      <w:r w:rsidRPr="00A40751">
        <w:t xml:space="preserve"> in Chapter 4, but for CyModIAU.</w:t>
      </w:r>
      <w:r w:rsidR="0049043F">
        <w:t xml:space="preserve"> Light gray shading in (c), (d), and (e) represents the max/min bounds of the Control runs for comparison purposes.</w:t>
      </w:r>
      <w:bookmarkEnd w:id="158"/>
    </w:p>
    <w:p w:rsidR="00A40751" w:rsidRPr="00A40751" w:rsidRDefault="0049043F" w:rsidP="0049043F">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735771" w:rsidP="00213D89">
      <w:pPr>
        <w:pStyle w:val="Heading3"/>
      </w:pPr>
      <w:bookmarkStart w:id="159" w:name="_Toc448742100"/>
      <w:r>
        <w:lastRenderedPageBreak/>
        <w:t>6</w:t>
      </w:r>
      <w:r w:rsidR="00A40751" w:rsidRPr="00A40751">
        <w:t>.5.1 Storm 1</w:t>
      </w:r>
      <w:bookmarkEnd w:id="159"/>
    </w:p>
    <w:p w:rsidR="00A40751" w:rsidRPr="00A40751" w:rsidRDefault="00A40751" w:rsidP="00213D89">
      <w:pPr>
        <w:pStyle w:val="NoSpacing"/>
        <w:ind w:firstLine="720"/>
      </w:pPr>
      <w:r w:rsidRPr="00A40751">
        <w:t xml:space="preserve">As shown in Chapter 4, the Control runs had </w:t>
      </w:r>
      <w:r w:rsidR="003D6070">
        <w:t xml:space="preserve">remarkably </w:t>
      </w:r>
      <w:r w:rsidRPr="00A40751">
        <w:t>good success at forecasting S1’s circulation tracks, so it will be difficult for the analysis cycling and modified IAU techniques to improve upon the Control runs’ forecasts. For the Cycling runs, the number of ST 0-1UH centers is slightly larger (i.e., 2–14) for all microphysics schemes, and the average ST 0-1UH center location for each microphysics scheme is slightly further to the south, especially for the single-moment schemes (</w:t>
      </w:r>
      <w:r w:rsidRPr="00A40751">
        <w:fldChar w:fldCharType="begin"/>
      </w:r>
      <w:r w:rsidRPr="00A40751">
        <w:instrText xml:space="preserve"> REF _Ref447183308 \h  \* MERGEFORMAT </w:instrText>
      </w:r>
      <w:r w:rsidRPr="00A40751">
        <w:fldChar w:fldCharType="separate"/>
      </w:r>
      <w:r w:rsidR="00F7579D" w:rsidRPr="00F7579D">
        <w:t>Figure 56</w:t>
      </w:r>
      <w:r w:rsidRPr="00A40751">
        <w:fldChar w:fldCharType="end"/>
      </w:r>
      <w:r w:rsidRPr="00A40751">
        <w:t>a). There are also slightly more AT 0-1UH centers (i.e., 3–10) for all microphysics schemes, and there appears to be a little more spread in the AT 0-1UH centers than for the Control runs (</w:t>
      </w:r>
      <w:r w:rsidRPr="00A40751">
        <w:fldChar w:fldCharType="begin"/>
      </w:r>
      <w:r w:rsidRPr="00A40751">
        <w:instrText xml:space="preserve"> REF _Ref447183308 \h  \* MERGEFORMAT </w:instrText>
      </w:r>
      <w:r w:rsidRPr="00A40751">
        <w:fldChar w:fldCharType="separate"/>
      </w:r>
      <w:r w:rsidR="00F7579D" w:rsidRPr="00F7579D">
        <w:t>Figure 56</w:t>
      </w:r>
      <w:r w:rsidRPr="00A40751">
        <w:fldChar w:fldCharType="end"/>
      </w:r>
      <w:r w:rsidRPr="00A40751">
        <w:t>b). These small changes translate into minimal ST and AT distance and timing error changes between the Cycling and Control runs (</w:t>
      </w:r>
      <w:r w:rsidRPr="00A40751">
        <w:fldChar w:fldCharType="begin"/>
      </w:r>
      <w:r w:rsidRPr="00A40751">
        <w:instrText xml:space="preserve"> REF _Ref447183308 \h  \* MERGEFORMAT </w:instrText>
      </w:r>
      <w:r w:rsidRPr="00A40751">
        <w:fldChar w:fldCharType="separate"/>
      </w:r>
      <w:r w:rsidR="00F7579D" w:rsidRPr="00F7579D">
        <w:t>Figure 56</w:t>
      </w:r>
      <w:r w:rsidRPr="00A40751">
        <w:fldChar w:fldCharType="end"/>
      </w:r>
      <w:r w:rsidRPr="00A40751">
        <w:t>c,d,e).</w:t>
      </w:r>
    </w:p>
    <w:p w:rsidR="00A40751" w:rsidRPr="00A40751" w:rsidRDefault="00A40751" w:rsidP="00213D89">
      <w:pPr>
        <w:pStyle w:val="NoSpacing"/>
        <w:ind w:firstLine="720"/>
      </w:pPr>
      <w:r w:rsidRPr="00A40751">
        <w:t>Except for WSM6, the other microphysics schemes’ ModIAU runs experience a small reduction (i.e., 2–8) in the number of ST 0-1UH centers, and there is a general shift of the collective mass of 0-1UH centers to the north for all microphysics schemes as compared to the Control runs (</w:t>
      </w:r>
      <w:r w:rsidRPr="00A40751">
        <w:fldChar w:fldCharType="begin"/>
      </w:r>
      <w:r w:rsidRPr="00A40751">
        <w:instrText xml:space="preserve"> REF _Ref447184409 \h  \* MERGEFORMAT </w:instrText>
      </w:r>
      <w:r w:rsidRPr="00A40751">
        <w:fldChar w:fldCharType="separate"/>
      </w:r>
      <w:r w:rsidR="00F7579D" w:rsidRPr="00F7579D">
        <w:t>Figure 57</w:t>
      </w:r>
      <w:r w:rsidRPr="00A40751">
        <w:fldChar w:fldCharType="end"/>
      </w:r>
      <w:r w:rsidRPr="00A40751">
        <w:t>a). This slight shift to the north is also evident in the AT 0-1UH centers and is more pronounced with the MY schemes’ ModIAU runs, which also result in fewer AT 0-1UH centers. (</w:t>
      </w:r>
      <w:r w:rsidRPr="00A40751">
        <w:fldChar w:fldCharType="begin"/>
      </w:r>
      <w:r w:rsidRPr="00A40751">
        <w:instrText xml:space="preserve"> REF _Ref447184409 \h  \* MERGEFORMAT </w:instrText>
      </w:r>
      <w:r w:rsidRPr="00A40751">
        <w:fldChar w:fldCharType="separate"/>
      </w:r>
      <w:r w:rsidR="00F7579D" w:rsidRPr="00F7579D">
        <w:t>Figure 57</w:t>
      </w:r>
      <w:r w:rsidRPr="00A40751">
        <w:fldChar w:fldCharType="end"/>
      </w:r>
      <w:r w:rsidRPr="00A40751">
        <w:t>b). These slight northward shifts in the 0-1UH centers contribute to small increases in ST and AT distance and timing errors for the MY schemes and mixed results for LIN3 and WSM6, but even with the increases in errors for the MY schemes, the ModIAU runs’ forecasts for S1 are considered to be just as successful as the Control runs’ forecasts (</w:t>
      </w:r>
      <w:r w:rsidRPr="00A40751">
        <w:fldChar w:fldCharType="begin"/>
      </w:r>
      <w:r w:rsidRPr="00A40751">
        <w:instrText xml:space="preserve"> REF _Ref447184409 \h  \* MERGEFORMAT </w:instrText>
      </w:r>
      <w:r w:rsidRPr="00A40751">
        <w:fldChar w:fldCharType="separate"/>
      </w:r>
      <w:r w:rsidR="00F7579D" w:rsidRPr="00F7579D">
        <w:t>Figure 57</w:t>
      </w:r>
      <w:r w:rsidRPr="00A40751">
        <w:fldChar w:fldCharType="end"/>
      </w:r>
      <w:r w:rsidRPr="00A40751">
        <w:t xml:space="preserve">c,d,e). </w:t>
      </w:r>
    </w:p>
    <w:p w:rsidR="00A40751" w:rsidRPr="00A40751" w:rsidRDefault="00A40751" w:rsidP="00213D89">
      <w:pPr>
        <w:pStyle w:val="NoSpacing"/>
        <w:ind w:firstLine="720"/>
      </w:pPr>
      <w:r w:rsidRPr="00A40751">
        <w:lastRenderedPageBreak/>
        <w:t>The CyModIAU runs’ ST 0-1UH centers are slightly further south than the Control runs’ 0-1UH centers just like for the Cycling runs, but the MY schemes’ ST 0-1UH centers are a little slower than the ST 0-1UH centers for both the Cycling and Control runs (</w:t>
      </w:r>
      <w:r w:rsidRPr="00A40751">
        <w:fldChar w:fldCharType="begin"/>
      </w:r>
      <w:r w:rsidRPr="00A40751">
        <w:instrText xml:space="preserve"> REF _Ref447185554 \h  \* MERGEFORMAT </w:instrText>
      </w:r>
      <w:r w:rsidRPr="00A40751">
        <w:fldChar w:fldCharType="separate"/>
      </w:r>
      <w:r w:rsidR="00F7579D" w:rsidRPr="00F7579D">
        <w:t>Figure 58</w:t>
      </w:r>
      <w:r w:rsidRPr="00A40751">
        <w:fldChar w:fldCharType="end"/>
      </w:r>
      <w:r w:rsidRPr="00A40751">
        <w:t>a). The slight shift to the south is also evident with the AT 0-1UH centers (</w:t>
      </w:r>
      <w:r w:rsidRPr="00A40751">
        <w:fldChar w:fldCharType="begin"/>
      </w:r>
      <w:r w:rsidRPr="00A40751">
        <w:instrText xml:space="preserve"> REF _Ref447185554 \h  \* MERGEFORMAT </w:instrText>
      </w:r>
      <w:r w:rsidRPr="00A40751">
        <w:fldChar w:fldCharType="separate"/>
      </w:r>
      <w:r w:rsidR="00F7579D" w:rsidRPr="00F7579D">
        <w:t>Figure 58</w:t>
      </w:r>
      <w:r w:rsidRPr="00A40751">
        <w:fldChar w:fldCharType="end"/>
      </w:r>
      <w:r w:rsidRPr="00A40751">
        <w:t xml:space="preserve">b), but this change is less noticeable than for the ST 0-1UH centers. Also, most of the </w:t>
      </w:r>
      <w:r w:rsidR="003D6070">
        <w:t>various</w:t>
      </w:r>
      <w:r w:rsidRPr="00A40751">
        <w:t xml:space="preserve"> microphysics schemes’ runs result in more ST and AT 0-1UH centers than the Control runs (</w:t>
      </w:r>
      <w:r w:rsidRPr="00A40751">
        <w:fldChar w:fldCharType="begin"/>
      </w:r>
      <w:r w:rsidRPr="00A40751">
        <w:instrText xml:space="preserve"> REF _Ref447185554 \h  \* MERGEFORMAT </w:instrText>
      </w:r>
      <w:r w:rsidRPr="00A40751">
        <w:fldChar w:fldCharType="separate"/>
      </w:r>
      <w:r w:rsidR="00F7579D" w:rsidRPr="00F7579D">
        <w:t>Figure 58</w:t>
      </w:r>
      <w:r w:rsidRPr="00A40751">
        <w:fldChar w:fldCharType="end"/>
      </w:r>
      <w:r w:rsidRPr="00A40751">
        <w:t>a,b). The CyModIAU runs using LIN3, MYDM, and MYTM experience the largest increases in ST and AT distance errors, while WSM6 has smaller distance errors (</w:t>
      </w:r>
      <w:r w:rsidRPr="00A40751">
        <w:fldChar w:fldCharType="begin"/>
      </w:r>
      <w:r w:rsidRPr="00A40751">
        <w:instrText xml:space="preserve"> REF _Ref447185554 \h  \* MERGEFORMAT </w:instrText>
      </w:r>
      <w:r w:rsidRPr="00A40751">
        <w:fldChar w:fldCharType="separate"/>
      </w:r>
      <w:r w:rsidR="00F7579D" w:rsidRPr="00F7579D">
        <w:t>Figure 58</w:t>
      </w:r>
      <w:r w:rsidRPr="00A40751">
        <w:fldChar w:fldCharType="end"/>
      </w:r>
      <w:r w:rsidRPr="00A40751">
        <w:t>c,d). All of the CyModIAU simulations generally involve increases in AT timing errors, but the MY schemes exhibit the largest increases in AT timing errors due to mostly being slower than the Control runs (</w:t>
      </w:r>
      <w:r w:rsidRPr="00A40751">
        <w:fldChar w:fldCharType="begin"/>
      </w:r>
      <w:r w:rsidRPr="00A40751">
        <w:instrText xml:space="preserve"> REF _Ref447185554 \h  \* MERGEFORMAT </w:instrText>
      </w:r>
      <w:r w:rsidRPr="00A40751">
        <w:fldChar w:fldCharType="separate"/>
      </w:r>
      <w:r w:rsidR="00F7579D" w:rsidRPr="00F7579D">
        <w:t>Figure 58</w:t>
      </w:r>
      <w:r w:rsidRPr="00A40751">
        <w:fldChar w:fldCharType="end"/>
      </w:r>
      <w:r w:rsidRPr="00A40751">
        <w:t xml:space="preserve">e). </w:t>
      </w:r>
    </w:p>
    <w:p w:rsidR="00A40751" w:rsidRPr="00A40751" w:rsidRDefault="00A40751" w:rsidP="00AD51D4">
      <w:pPr>
        <w:pStyle w:val="NoSpacing"/>
        <w:ind w:firstLine="720"/>
      </w:pPr>
      <w:r w:rsidRPr="00A40751">
        <w:t>Overall for S1, analysis cycling leads to an increase in the number of 0-1UH centers and a slight shift to the south, and the modified IAU technique contributes to a reduction in the number of 0-1UH centers and a slight shift to the north. The combination of the analysis cycling and the modified IAU technique results in mostly an increase in the number of 0-1UH centers and a slight shift south with a slow down for the MY schemes. Thus, analysis cycling has more of an impact than the modified IAU when both are used together. However, most of these changes are relatively small, and the success of the forecasts from the Cycling, ModIAU, and CyModIAU runs is comparable to the Control runs’ successful forecasts of S1.</w:t>
      </w:r>
    </w:p>
    <w:p w:rsidR="00A40751" w:rsidRPr="00A40751" w:rsidRDefault="00645036" w:rsidP="00A40751">
      <w:pPr>
        <w:keepNext/>
        <w:spacing w:after="0" w:line="480" w:lineRule="auto"/>
      </w:pPr>
      <w:r>
        <w:rPr>
          <w:noProof/>
        </w:rPr>
        <w:lastRenderedPageBreak/>
        <w:drawing>
          <wp:inline distT="0" distB="0" distL="0" distR="0" wp14:anchorId="550A9068" wp14:editId="1152D667">
            <wp:extent cx="5303520" cy="53035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centers_01uh_cycling_S1.png"/>
                    <pic:cNvPicPr/>
                  </pic:nvPicPr>
                  <pic:blipFill>
                    <a:blip r:embed="rId70">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60" w:name="_Ref447183308"/>
      <w:bookmarkStart w:id="161" w:name="_Toc450593136"/>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56</w:t>
      </w:r>
      <w:r w:rsidRPr="00A40751">
        <w:rPr>
          <w:szCs w:val="24"/>
        </w:rPr>
        <w:fldChar w:fldCharType="end"/>
      </w:r>
      <w:bookmarkEnd w:id="160"/>
      <w:r w:rsidRPr="00A40751">
        <w:rPr>
          <w:szCs w:val="24"/>
        </w:rPr>
        <w:t xml:space="preserve">. </w:t>
      </w:r>
      <w:r w:rsidR="00213D89">
        <w:t xml:space="preserve">Same as for </w:t>
      </w:r>
      <w:r w:rsidR="00213D89">
        <w:fldChar w:fldCharType="begin"/>
      </w:r>
      <w:r w:rsidR="00213D89">
        <w:instrText xml:space="preserve"> REF _Ref440638120 \h </w:instrText>
      </w:r>
      <w:r w:rsidR="00213D89">
        <w:fldChar w:fldCharType="separate"/>
      </w:r>
      <w:r w:rsidR="00F7579D" w:rsidRPr="00A82336">
        <w:t xml:space="preserve">Figure </w:t>
      </w:r>
      <w:r w:rsidR="00F7579D">
        <w:rPr>
          <w:noProof/>
        </w:rPr>
        <w:t>18</w:t>
      </w:r>
      <w:r w:rsidR="00213D89">
        <w:fldChar w:fldCharType="end"/>
      </w:r>
      <w:r w:rsidRPr="00A40751">
        <w:t xml:space="preserve"> in Chapter 4, but for Cycling.</w:t>
      </w:r>
      <w:r w:rsidR="0049043F">
        <w:t xml:space="preserve"> Light gray shading in (c), (d), and (e) represents the max/min bounds of the Control runs for comparison purposes.</w:t>
      </w:r>
      <w:bookmarkEnd w:id="161"/>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31F7E11F" wp14:editId="0D84227B">
            <wp:extent cx="5303520" cy="53035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centers_01uh_modiau_S1.png"/>
                    <pic:cNvPicPr/>
                  </pic:nvPicPr>
                  <pic:blipFill>
                    <a:blip r:embed="rId71">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62" w:name="_Ref447184409"/>
      <w:bookmarkStart w:id="163" w:name="_Toc450593137"/>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57</w:t>
      </w:r>
      <w:r w:rsidRPr="00A40751">
        <w:rPr>
          <w:szCs w:val="24"/>
        </w:rPr>
        <w:fldChar w:fldCharType="end"/>
      </w:r>
      <w:bookmarkEnd w:id="162"/>
      <w:r w:rsidRPr="00A40751">
        <w:rPr>
          <w:szCs w:val="24"/>
        </w:rPr>
        <w:t xml:space="preserve">. </w:t>
      </w:r>
      <w:r w:rsidR="00213D89">
        <w:t xml:space="preserve">Same as for </w:t>
      </w:r>
      <w:r w:rsidR="00213D89">
        <w:fldChar w:fldCharType="begin"/>
      </w:r>
      <w:r w:rsidR="00213D89">
        <w:instrText xml:space="preserve"> REF _Ref440638120 \h </w:instrText>
      </w:r>
      <w:r w:rsidR="00213D89">
        <w:fldChar w:fldCharType="separate"/>
      </w:r>
      <w:r w:rsidR="00F7579D" w:rsidRPr="00A82336">
        <w:t xml:space="preserve">Figure </w:t>
      </w:r>
      <w:r w:rsidR="00F7579D">
        <w:rPr>
          <w:noProof/>
        </w:rPr>
        <w:t>18</w:t>
      </w:r>
      <w:r w:rsidR="00213D89">
        <w:fldChar w:fldCharType="end"/>
      </w:r>
      <w:r w:rsidRPr="00A40751">
        <w:t xml:space="preserve"> in Chapter 4, but for ModIAU.</w:t>
      </w:r>
      <w:r w:rsidR="0049043F">
        <w:t xml:space="preserve"> Light gray shading in (c), (d), and (e) represents the max/min bounds of the Control runs for comparison purposes.</w:t>
      </w:r>
      <w:bookmarkEnd w:id="163"/>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212B6F59" wp14:editId="1A5B78AF">
            <wp:extent cx="5303520" cy="53035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enters_01uh_cymodiau_S1.png"/>
                    <pic:cNvPicPr/>
                  </pic:nvPicPr>
                  <pic:blipFill>
                    <a:blip r:embed="rId72">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64" w:name="_Ref447185554"/>
      <w:bookmarkStart w:id="165" w:name="_Toc450593138"/>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58</w:t>
      </w:r>
      <w:r w:rsidRPr="00A40751">
        <w:rPr>
          <w:szCs w:val="24"/>
        </w:rPr>
        <w:fldChar w:fldCharType="end"/>
      </w:r>
      <w:bookmarkEnd w:id="164"/>
      <w:r w:rsidRPr="00A40751">
        <w:rPr>
          <w:szCs w:val="24"/>
        </w:rPr>
        <w:t xml:space="preserve">. </w:t>
      </w:r>
      <w:r w:rsidR="00213D89">
        <w:t xml:space="preserve">Same as for </w:t>
      </w:r>
      <w:r w:rsidR="00213D89">
        <w:fldChar w:fldCharType="begin"/>
      </w:r>
      <w:r w:rsidR="00213D89">
        <w:instrText xml:space="preserve"> REF _Ref440638120 \h </w:instrText>
      </w:r>
      <w:r w:rsidR="00213D89">
        <w:fldChar w:fldCharType="separate"/>
      </w:r>
      <w:r w:rsidR="00F7579D" w:rsidRPr="00A82336">
        <w:t xml:space="preserve">Figure </w:t>
      </w:r>
      <w:r w:rsidR="00F7579D">
        <w:rPr>
          <w:noProof/>
        </w:rPr>
        <w:t>18</w:t>
      </w:r>
      <w:r w:rsidR="00213D89">
        <w:fldChar w:fldCharType="end"/>
      </w:r>
      <w:r w:rsidRPr="00A40751">
        <w:t xml:space="preserve"> in Chapter 4, but for CyModIAU.</w:t>
      </w:r>
      <w:r w:rsidR="0049043F">
        <w:t xml:space="preserve"> Light gray shading in (c), (d), and (e) represents the max/min bounds of the Control runs for comparison purposes.</w:t>
      </w:r>
      <w:bookmarkEnd w:id="165"/>
    </w:p>
    <w:p w:rsidR="00A40751" w:rsidRPr="00A40751" w:rsidRDefault="0049043F" w:rsidP="0049043F">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735771" w:rsidP="00213D89">
      <w:pPr>
        <w:pStyle w:val="Heading3"/>
      </w:pPr>
      <w:bookmarkStart w:id="166" w:name="_Toc448742101"/>
      <w:r>
        <w:lastRenderedPageBreak/>
        <w:t>6</w:t>
      </w:r>
      <w:r w:rsidR="00A40751" w:rsidRPr="00A40751">
        <w:t>.5.2 Storm 2</w:t>
      </w:r>
      <w:bookmarkEnd w:id="166"/>
    </w:p>
    <w:p w:rsidR="00A40751" w:rsidRPr="00A40751" w:rsidRDefault="00A40751" w:rsidP="00AD51D4">
      <w:pPr>
        <w:pStyle w:val="NoSpacing"/>
        <w:ind w:firstLine="720"/>
      </w:pPr>
      <w:r w:rsidRPr="00A40751">
        <w:t>The Control runs’ forecasts for S2 were fairly good, but perhaps improvements can be attained through the use of different data assimilation techniques. Except for MYDM, the Cycling runs yield a small increase in the number of ST 0-1UH centers near S2 compared to the Control runs, and the average ST 0-1UH center locations for each microphysics scheme is generally closer to S2’s tornado locations, except for LIN3, which is further south (</w:t>
      </w:r>
      <w:r w:rsidRPr="00A40751">
        <w:fldChar w:fldCharType="begin"/>
      </w:r>
      <w:r w:rsidRPr="00A40751">
        <w:instrText xml:space="preserve"> REF _Ref447195586 \h  \* MERGEFORMAT </w:instrText>
      </w:r>
      <w:r w:rsidRPr="00A40751">
        <w:fldChar w:fldCharType="separate"/>
      </w:r>
      <w:r w:rsidR="00F7579D" w:rsidRPr="00F7579D">
        <w:t>Figure 59</w:t>
      </w:r>
      <w:r w:rsidRPr="00A40751">
        <w:fldChar w:fldCharType="end"/>
      </w:r>
      <w:r w:rsidRPr="00A40751">
        <w:t>a). Besides the MYSM runs, there are fewer AT 0-1UH centers near S2 than the Control runs, and the average AT 0-1UH center locations for each microphysics scheme are slightly faster, especially the WSM6 runs, and slightly further south, especially the LIN3 runs, than the AT 0-1UH centers from the Control runs (</w:t>
      </w:r>
      <w:r w:rsidRPr="00A40751">
        <w:fldChar w:fldCharType="begin"/>
      </w:r>
      <w:r w:rsidRPr="00A40751">
        <w:instrText xml:space="preserve"> REF _Ref447195586 \h  \* MERGEFORMAT </w:instrText>
      </w:r>
      <w:r w:rsidRPr="00A40751">
        <w:fldChar w:fldCharType="separate"/>
      </w:r>
      <w:r w:rsidR="00F7579D" w:rsidRPr="00F7579D">
        <w:t>Figure 59</w:t>
      </w:r>
      <w:r w:rsidRPr="00A40751">
        <w:fldChar w:fldCharType="end"/>
      </w:r>
      <w:r w:rsidRPr="00A40751">
        <w:t xml:space="preserve">b). </w:t>
      </w:r>
      <w:r w:rsidR="003D6070">
        <w:t>T</w:t>
      </w:r>
      <w:r w:rsidRPr="00A40751">
        <w:t>his results in the MY schemes’ AT 0-1UH centers being somewhat closer to S2’s tornado locations. The Cycling runs using LIN3 and WSM6 yield a reduction in the ST distance errors, but the runs using the MY schemes depict an overall increase in ST distance errors (</w:t>
      </w:r>
      <w:r w:rsidRPr="00A40751">
        <w:fldChar w:fldCharType="begin"/>
      </w:r>
      <w:r w:rsidRPr="00A40751">
        <w:instrText xml:space="preserve"> REF _Ref447195586 \h  \* MERGEFORMAT </w:instrText>
      </w:r>
      <w:r w:rsidRPr="00A40751">
        <w:fldChar w:fldCharType="separate"/>
      </w:r>
      <w:r w:rsidR="00F7579D" w:rsidRPr="00F7579D">
        <w:t>Figure 59</w:t>
      </w:r>
      <w:r w:rsidRPr="00A40751">
        <w:fldChar w:fldCharType="end"/>
      </w:r>
      <w:r w:rsidRPr="00A40751">
        <w:t>c). Most of the Cycling runs, especially those using WSM6, experience a reduction of AT distance errors (</w:t>
      </w:r>
      <w:r w:rsidRPr="00A40751">
        <w:fldChar w:fldCharType="begin"/>
      </w:r>
      <w:r w:rsidRPr="00A40751">
        <w:instrText xml:space="preserve"> REF _Ref447195586 \h  \* MERGEFORMAT </w:instrText>
      </w:r>
      <w:r w:rsidRPr="00A40751">
        <w:fldChar w:fldCharType="separate"/>
      </w:r>
      <w:r w:rsidR="00F7579D" w:rsidRPr="00F7579D">
        <w:t>Figure 59</w:t>
      </w:r>
      <w:r w:rsidRPr="00A40751">
        <w:fldChar w:fldCharType="end"/>
      </w:r>
      <w:r w:rsidRPr="00A40751">
        <w:t>d), but they generally result in an increase in AT timing errors, except for LIN3, which exhibits the largest AT timing errors (</w:t>
      </w:r>
      <w:r w:rsidRPr="00A40751">
        <w:fldChar w:fldCharType="begin"/>
      </w:r>
      <w:r w:rsidRPr="00A40751">
        <w:instrText xml:space="preserve"> REF _Ref447195586 \h  \* MERGEFORMAT </w:instrText>
      </w:r>
      <w:r w:rsidRPr="00A40751">
        <w:fldChar w:fldCharType="separate"/>
      </w:r>
      <w:r w:rsidR="00F7579D" w:rsidRPr="00F7579D">
        <w:t>Figure 59</w:t>
      </w:r>
      <w:r w:rsidRPr="00A40751">
        <w:fldChar w:fldCharType="end"/>
      </w:r>
      <w:r w:rsidRPr="00A40751">
        <w:t xml:space="preserve">e). </w:t>
      </w:r>
    </w:p>
    <w:p w:rsidR="00A40751" w:rsidRPr="00A40751" w:rsidRDefault="00A40751" w:rsidP="00AD51D4">
      <w:pPr>
        <w:pStyle w:val="NoSpacing"/>
        <w:ind w:firstLine="720"/>
      </w:pPr>
      <w:r w:rsidRPr="00A40751">
        <w:t>Each set of ModIAU simulations for the different microphysics schemes experiences an increase of up to 5 additional ST 0-1UH centers near S2 as compared to the Control runs, and except for LIN3, the other microphysics schemes’ ModIAU runs’ average ST 0-1UH center locations are slightly further north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a). Interestingly, two distinct clusters of ST 0-1UH centers from the ModIAU runs using the MY schemes are depicted with one too slow and the other too fast and too far north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 xml:space="preserve">a). </w:t>
      </w:r>
      <w:r w:rsidRPr="00A40751">
        <w:lastRenderedPageBreak/>
        <w:t>Except for LIN3, the number of AT 0-1UH centers near S2 is larger and slightly further north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b). Besides the runs using LIN3, the other ModIAU runs generally experience a reduction in the ST distance errors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c). The ModIAU runs using WSM6 or MYDM result in smaller AT distance errors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d), and the runs using LIN3, MYSM, or MYDM have smaller AT timing errors (</w:t>
      </w:r>
      <w:r w:rsidRPr="00A40751">
        <w:fldChar w:fldCharType="begin"/>
      </w:r>
      <w:r w:rsidRPr="00A40751">
        <w:instrText xml:space="preserve"> REF _Ref447197361 \h  \* MERGEFORMAT </w:instrText>
      </w:r>
      <w:r w:rsidRPr="00A40751">
        <w:fldChar w:fldCharType="separate"/>
      </w:r>
      <w:r w:rsidR="00F7579D" w:rsidRPr="00F7579D">
        <w:t>Figure 60</w:t>
      </w:r>
      <w:r w:rsidRPr="00A40751">
        <w:fldChar w:fldCharType="end"/>
      </w:r>
      <w:r w:rsidRPr="00A40751">
        <w:t>e).</w:t>
      </w:r>
    </w:p>
    <w:p w:rsidR="00A40751" w:rsidRPr="00A40751" w:rsidRDefault="00A40751" w:rsidP="00AD51D4">
      <w:pPr>
        <w:pStyle w:val="NoSpacing"/>
        <w:ind w:firstLine="720"/>
      </w:pPr>
      <w:r w:rsidRPr="00A40751">
        <w:t>For the CyModIAU runs, the number of ST 0-1UH centers is larger than for the Control runs, except for the runs using WSM6, and while the MY schemes’ CyModIAU runs’ average ST 0-1UH center locations are similar or closer to the Control runs’ centers, the ST 01-UH centers for LIN3 and WSM6 are generally further away (</w:t>
      </w:r>
      <w:r w:rsidRPr="00A40751">
        <w:fldChar w:fldCharType="begin"/>
      </w:r>
      <w:r w:rsidRPr="00A40751">
        <w:instrText xml:space="preserve"> REF _Ref447199328 \h  \* MERGEFORMAT </w:instrText>
      </w:r>
      <w:r w:rsidRPr="00A40751">
        <w:fldChar w:fldCharType="separate"/>
      </w:r>
      <w:r w:rsidR="00F7579D" w:rsidRPr="00F7579D">
        <w:t>Figure 61</w:t>
      </w:r>
      <w:r w:rsidRPr="00A40751">
        <w:fldChar w:fldCharType="end"/>
      </w:r>
      <w:r w:rsidRPr="00A40751">
        <w:t>a). The AT 0-1UH centers produced by the simulations using MYDM and MYTM are generally slightly closer to S2’s tornado locations, but the CyModIAU runs using LIN3 and WSM6 are slightly faster (</w:t>
      </w:r>
      <w:r w:rsidRPr="00A40751">
        <w:fldChar w:fldCharType="begin"/>
      </w:r>
      <w:r w:rsidRPr="00A40751">
        <w:instrText xml:space="preserve"> REF _Ref447199328 \h  \* MERGEFORMAT </w:instrText>
      </w:r>
      <w:r w:rsidRPr="00A40751">
        <w:fldChar w:fldCharType="separate"/>
      </w:r>
      <w:r w:rsidR="00F7579D" w:rsidRPr="00F7579D">
        <w:t>Figure 61</w:t>
      </w:r>
      <w:r w:rsidRPr="00A40751">
        <w:fldChar w:fldCharType="end"/>
      </w:r>
      <w:r w:rsidRPr="00A40751">
        <w:t>b). However, the spread in AT 0-1UH centers for the runs using WSM6 is smaller. Except for the runs using LIN3, the CyModIAU runs all mostly yield smaller ST and AT distance errors (</w:t>
      </w:r>
      <w:r w:rsidRPr="00A40751">
        <w:fldChar w:fldCharType="begin"/>
      </w:r>
      <w:r w:rsidRPr="00A40751">
        <w:instrText xml:space="preserve"> REF _Ref447199328 \h  \* MERGEFORMAT </w:instrText>
      </w:r>
      <w:r w:rsidRPr="00A40751">
        <w:fldChar w:fldCharType="separate"/>
      </w:r>
      <w:r w:rsidR="00F7579D" w:rsidRPr="00F7579D">
        <w:t>Figure 61</w:t>
      </w:r>
      <w:r w:rsidRPr="00A40751">
        <w:fldChar w:fldCharType="end"/>
      </w:r>
      <w:r w:rsidRPr="00A40751">
        <w:t>c,d). Just like for the ModIAU runs, the CyModIAU runs using LIN3, MYSM, and MYDM all have smaller AT timing errors, while the other two have larger AT timing errors (</w:t>
      </w:r>
      <w:r w:rsidRPr="00A40751">
        <w:fldChar w:fldCharType="begin"/>
      </w:r>
      <w:r w:rsidRPr="00A40751">
        <w:instrText xml:space="preserve"> REF _Ref447199328 \h  \* MERGEFORMAT </w:instrText>
      </w:r>
      <w:r w:rsidRPr="00A40751">
        <w:fldChar w:fldCharType="separate"/>
      </w:r>
      <w:r w:rsidR="00F7579D" w:rsidRPr="00F7579D">
        <w:t>Figure 61</w:t>
      </w:r>
      <w:r w:rsidRPr="00A40751">
        <w:fldChar w:fldCharType="end"/>
      </w:r>
      <w:r w:rsidRPr="00A40751">
        <w:t>e).</w:t>
      </w:r>
    </w:p>
    <w:p w:rsidR="00A40751" w:rsidRPr="00A40751" w:rsidRDefault="00A40751" w:rsidP="00AD51D4">
      <w:pPr>
        <w:pStyle w:val="NoSpacing"/>
        <w:ind w:firstLine="720"/>
      </w:pPr>
      <w:r w:rsidRPr="00A40751">
        <w:t>Overall for S2, analysis cycling results in a general southward shift for a majority of the 0-1UH centers, and the modified technique appears to have consolidated a majority of the 0-1UH centers into somewhat distinct clusters. Combining the analysis cycling with the modified IAU technique yields a result somewhere in between the results of t</w:t>
      </w:r>
      <w:r w:rsidR="00B70F4F">
        <w:t>he Cycling and ModIAU runs. Therefore</w:t>
      </w:r>
      <w:r w:rsidRPr="00A40751">
        <w:t xml:space="preserve">, the CyModIAU runs exhibit the largest overall improvement over the Control runs. </w:t>
      </w:r>
    </w:p>
    <w:p w:rsidR="00A40751" w:rsidRPr="00A40751" w:rsidRDefault="00645036" w:rsidP="00A40751">
      <w:pPr>
        <w:keepNext/>
        <w:spacing w:after="0" w:line="480" w:lineRule="auto"/>
      </w:pPr>
      <w:r>
        <w:rPr>
          <w:noProof/>
        </w:rPr>
        <w:lastRenderedPageBreak/>
        <w:drawing>
          <wp:inline distT="0" distB="0" distL="0" distR="0" wp14:anchorId="423192C3" wp14:editId="02D81DBB">
            <wp:extent cx="5303520" cy="53035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enters_01uh_cycling_S2.png"/>
                    <pic:cNvPicPr/>
                  </pic:nvPicPr>
                  <pic:blipFill>
                    <a:blip r:embed="rId73">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67" w:name="_Ref447195586"/>
      <w:bookmarkStart w:id="168" w:name="_Toc450593139"/>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59</w:t>
      </w:r>
      <w:r w:rsidRPr="00A40751">
        <w:rPr>
          <w:szCs w:val="24"/>
        </w:rPr>
        <w:fldChar w:fldCharType="end"/>
      </w:r>
      <w:bookmarkEnd w:id="167"/>
      <w:r w:rsidRPr="00A40751">
        <w:rPr>
          <w:szCs w:val="24"/>
        </w:rPr>
        <w:t xml:space="preserve">. </w:t>
      </w:r>
      <w:r w:rsidR="00213D89">
        <w:t xml:space="preserve">Same as for </w:t>
      </w:r>
      <w:r w:rsidR="00213D89">
        <w:fldChar w:fldCharType="begin"/>
      </w:r>
      <w:r w:rsidR="00213D89">
        <w:instrText xml:space="preserve"> REF _Ref440810539 \h </w:instrText>
      </w:r>
      <w:r w:rsidR="00213D89">
        <w:fldChar w:fldCharType="separate"/>
      </w:r>
      <w:r w:rsidR="00F7579D" w:rsidRPr="00A82336">
        <w:t xml:space="preserve">Figure </w:t>
      </w:r>
      <w:r w:rsidR="00F7579D">
        <w:rPr>
          <w:noProof/>
        </w:rPr>
        <w:t>20</w:t>
      </w:r>
      <w:r w:rsidR="00213D89">
        <w:fldChar w:fldCharType="end"/>
      </w:r>
      <w:r w:rsidRPr="00A40751">
        <w:t xml:space="preserve"> in Chapter 4, but for Cycling.</w:t>
      </w:r>
      <w:r w:rsidR="0049043F">
        <w:t xml:space="preserve"> Light gray shading in (c), (d), and (e) represents the max/min bounds of the Control runs for comparison purposes.</w:t>
      </w:r>
      <w:bookmarkEnd w:id="168"/>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37F94F13" wp14:editId="725B51F6">
            <wp:extent cx="5303520" cy="53035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enters_01uh_modiau_S2.png"/>
                    <pic:cNvPicPr/>
                  </pic:nvPicPr>
                  <pic:blipFill>
                    <a:blip r:embed="rId74">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69" w:name="_Ref447197361"/>
      <w:bookmarkStart w:id="170" w:name="_Toc450593140"/>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60</w:t>
      </w:r>
      <w:r w:rsidRPr="00A40751">
        <w:rPr>
          <w:szCs w:val="24"/>
        </w:rPr>
        <w:fldChar w:fldCharType="end"/>
      </w:r>
      <w:bookmarkEnd w:id="169"/>
      <w:r w:rsidRPr="00A40751">
        <w:rPr>
          <w:szCs w:val="24"/>
        </w:rPr>
        <w:t xml:space="preserve">. </w:t>
      </w:r>
      <w:r w:rsidR="00213D89">
        <w:t xml:space="preserve">Same as for </w:t>
      </w:r>
      <w:r w:rsidR="00213D89">
        <w:fldChar w:fldCharType="begin"/>
      </w:r>
      <w:r w:rsidR="00213D89">
        <w:instrText xml:space="preserve"> REF _Ref440810539 \h </w:instrText>
      </w:r>
      <w:r w:rsidR="00213D89">
        <w:fldChar w:fldCharType="separate"/>
      </w:r>
      <w:r w:rsidR="00F7579D" w:rsidRPr="00A82336">
        <w:t xml:space="preserve">Figure </w:t>
      </w:r>
      <w:r w:rsidR="00F7579D">
        <w:rPr>
          <w:noProof/>
        </w:rPr>
        <w:t>20</w:t>
      </w:r>
      <w:r w:rsidR="00213D89">
        <w:fldChar w:fldCharType="end"/>
      </w:r>
      <w:r w:rsidRPr="00A40751">
        <w:t xml:space="preserve"> in Chapter 4, but for ModIAU.</w:t>
      </w:r>
      <w:r w:rsidR="0049043F">
        <w:t xml:space="preserve"> Light gray shading in (c), (d), and (e) represents the max/min bounds of the Control runs for comparison purposes.</w:t>
      </w:r>
      <w:bookmarkEnd w:id="170"/>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645036" w:rsidP="00A40751">
      <w:pPr>
        <w:keepNext/>
        <w:spacing w:after="0" w:line="480" w:lineRule="auto"/>
      </w:pPr>
      <w:r>
        <w:rPr>
          <w:noProof/>
        </w:rPr>
        <w:lastRenderedPageBreak/>
        <w:drawing>
          <wp:inline distT="0" distB="0" distL="0" distR="0" wp14:anchorId="346434D7" wp14:editId="034BFA4B">
            <wp:extent cx="5303520" cy="53035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nters_01uh_cymodiau_S2.png"/>
                    <pic:cNvPicPr/>
                  </pic:nvPicPr>
                  <pic:blipFill>
                    <a:blip r:embed="rId75">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71" w:name="_Ref447199328"/>
      <w:bookmarkStart w:id="172" w:name="_Toc450593141"/>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61</w:t>
      </w:r>
      <w:r w:rsidRPr="00A40751">
        <w:rPr>
          <w:szCs w:val="24"/>
        </w:rPr>
        <w:fldChar w:fldCharType="end"/>
      </w:r>
      <w:bookmarkEnd w:id="171"/>
      <w:r w:rsidRPr="00A40751">
        <w:rPr>
          <w:szCs w:val="24"/>
        </w:rPr>
        <w:t xml:space="preserve">. </w:t>
      </w:r>
      <w:r w:rsidR="00213D89">
        <w:t xml:space="preserve">Same as for </w:t>
      </w:r>
      <w:r w:rsidR="00213D89">
        <w:fldChar w:fldCharType="begin"/>
      </w:r>
      <w:r w:rsidR="00213D89">
        <w:instrText xml:space="preserve"> REF _Ref440810539 \h </w:instrText>
      </w:r>
      <w:r w:rsidR="00213D89">
        <w:fldChar w:fldCharType="separate"/>
      </w:r>
      <w:r w:rsidR="00F7579D" w:rsidRPr="00A82336">
        <w:t xml:space="preserve">Figure </w:t>
      </w:r>
      <w:r w:rsidR="00F7579D">
        <w:rPr>
          <w:noProof/>
        </w:rPr>
        <w:t>20</w:t>
      </w:r>
      <w:r w:rsidR="00213D89">
        <w:fldChar w:fldCharType="end"/>
      </w:r>
      <w:r w:rsidRPr="00A40751">
        <w:t xml:space="preserve"> in Chapter 4, but for CyModIAU.</w:t>
      </w:r>
      <w:r w:rsidR="0049043F">
        <w:t xml:space="preserve"> Light gray shading in (c), (d), and (e) represents the max/min bounds of the Control runs for comparison purposes.</w:t>
      </w:r>
      <w:bookmarkEnd w:id="172"/>
    </w:p>
    <w:p w:rsidR="00A40751" w:rsidRPr="00A40751" w:rsidRDefault="0049043F" w:rsidP="0049043F">
      <w:pPr>
        <w:rPr>
          <w:rFonts w:ascii="Times New Roman" w:hAnsi="Times New Roman" w:cs="Times New Roman"/>
          <w:sz w:val="24"/>
          <w:szCs w:val="24"/>
        </w:rPr>
      </w:pPr>
      <w:r>
        <w:rPr>
          <w:rFonts w:ascii="Times New Roman" w:hAnsi="Times New Roman" w:cs="Times New Roman"/>
          <w:sz w:val="24"/>
          <w:szCs w:val="24"/>
        </w:rPr>
        <w:br w:type="page"/>
      </w:r>
    </w:p>
    <w:p w:rsidR="00A40751" w:rsidRPr="00A40751" w:rsidRDefault="00735771" w:rsidP="00213D89">
      <w:pPr>
        <w:pStyle w:val="Heading3"/>
      </w:pPr>
      <w:bookmarkStart w:id="173" w:name="_Toc448742102"/>
      <w:r>
        <w:lastRenderedPageBreak/>
        <w:t>6</w:t>
      </w:r>
      <w:r w:rsidR="00A40751" w:rsidRPr="00A40751">
        <w:t>.5.3 Storm 3</w:t>
      </w:r>
      <w:bookmarkEnd w:id="173"/>
    </w:p>
    <w:p w:rsidR="00A40751" w:rsidRPr="00A40751" w:rsidRDefault="00A40751" w:rsidP="00AD51D4">
      <w:pPr>
        <w:pStyle w:val="NoSpacing"/>
        <w:ind w:firstLine="720"/>
      </w:pPr>
      <w:r w:rsidRPr="00A40751">
        <w:t xml:space="preserve">Because of the numerous storm interactions and mergers ongoing at the start of S3’s tornadoes, </w:t>
      </w:r>
      <w:r w:rsidR="003D6070">
        <w:t xml:space="preserve">the tested </w:t>
      </w:r>
      <w:r w:rsidRPr="00A40751">
        <w:t>forecast systems, including the Control runs, struggle to appropriately depict S3’s circulation tracks, so perhaps introducing other data assimilation techniques can improve the forecasts of S3. Except for the Cycling runs using LIN3, the runs using the other microphysics schemes generally produce more ST and AT 0-1UH centers (</w:t>
      </w:r>
      <w:r w:rsidRPr="00A40751">
        <w:fldChar w:fldCharType="begin"/>
      </w:r>
      <w:r w:rsidRPr="00A40751">
        <w:instrText xml:space="preserve"> REF _Ref447204809 \h  \* MERGEFORMAT </w:instrText>
      </w:r>
      <w:r w:rsidRPr="00A40751">
        <w:fldChar w:fldCharType="separate"/>
      </w:r>
      <w:r w:rsidR="00F7579D" w:rsidRPr="00F7579D">
        <w:t>Figure 62</w:t>
      </w:r>
      <w:r w:rsidRPr="00A40751">
        <w:fldChar w:fldCharType="end"/>
      </w:r>
      <w:r w:rsidRPr="00A40751">
        <w:t>a,b). Even though the only Cycling runs with average ST 0-1UH center locations closer to S3’s tornado locations use MYSM and MYDM, a cluster of ST 0-1UH centers exists near S3’s tornado locations and includes centers from runs associated with each microphysics scheme (</w:t>
      </w:r>
      <w:r w:rsidRPr="00A40751">
        <w:fldChar w:fldCharType="begin"/>
      </w:r>
      <w:r w:rsidRPr="00A40751">
        <w:instrText xml:space="preserve"> REF _Ref447204809 \h  \* MERGEFORMAT </w:instrText>
      </w:r>
      <w:r w:rsidRPr="00A40751">
        <w:fldChar w:fldCharType="separate"/>
      </w:r>
      <w:r w:rsidR="00F7579D" w:rsidRPr="00F7579D">
        <w:t>Figure 62</w:t>
      </w:r>
      <w:r w:rsidRPr="00A40751">
        <w:fldChar w:fldCharType="end"/>
      </w:r>
      <w:r w:rsidRPr="00A40751">
        <w:t>a). Although a cluster of AT 0-1UH centers still exists ~30 km to the south of S3’s track, a cluster of AT 0-1UH centers also exists near S3’s tornado locations (</w:t>
      </w:r>
      <w:r w:rsidRPr="00A40751">
        <w:fldChar w:fldCharType="begin"/>
      </w:r>
      <w:r w:rsidRPr="00A40751">
        <w:instrText xml:space="preserve"> REF _Ref447204809 \h  \* MERGEFORMAT </w:instrText>
      </w:r>
      <w:r w:rsidRPr="00A40751">
        <w:fldChar w:fldCharType="separate"/>
      </w:r>
      <w:r w:rsidR="00F7579D" w:rsidRPr="00F7579D">
        <w:t>Figure 62</w:t>
      </w:r>
      <w:r w:rsidRPr="00A40751">
        <w:fldChar w:fldCharType="end"/>
      </w:r>
      <w:r w:rsidRPr="00A40751">
        <w:t>b). Because the Cycling runs have this cluster of 0-1UH centers near S3 and the Control runs do not, ST and AT distance and timing errors are substantially reduced for most of the Cycling simulations, especially the ones using MYDM or MYTM (</w:t>
      </w:r>
      <w:r w:rsidRPr="00A40751">
        <w:fldChar w:fldCharType="begin"/>
      </w:r>
      <w:r w:rsidRPr="00A40751">
        <w:instrText xml:space="preserve"> REF _Ref447204809 \h  \* MERGEFORMAT </w:instrText>
      </w:r>
      <w:r w:rsidRPr="00A40751">
        <w:fldChar w:fldCharType="separate"/>
      </w:r>
      <w:r w:rsidR="00F7579D" w:rsidRPr="00F7579D">
        <w:t>Figure 62</w:t>
      </w:r>
      <w:r w:rsidRPr="00A40751">
        <w:fldChar w:fldCharType="end"/>
      </w:r>
      <w:r w:rsidRPr="00A40751">
        <w:t>c,d,e).</w:t>
      </w:r>
    </w:p>
    <w:p w:rsidR="00A40751" w:rsidRPr="00A40751" w:rsidRDefault="00A40751" w:rsidP="00AD51D4">
      <w:pPr>
        <w:pStyle w:val="NoSpacing"/>
        <w:ind w:firstLine="720"/>
      </w:pPr>
      <w:r w:rsidRPr="00A40751">
        <w:t>Similar to the Control runs, the ModIAU runs tend to produce ST 0-1UH centers too far south and no distinct clusters within ~20 km of S3’s tornado locations (</w:t>
      </w:r>
      <w:r w:rsidRPr="00A40751">
        <w:fldChar w:fldCharType="begin"/>
      </w:r>
      <w:r w:rsidRPr="00A40751">
        <w:instrText xml:space="preserve"> REF _Ref447206877 \h  \* MERGEFORMAT </w:instrText>
      </w:r>
      <w:r w:rsidRPr="00A40751">
        <w:fldChar w:fldCharType="separate"/>
      </w:r>
      <w:r w:rsidR="00F7579D" w:rsidRPr="00F7579D">
        <w:t>Figure 63</w:t>
      </w:r>
      <w:r w:rsidRPr="00A40751">
        <w:fldChar w:fldCharType="end"/>
      </w:r>
      <w:r w:rsidRPr="00A40751">
        <w:t>a). Except for ModIAU runs using WSM6, there is an overall decrease in the number of AT 0-1UH centers, but the cluster of AT 0-1UH centers ~30 km south of S3’s tornado locations in the Control runs’ forecasts is ~10 km closer in the ModIAU runs’ forecasts (</w:t>
      </w:r>
      <w:r w:rsidRPr="00A40751">
        <w:fldChar w:fldCharType="begin"/>
      </w:r>
      <w:r w:rsidRPr="00A40751">
        <w:instrText xml:space="preserve"> REF _Ref447206877 \h  \* MERGEFORMAT </w:instrText>
      </w:r>
      <w:r w:rsidRPr="00A40751">
        <w:fldChar w:fldCharType="separate"/>
      </w:r>
      <w:r w:rsidR="00F7579D" w:rsidRPr="00F7579D">
        <w:t>Figure 63</w:t>
      </w:r>
      <w:r w:rsidRPr="00A40751">
        <w:fldChar w:fldCharType="end"/>
      </w:r>
      <w:r w:rsidRPr="00A40751">
        <w:t>b). Most of the ModIAU runs exhibit smaller ST and AT distance errors (</w:t>
      </w:r>
      <w:r w:rsidRPr="00A40751">
        <w:fldChar w:fldCharType="begin"/>
      </w:r>
      <w:r w:rsidRPr="00A40751">
        <w:instrText xml:space="preserve"> REF _Ref447206877 \h  \* MERGEFORMAT </w:instrText>
      </w:r>
      <w:r w:rsidRPr="00A40751">
        <w:fldChar w:fldCharType="separate"/>
      </w:r>
      <w:r w:rsidR="00F7579D" w:rsidRPr="00F7579D">
        <w:t>Figure 63</w:t>
      </w:r>
      <w:r w:rsidRPr="00A40751">
        <w:fldChar w:fldCharType="end"/>
      </w:r>
      <w:r w:rsidRPr="00A40751">
        <w:t>c,d). The ModIAU runs using the sing</w:t>
      </w:r>
      <w:r w:rsidR="003D6070">
        <w:t>l</w:t>
      </w:r>
      <w:r w:rsidRPr="00A40751">
        <w:t xml:space="preserve">e-moment microphysics schemes yield larger AT timing errors, while the runs with the multi-moment microphysics schemes </w:t>
      </w:r>
      <w:r w:rsidRPr="00A40751">
        <w:lastRenderedPageBreak/>
        <w:t>experience slightly smaller AT timing errors compared to the Control runs (</w:t>
      </w:r>
      <w:r w:rsidRPr="00A40751">
        <w:fldChar w:fldCharType="begin"/>
      </w:r>
      <w:r w:rsidRPr="00A40751">
        <w:instrText xml:space="preserve"> REF _Ref447206877 \h  \* MERGEFORMAT </w:instrText>
      </w:r>
      <w:r w:rsidRPr="00A40751">
        <w:fldChar w:fldCharType="separate"/>
      </w:r>
      <w:r w:rsidR="00F7579D" w:rsidRPr="00F7579D">
        <w:t>Figure 63</w:t>
      </w:r>
      <w:r w:rsidRPr="00A40751">
        <w:fldChar w:fldCharType="end"/>
      </w:r>
      <w:r w:rsidRPr="00A40751">
        <w:t xml:space="preserve">e). However, it is important to note that most of these results are based on fewer than 15 0-1UH centers, so the results </w:t>
      </w:r>
      <w:r w:rsidR="003D6070">
        <w:t>might not be robust</w:t>
      </w:r>
      <w:r w:rsidRPr="00A40751">
        <w:t xml:space="preserve">.  </w:t>
      </w:r>
    </w:p>
    <w:p w:rsidR="00A40751" w:rsidRPr="00A40751" w:rsidRDefault="00A40751" w:rsidP="00AD51D4">
      <w:pPr>
        <w:pStyle w:val="NoSpacing"/>
        <w:ind w:firstLine="720"/>
      </w:pPr>
      <w:r w:rsidRPr="00A40751">
        <w:t>Unlike the Control runs, the CyModIAU runs, except for the ones using LIN3, produce a cluster of ST and AT 0-1UH centers within ~10 km north of S3’s tornado locations, while reducing the number of 0-1UH centers &gt; 20 km to the south (</w:t>
      </w:r>
      <w:r w:rsidRPr="00A40751">
        <w:fldChar w:fldCharType="begin"/>
      </w:r>
      <w:r w:rsidRPr="00A40751">
        <w:instrText xml:space="preserve"> REF _Ref447209290 \h  \* MERGEFORMAT </w:instrText>
      </w:r>
      <w:r w:rsidRPr="00A40751">
        <w:fldChar w:fldCharType="separate"/>
      </w:r>
      <w:r w:rsidR="00F7579D" w:rsidRPr="00F7579D">
        <w:t>Figure 64</w:t>
      </w:r>
      <w:r w:rsidRPr="00A40751">
        <w:fldChar w:fldCharType="end"/>
      </w:r>
      <w:r w:rsidRPr="00A40751">
        <w:t>a,b). The result of these 0-1UH center distributions is an overall substantial reduction in ST and AT distance errors for all CyModIAU runs (</w:t>
      </w:r>
      <w:r w:rsidRPr="00A40751">
        <w:fldChar w:fldCharType="begin"/>
      </w:r>
      <w:r w:rsidRPr="00A40751">
        <w:instrText xml:space="preserve"> REF _Ref447209290 \h  \* MERGEFORMAT </w:instrText>
      </w:r>
      <w:r w:rsidRPr="00A40751">
        <w:fldChar w:fldCharType="separate"/>
      </w:r>
      <w:r w:rsidR="00F7579D" w:rsidRPr="00F7579D">
        <w:t>Figure 64</w:t>
      </w:r>
      <w:r w:rsidRPr="00A40751">
        <w:fldChar w:fldCharType="end"/>
      </w:r>
      <w:r w:rsidRPr="00A40751">
        <w:t>c,d). Additionally, the CyModIAU simulations using WSM6, MYDM, and MYTM generally yield smaller AT timing errors (</w:t>
      </w:r>
      <w:r w:rsidRPr="00A40751">
        <w:fldChar w:fldCharType="begin"/>
      </w:r>
      <w:r w:rsidRPr="00A40751">
        <w:instrText xml:space="preserve"> REF _Ref447209290 \h  \* MERGEFORMAT </w:instrText>
      </w:r>
      <w:r w:rsidRPr="00A40751">
        <w:fldChar w:fldCharType="separate"/>
      </w:r>
      <w:r w:rsidR="00F7579D" w:rsidRPr="00F7579D">
        <w:t>Figure 64</w:t>
      </w:r>
      <w:r w:rsidRPr="00A40751">
        <w:fldChar w:fldCharType="end"/>
      </w:r>
      <w:r w:rsidRPr="00A40751">
        <w:t xml:space="preserve">e). </w:t>
      </w:r>
    </w:p>
    <w:p w:rsidR="00A40751" w:rsidRPr="00A40751" w:rsidRDefault="00A40751" w:rsidP="00AD51D4">
      <w:pPr>
        <w:pStyle w:val="NoSpacing"/>
        <w:ind w:firstLine="720"/>
      </w:pPr>
      <w:r w:rsidRPr="00A40751">
        <w:t xml:space="preserve">Overall for S3, analysis cycling greatly improves the predictions of S3 for some of the forecast runs. Even though the modified IAU technique didn’t have as large of a positive impact on the forecasts of S3, the combination of analysis cycling with the modified IAU technique yields slightly better forecasts of S3 than just using analysis cycling with the original IAU technique. </w:t>
      </w:r>
    </w:p>
    <w:p w:rsidR="00A40751" w:rsidRPr="00A40751" w:rsidRDefault="003970C3" w:rsidP="00A40751">
      <w:pPr>
        <w:keepNext/>
        <w:spacing w:after="0" w:line="480" w:lineRule="auto"/>
      </w:pPr>
      <w:r>
        <w:rPr>
          <w:noProof/>
        </w:rPr>
        <w:lastRenderedPageBreak/>
        <w:drawing>
          <wp:inline distT="0" distB="0" distL="0" distR="0" wp14:anchorId="14CDCF17" wp14:editId="368E4F8B">
            <wp:extent cx="5303520" cy="53035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centers_01uh_cycling_S3.png"/>
                    <pic:cNvPicPr/>
                  </pic:nvPicPr>
                  <pic:blipFill>
                    <a:blip r:embed="rId76">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74" w:name="_Ref447204809"/>
      <w:bookmarkStart w:id="175" w:name="_Toc450593142"/>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62</w:t>
      </w:r>
      <w:r w:rsidRPr="00A40751">
        <w:rPr>
          <w:szCs w:val="24"/>
        </w:rPr>
        <w:fldChar w:fldCharType="end"/>
      </w:r>
      <w:bookmarkEnd w:id="174"/>
      <w:r w:rsidRPr="00A40751">
        <w:rPr>
          <w:szCs w:val="24"/>
        </w:rPr>
        <w:t xml:space="preserve">. </w:t>
      </w:r>
      <w:r w:rsidR="00213D89">
        <w:t xml:space="preserve">Same as for </w:t>
      </w:r>
      <w:r w:rsidR="00213D89">
        <w:fldChar w:fldCharType="begin"/>
      </w:r>
      <w:r w:rsidR="00213D89">
        <w:instrText xml:space="preserve"> REF _Ref440919913 \h </w:instrText>
      </w:r>
      <w:r w:rsidR="00213D89">
        <w:fldChar w:fldCharType="separate"/>
      </w:r>
      <w:r w:rsidR="00F7579D" w:rsidRPr="00A82336">
        <w:t xml:space="preserve">Figure </w:t>
      </w:r>
      <w:r w:rsidR="00F7579D">
        <w:rPr>
          <w:noProof/>
        </w:rPr>
        <w:t>21</w:t>
      </w:r>
      <w:r w:rsidR="00213D89">
        <w:fldChar w:fldCharType="end"/>
      </w:r>
      <w:r w:rsidRPr="00A40751">
        <w:t xml:space="preserve"> in Chapter 4, but for Cycling.</w:t>
      </w:r>
      <w:r w:rsidR="0049043F">
        <w:t xml:space="preserve"> Light gray shading in (c), (d), and (e) represents the max/min bounds of the Control runs for comparison purposes.</w:t>
      </w:r>
      <w:bookmarkEnd w:id="175"/>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3970C3" w:rsidP="00A40751">
      <w:pPr>
        <w:keepNext/>
        <w:spacing w:after="0" w:line="480" w:lineRule="auto"/>
      </w:pPr>
      <w:r>
        <w:rPr>
          <w:noProof/>
        </w:rPr>
        <w:lastRenderedPageBreak/>
        <w:drawing>
          <wp:inline distT="0" distB="0" distL="0" distR="0" wp14:anchorId="0C8E5C18" wp14:editId="4C6FBAF7">
            <wp:extent cx="5303520" cy="53035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centers_01uh_modiau_S3.png"/>
                    <pic:cNvPicPr/>
                  </pic:nvPicPr>
                  <pic:blipFill>
                    <a:blip r:embed="rId77">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A40751">
      <w:pPr>
        <w:pStyle w:val="Captions"/>
        <w:rPr>
          <w:szCs w:val="24"/>
        </w:rPr>
      </w:pPr>
      <w:bookmarkStart w:id="176" w:name="_Ref447206877"/>
      <w:bookmarkStart w:id="177" w:name="_Toc450593143"/>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63</w:t>
      </w:r>
      <w:r w:rsidRPr="00A40751">
        <w:rPr>
          <w:szCs w:val="24"/>
        </w:rPr>
        <w:fldChar w:fldCharType="end"/>
      </w:r>
      <w:bookmarkEnd w:id="176"/>
      <w:r w:rsidRPr="00A40751">
        <w:rPr>
          <w:szCs w:val="24"/>
        </w:rPr>
        <w:t xml:space="preserve">. </w:t>
      </w:r>
      <w:r w:rsidR="00213D89">
        <w:t xml:space="preserve">Same as for </w:t>
      </w:r>
      <w:r w:rsidR="00213D89">
        <w:fldChar w:fldCharType="begin"/>
      </w:r>
      <w:r w:rsidR="00213D89">
        <w:instrText xml:space="preserve"> REF _Ref440919913 \h </w:instrText>
      </w:r>
      <w:r w:rsidR="00213D89">
        <w:fldChar w:fldCharType="separate"/>
      </w:r>
      <w:r w:rsidR="00F7579D" w:rsidRPr="00A82336">
        <w:t xml:space="preserve">Figure </w:t>
      </w:r>
      <w:r w:rsidR="00F7579D">
        <w:rPr>
          <w:noProof/>
        </w:rPr>
        <w:t>21</w:t>
      </w:r>
      <w:r w:rsidR="00213D89">
        <w:fldChar w:fldCharType="end"/>
      </w:r>
      <w:r w:rsidRPr="00A40751">
        <w:t xml:space="preserve"> in Chapter 4, but for ModIAU.</w:t>
      </w:r>
      <w:r w:rsidR="0049043F">
        <w:t xml:space="preserve"> Light gray shading in (c), (d), and (e) represents the max/min bounds of the Control runs for comparison purposes.</w:t>
      </w:r>
      <w:bookmarkEnd w:id="177"/>
    </w:p>
    <w:p w:rsidR="00A40751" w:rsidRPr="00A40751" w:rsidRDefault="00A40751" w:rsidP="00A40751">
      <w:pPr>
        <w:spacing w:after="0" w:line="480" w:lineRule="auto"/>
        <w:rPr>
          <w:rFonts w:ascii="Times New Roman" w:hAnsi="Times New Roman" w:cs="Times New Roman"/>
          <w:sz w:val="24"/>
          <w:szCs w:val="24"/>
        </w:rPr>
      </w:pPr>
    </w:p>
    <w:p w:rsidR="00A40751" w:rsidRPr="00A40751" w:rsidRDefault="003970C3" w:rsidP="00A40751">
      <w:pPr>
        <w:keepNext/>
        <w:spacing w:after="0" w:line="480" w:lineRule="auto"/>
      </w:pPr>
      <w:r>
        <w:rPr>
          <w:noProof/>
        </w:rPr>
        <w:lastRenderedPageBreak/>
        <w:drawing>
          <wp:inline distT="0" distB="0" distL="0" distR="0" wp14:anchorId="7564830C" wp14:editId="2C046416">
            <wp:extent cx="5303520" cy="53035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centers_01uh_cymodiau_S3.png"/>
                    <pic:cNvPicPr/>
                  </pic:nvPicPr>
                  <pic:blipFill>
                    <a:blip r:embed="rId78">
                      <a:extLst>
                        <a:ext uri="{28A0092B-C50C-407E-A947-70E740481C1C}">
                          <a14:useLocalDpi xmlns:a14="http://schemas.microsoft.com/office/drawing/2010/main" val="0"/>
                        </a:ext>
                      </a:extLst>
                    </a:blip>
                    <a:stretch>
                      <a:fillRect/>
                    </a:stretch>
                  </pic:blipFill>
                  <pic:spPr>
                    <a:xfrm>
                      <a:off x="0" y="0"/>
                      <a:ext cx="5303520" cy="5303520"/>
                    </a:xfrm>
                    <a:prstGeom prst="rect">
                      <a:avLst/>
                    </a:prstGeom>
                  </pic:spPr>
                </pic:pic>
              </a:graphicData>
            </a:graphic>
          </wp:inline>
        </w:drawing>
      </w:r>
    </w:p>
    <w:p w:rsidR="00A40751" w:rsidRPr="00A40751" w:rsidRDefault="00A40751" w:rsidP="00213D89">
      <w:pPr>
        <w:pStyle w:val="Captions"/>
        <w:rPr>
          <w:szCs w:val="24"/>
        </w:rPr>
      </w:pPr>
      <w:bookmarkStart w:id="178" w:name="_Ref447209290"/>
      <w:bookmarkStart w:id="179" w:name="_Toc450593144"/>
      <w:r w:rsidRPr="00A40751">
        <w:rPr>
          <w:szCs w:val="24"/>
        </w:rPr>
        <w:t xml:space="preserve">Figure </w:t>
      </w:r>
      <w:r w:rsidRPr="00A40751">
        <w:rPr>
          <w:szCs w:val="24"/>
        </w:rPr>
        <w:fldChar w:fldCharType="begin"/>
      </w:r>
      <w:r w:rsidRPr="00A40751">
        <w:rPr>
          <w:szCs w:val="24"/>
        </w:rPr>
        <w:instrText xml:space="preserve"> SEQ Figure \* ARABIC </w:instrText>
      </w:r>
      <w:r w:rsidRPr="00A40751">
        <w:rPr>
          <w:szCs w:val="24"/>
        </w:rPr>
        <w:fldChar w:fldCharType="separate"/>
      </w:r>
      <w:r w:rsidR="00F7579D">
        <w:rPr>
          <w:noProof/>
          <w:szCs w:val="24"/>
        </w:rPr>
        <w:t>64</w:t>
      </w:r>
      <w:r w:rsidRPr="00A40751">
        <w:rPr>
          <w:szCs w:val="24"/>
        </w:rPr>
        <w:fldChar w:fldCharType="end"/>
      </w:r>
      <w:bookmarkEnd w:id="178"/>
      <w:r w:rsidRPr="00A40751">
        <w:rPr>
          <w:szCs w:val="24"/>
        </w:rPr>
        <w:t xml:space="preserve">. </w:t>
      </w:r>
      <w:r w:rsidRPr="00A40751">
        <w:t>Same as for</w:t>
      </w:r>
      <w:r w:rsidR="00213D89">
        <w:t xml:space="preserve"> </w:t>
      </w:r>
      <w:r w:rsidR="00213D89">
        <w:fldChar w:fldCharType="begin"/>
      </w:r>
      <w:r w:rsidR="00213D89">
        <w:instrText xml:space="preserve"> REF _Ref440919913 \h </w:instrText>
      </w:r>
      <w:r w:rsidR="00213D89">
        <w:fldChar w:fldCharType="separate"/>
      </w:r>
      <w:r w:rsidR="00F7579D" w:rsidRPr="00A82336">
        <w:t xml:space="preserve">Figure </w:t>
      </w:r>
      <w:r w:rsidR="00F7579D">
        <w:rPr>
          <w:noProof/>
        </w:rPr>
        <w:t>21</w:t>
      </w:r>
      <w:r w:rsidR="00213D89">
        <w:fldChar w:fldCharType="end"/>
      </w:r>
      <w:r w:rsidRPr="00A40751">
        <w:t xml:space="preserve"> in Chapter 4, but for CyModIAU.</w:t>
      </w:r>
      <w:r w:rsidR="0049043F">
        <w:t xml:space="preserve"> Light gray shading in (c), (d), and (e) represents the max/min bounds of the Control runs for comparison purposes.</w:t>
      </w:r>
      <w:bookmarkEnd w:id="179"/>
    </w:p>
    <w:p w:rsidR="00AD51D4" w:rsidRPr="0049043F" w:rsidRDefault="0049043F" w:rsidP="0049043F">
      <w:pPr>
        <w:rPr>
          <w:rFonts w:ascii="Times New Roman" w:hAnsi="Times New Roman"/>
          <w:sz w:val="24"/>
        </w:rPr>
      </w:pPr>
      <w:r>
        <w:br w:type="page"/>
      </w:r>
    </w:p>
    <w:p w:rsidR="00CC08DC" w:rsidRPr="00CC08DC" w:rsidRDefault="00CC08DC" w:rsidP="00CC08DC">
      <w:pPr>
        <w:pStyle w:val="Heading1"/>
      </w:pPr>
      <w:bookmarkStart w:id="180" w:name="_Toc448742103"/>
      <w:r w:rsidRPr="00CC08DC">
        <w:lastRenderedPageBreak/>
        <w:t>Chapter 7 – Summary and Discussion</w:t>
      </w:r>
      <w:bookmarkEnd w:id="180"/>
    </w:p>
    <w:p w:rsidR="00CC08DC" w:rsidRPr="00CC08DC" w:rsidRDefault="00CC08DC" w:rsidP="00CC08DC">
      <w:pPr>
        <w:pStyle w:val="Heading2"/>
      </w:pPr>
      <w:bookmarkStart w:id="181" w:name="_Toc448742104"/>
      <w:r w:rsidRPr="00CC08DC">
        <w:t>7.1 General Summary of Dissertation</w:t>
      </w:r>
      <w:bookmarkEnd w:id="181"/>
    </w:p>
    <w:p w:rsidR="00CC08DC" w:rsidRPr="00CC08DC" w:rsidRDefault="00CC08DC" w:rsidP="00CC08DC">
      <w:pPr>
        <w:pStyle w:val="NoSpacing"/>
        <w:ind w:firstLine="720"/>
      </w:pPr>
      <w:r w:rsidRPr="00CC08DC">
        <w:t xml:space="preserve">On 24 May 2011, an outbreak of tornadic supercells propagated across Central Oklahoma producing several strong to violent tornadoes. Unfortunately, the tornadoes and supercells caused </w:t>
      </w:r>
      <w:r w:rsidR="005C113B">
        <w:t>numerous deaths and injuries along with</w:t>
      </w:r>
      <w:r w:rsidRPr="00CC08DC">
        <w:t xml:space="preserve"> widespread damage. However, the extensive observation network across Central Oklahoma during the spring of 2011 provides an opportunity for data assimilation and forecast system sensitivity studies, such as this one, to explore ways to potentially improve short-term, storm-scale forecasts of severe convection. The extensive observation network consisted of several NWS/FAA METAR locations, ~70 Oklahoma Mesonet stations, 4 CASA IP-1 X-band radars, and 7 WSR-88D S-band radars. The data from these observation sources were used in the data assimilation process to </w:t>
      </w:r>
      <w:r w:rsidR="005C113B">
        <w:t>produce initial analyses for an</w:t>
      </w:r>
      <w:r w:rsidRPr="00CC08DC">
        <w:t xml:space="preserve"> ARPS </w:t>
      </w:r>
      <w:r w:rsidR="005C113B">
        <w:t xml:space="preserve">1-km </w:t>
      </w:r>
      <w:r w:rsidRPr="00CC08DC">
        <w:t>model. The data assimilation process consisted of using 3DVAR and ADAS complex cloud analysis to produce model state variable increments, which were introduced during an IAU window. In conjunction with this study, the ADAS complex cloud analysis (Brewster and Stratman, 2015) and IAU (Brewster et al., 2015; Brewster and Stratman, 2016) packages within the ARPS system were both updated for use in this study.</w:t>
      </w:r>
    </w:p>
    <w:p w:rsidR="00CC08DC" w:rsidRPr="00CC08DC" w:rsidRDefault="00CC08DC" w:rsidP="00CC08DC">
      <w:pPr>
        <w:pStyle w:val="NoSpacing"/>
        <w:ind w:firstLine="720"/>
      </w:pPr>
      <w:r w:rsidRPr="00CC08DC">
        <w:t xml:space="preserve">To emulate a real-time, storm-scale forecasting system, eight microphysically-diverse sets of simulations were initialized every 30 min starting at 1900 UTC and integrated out to 2 hours. This forecast framework allowed for in-depth examinations of sensitivities related to microphysics parameterization schemes, radar data assimilation, and various data assimilation techniques. For the first experiment, </w:t>
      </w:r>
      <w:r w:rsidRPr="00CC08DC">
        <w:lastRenderedPageBreak/>
        <w:t xml:space="preserve">simulations with different microphysics schemes (i.e., LIN3, WSM6, MYSM, MYDM, and MYTM) were compared to each other to assess the characteristics of each scheme and to determine which scheme </w:t>
      </w:r>
      <w:r w:rsidR="004B15E5">
        <w:t>leads to</w:t>
      </w:r>
      <w:r w:rsidRPr="00CC08DC">
        <w:t xml:space="preserve"> better forecast</w:t>
      </w:r>
      <w:r w:rsidR="004B15E5">
        <w:t xml:space="preserve"> result</w:t>
      </w:r>
      <w:r w:rsidRPr="00CC08DC">
        <w:t>s. To assess the ability of CASA radars being used as gap-filling radars in data assimilation, the second set of experiments examined the impact of assimilating CASA radar data relative to the impact of assimilating KTLX radar data. For the last set of experiments, analysis cycling and variable-dependent IAU techniques were employed separately and together to determine any potential benefits they may contribute to the forecasts.</w:t>
      </w:r>
    </w:p>
    <w:p w:rsidR="00CC08DC" w:rsidRPr="00CC08DC" w:rsidRDefault="00CC08DC" w:rsidP="00CC08DC">
      <w:pPr>
        <w:pStyle w:val="NoSpacing"/>
        <w:ind w:firstLine="720"/>
      </w:pPr>
      <w:r w:rsidRPr="00CC08DC">
        <w:t xml:space="preserve">To quantitatively assess these experiments, observation point-based, neighborhood-based, and object-based verifications techniques were utilized in the evaluation process. For the observation point-based verification metrics, RMSEs, linear regression slopes, and </w:t>
      </w:r>
      <w:r w:rsidRPr="00094531">
        <w:rPr>
          <w:i/>
        </w:rPr>
        <w:t>R</w:t>
      </w:r>
      <w:r w:rsidRPr="00094531">
        <w:rPr>
          <w:i/>
          <w:vertAlign w:val="superscript"/>
        </w:rPr>
        <w:t>2</w:t>
      </w:r>
      <w:r w:rsidRPr="00CC08DC">
        <w:t xml:space="preserve"> values were used to evaluate near-surface variables. For the neighborhood-based verification metric, the FSS was utilized to determine the scales at which forecasts of simulated composite reflectivity exhibited “useful” skill. For the object-based verification technique, objectively-determined 0-1UH centers were verified with estimated tornado locations for three storms of interest by calculating distance and timing errors. A summary of the verification results from these experiments are presented in the next couple of sections followed by a discussion and potential future work section</w:t>
      </w:r>
      <w:r w:rsidR="00682F39">
        <w:t xml:space="preserve">. </w:t>
      </w:r>
    </w:p>
    <w:p w:rsidR="00CC08DC" w:rsidRPr="00A674B2" w:rsidRDefault="00A674B2" w:rsidP="00A674B2">
      <w:pPr>
        <w:rPr>
          <w:rFonts w:ascii="Times New Roman" w:hAnsi="Times New Roman"/>
          <w:sz w:val="24"/>
        </w:rPr>
      </w:pPr>
      <w:r>
        <w:br w:type="page"/>
      </w:r>
    </w:p>
    <w:p w:rsidR="00CC08DC" w:rsidRPr="00CC08DC" w:rsidRDefault="00CC08DC" w:rsidP="00CC08DC">
      <w:pPr>
        <w:pStyle w:val="Heading2"/>
      </w:pPr>
      <w:bookmarkStart w:id="182" w:name="_Toc448742105"/>
      <w:r w:rsidRPr="00CC08DC">
        <w:lastRenderedPageBreak/>
        <w:t>7.2 Summary of Microphysics Schemes Sensitivities</w:t>
      </w:r>
      <w:bookmarkEnd w:id="182"/>
    </w:p>
    <w:p w:rsidR="00CC08DC" w:rsidRPr="00CC08DC" w:rsidRDefault="00CC08DC" w:rsidP="00CC08DC">
      <w:pPr>
        <w:pStyle w:val="NoSpacing"/>
        <w:ind w:firstLine="720"/>
      </w:pPr>
      <w:r w:rsidRPr="00CC08DC">
        <w:t xml:space="preserve">Prior studies investigating the differences between single-moment and multi-moment microphysics schemes’ impact on forecasts of supercells (Dawson </w:t>
      </w:r>
      <w:r w:rsidR="00C565BF">
        <w:t xml:space="preserve">et al., </w:t>
      </w:r>
      <w:r w:rsidRPr="00CC08DC">
        <w:t xml:space="preserve">2010, 2015; Yussouf </w:t>
      </w:r>
      <w:r w:rsidR="00C565BF">
        <w:t xml:space="preserve">et al., </w:t>
      </w:r>
      <w:r w:rsidRPr="00CC08DC">
        <w:t xml:space="preserve">2013) and MCSs (Wheatley </w:t>
      </w:r>
      <w:r w:rsidR="00C565BF">
        <w:t xml:space="preserve">et al., </w:t>
      </w:r>
      <w:r w:rsidRPr="00CC08DC">
        <w:t xml:space="preserve">2014) have generally found that the multi-moment microphysics schemes yield better forecasts of storm intensity, structure, and evolution. Hence, the expectation </w:t>
      </w:r>
      <w:r w:rsidR="004B15E5">
        <w:t>was</w:t>
      </w:r>
      <w:r w:rsidRPr="00CC08DC">
        <w:t xml:space="preserve"> that MYDM and MYTM </w:t>
      </w:r>
      <w:r w:rsidR="004B15E5">
        <w:t>would</w:t>
      </w:r>
      <w:r w:rsidRPr="00CC08DC">
        <w:t xml:space="preserve"> outperform LIN3, WSM6, and MYSM. For near-surface temperatures, it could be argued that MYSM outperform</w:t>
      </w:r>
      <w:r w:rsidR="004F683E">
        <w:t>ed MYDM and MYTM due to having slopes</w:t>
      </w:r>
      <w:r w:rsidRPr="00CC08DC">
        <w:t xml:space="preserve"> </w:t>
      </w:r>
      <w:r w:rsidR="004F683E">
        <w:t xml:space="preserve">closer to 1 </w:t>
      </w:r>
      <w:r w:rsidRPr="00CC08DC">
        <w:t>(</w:t>
      </w:r>
      <w:r w:rsidRPr="00CC08DC">
        <w:fldChar w:fldCharType="begin"/>
      </w:r>
      <w:r w:rsidRPr="00CC08DC">
        <w:instrText xml:space="preserve"> REF _Ref447566773 \h  \* MERGEFORMAT </w:instrText>
      </w:r>
      <w:r w:rsidRPr="00CC08DC">
        <w:fldChar w:fldCharType="separate"/>
      </w:r>
      <w:r w:rsidR="00F7579D" w:rsidRPr="00CC08DC">
        <w:t xml:space="preserve">Figure </w:t>
      </w:r>
      <w:r w:rsidR="00F7579D">
        <w:t>65</w:t>
      </w:r>
      <w:r w:rsidRPr="00CC08DC">
        <w:fldChar w:fldCharType="end"/>
      </w:r>
      <w:r w:rsidRPr="00CC08DC">
        <w:t xml:space="preserve">). However, MYDM and MYTM have </w:t>
      </w:r>
      <w:r w:rsidR="004F683E">
        <w:t>smaller</w:t>
      </w:r>
      <w:r w:rsidRPr="00CC08DC">
        <w:t xml:space="preserve"> RMSEs and </w:t>
      </w:r>
      <w:r w:rsidR="004F683E">
        <w:t xml:space="preserve">larger </w:t>
      </w:r>
      <w:r w:rsidR="004F683E" w:rsidRPr="00094531">
        <w:rPr>
          <w:i/>
        </w:rPr>
        <w:t>R</w:t>
      </w:r>
      <w:r w:rsidR="004F683E" w:rsidRPr="00094531">
        <w:rPr>
          <w:i/>
          <w:vertAlign w:val="superscript"/>
        </w:rPr>
        <w:t>2</w:t>
      </w:r>
      <w:r w:rsidR="004F683E">
        <w:t xml:space="preserve"> values,</w:t>
      </w:r>
      <w:r w:rsidRPr="00CC08DC">
        <w:t xml:space="preserve"> so MYSM’s success over MYDM and MYTM is limited. For the other near-surface variables, MYDM and MYTM do </w:t>
      </w:r>
      <w:r w:rsidR="004B15E5">
        <w:t>show improvement over</w:t>
      </w:r>
      <w:r w:rsidRPr="00CC08DC">
        <w:t xml:space="preserve"> the single-moment schemes, but it’s worth noting that MYSM’s forecasts of near-surface variables end up closer to MYDM and MYTM’s forecasts than LIN3 and WSM6’s forecasts, which tend to have colder and larger cold pools</w:t>
      </w:r>
      <w:r w:rsidR="00C869D1">
        <w:t xml:space="preserve"> (see </w:t>
      </w:r>
      <w:r w:rsidR="00C869D1">
        <w:fldChar w:fldCharType="begin"/>
      </w:r>
      <w:r w:rsidR="00C869D1">
        <w:instrText xml:space="preserve"> REF _Ref450294411 \h </w:instrText>
      </w:r>
      <w:r w:rsidR="00C869D1">
        <w:fldChar w:fldCharType="separate"/>
      </w:r>
      <w:r w:rsidR="00F7579D">
        <w:t xml:space="preserve">Figure </w:t>
      </w:r>
      <w:r w:rsidR="00F7579D">
        <w:rPr>
          <w:noProof/>
        </w:rPr>
        <w:t>13</w:t>
      </w:r>
      <w:r w:rsidR="00C869D1">
        <w:fldChar w:fldCharType="end"/>
      </w:r>
      <w:r w:rsidR="00C869D1">
        <w:t>)</w:t>
      </w:r>
      <w:r w:rsidRPr="00CC08DC">
        <w:t>.</w:t>
      </w:r>
      <w:r w:rsidR="004B15E5">
        <w:rPr>
          <w:rFonts w:cs="Times New Roman"/>
          <w:szCs w:val="24"/>
        </w:rPr>
        <w:t xml:space="preserve"> By these metrics it appears the MY schemes, as a group, outperformed LIN3 and WSM6.</w:t>
      </w:r>
    </w:p>
    <w:p w:rsidR="00CC08DC" w:rsidRPr="00CC08DC" w:rsidRDefault="00CC08DC" w:rsidP="00CC08DC">
      <w:pPr>
        <w:pStyle w:val="NoSpacing"/>
        <w:ind w:firstLine="720"/>
      </w:pPr>
      <w:r w:rsidRPr="00CC08DC">
        <w:t>Due to having the largest forecasted base rates for composite reflectivity (</w:t>
      </w:r>
      <w:r w:rsidR="00C869D1">
        <w:t xml:space="preserve">see </w:t>
      </w:r>
      <w:r w:rsidR="00C869D1">
        <w:fldChar w:fldCharType="begin"/>
      </w:r>
      <w:r w:rsidR="00C869D1">
        <w:instrText xml:space="preserve"> REF _Ref450294878 \h </w:instrText>
      </w:r>
      <w:r w:rsidR="00C869D1">
        <w:fldChar w:fldCharType="separate"/>
      </w:r>
      <w:r w:rsidR="00F7579D">
        <w:t xml:space="preserve">Figure </w:t>
      </w:r>
      <w:r w:rsidR="00F7579D">
        <w:rPr>
          <w:noProof/>
        </w:rPr>
        <w:t>16</w:t>
      </w:r>
      <w:r w:rsidR="00C869D1">
        <w:fldChar w:fldCharType="end"/>
      </w:r>
      <w:r w:rsidRPr="00CC08DC">
        <w:t>), MYSM exhibited the least “useful” skill among the five microphysics schemes (</w:t>
      </w:r>
      <w:r w:rsidRPr="00CC08DC">
        <w:fldChar w:fldCharType="begin"/>
      </w:r>
      <w:r w:rsidRPr="00CC08DC">
        <w:instrText xml:space="preserve"> REF _Ref447566773 \h  \* MERGEFORMAT </w:instrText>
      </w:r>
      <w:r w:rsidRPr="00CC08DC">
        <w:fldChar w:fldCharType="separate"/>
      </w:r>
      <w:r w:rsidR="00F7579D" w:rsidRPr="00CC08DC">
        <w:t xml:space="preserve">Figure </w:t>
      </w:r>
      <w:r w:rsidR="00F7579D">
        <w:t>65</w:t>
      </w:r>
      <w:r w:rsidRPr="00CC08DC">
        <w:fldChar w:fldCharType="end"/>
      </w:r>
      <w:r w:rsidRPr="00CC08DC">
        <w:t xml:space="preserve">). LIN3 has a better overall score than MYTM for the neighborhood-based verification technique </w:t>
      </w:r>
      <w:r w:rsidR="007A582D">
        <w:t xml:space="preserve">likely </w:t>
      </w:r>
      <w:r w:rsidRPr="00CC08DC">
        <w:t>due to MYTM’s larger forecasted base rates, but generally, MYTM depicted more skill at the 40- and 50-dBZ thresholds and at the smaller scales. Even with commonly higher forecasted base rates than LIN3 and WSM6 (but less than MYSM and MYTM), MYDM usually exhibited the most skill at all three reflectivity thresholds.</w:t>
      </w:r>
    </w:p>
    <w:p w:rsidR="00CC08DC" w:rsidRPr="00CC08DC" w:rsidRDefault="00CC08DC" w:rsidP="00CC08DC">
      <w:pPr>
        <w:pStyle w:val="NoSpacing"/>
        <w:ind w:firstLine="720"/>
      </w:pPr>
      <w:r w:rsidRPr="00CC08DC">
        <w:lastRenderedPageBreak/>
        <w:t>In regards to 0-1UH centers, the MY schemes resulted in substantially fewer and stronger 0-1UH centers than LIN3 and WSM6, so in this respect, no inference can be made that separates the single-moment</w:t>
      </w:r>
      <w:r w:rsidR="00C565BF">
        <w:t xml:space="preserve"> microphysics </w:t>
      </w:r>
      <w:r w:rsidRPr="00CC08DC">
        <w:t>schemes from the multi-moment</w:t>
      </w:r>
      <w:r w:rsidR="00C565BF">
        <w:t xml:space="preserve"> microphysics </w:t>
      </w:r>
      <w:r w:rsidRPr="00CC08DC">
        <w:t xml:space="preserve">schemes. For S1, the MY schemes predominately performed similar to each other and largely outperformed LIN3 and WSM6, but overall, the entire set of simulations had </w:t>
      </w:r>
      <w:r w:rsidR="004B15E5">
        <w:t xml:space="preserve">remarkably </w:t>
      </w:r>
      <w:r w:rsidRPr="00CC08DC">
        <w:t>good success at forecasting S1’s circulation locations (</w:t>
      </w:r>
      <w:r w:rsidRPr="00CC08DC">
        <w:fldChar w:fldCharType="begin"/>
      </w:r>
      <w:r w:rsidRPr="00CC08DC">
        <w:instrText xml:space="preserve"> REF _Ref447566773 \h  \* MERGEFORMAT </w:instrText>
      </w:r>
      <w:r w:rsidRPr="00CC08DC">
        <w:fldChar w:fldCharType="separate"/>
      </w:r>
      <w:r w:rsidR="00F7579D" w:rsidRPr="00CC08DC">
        <w:t xml:space="preserve">Figure </w:t>
      </w:r>
      <w:r w:rsidR="00F7579D">
        <w:t>65</w:t>
      </w:r>
      <w:r w:rsidRPr="00CC08DC">
        <w:fldChar w:fldCharType="end"/>
      </w:r>
      <w:r w:rsidRPr="00CC08DC">
        <w:t xml:space="preserve">). Even though the simulations had </w:t>
      </w:r>
      <w:r w:rsidR="004B15E5">
        <w:t xml:space="preserve">somewhat </w:t>
      </w:r>
      <w:r w:rsidRPr="00CC08DC">
        <w:t>less success at forecasting S2’s circulation locations, the MY schemes still substantially outperformed LIN3 and WSM6 (</w:t>
      </w:r>
      <w:r w:rsidRPr="00CC08DC">
        <w:fldChar w:fldCharType="begin"/>
      </w:r>
      <w:r w:rsidRPr="00CC08DC">
        <w:instrText xml:space="preserve"> REF _Ref447566773 \h  \* MERGEFORMAT </w:instrText>
      </w:r>
      <w:r w:rsidRPr="00CC08DC">
        <w:fldChar w:fldCharType="separate"/>
      </w:r>
      <w:r w:rsidR="00F7579D" w:rsidRPr="00CC08DC">
        <w:t xml:space="preserve">Figure </w:t>
      </w:r>
      <w:r w:rsidR="00F7579D">
        <w:t>65</w:t>
      </w:r>
      <w:r w:rsidRPr="00CC08DC">
        <w:fldChar w:fldCharType="end"/>
      </w:r>
      <w:r w:rsidRPr="00CC08DC">
        <w:t>). Conversely, all of the</w:t>
      </w:r>
      <w:r w:rsidR="00C565BF">
        <w:t xml:space="preserve"> microphysics </w:t>
      </w:r>
      <w:r w:rsidRPr="00CC08DC">
        <w:t xml:space="preserve">schemes </w:t>
      </w:r>
      <w:r w:rsidR="004B15E5">
        <w:t xml:space="preserve">using the base data assimilation scheme </w:t>
      </w:r>
      <w:r w:rsidRPr="00CC08DC">
        <w:t xml:space="preserve">struggled with forecasting </w:t>
      </w:r>
      <w:r w:rsidR="004B15E5">
        <w:t xml:space="preserve">the more complex </w:t>
      </w:r>
      <w:r w:rsidRPr="00CC08DC">
        <w:t>S3 and mostly yielded somewhat similar errors (</w:t>
      </w:r>
      <w:r w:rsidRPr="00CC08DC">
        <w:fldChar w:fldCharType="begin"/>
      </w:r>
      <w:r w:rsidRPr="00CC08DC">
        <w:instrText xml:space="preserve"> REF _Ref447566773 \h  \* MERGEFORMAT </w:instrText>
      </w:r>
      <w:r w:rsidRPr="00CC08DC">
        <w:fldChar w:fldCharType="separate"/>
      </w:r>
      <w:r w:rsidR="00F7579D" w:rsidRPr="00CC08DC">
        <w:t xml:space="preserve">Figure </w:t>
      </w:r>
      <w:r w:rsidR="00F7579D">
        <w:t>65</w:t>
      </w:r>
      <w:r w:rsidRPr="00CC08DC">
        <w:fldChar w:fldCharType="end"/>
      </w:r>
      <w:r w:rsidRPr="00CC08DC">
        <w:t xml:space="preserve">). </w:t>
      </w:r>
    </w:p>
    <w:p w:rsidR="00CC08DC" w:rsidRPr="00CC08DC" w:rsidRDefault="00A674B2" w:rsidP="004B7AFC">
      <w:pPr>
        <w:keepNext/>
        <w:spacing w:after="0" w:line="240" w:lineRule="auto"/>
        <w:jc w:val="both"/>
      </w:pPr>
      <w:r>
        <w:rPr>
          <w:noProof/>
        </w:rPr>
        <w:drawing>
          <wp:inline distT="0" distB="0" distL="0" distR="0">
            <wp:extent cx="5303520" cy="39700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mmary_plot_mp.png"/>
                    <pic:cNvPicPr/>
                  </pic:nvPicPr>
                  <pic:blipFill rotWithShape="1">
                    <a:blip r:embed="rId79">
                      <a:extLst>
                        <a:ext uri="{28A0092B-C50C-407E-A947-70E740481C1C}">
                          <a14:useLocalDpi xmlns:a14="http://schemas.microsoft.com/office/drawing/2010/main" val="0"/>
                        </a:ext>
                      </a:extLst>
                    </a:blip>
                    <a:srcRect t="12500" b="12644"/>
                    <a:stretch/>
                  </pic:blipFill>
                  <pic:spPr bwMode="auto">
                    <a:xfrm>
                      <a:off x="0" y="0"/>
                      <a:ext cx="5303520" cy="3970020"/>
                    </a:xfrm>
                    <a:prstGeom prst="rect">
                      <a:avLst/>
                    </a:prstGeom>
                    <a:ln>
                      <a:noFill/>
                    </a:ln>
                    <a:extLst>
                      <a:ext uri="{53640926-AAD7-44D8-BBD7-CCE9431645EC}">
                        <a14:shadowObscured xmlns:a14="http://schemas.microsoft.com/office/drawing/2010/main"/>
                      </a:ext>
                    </a:extLst>
                  </pic:spPr>
                </pic:pic>
              </a:graphicData>
            </a:graphic>
          </wp:inline>
        </w:drawing>
      </w:r>
    </w:p>
    <w:p w:rsidR="00CC08DC" w:rsidRDefault="00CC08DC" w:rsidP="004B15E5">
      <w:pPr>
        <w:pStyle w:val="Captions"/>
      </w:pPr>
      <w:bookmarkStart w:id="183" w:name="_Ref447566773"/>
      <w:bookmarkStart w:id="184" w:name="_Toc450593145"/>
      <w:r w:rsidRPr="00CC08DC">
        <w:t xml:space="preserve">Figure </w:t>
      </w:r>
      <w:fldSimple w:instr=" SEQ Figure \* ARABIC ">
        <w:r w:rsidR="00F7579D">
          <w:rPr>
            <w:noProof/>
          </w:rPr>
          <w:t>65</w:t>
        </w:r>
      </w:fldSimple>
      <w:bookmarkEnd w:id="183"/>
      <w:r w:rsidRPr="00CC08DC">
        <w:t xml:space="preserve">. First, unity-based normalization is used to normalize all of the verification metrics’ average values for each simulation run with a value of 1 being perfect. The </w:t>
      </w:r>
      <w:r w:rsidRPr="00CC08DC">
        <w:lastRenderedPageBreak/>
        <w:t xml:space="preserve">perfect skill (no skill) values used for this normalization include 5 (0) for RMSE, 1 (0) for slopes and </w:t>
      </w:r>
      <w:r w:rsidRPr="00094531">
        <w:rPr>
          <w:i/>
        </w:rPr>
        <w:t>R</w:t>
      </w:r>
      <w:r w:rsidRPr="00094531">
        <w:rPr>
          <w:i/>
          <w:vertAlign w:val="superscript"/>
        </w:rPr>
        <w:t>2</w:t>
      </w:r>
      <w:r w:rsidRPr="00CC08DC">
        <w:t xml:space="preserve"> values, 1 (257) for FSS–FSS</w:t>
      </w:r>
      <w:r w:rsidRPr="00CC08DC">
        <w:rPr>
          <w:vertAlign w:val="subscript"/>
        </w:rPr>
        <w:t>useful</w:t>
      </w:r>
      <w:r w:rsidRPr="00CC08DC">
        <w:t xml:space="preserve"> = 0 scales, 0 (56.6) for the distance errors, and 0 (60) for the timing errors. Second, each verification variable’s three normalized values from all run types are summed together. For example, the surface temperature’s normalized values for RMSE, slope, and </w:t>
      </w:r>
      <w:r w:rsidRPr="00094531">
        <w:rPr>
          <w:i/>
        </w:rPr>
        <w:t>R</w:t>
      </w:r>
      <w:r w:rsidRPr="00094531">
        <w:rPr>
          <w:i/>
          <w:vertAlign w:val="superscript"/>
        </w:rPr>
        <w:t>2</w:t>
      </w:r>
      <w:r w:rsidRPr="00CC08DC">
        <w:t xml:space="preserve"> value from all of the runs (Control, NoCASA, etc.) are summed together. This summation gives a score out of 21 with 21 indicating perfect forecast skill. Comparisons can only be made among the different microphysics schemes and variables with the same units.</w:t>
      </w:r>
      <w:bookmarkEnd w:id="184"/>
    </w:p>
    <w:p w:rsidR="00C869D1" w:rsidRPr="00A674B2" w:rsidRDefault="00A674B2" w:rsidP="00A674B2">
      <w:pPr>
        <w:rPr>
          <w:rFonts w:ascii="Times New Roman" w:hAnsi="Times New Roman" w:cs="Times New Roman"/>
          <w:sz w:val="24"/>
          <w:szCs w:val="20"/>
        </w:rPr>
      </w:pPr>
      <w:r>
        <w:br w:type="page"/>
      </w:r>
    </w:p>
    <w:p w:rsidR="00CC08DC" w:rsidRPr="00CC08DC" w:rsidRDefault="00CC08DC" w:rsidP="00CC08DC">
      <w:pPr>
        <w:pStyle w:val="Heading2"/>
      </w:pPr>
      <w:bookmarkStart w:id="185" w:name="_Toc448742106"/>
      <w:r w:rsidRPr="00CC08DC">
        <w:lastRenderedPageBreak/>
        <w:t>7.3 Summary of Data Assimilation Sensitivities</w:t>
      </w:r>
      <w:bookmarkEnd w:id="185"/>
    </w:p>
    <w:p w:rsidR="00CC08DC" w:rsidRPr="00CC08DC" w:rsidRDefault="00CC08DC" w:rsidP="00CC08DC">
      <w:pPr>
        <w:pStyle w:val="NoSpacing"/>
        <w:ind w:firstLine="720"/>
      </w:pPr>
      <w:r w:rsidRPr="00CC08DC">
        <w:t>Withholding CASA and/or KTLX radar data during the data assimilation process has little to no impact on the forecasts of near-surface variables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Even though the NoCASA runs exhibited similar FSS values as the Control runs, the NoKTLX and NoCASAKTLX runs yielded at least some increase in “useful” skill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xml:space="preserve">). However, this increase in skill is likely due to the decrease in forecasted base rates of composite reflectivity caused by the withholding of KTLX radar data from the data assimilation process. The total number of 0-1UH centers and their average max intensities for the NoCASA runs were similar to the Control runs, but the NoKTLX and NoCASAKTLX runs typically resulted in weaker and fewer 0-1UH centers (not shown). </w:t>
      </w:r>
    </w:p>
    <w:p w:rsidR="00CC08DC" w:rsidRPr="00CC08DC" w:rsidRDefault="00CC08DC" w:rsidP="00CC08DC">
      <w:pPr>
        <w:pStyle w:val="NoSpacing"/>
        <w:ind w:firstLine="720"/>
      </w:pPr>
      <w:r w:rsidRPr="00CC08DC">
        <w:t>The NoCASA runs generally forecasted S1’s circulation locations better than the Control runs, but the differences are relatively small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xml:space="preserve">). When KTLX radar </w:t>
      </w:r>
      <w:r w:rsidR="00DB0979">
        <w:t>data are</w:t>
      </w:r>
      <w:r w:rsidRPr="00CC08DC">
        <w:t xml:space="preserve"> withheld from the data assimilation process, the forecasts errors of S1’s circulation locations are mostly larger, especially for the runs using MYDM and MYTM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However, S1 formed and tracked well north of the CASA radar network, so the S1 results are not too surprising. Withholding CASA radar data during the data assimilation process had more of a negative impact on the forecasts of S2’s circulation tracks than the withholding of KTLX radar data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xml:space="preserve">). The negative impact is even larger when both CASA and KTLX radar data were withheld from the data assimilation process. Therefore, with the absence of KTLX radar data, the assimilation of CASA radar data was able to prevent some of the loss of forecast skill, </w:t>
      </w:r>
      <w:r w:rsidR="004B15E5">
        <w:t>consistent with the results of</w:t>
      </w:r>
      <w:r w:rsidRPr="00CC08DC">
        <w:t xml:space="preserve"> Xue et al. (2006). Interestingly, the NoCASA, NoKTLX and </w:t>
      </w:r>
      <w:r w:rsidRPr="00CC08DC">
        <w:lastRenderedPageBreak/>
        <w:t>NoCASAKTLX runs all resulted in decreased errors for the forecasts of S3’s circulation locations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However, small changes in the number and locations of 0-1UH centers near S3 can have a substantial impact on the forecast errors, as these results indicate.</w:t>
      </w:r>
    </w:p>
    <w:p w:rsidR="00CC08DC" w:rsidRPr="00CC08DC" w:rsidRDefault="00CC08DC" w:rsidP="00CC08DC">
      <w:pPr>
        <w:pStyle w:val="NoSpacing"/>
        <w:ind w:firstLine="720"/>
      </w:pPr>
      <w:r w:rsidRPr="00CC08DC">
        <w:t>Analysis cycling had little to no effect on the near-surface temperature forecasts, but the modified IAU technique generally improved the near-surface temperature forecasts even though the simulations using the MY schemes depicted larger RMSEs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Both analysis cycling and the modified IAU technique resulted in improved forecasts of the other near-surface variables, and the use of both data assimilation techniques lead to the largest improvements for those same variables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Analysis cycling in both the Cycling and CyModIAU runs caused a substantial increase in forecasted base rates of composite reflectivity (not shown), so those runs exhibited substantially less “useful” skill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xml:space="preserve">). The modified IAU technique in the ModIAU runs had little impact to this verification technique’s result compared to the Control runs. </w:t>
      </w:r>
    </w:p>
    <w:p w:rsidR="00CC08DC" w:rsidRPr="00CC08DC" w:rsidRDefault="00CC08DC" w:rsidP="00CC08DC">
      <w:pPr>
        <w:pStyle w:val="NoSpacing"/>
        <w:ind w:firstLine="720"/>
      </w:pPr>
      <w:r w:rsidRPr="00CC08DC">
        <w:t>The Cycling runs produced substantially more 0-1UH centers than the Control runs, but the results were more mixed for the ModIAU and CyModIAU runs; the runs using the MY schemes generally had fewer 0-1UH centers, and the runs using LIN3 and WSM6 had more 0-1UH centers (not shown). Even though Brewster et al. (2015) and Brewster and Stratman (2016) demonstrated the modified IAU technique aids in stronger updrafts</w:t>
      </w:r>
      <w:r w:rsidR="004B15E5">
        <w:t xml:space="preserve"> </w:t>
      </w:r>
      <w:r w:rsidR="004B15E5">
        <w:rPr>
          <w:rFonts w:cs="Times New Roman"/>
          <w:szCs w:val="24"/>
        </w:rPr>
        <w:t>immediately following the assimilation window</w:t>
      </w:r>
      <w:r w:rsidRPr="00CC08DC">
        <w:t xml:space="preserve">, the ModIAU and CyModIAU runs using the MY schemes mostly had weaker max 0-1UH intensities. Analysis cycling and the modified IAU technique had a negligible impact on the </w:t>
      </w:r>
      <w:r w:rsidRPr="00CC08DC">
        <w:lastRenderedPageBreak/>
        <w:t>forecasts of S1’s circulation locations, except for the ModIAU runs using WSM6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The CyModIAU generally had larger forecast errors than the Control runs for S1, except for the runs using WSM6. The Cycling, ModIAU, and CyModIAU runs all depicted substantial improvements to the forecasts of S2’s circulation locations with the modified IAU technique having the largest positive impact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Substantial improvements were also the result for all three data assimilation techniques for S3’s tornado locations (</w:t>
      </w:r>
      <w:r w:rsidRPr="00CC08DC">
        <w:fldChar w:fldCharType="begin"/>
      </w:r>
      <w:r w:rsidRPr="00CC08DC">
        <w:instrText xml:space="preserve"> REF _Ref447630044 \h  \* MERGEFORMAT </w:instrText>
      </w:r>
      <w:r w:rsidRPr="00CC08DC">
        <w:fldChar w:fldCharType="separate"/>
      </w:r>
      <w:r w:rsidR="00F7579D" w:rsidRPr="00CC08DC">
        <w:t xml:space="preserve">Figure </w:t>
      </w:r>
      <w:r w:rsidR="00F7579D">
        <w:t>66</w:t>
      </w:r>
      <w:r w:rsidRPr="00CC08DC">
        <w:fldChar w:fldCharType="end"/>
      </w:r>
      <w:r w:rsidRPr="00CC08DC">
        <w:t xml:space="preserve">). </w:t>
      </w:r>
      <w:r w:rsidR="00B82D47">
        <w:t>For example, t</w:t>
      </w:r>
      <w:r w:rsidR="004B556A">
        <w:t>he 2130-UTC Control and CyModIAU MYDM runs’ simulated reflectivity and 0-1UH fields are depicted in</w:t>
      </w:r>
      <w:r w:rsidR="00B82D47">
        <w:t xml:space="preserve"> </w:t>
      </w:r>
      <w:r w:rsidR="00B82D47">
        <w:fldChar w:fldCharType="begin"/>
      </w:r>
      <w:r w:rsidR="00B82D47">
        <w:instrText xml:space="preserve"> REF _Ref450564562 \h </w:instrText>
      </w:r>
      <w:r w:rsidR="00B82D47">
        <w:fldChar w:fldCharType="separate"/>
      </w:r>
      <w:r w:rsidR="00F7579D">
        <w:t xml:space="preserve">Figure </w:t>
      </w:r>
      <w:r w:rsidR="00F7579D">
        <w:rPr>
          <w:noProof/>
        </w:rPr>
        <w:t>67</w:t>
      </w:r>
      <w:r w:rsidR="00B82D47">
        <w:fldChar w:fldCharType="end"/>
      </w:r>
      <w:r w:rsidR="00B82D47">
        <w:t>,</w:t>
      </w:r>
      <w:r w:rsidR="004B556A">
        <w:t xml:space="preserve"> and </w:t>
      </w:r>
      <w:r w:rsidR="00B82D47">
        <w:t xml:space="preserve">the CyModIAU run’s forecasts show more and stronger 0-1UH centers near S2 and S3 than the Control run’s forecasts. </w:t>
      </w:r>
      <w:r w:rsidRPr="00CC08DC">
        <w:t>Even though the NoCASA, NoKTLX, and NoCASAKTLX runs also depicted similar decreases in forecasted errors, the error reductions in the Cycling and CyModIAU runs were legitimately due to forecasted clusters of 0-1UH cente</w:t>
      </w:r>
      <w:r w:rsidR="004B556A">
        <w:t>rs near S3’s tornado locations.</w:t>
      </w:r>
    </w:p>
    <w:p w:rsidR="00CC08DC" w:rsidRPr="00CC08DC" w:rsidRDefault="00A674B2" w:rsidP="004B7AFC">
      <w:pPr>
        <w:keepNext/>
        <w:spacing w:after="0" w:line="240" w:lineRule="auto"/>
        <w:jc w:val="both"/>
      </w:pPr>
      <w:r>
        <w:rPr>
          <w:noProof/>
        </w:rPr>
        <w:lastRenderedPageBreak/>
        <w:drawing>
          <wp:inline distT="0" distB="0" distL="0" distR="0">
            <wp:extent cx="5303520" cy="46558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mmary_plot_dat.png"/>
                    <pic:cNvPicPr/>
                  </pic:nvPicPr>
                  <pic:blipFill rotWithShape="1">
                    <a:blip r:embed="rId80">
                      <a:extLst>
                        <a:ext uri="{28A0092B-C50C-407E-A947-70E740481C1C}">
                          <a14:useLocalDpi xmlns:a14="http://schemas.microsoft.com/office/drawing/2010/main" val="0"/>
                        </a:ext>
                      </a:extLst>
                    </a:blip>
                    <a:srcRect t="12213"/>
                    <a:stretch/>
                  </pic:blipFill>
                  <pic:spPr bwMode="auto">
                    <a:xfrm>
                      <a:off x="0" y="0"/>
                      <a:ext cx="5303520" cy="4655820"/>
                    </a:xfrm>
                    <a:prstGeom prst="rect">
                      <a:avLst/>
                    </a:prstGeom>
                    <a:ln>
                      <a:noFill/>
                    </a:ln>
                    <a:extLst>
                      <a:ext uri="{53640926-AAD7-44D8-BBD7-CCE9431645EC}">
                        <a14:shadowObscured xmlns:a14="http://schemas.microsoft.com/office/drawing/2010/main"/>
                      </a:ext>
                    </a:extLst>
                  </pic:spPr>
                </pic:pic>
              </a:graphicData>
            </a:graphic>
          </wp:inline>
        </w:drawing>
      </w:r>
    </w:p>
    <w:p w:rsidR="00CC08DC" w:rsidRDefault="00CC08DC" w:rsidP="00CC08DC">
      <w:pPr>
        <w:pStyle w:val="Captions"/>
      </w:pPr>
      <w:bookmarkStart w:id="186" w:name="_Ref447630044"/>
      <w:bookmarkStart w:id="187" w:name="_Toc450593146"/>
      <w:r w:rsidRPr="00CC08DC">
        <w:t xml:space="preserve">Figure </w:t>
      </w:r>
      <w:fldSimple w:instr=" SEQ Figure \* ARABIC ">
        <w:r w:rsidR="00F7579D">
          <w:rPr>
            <w:noProof/>
          </w:rPr>
          <w:t>66</w:t>
        </w:r>
      </w:fldSimple>
      <w:bookmarkEnd w:id="186"/>
      <w:r w:rsidRPr="00CC08DC">
        <w:t xml:space="preserve">. Similar to </w:t>
      </w:r>
      <w:r w:rsidRPr="00CC08DC">
        <w:fldChar w:fldCharType="begin"/>
      </w:r>
      <w:r w:rsidRPr="00CC08DC">
        <w:instrText xml:space="preserve"> REF _Ref447566773 \h </w:instrText>
      </w:r>
      <w:r>
        <w:instrText xml:space="preserve"> \* MERGEFORMAT </w:instrText>
      </w:r>
      <w:r w:rsidRPr="00CC08DC">
        <w:fldChar w:fldCharType="separate"/>
      </w:r>
      <w:r w:rsidR="00F7579D" w:rsidRPr="00CC08DC">
        <w:t xml:space="preserve">Figure </w:t>
      </w:r>
      <w:r w:rsidR="00F7579D">
        <w:t>65</w:t>
      </w:r>
      <w:r w:rsidRPr="00CC08DC">
        <w:fldChar w:fldCharType="end"/>
      </w:r>
      <w:r w:rsidRPr="00CC08DC">
        <w:t>, but instead of summing the normalized values across all run types for each microphysics scheme, the normalized values are summed across all microphysics schemes for each run type. To highlight the sensitivities, the Control run’s normalized values are subtracted from the six non-Control runs’ normalized values. Positive (negative) values indicate where the non-Control run performed better (worse) than the Control run.</w:t>
      </w:r>
      <w:bookmarkEnd w:id="187"/>
      <w:r w:rsidRPr="00CC08DC">
        <w:t xml:space="preserve"> </w:t>
      </w:r>
    </w:p>
    <w:p w:rsidR="00D12B47" w:rsidRDefault="00D12B47" w:rsidP="00CC08DC">
      <w:pPr>
        <w:pStyle w:val="Captions"/>
      </w:pPr>
    </w:p>
    <w:p w:rsidR="004B556A" w:rsidRDefault="004B556A" w:rsidP="004B556A">
      <w:pPr>
        <w:pStyle w:val="Captions"/>
        <w:keepNext/>
      </w:pPr>
      <w:r>
        <w:rPr>
          <w:noProof/>
        </w:rPr>
        <w:lastRenderedPageBreak/>
        <w:drawing>
          <wp:inline distT="0" distB="0" distL="0" distR="0" wp14:anchorId="30A1003B" wp14:editId="2B92AE94">
            <wp:extent cx="5303520" cy="43586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ntrol_vs_best_2130.png"/>
                    <pic:cNvPicPr/>
                  </pic:nvPicPr>
                  <pic:blipFill rotWithShape="1">
                    <a:blip r:embed="rId81">
                      <a:extLst>
                        <a:ext uri="{28A0092B-C50C-407E-A947-70E740481C1C}">
                          <a14:useLocalDpi xmlns:a14="http://schemas.microsoft.com/office/drawing/2010/main" val="0"/>
                        </a:ext>
                      </a:extLst>
                    </a:blip>
                    <a:srcRect t="5316" b="12499"/>
                    <a:stretch/>
                  </pic:blipFill>
                  <pic:spPr bwMode="auto">
                    <a:xfrm>
                      <a:off x="0" y="0"/>
                      <a:ext cx="5303520" cy="4358640"/>
                    </a:xfrm>
                    <a:prstGeom prst="rect">
                      <a:avLst/>
                    </a:prstGeom>
                    <a:ln>
                      <a:noFill/>
                    </a:ln>
                    <a:extLst>
                      <a:ext uri="{53640926-AAD7-44D8-BBD7-CCE9431645EC}">
                        <a14:shadowObscured xmlns:a14="http://schemas.microsoft.com/office/drawing/2010/main"/>
                      </a:ext>
                    </a:extLst>
                  </pic:spPr>
                </pic:pic>
              </a:graphicData>
            </a:graphic>
          </wp:inline>
        </w:drawing>
      </w:r>
    </w:p>
    <w:p w:rsidR="00B82D47" w:rsidRDefault="004B556A" w:rsidP="00B82D47">
      <w:pPr>
        <w:pStyle w:val="Captions"/>
      </w:pPr>
      <w:bookmarkStart w:id="188" w:name="_Ref450564562"/>
      <w:bookmarkStart w:id="189" w:name="_Toc450593147"/>
      <w:r>
        <w:t xml:space="preserve">Figure </w:t>
      </w:r>
      <w:fldSimple w:instr=" SEQ Figure \* ARABIC ">
        <w:r w:rsidR="00F7579D">
          <w:rPr>
            <w:noProof/>
          </w:rPr>
          <w:t>67</w:t>
        </w:r>
      </w:fldSimple>
      <w:bookmarkEnd w:id="188"/>
      <w:r>
        <w:t xml:space="preserve">. </w:t>
      </w:r>
      <w:r w:rsidR="00B82D47">
        <w:t>Forecasts of 1-km AGL simulated reflectivity (dBZ; colored) from the 2130-UTC Control (a,b,c) and CyModIAU (d,e,f) MYDM runs are plotted for (a,d) 2130 UTC (t = 0 s), (b,e) 2200 UTC (t = 1800 s), and (c,f) 2230 UTC (t = 3600 s). 0-1UH is contoured in black from 10 m</w:t>
      </w:r>
      <w:r w:rsidR="00B82D47" w:rsidRPr="00EA00E3">
        <w:rPr>
          <w:vertAlign w:val="superscript"/>
        </w:rPr>
        <w:t>2</w:t>
      </w:r>
      <w:r w:rsidR="00B82D47">
        <w:t>/s</w:t>
      </w:r>
      <w:r w:rsidR="00B82D47" w:rsidRPr="00EA00E3">
        <w:rPr>
          <w:vertAlign w:val="superscript"/>
        </w:rPr>
        <w:t>2</w:t>
      </w:r>
      <w:r w:rsidR="00B82D47">
        <w:t xml:space="preserve"> to 210 m</w:t>
      </w:r>
      <w:r w:rsidR="00B82D47" w:rsidRPr="00EA00E3">
        <w:rPr>
          <w:vertAlign w:val="superscript"/>
        </w:rPr>
        <w:t>2</w:t>
      </w:r>
      <w:r w:rsidR="00B82D47">
        <w:t>/s</w:t>
      </w:r>
      <w:r w:rsidR="00B82D47" w:rsidRPr="00EA00E3">
        <w:rPr>
          <w:vertAlign w:val="superscript"/>
        </w:rPr>
        <w:t>2</w:t>
      </w:r>
      <w:r w:rsidR="00B82D47">
        <w:t xml:space="preserve"> with an interval of 25 m</w:t>
      </w:r>
      <w:r w:rsidR="00B82D47" w:rsidRPr="00EA00E3">
        <w:rPr>
          <w:vertAlign w:val="superscript"/>
        </w:rPr>
        <w:t>2</w:t>
      </w:r>
      <w:r w:rsidR="00B82D47">
        <w:t>/s</w:t>
      </w:r>
      <w:r w:rsidR="00B82D47" w:rsidRPr="00EA00E3">
        <w:rPr>
          <w:vertAlign w:val="superscript"/>
        </w:rPr>
        <w:t>2</w:t>
      </w:r>
      <w:r w:rsidR="00B82D47">
        <w:t>, and the max UH value (m</w:t>
      </w:r>
      <w:r w:rsidR="00B82D47" w:rsidRPr="00EA00E3">
        <w:rPr>
          <w:vertAlign w:val="superscript"/>
        </w:rPr>
        <w:t>2</w:t>
      </w:r>
      <w:r w:rsidR="00B82D47">
        <w:t>/s</w:t>
      </w:r>
      <w:r w:rsidR="00B82D47" w:rsidRPr="00EA00E3">
        <w:rPr>
          <w:vertAlign w:val="superscript"/>
        </w:rPr>
        <w:t>2</w:t>
      </w:r>
      <w:r w:rsidR="00B82D47">
        <w:t>) in each plot window is annotated near the bottom of each plot. Light gray upside-down triangles depict the estimated tornado locations every minute, and darker gray circles indicate the estimated location of the tornado occurring at 2100 UTC.</w:t>
      </w:r>
      <w:bookmarkEnd w:id="189"/>
      <w:r w:rsidR="00B82D47">
        <w:t xml:space="preserve"> </w:t>
      </w:r>
    </w:p>
    <w:p w:rsidR="00D12B47" w:rsidRPr="00A674B2" w:rsidRDefault="00A674B2" w:rsidP="00A674B2">
      <w:pPr>
        <w:rPr>
          <w:rFonts w:ascii="Times New Roman" w:hAnsi="Times New Roman" w:cs="Times New Roman"/>
          <w:sz w:val="24"/>
          <w:szCs w:val="20"/>
        </w:rPr>
      </w:pPr>
      <w:r>
        <w:br w:type="page"/>
      </w:r>
    </w:p>
    <w:p w:rsidR="00CC08DC" w:rsidRPr="00CC08DC" w:rsidRDefault="00CC08DC" w:rsidP="00CC08DC">
      <w:pPr>
        <w:pStyle w:val="Heading2"/>
      </w:pPr>
      <w:bookmarkStart w:id="190" w:name="_Toc448742107"/>
      <w:r w:rsidRPr="00CC08DC">
        <w:lastRenderedPageBreak/>
        <w:t>7.4 Discussion and Future Work</w:t>
      </w:r>
      <w:bookmarkEnd w:id="190"/>
    </w:p>
    <w:p w:rsidR="00CC08DC" w:rsidRPr="00CC08DC" w:rsidRDefault="00CC08DC" w:rsidP="00CC08DC">
      <w:pPr>
        <w:pStyle w:val="NoSpacing"/>
        <w:ind w:firstLine="720"/>
      </w:pPr>
      <w:r w:rsidRPr="00CC08DC">
        <w:t xml:space="preserve">When designing a real-time forecast system, a balance exists between </w:t>
      </w:r>
      <w:r w:rsidR="001727B1" w:rsidRPr="00CC08DC">
        <w:t xml:space="preserve">computational cost </w:t>
      </w:r>
      <w:r w:rsidR="001727B1">
        <w:t xml:space="preserve">and </w:t>
      </w:r>
      <w:r w:rsidRPr="00CC08DC">
        <w:t>using potentially better data assimilation and modeling</w:t>
      </w:r>
      <w:r w:rsidR="001727B1">
        <w:t xml:space="preserve"> techniques</w:t>
      </w:r>
      <w:r w:rsidR="004B15E5">
        <w:t xml:space="preserve">, </w:t>
      </w:r>
      <w:r w:rsidR="004B15E5" w:rsidRPr="004B15E5">
        <w:t>which impacts not only the computational resources required but the real-time latency of the forecast</w:t>
      </w:r>
      <w:r w:rsidRPr="00CC08DC">
        <w:t>. For example, changing the microphysics parameterization scheme in a model (e.g., from single-moment to multi-moment) might substantially improve forecasts, but that change might create a large</w:t>
      </w:r>
      <w:r w:rsidR="00D12B47">
        <w:t xml:space="preserve"> increase in computational cost (</w:t>
      </w:r>
      <w:r w:rsidR="00D12B47" w:rsidRPr="00D12B47">
        <w:t>though not approaching the 1-2 orders of magnitude cost increase for using ensemble based methods</w:t>
      </w:r>
      <w:r w:rsidR="00D12B47">
        <w:t>)</w:t>
      </w:r>
      <w:r w:rsidR="00D12B47" w:rsidRPr="00D12B47">
        <w:t>.</w:t>
      </w:r>
      <w:r w:rsidRPr="00CC08DC">
        <w:t xml:space="preserve"> Conversely, changing the way variable increments are introduced during the IAU window might also contribute to substantial forecast improvements while having very little impact on the overall computational cost. Intensive studies need to be carried out to determine what modeling methods yield the biggest forecast improvements for the least amount of additional computational cost. Furthermore, improvements in forecasts can vary depending on what and how a model field is being examined, so subjective evaluations and objective verification techniques need to be </w:t>
      </w:r>
      <w:r w:rsidR="001727B1">
        <w:t>tailored to</w:t>
      </w:r>
      <w:r w:rsidRPr="00CC08DC">
        <w:t xml:space="preserve"> the forecasts’ objective (e.g., forecasting low-level circulations). Therefore, for this study, multiple objective verification techniques and metrics were utilized to determine the differences in model skill among the various data assimilation and model configurations with respect to forecasts of tornadic supercells. </w:t>
      </w:r>
    </w:p>
    <w:p w:rsidR="00CC08DC" w:rsidRPr="00CC08DC" w:rsidRDefault="00CC08DC" w:rsidP="00CC08DC">
      <w:pPr>
        <w:pStyle w:val="NoSpacing"/>
        <w:ind w:firstLine="720"/>
      </w:pPr>
      <w:r w:rsidRPr="00CC08DC">
        <w:t>Overall, the simulations using the MY schemes outperformed the simulations using LIN3 and WSM6, so based on this finding, the differences between the various types of microphysics schemes (i.e., LIN3 and WSM6 vs. the MY schemes) are larger than the differences between single-moment and multi-moment microphysics schemes</w:t>
      </w:r>
      <w:r w:rsidR="00CE5C5E">
        <w:t xml:space="preserve">, </w:t>
      </w:r>
      <w:r w:rsidR="00CE5C5E">
        <w:lastRenderedPageBreak/>
        <w:t>which doesn’t support the first hypothesis</w:t>
      </w:r>
      <w:r w:rsidRPr="00CC08DC">
        <w:t>. Even though the MY schemes exhibited similar abilities to forecast the tornado locations from the three storms of interest, the multi-moment MY schemes do tend to better forecast the near-surface variables and simulated reflectivity coverage</w:t>
      </w:r>
      <w:r w:rsidR="00CE5C5E">
        <w:t>, which does support the first hypothesis</w:t>
      </w:r>
      <w:r w:rsidRPr="00CC08DC">
        <w:t>. Additionally, the computational cost of the MY schemes is almost double that for LIN3 and WSM6, and while not as large, the differences in computatio</w:t>
      </w:r>
      <w:r w:rsidR="00CF02CC">
        <w:t>nal cost among the MY schemes are</w:t>
      </w:r>
      <w:r w:rsidRPr="00CC08DC">
        <w:t xml:space="preserve"> also noticeable (</w:t>
      </w:r>
      <w:r w:rsidRPr="00CC08DC">
        <w:fldChar w:fldCharType="begin"/>
      </w:r>
      <w:r w:rsidRPr="00CC08DC">
        <w:instrText xml:space="preserve"> REF _Ref447715732 \h  \* MERGEFORMAT </w:instrText>
      </w:r>
      <w:r w:rsidRPr="00CC08DC">
        <w:fldChar w:fldCharType="separate"/>
      </w:r>
      <w:r w:rsidR="00F7579D" w:rsidRPr="00CC08DC">
        <w:t xml:space="preserve">Figure </w:t>
      </w:r>
      <w:r w:rsidR="00F7579D">
        <w:t>68</w:t>
      </w:r>
      <w:r w:rsidRPr="00CC08DC">
        <w:fldChar w:fldCharType="end"/>
      </w:r>
      <w:r w:rsidRPr="00CC08DC">
        <w:t>). All of these factors must be taken into account when designing a model configuration best suited for storm-scale, short-term forecasts of severe convection within the confines of computational resources.</w:t>
      </w:r>
    </w:p>
    <w:p w:rsidR="00CC08DC" w:rsidRPr="00CC08DC" w:rsidRDefault="00483359" w:rsidP="00AA6C69">
      <w:pPr>
        <w:keepNext/>
        <w:spacing w:after="0" w:line="240" w:lineRule="auto"/>
        <w:jc w:val="center"/>
      </w:pPr>
      <w:r>
        <w:rPr>
          <w:noProof/>
        </w:rPr>
        <w:drawing>
          <wp:inline distT="0" distB="0" distL="0" distR="0" wp14:anchorId="354020C2" wp14:editId="783586C5">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CC08DC" w:rsidRPr="00CC08DC" w:rsidRDefault="00CC08DC" w:rsidP="00CC08DC">
      <w:pPr>
        <w:pStyle w:val="Captions"/>
      </w:pPr>
      <w:bookmarkStart w:id="191" w:name="_Ref447715732"/>
      <w:bookmarkStart w:id="192" w:name="_Toc450593148"/>
      <w:r w:rsidRPr="00CC08DC">
        <w:t xml:space="preserve">Figure </w:t>
      </w:r>
      <w:fldSimple w:instr=" SEQ Figure \* ARABIC ">
        <w:r w:rsidR="00F7579D">
          <w:rPr>
            <w:noProof/>
          </w:rPr>
          <w:t>68</w:t>
        </w:r>
      </w:fldSimple>
      <w:bookmarkEnd w:id="191"/>
      <w:r w:rsidRPr="00CC08DC">
        <w:t>. Line graph of the total CPU time (</w:t>
      </w:r>
      <w:r w:rsidR="001727B1">
        <w:t>core-</w:t>
      </w:r>
      <w:r w:rsidRPr="00CC08DC">
        <w:t>hr) used for each Control simulation.</w:t>
      </w:r>
      <w:r w:rsidR="001727B1">
        <w:t xml:space="preserve"> </w:t>
      </w:r>
      <w:r w:rsidR="001727B1" w:rsidRPr="001727B1">
        <w:t>Note</w:t>
      </w:r>
      <w:r w:rsidR="001727B1">
        <w:t>,</w:t>
      </w:r>
      <w:r w:rsidR="001727B1" w:rsidRPr="001727B1">
        <w:t xml:space="preserve"> for these experiments</w:t>
      </w:r>
      <w:r w:rsidR="001727B1">
        <w:t>, 50</w:t>
      </w:r>
      <w:r w:rsidR="001727B1" w:rsidRPr="001727B1">
        <w:t xml:space="preserve"> cores of Intel Xeon “Sandy Bridge” processors were used, so 100 core-hrs represents approximately </w:t>
      </w:r>
      <w:r w:rsidR="00281A61">
        <w:t>2 hours</w:t>
      </w:r>
      <w:r w:rsidR="001727B1">
        <w:t xml:space="preserve"> of wall</w:t>
      </w:r>
      <w:r w:rsidR="00281A61">
        <w:t>-</w:t>
      </w:r>
      <w:r w:rsidR="001727B1">
        <w:t xml:space="preserve">clock time. </w:t>
      </w:r>
      <w:r w:rsidR="001727B1" w:rsidRPr="001727B1">
        <w:t>The forecasts are generally scalable by core</w:t>
      </w:r>
      <w:r w:rsidR="001727B1">
        <w:t>.</w:t>
      </w:r>
      <w:r w:rsidR="00806DAE">
        <w:t xml:space="preserve"> With current ARPS real-time system using 200 cores, LIN3 and WSM6 would have wall-clock times ~15–25 min for the </w:t>
      </w:r>
      <w:r w:rsidR="00D12B47">
        <w:t xml:space="preserve">2-h </w:t>
      </w:r>
      <w:r w:rsidR="00806DAE">
        <w:t>Control runs, and the MY schemes would have wall-clock times ~35–55 min</w:t>
      </w:r>
      <w:r w:rsidR="00D12B47">
        <w:t xml:space="preserve"> </w:t>
      </w:r>
      <w:r w:rsidR="00D12B47" w:rsidRPr="00D12B47">
        <w:t>to complete the same 2-h forecast.</w:t>
      </w:r>
      <w:bookmarkEnd w:id="192"/>
    </w:p>
    <w:p w:rsidR="00CC08DC" w:rsidRPr="00CC08DC" w:rsidRDefault="00CC08DC" w:rsidP="00AA6C69">
      <w:pPr>
        <w:spacing w:after="0" w:line="480" w:lineRule="auto"/>
        <w:rPr>
          <w:rFonts w:ascii="Times New Roman" w:hAnsi="Times New Roman" w:cs="Times New Roman"/>
          <w:sz w:val="24"/>
          <w:szCs w:val="24"/>
        </w:rPr>
      </w:pPr>
    </w:p>
    <w:p w:rsidR="00CC08DC" w:rsidRPr="00CC08DC" w:rsidRDefault="00CC08DC" w:rsidP="00CC08DC">
      <w:pPr>
        <w:pStyle w:val="NoSpacing"/>
        <w:ind w:firstLine="720"/>
      </w:pPr>
      <w:r w:rsidRPr="00CC08DC">
        <w:t xml:space="preserve">The assimilation of CASA radar data wasn’t able to fully prevent the loss of forecast skill for S2 when KTLX radar data was withheld from the data assimilation </w:t>
      </w:r>
      <w:r w:rsidRPr="00CC08DC">
        <w:lastRenderedPageBreak/>
        <w:t>process. However, the assimilation of CASA radar data did have a larger positive impact than the assimilation of KTLX radar data for S2, so gap-filling radars, such as CASA radars, have the potential to improve forecasts of storms and low-level circulations when storms develop and/or propagate through a network of these relatively</w:t>
      </w:r>
      <w:r w:rsidR="001727B1">
        <w:t xml:space="preserve"> inexpensive</w:t>
      </w:r>
      <w:r w:rsidRPr="00CC08DC">
        <w:t>, low-power radars. The Dallas/Ft. Worth Urban Testbed, which will eventually include eight CASA X-band radars, will continue to collect cases to further explore this potential benefit to forecasting severe convection (Brewster and Stratman, 2016).</w:t>
      </w:r>
    </w:p>
    <w:p w:rsidR="00CC08DC" w:rsidRPr="00CC08DC" w:rsidRDefault="00CC08DC" w:rsidP="00CC08DC">
      <w:pPr>
        <w:pStyle w:val="NoSpacing"/>
        <w:ind w:firstLine="720"/>
      </w:pPr>
      <w:r w:rsidRPr="00CC08DC">
        <w:t>Analysis cycling and the variable-dependent IAU technique each largely improved forecasts for both near-surface variables and S2 and S3’s circulation tracks while maintaining the Control runs’ success with S1</w:t>
      </w:r>
      <w:r w:rsidR="00B65B51">
        <w:t>, which supports two of the hypotheses</w:t>
      </w:r>
      <w:r w:rsidRPr="00CC08DC">
        <w:t>. Combining the analysis cycling with the modified IAU technique resulted in similar or even larger forecast improvements, especially for near-surface moisture and wind components and S3’s circulation locations. These findings support the theory that introducing temperature, wind, and water vapor increments prior to the microphysics increments allows for updrafts to strengthen before being loaded with hydrometeors, which can cause initia</w:t>
      </w:r>
      <w:r w:rsidR="00F03465">
        <w:t>l simulated storms to collapse.</w:t>
      </w:r>
    </w:p>
    <w:p w:rsidR="00CC08DC" w:rsidRPr="00CC08DC" w:rsidRDefault="00CC08DC" w:rsidP="00FA5262">
      <w:pPr>
        <w:pStyle w:val="NoSpacing"/>
        <w:ind w:firstLine="720"/>
      </w:pPr>
      <w:r w:rsidRPr="00CC08DC">
        <w:t>Even though meaningful results were revealed in this study using just one case,</w:t>
      </w:r>
      <w:r w:rsidR="00CF02CC">
        <w:t xml:space="preserve"> the lack of knowledge </w:t>
      </w:r>
      <w:r w:rsidR="006D39B5">
        <w:t>of the statistical significance is a major caveat.</w:t>
      </w:r>
      <w:r w:rsidRPr="00CC08DC">
        <w:t xml:space="preserve"> </w:t>
      </w:r>
      <w:r w:rsidR="00CF02CC">
        <w:t xml:space="preserve">To address this concern, </w:t>
      </w:r>
      <w:r w:rsidRPr="00CC08DC">
        <w:t xml:space="preserve">additional ARPS 1-km simulations of tornadic supercell events, such as the 26 December 2015 tornadoes near Dallas, TX, using the same data assimilation techniques and model configurations need to be executed to fully understand the sensitivities tested in these experiments. In addition to continuing to examine the impact of assimilating CASA X-band radar data, research should also focus on exploring the sensitivities to </w:t>
      </w:r>
      <w:r w:rsidRPr="00CC08DC">
        <w:lastRenderedPageBreak/>
        <w:t xml:space="preserve">assimilating Terminal Doppler Weather Radar (TDWR) C-band data by comparing its impact relative to the assimilation of other radar data. Also, perhaps the assimilation of CASA radar data has a larger impact with smaller model grid spacings (e.g., 250 m), </w:t>
      </w:r>
      <w:r w:rsidR="00A560BF">
        <w:t xml:space="preserve">as Schenkman et al. (2011b) found, </w:t>
      </w:r>
      <w:r w:rsidRPr="00CC08DC">
        <w:t>so this is something to test in future research studies, as well</w:t>
      </w:r>
      <w:r w:rsidR="00682F39">
        <w:t xml:space="preserve">. </w:t>
      </w:r>
      <w:r w:rsidRPr="00CC08DC">
        <w:t xml:space="preserve"> </w:t>
      </w:r>
    </w:p>
    <w:p w:rsidR="00CC08DC" w:rsidRPr="00CC08DC" w:rsidRDefault="00CC08DC" w:rsidP="00CC08DC">
      <w:pPr>
        <w:pStyle w:val="NoSpacing"/>
        <w:ind w:firstLine="720"/>
      </w:pPr>
      <w:r w:rsidRPr="00CC08DC">
        <w:t>Although the five microphysics schemes used in this study provided a decent spread of solutions, other single-moment and multi-moment schemes (e.g., Thompson microphysics scheme, Thompson et al., 2008) currently not in the ARPS package should be added and tested alongside the current set of microphysics schemes. Other factors associated with analysis cycling and the IAU technique should also be explored. For example, the sensitivity to widening the IAU window from 5 min (as in this study) to 10 min (as in the real-time ARPS 1-km simulations) should be examined along with the impact of using different variable-dependent temporally-weighted distributions of increments.</w:t>
      </w:r>
    </w:p>
    <w:p w:rsidR="00CC08DC" w:rsidRPr="00CC08DC" w:rsidRDefault="00CC08DC" w:rsidP="00CC08DC">
      <w:pPr>
        <w:pStyle w:val="NoSpacing"/>
        <w:ind w:firstLine="720"/>
      </w:pPr>
      <w:r w:rsidRPr="00CC08DC">
        <w:t xml:space="preserve">The object-based verification technique utilized in this study to determine distance and timing errors proved to be highly effective in discerning the model’s skill at forecasting circulation locations. However, perhaps other observed or analyzed objects, such as radar-detected rotation tracks (Lakshmanan et al., 2012), analysis locations of low-level vorticity or UH, or storm reports, can be used instead of the estimated tornado locations to streamline the verification process. Furthermore, the object-based verification technique can be employed to verify, for example, forecasted hail and graupel mixing ratios with radar-detected </w:t>
      </w:r>
      <w:r w:rsidRPr="00A560BF">
        <w:rPr>
          <w:i/>
        </w:rPr>
        <w:t>Z</w:t>
      </w:r>
      <w:r w:rsidRPr="00A560BF">
        <w:rPr>
          <w:i/>
          <w:vertAlign w:val="subscript"/>
        </w:rPr>
        <w:t>DR</w:t>
      </w:r>
      <w:r w:rsidRPr="00CC08DC">
        <w:t xml:space="preserve"> columns (Kumjian and Ryzhkov, 2009). With respect to the neighborhood-based verification technique, most of the </w:t>
      </w:r>
      <w:r w:rsidRPr="00CC08DC">
        <w:lastRenderedPageBreak/>
        <w:t>simulations tended to substantially overforecast the composite reflectivity field, which is likely due to both the microphysics scheme and the relatively large 1-km grid spacing (i.e., coarser than reality), so other precipitation fields, such as precipitation rates, should possibly be used instead to determine “useful” skill by alleviating most of the overforecasting bias.</w:t>
      </w:r>
      <w:r w:rsidR="00D12B47">
        <w:t xml:space="preserve"> However, </w:t>
      </w:r>
      <w:r w:rsidR="00D12B47" w:rsidRPr="00D12B47">
        <w:t>an over-moistening in downdrafts in the cloud analysis scheme used in this work</w:t>
      </w:r>
      <w:r w:rsidR="00D12B47">
        <w:t xml:space="preserve"> has recently </w:t>
      </w:r>
      <w:r w:rsidR="00B90635">
        <w:t>been i</w:t>
      </w:r>
      <w:r w:rsidR="00D12B47">
        <w:t>dentified</w:t>
      </w:r>
      <w:r w:rsidR="00B90635">
        <w:t>, and m</w:t>
      </w:r>
      <w:r w:rsidR="00D12B47" w:rsidRPr="00D12B47">
        <w:t>odifications to the cloud analysis scheme to address this issue have been</w:t>
      </w:r>
      <w:r w:rsidR="00B90635">
        <w:t xml:space="preserve"> made in the last couple weeks.</w:t>
      </w:r>
      <w:r w:rsidR="00D12B47" w:rsidRPr="00D12B47">
        <w:t xml:space="preserve"> These may reduce the reflectivity overforecast bias when the model is initialized with ongoing convection.</w:t>
      </w:r>
    </w:p>
    <w:p w:rsidR="006C6928" w:rsidRDefault="00CC08DC" w:rsidP="00A674B2">
      <w:pPr>
        <w:pStyle w:val="NoSpacing"/>
        <w:ind w:firstLine="720"/>
      </w:pPr>
      <w:r w:rsidRPr="00CC08DC">
        <w:t>This study highlights the ability of a 1-km forecast system to successfully predict potentially tornadic supercells on short-time scales using analyses derived from 3DVAR and various data assimilation techniques, so when considering the computational cost of real-time data assimilation systems, less computationally intensive systems, such as the one</w:t>
      </w:r>
      <w:r w:rsidR="00B90635">
        <w:t xml:space="preserve"> used</w:t>
      </w:r>
      <w:r w:rsidRPr="00CC08DC">
        <w:t xml:space="preserve"> in this study, should be considered alongside more computationally expensive systems, such as EnKF. A study comparing both data assimilation systems is needed to better assess any potential benefits each data assimilation system may provide to short-term, storm-scale forecasts of severe convection.</w:t>
      </w:r>
    </w:p>
    <w:p w:rsidR="006C6928" w:rsidRDefault="003762D6" w:rsidP="006C6928">
      <w:pPr>
        <w:pStyle w:val="NoSpacing"/>
      </w:pPr>
      <w:r>
        <w:br w:type="page"/>
      </w:r>
    </w:p>
    <w:p w:rsidR="006C6928" w:rsidRDefault="006C6928" w:rsidP="006C6928">
      <w:pPr>
        <w:pStyle w:val="Heading1"/>
      </w:pPr>
      <w:bookmarkStart w:id="193" w:name="_Toc448742108"/>
      <w:r>
        <w:lastRenderedPageBreak/>
        <w:t>References</w:t>
      </w:r>
      <w:bookmarkEnd w:id="193"/>
    </w:p>
    <w:p w:rsidR="000E406C" w:rsidRDefault="000E406C" w:rsidP="003762D6">
      <w:pPr>
        <w:pStyle w:val="NoSpacing"/>
        <w:spacing w:line="240" w:lineRule="auto"/>
        <w:ind w:left="360" w:hanging="360"/>
        <w:rPr>
          <w:rFonts w:cs="Times New Roman"/>
          <w:szCs w:val="24"/>
        </w:rPr>
      </w:pPr>
      <w:r w:rsidRPr="00F21A03">
        <w:rPr>
          <w:rFonts w:cs="Times New Roman"/>
          <w:szCs w:val="24"/>
        </w:rPr>
        <w:t>Ahijevych, D., E. Gilleland, B. G</w:t>
      </w:r>
      <w:r>
        <w:rPr>
          <w:rFonts w:cs="Times New Roman"/>
          <w:szCs w:val="24"/>
        </w:rPr>
        <w:t xml:space="preserve">. Brown, and E. E. Ebert, 2009: </w:t>
      </w:r>
      <w:r w:rsidRPr="00F21A03">
        <w:rPr>
          <w:rFonts w:cs="Times New Roman"/>
          <w:szCs w:val="24"/>
        </w:rPr>
        <w:t>Application of spatial verification methods to idealize</w:t>
      </w:r>
      <w:r>
        <w:rPr>
          <w:rFonts w:cs="Times New Roman"/>
          <w:szCs w:val="24"/>
        </w:rPr>
        <w:t xml:space="preserve">d and </w:t>
      </w:r>
      <w:r w:rsidRPr="00F21A03">
        <w:rPr>
          <w:rFonts w:cs="Times New Roman"/>
          <w:szCs w:val="24"/>
        </w:rPr>
        <w:t>NWP gridded precipitation f</w:t>
      </w:r>
      <w:r>
        <w:rPr>
          <w:rFonts w:cs="Times New Roman"/>
          <w:szCs w:val="24"/>
        </w:rPr>
        <w:t xml:space="preserve">orecasts. </w:t>
      </w:r>
      <w:r w:rsidRPr="00F21A03">
        <w:rPr>
          <w:rFonts w:cs="Times New Roman"/>
          <w:i/>
          <w:szCs w:val="24"/>
        </w:rPr>
        <w:t>Wea. Forecasting</w:t>
      </w:r>
      <w:r>
        <w:rPr>
          <w:rFonts w:cs="Times New Roman"/>
          <w:szCs w:val="24"/>
        </w:rPr>
        <w:t xml:space="preserve">, </w:t>
      </w:r>
      <w:r w:rsidRPr="00055285">
        <w:rPr>
          <w:rFonts w:cs="Times New Roman"/>
          <w:b/>
          <w:szCs w:val="24"/>
        </w:rPr>
        <w:t>24</w:t>
      </w:r>
      <w:r>
        <w:rPr>
          <w:rFonts w:cs="Times New Roman"/>
          <w:szCs w:val="24"/>
        </w:rPr>
        <w:t xml:space="preserve">, </w:t>
      </w:r>
      <w:r w:rsidRPr="00F21A03">
        <w:rPr>
          <w:rFonts w:cs="Times New Roman"/>
          <w:szCs w:val="24"/>
        </w:rPr>
        <w:t>1485–1497.</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Bloom, S. C., L. L. Takacs, A. M. da Sil</w:t>
      </w:r>
      <w:r w:rsidR="003564AD">
        <w:rPr>
          <w:rFonts w:cs="Times New Roman"/>
          <w:szCs w:val="24"/>
        </w:rPr>
        <w:t>va, and D. Ledvina, 1996: Data assimilation using incremental analysis u</w:t>
      </w:r>
      <w:r w:rsidRPr="00E7103E">
        <w:rPr>
          <w:rFonts w:cs="Times New Roman"/>
          <w:szCs w:val="24"/>
        </w:rPr>
        <w:t xml:space="preserve">pdates. </w:t>
      </w:r>
      <w:r w:rsidRPr="00E7103E">
        <w:rPr>
          <w:rFonts w:cs="Times New Roman"/>
          <w:i/>
          <w:szCs w:val="24"/>
        </w:rPr>
        <w:t>Mon. Wea. Rev.</w:t>
      </w:r>
      <w:r w:rsidRPr="00E7103E">
        <w:rPr>
          <w:rFonts w:cs="Times New Roman"/>
          <w:szCs w:val="24"/>
        </w:rPr>
        <w:t xml:space="preserve">, </w:t>
      </w:r>
      <w:r w:rsidRPr="00055285">
        <w:rPr>
          <w:rFonts w:cs="Times New Roman"/>
          <w:b/>
          <w:szCs w:val="24"/>
        </w:rPr>
        <w:t>124</w:t>
      </w:r>
      <w:r w:rsidRPr="00E7103E">
        <w:rPr>
          <w:rFonts w:cs="Times New Roman"/>
          <w:szCs w:val="24"/>
        </w:rPr>
        <w:t>, 1256–1271.</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DC023F">
        <w:rPr>
          <w:rFonts w:cs="Times New Roman"/>
          <w:szCs w:val="24"/>
        </w:rPr>
        <w:t>Bluestein</w:t>
      </w:r>
      <w:r>
        <w:rPr>
          <w:rFonts w:cs="Times New Roman"/>
          <w:szCs w:val="24"/>
        </w:rPr>
        <w:t>, H. B., and M.</w:t>
      </w:r>
      <w:r w:rsidR="003564AD">
        <w:rPr>
          <w:rFonts w:cs="Times New Roman"/>
          <w:szCs w:val="24"/>
        </w:rPr>
        <w:t xml:space="preserve"> L. Weisman, 2000: The interaction of numerically simulated supercells initiated along l</w:t>
      </w:r>
      <w:r w:rsidRPr="00DC023F">
        <w:rPr>
          <w:rFonts w:cs="Times New Roman"/>
          <w:szCs w:val="24"/>
        </w:rPr>
        <w:t xml:space="preserve">ines. </w:t>
      </w:r>
      <w:r w:rsidRPr="00DC023F">
        <w:rPr>
          <w:rFonts w:cs="Times New Roman"/>
          <w:i/>
          <w:szCs w:val="24"/>
        </w:rPr>
        <w:t>Mon. Wea. Rev.</w:t>
      </w:r>
      <w:r w:rsidRPr="00DC023F">
        <w:rPr>
          <w:rFonts w:cs="Times New Roman"/>
          <w:szCs w:val="24"/>
        </w:rPr>
        <w:t xml:space="preserve">, </w:t>
      </w:r>
      <w:r w:rsidRPr="00055285">
        <w:rPr>
          <w:rFonts w:cs="Times New Roman"/>
          <w:b/>
          <w:szCs w:val="24"/>
        </w:rPr>
        <w:t>128</w:t>
      </w:r>
      <w:r w:rsidRPr="00DC023F">
        <w:rPr>
          <w:rFonts w:cs="Times New Roman"/>
          <w:szCs w:val="24"/>
        </w:rPr>
        <w:t>, 3128–3149.</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Brewster, K. A</w:t>
      </w:r>
      <w:r w:rsidR="003564AD">
        <w:rPr>
          <w:rFonts w:cs="Times New Roman"/>
          <w:szCs w:val="24"/>
        </w:rPr>
        <w:t>. and D. R. Stratman, 2015: An updated high resolution hydrometeor analysis system using radar and other d</w:t>
      </w:r>
      <w:r w:rsidRPr="00E7103E">
        <w:rPr>
          <w:rFonts w:cs="Times New Roman"/>
          <w:szCs w:val="24"/>
        </w:rPr>
        <w:t xml:space="preserve">ata. </w:t>
      </w:r>
      <w:r w:rsidRPr="00061DB7">
        <w:rPr>
          <w:rFonts w:cs="Times New Roman"/>
          <w:szCs w:val="24"/>
        </w:rPr>
        <w:t>Preprints,</w:t>
      </w:r>
      <w:r w:rsidRPr="00E7103E">
        <w:rPr>
          <w:rFonts w:cs="Times New Roman"/>
          <w:i/>
          <w:szCs w:val="24"/>
        </w:rPr>
        <w:t xml:space="preserve"> 27th Conf. on WAF and 23rd Conf. on NWP</w:t>
      </w:r>
      <w:r w:rsidR="00055285">
        <w:rPr>
          <w:rFonts w:cs="Times New Roman"/>
          <w:szCs w:val="24"/>
        </w:rPr>
        <w:t xml:space="preserve">, Chicago, IL, </w:t>
      </w:r>
      <w:r w:rsidR="00061DB7" w:rsidRPr="00061DB7">
        <w:rPr>
          <w:rFonts w:cs="Times New Roman"/>
          <w:szCs w:val="24"/>
        </w:rPr>
        <w:t>Amer. Meteor. Soc.</w:t>
      </w:r>
      <w:r w:rsidR="00061DB7">
        <w:rPr>
          <w:rFonts w:cs="Times New Roman"/>
          <w:szCs w:val="24"/>
        </w:rPr>
        <w:t xml:space="preserve">, </w:t>
      </w:r>
      <w:r w:rsidRPr="00E7103E">
        <w:rPr>
          <w:rFonts w:cs="Times New Roman"/>
          <w:szCs w:val="24"/>
        </w:rPr>
        <w:t>2 July 2015.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Brewster, K.</w:t>
      </w:r>
      <w:r>
        <w:rPr>
          <w:rFonts w:cs="Times New Roman"/>
          <w:szCs w:val="24"/>
        </w:rPr>
        <w:t xml:space="preserve"> </w:t>
      </w:r>
      <w:r w:rsidRPr="00E7103E">
        <w:rPr>
          <w:rFonts w:cs="Times New Roman"/>
          <w:szCs w:val="24"/>
        </w:rPr>
        <w:t>A., F.</w:t>
      </w:r>
      <w:r>
        <w:rPr>
          <w:rFonts w:cs="Times New Roman"/>
          <w:szCs w:val="24"/>
        </w:rPr>
        <w:t xml:space="preserve"> </w:t>
      </w:r>
      <w:r w:rsidRPr="00E7103E">
        <w:rPr>
          <w:rFonts w:cs="Times New Roman"/>
          <w:szCs w:val="24"/>
        </w:rPr>
        <w:t>H. Carr, K.</w:t>
      </w:r>
      <w:r>
        <w:rPr>
          <w:rFonts w:cs="Times New Roman"/>
          <w:szCs w:val="24"/>
        </w:rPr>
        <w:t xml:space="preserve"> </w:t>
      </w:r>
      <w:r w:rsidRPr="00E7103E">
        <w:rPr>
          <w:rFonts w:cs="Times New Roman"/>
          <w:szCs w:val="24"/>
        </w:rPr>
        <w:t>W. Thomas, and D.</w:t>
      </w:r>
      <w:r>
        <w:rPr>
          <w:rFonts w:cs="Times New Roman"/>
          <w:szCs w:val="24"/>
        </w:rPr>
        <w:t xml:space="preserve"> </w:t>
      </w:r>
      <w:r w:rsidRPr="00E7103E">
        <w:rPr>
          <w:rFonts w:cs="Times New Roman"/>
          <w:szCs w:val="24"/>
        </w:rPr>
        <w:t xml:space="preserve">R. Stratman, 2015: Utilizing heterogeneous radar systems in a real-time high resolution analysis and short-term forecast system in the Dallas/Ft Worth Testbed. </w:t>
      </w:r>
      <w:r w:rsidRPr="00061DB7">
        <w:rPr>
          <w:rFonts w:cs="Times New Roman"/>
          <w:szCs w:val="24"/>
        </w:rPr>
        <w:t>Preprints,</w:t>
      </w:r>
      <w:r w:rsidRPr="00E7103E">
        <w:rPr>
          <w:rFonts w:cs="Times New Roman"/>
          <w:i/>
          <w:szCs w:val="24"/>
        </w:rPr>
        <w:t xml:space="preserve"> 37th Conf. on Radar Meteor.</w:t>
      </w:r>
      <w:r w:rsidR="00055285">
        <w:rPr>
          <w:rFonts w:cs="Times New Roman"/>
          <w:szCs w:val="24"/>
        </w:rPr>
        <w:t xml:space="preserve">, Norman, OK, </w:t>
      </w:r>
      <w:r w:rsidR="00061DB7" w:rsidRPr="00061DB7">
        <w:rPr>
          <w:rFonts w:cs="Times New Roman"/>
          <w:szCs w:val="24"/>
        </w:rPr>
        <w:t>Amer. Meteor. Soc.</w:t>
      </w:r>
      <w:r w:rsidR="00061DB7">
        <w:rPr>
          <w:rFonts w:cs="Times New Roman"/>
          <w:szCs w:val="24"/>
        </w:rPr>
        <w:t xml:space="preserve">, </w:t>
      </w:r>
      <w:r w:rsidRPr="00E7103E">
        <w:rPr>
          <w:rFonts w:cs="Times New Roman"/>
          <w:szCs w:val="24"/>
        </w:rPr>
        <w:t>18 Sept. 2015.</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E7103E">
        <w:rPr>
          <w:rFonts w:cs="Times New Roman"/>
          <w:szCs w:val="24"/>
        </w:rPr>
        <w:t>Brewster, K. A. and D. R. Stratman</w:t>
      </w:r>
      <w:r>
        <w:rPr>
          <w:rFonts w:cs="Times New Roman"/>
          <w:szCs w:val="24"/>
        </w:rPr>
        <w:t>, 2016</w:t>
      </w:r>
      <w:r w:rsidRPr="00E7103E">
        <w:rPr>
          <w:rFonts w:cs="Times New Roman"/>
          <w:szCs w:val="24"/>
        </w:rPr>
        <w:t xml:space="preserve">: </w:t>
      </w:r>
      <w:r w:rsidR="003564AD">
        <w:rPr>
          <w:rFonts w:cs="Times New Roman"/>
          <w:szCs w:val="24"/>
        </w:rPr>
        <w:t>Tuning an analysis and incremental analysis updating assimilation for an efficient high resolution forecast s</w:t>
      </w:r>
      <w:r w:rsidRPr="00897D32">
        <w:rPr>
          <w:rFonts w:cs="Times New Roman"/>
          <w:szCs w:val="24"/>
        </w:rPr>
        <w:t>ystem</w:t>
      </w:r>
      <w:r w:rsidRPr="00E7103E">
        <w:rPr>
          <w:rFonts w:cs="Times New Roman"/>
          <w:szCs w:val="24"/>
        </w:rPr>
        <w:t xml:space="preserve">. </w:t>
      </w:r>
      <w:r w:rsidRPr="00061DB7">
        <w:rPr>
          <w:rFonts w:cs="Times New Roman"/>
          <w:szCs w:val="24"/>
        </w:rPr>
        <w:t>Preprints,</w:t>
      </w:r>
      <w:r w:rsidRPr="00E7103E">
        <w:rPr>
          <w:rFonts w:cs="Times New Roman"/>
          <w:i/>
          <w:szCs w:val="24"/>
        </w:rPr>
        <w:t xml:space="preserve"> </w:t>
      </w:r>
      <w:r w:rsidRPr="00897D32">
        <w:rPr>
          <w:rFonts w:cs="Times New Roman"/>
          <w:i/>
          <w:szCs w:val="24"/>
        </w:rPr>
        <w:t>2</w:t>
      </w:r>
      <w:r>
        <w:rPr>
          <w:rFonts w:cs="Times New Roman"/>
          <w:i/>
          <w:szCs w:val="24"/>
        </w:rPr>
        <w:t>0</w:t>
      </w:r>
      <w:r w:rsidRPr="00897D32">
        <w:rPr>
          <w:rFonts w:cs="Times New Roman"/>
          <w:i/>
          <w:szCs w:val="24"/>
          <w:vertAlign w:val="superscript"/>
        </w:rPr>
        <w:t>th</w:t>
      </w:r>
      <w:r>
        <w:rPr>
          <w:rFonts w:cs="Times New Roman"/>
          <w:i/>
          <w:szCs w:val="24"/>
        </w:rPr>
        <w:t xml:space="preserve"> Conf. on IAOS-AOLS</w:t>
      </w:r>
      <w:r w:rsidR="00055285">
        <w:rPr>
          <w:rFonts w:cs="Times New Roman"/>
          <w:szCs w:val="24"/>
        </w:rPr>
        <w:t xml:space="preserve">, New Orleans, LA, </w:t>
      </w:r>
      <w:r w:rsidR="00061DB7" w:rsidRPr="00061DB7">
        <w:rPr>
          <w:rFonts w:cs="Times New Roman"/>
          <w:szCs w:val="24"/>
        </w:rPr>
        <w:t>Amer. Meteor. Soc.</w:t>
      </w:r>
      <w:r w:rsidR="00061DB7">
        <w:rPr>
          <w:rFonts w:cs="Times New Roman"/>
          <w:szCs w:val="24"/>
        </w:rPr>
        <w:t xml:space="preserve">, </w:t>
      </w:r>
      <w:r>
        <w:rPr>
          <w:rFonts w:cs="Times New Roman"/>
          <w:szCs w:val="24"/>
        </w:rPr>
        <w:t>14 January 2016</w:t>
      </w:r>
      <w:r w:rsidRPr="00E7103E">
        <w:rPr>
          <w:rFonts w:cs="Times New Roman"/>
          <w:szCs w:val="24"/>
        </w:rPr>
        <w:t>.</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A332B">
        <w:rPr>
          <w:rFonts w:cs="Times New Roman"/>
          <w:szCs w:val="24"/>
        </w:rPr>
        <w:t xml:space="preserve">Brock, </w:t>
      </w:r>
      <w:r>
        <w:rPr>
          <w:rFonts w:cs="Times New Roman"/>
          <w:szCs w:val="24"/>
        </w:rPr>
        <w:t>F. V., K. C. Crawford, R. L. Elliott, G. W. Cuperus, S. J. Stadler, H. L. Johnson, and M.</w:t>
      </w:r>
      <w:r w:rsidRPr="00EA332B">
        <w:rPr>
          <w:rFonts w:cs="Times New Roman"/>
          <w:szCs w:val="24"/>
        </w:rPr>
        <w:t xml:space="preserve"> D. Eilt</w:t>
      </w:r>
      <w:r w:rsidR="003564AD">
        <w:rPr>
          <w:rFonts w:cs="Times New Roman"/>
          <w:szCs w:val="24"/>
        </w:rPr>
        <w:t>s, 1995: The Oklahoma Mesonet: A technical o</w:t>
      </w:r>
      <w:r w:rsidRPr="00EA332B">
        <w:rPr>
          <w:rFonts w:cs="Times New Roman"/>
          <w:szCs w:val="24"/>
        </w:rPr>
        <w:t xml:space="preserve">verview. </w:t>
      </w:r>
      <w:r w:rsidRPr="00055285">
        <w:rPr>
          <w:rFonts w:cs="Times New Roman"/>
          <w:i/>
          <w:szCs w:val="24"/>
        </w:rPr>
        <w:t>J. Atmos. Oceanic Technol.</w:t>
      </w:r>
      <w:r w:rsidRPr="00EA332B">
        <w:rPr>
          <w:rFonts w:cs="Times New Roman"/>
          <w:szCs w:val="24"/>
        </w:rPr>
        <w:t xml:space="preserve">, </w:t>
      </w:r>
      <w:r w:rsidRPr="00055285">
        <w:rPr>
          <w:rFonts w:cs="Times New Roman"/>
          <w:b/>
          <w:szCs w:val="24"/>
        </w:rPr>
        <w:t>12</w:t>
      </w:r>
      <w:r w:rsidRPr="00EA332B">
        <w:rPr>
          <w:rFonts w:cs="Times New Roman"/>
          <w:szCs w:val="24"/>
        </w:rPr>
        <w:t>, 5–19.</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214E83">
        <w:rPr>
          <w:rFonts w:cs="Times New Roman"/>
          <w:szCs w:val="24"/>
        </w:rPr>
        <w:t>Brotzge, J. A., and C. M. Luttrell, 2015: Genes</w:t>
      </w:r>
      <w:r w:rsidR="003564AD">
        <w:rPr>
          <w:rFonts w:cs="Times New Roman"/>
          <w:szCs w:val="24"/>
        </w:rPr>
        <w:t>is of the Chickasha, Oklahoma, t</w:t>
      </w:r>
      <w:r w:rsidRPr="00214E83">
        <w:rPr>
          <w:rFonts w:cs="Times New Roman"/>
          <w:szCs w:val="24"/>
        </w:rPr>
        <w:t>ornado</w:t>
      </w:r>
      <w:r w:rsidR="003564AD">
        <w:rPr>
          <w:rFonts w:cs="Times New Roman"/>
          <w:szCs w:val="24"/>
        </w:rPr>
        <w:t xml:space="preserve"> on 24 May 2011 as observed by CASA r</w:t>
      </w:r>
      <w:r w:rsidRPr="00214E83">
        <w:rPr>
          <w:rFonts w:cs="Times New Roman"/>
          <w:szCs w:val="24"/>
        </w:rPr>
        <w:t xml:space="preserve">adar and Oklahoma Mesonet. </w:t>
      </w:r>
      <w:r w:rsidRPr="00214E83">
        <w:rPr>
          <w:rFonts w:cs="Times New Roman"/>
          <w:i/>
          <w:szCs w:val="24"/>
        </w:rPr>
        <w:t>J. Operational Meteor.</w:t>
      </w:r>
      <w:r w:rsidRPr="00214E83">
        <w:rPr>
          <w:rFonts w:cs="Times New Roman"/>
          <w:szCs w:val="24"/>
        </w:rPr>
        <w:t>, 3 (6), 59–69.</w:t>
      </w:r>
    </w:p>
    <w:p w:rsidR="00FC698E" w:rsidRDefault="00FC698E" w:rsidP="003762D6">
      <w:pPr>
        <w:pStyle w:val="NoSpacing"/>
        <w:spacing w:line="240" w:lineRule="auto"/>
        <w:ind w:left="360" w:hanging="360"/>
        <w:rPr>
          <w:rFonts w:cs="Times New Roman"/>
          <w:szCs w:val="24"/>
        </w:rPr>
      </w:pPr>
    </w:p>
    <w:p w:rsidR="00FC698E" w:rsidRDefault="00FC698E" w:rsidP="003762D6">
      <w:pPr>
        <w:pStyle w:val="NoSpacing"/>
        <w:spacing w:line="240" w:lineRule="auto"/>
        <w:ind w:left="360" w:hanging="360"/>
        <w:rPr>
          <w:rFonts w:cs="Times New Roman"/>
          <w:szCs w:val="24"/>
        </w:rPr>
      </w:pPr>
      <w:r w:rsidRPr="00FC698E">
        <w:rPr>
          <w:rFonts w:cs="Times New Roman"/>
          <w:szCs w:val="24"/>
        </w:rPr>
        <w:t xml:space="preserve">Carley, J. R., B. R. J. Schwedler, M. E. Baldwin, R. J. Trapp, J. Kwiatkowski, J. Logsdon, and S. J. Weiss, 2011: A proposed model-based methodology for feature-specific prediction for high-impact weather. </w:t>
      </w:r>
      <w:r w:rsidRPr="00FC698E">
        <w:rPr>
          <w:rFonts w:cs="Times New Roman"/>
          <w:i/>
          <w:szCs w:val="24"/>
        </w:rPr>
        <w:t>Wea. Forecasting</w:t>
      </w:r>
      <w:r w:rsidRPr="00FC698E">
        <w:rPr>
          <w:rFonts w:cs="Times New Roman"/>
          <w:szCs w:val="24"/>
        </w:rPr>
        <w:t xml:space="preserve">, </w:t>
      </w:r>
      <w:r w:rsidRPr="00FC698E">
        <w:rPr>
          <w:rFonts w:cs="Times New Roman"/>
          <w:b/>
          <w:szCs w:val="24"/>
        </w:rPr>
        <w:t>26</w:t>
      </w:r>
      <w:r w:rsidRPr="00FC698E">
        <w:rPr>
          <w:rFonts w:cs="Times New Roman"/>
          <w:szCs w:val="24"/>
        </w:rPr>
        <w:t>, 243–248.</w:t>
      </w:r>
    </w:p>
    <w:p w:rsidR="003762D6" w:rsidRDefault="003762D6" w:rsidP="003762D6">
      <w:pPr>
        <w:pStyle w:val="NoSpacing"/>
        <w:spacing w:line="240" w:lineRule="auto"/>
        <w:ind w:left="360" w:hanging="360"/>
        <w:rPr>
          <w:rFonts w:cs="Times New Roman"/>
          <w:szCs w:val="24"/>
        </w:rPr>
      </w:pPr>
    </w:p>
    <w:p w:rsidR="000C1A0B" w:rsidRDefault="000C1A0B" w:rsidP="003762D6">
      <w:pPr>
        <w:pStyle w:val="NoSpacing"/>
        <w:spacing w:line="240" w:lineRule="auto"/>
        <w:ind w:left="360" w:hanging="360"/>
        <w:rPr>
          <w:rFonts w:cs="Times New Roman"/>
          <w:szCs w:val="24"/>
        </w:rPr>
      </w:pPr>
      <w:r w:rsidRPr="00F21A03">
        <w:rPr>
          <w:rFonts w:cs="Times New Roman"/>
          <w:szCs w:val="24"/>
        </w:rPr>
        <w:t>Casati, B., G. Ross, and D. B. Stephen</w:t>
      </w:r>
      <w:r>
        <w:rPr>
          <w:rFonts w:cs="Times New Roman"/>
          <w:szCs w:val="24"/>
        </w:rPr>
        <w:t xml:space="preserve">son, 2004: A new intensity-scale </w:t>
      </w:r>
      <w:r w:rsidRPr="00F21A03">
        <w:rPr>
          <w:rFonts w:cs="Times New Roman"/>
          <w:szCs w:val="24"/>
        </w:rPr>
        <w:t>approach for the verifi</w:t>
      </w:r>
      <w:r>
        <w:rPr>
          <w:rFonts w:cs="Times New Roman"/>
          <w:szCs w:val="24"/>
        </w:rPr>
        <w:t xml:space="preserve">cation of spatial precipitation </w:t>
      </w:r>
      <w:r w:rsidRPr="00F21A03">
        <w:rPr>
          <w:rFonts w:cs="Times New Roman"/>
          <w:szCs w:val="24"/>
        </w:rPr>
        <w:t xml:space="preserve">forecasts. </w:t>
      </w:r>
      <w:r w:rsidRPr="00B11F68">
        <w:rPr>
          <w:rFonts w:cs="Times New Roman"/>
          <w:i/>
          <w:szCs w:val="24"/>
        </w:rPr>
        <w:t>Meteor. Appl.</w:t>
      </w:r>
      <w:r w:rsidRPr="00F21A03">
        <w:rPr>
          <w:rFonts w:cs="Times New Roman"/>
          <w:szCs w:val="24"/>
        </w:rPr>
        <w:t xml:space="preserve">, </w:t>
      </w:r>
      <w:r w:rsidRPr="00055285">
        <w:rPr>
          <w:rFonts w:cs="Times New Roman"/>
          <w:b/>
          <w:szCs w:val="24"/>
        </w:rPr>
        <w:t>11</w:t>
      </w:r>
      <w:r w:rsidRPr="00F21A03">
        <w:rPr>
          <w:rFonts w:cs="Times New Roman"/>
          <w:szCs w:val="24"/>
        </w:rPr>
        <w:t>, 141–154.</w:t>
      </w:r>
    </w:p>
    <w:p w:rsidR="003762D6" w:rsidRDefault="003762D6" w:rsidP="003762D6">
      <w:pPr>
        <w:pStyle w:val="NoSpacing"/>
        <w:spacing w:line="240" w:lineRule="auto"/>
        <w:ind w:left="360" w:hanging="360"/>
        <w:rPr>
          <w:rFonts w:cs="Times New Roman"/>
          <w:szCs w:val="24"/>
        </w:rPr>
      </w:pPr>
    </w:p>
    <w:p w:rsidR="00FC698E" w:rsidRDefault="000C1A0B" w:rsidP="00FC698E">
      <w:pPr>
        <w:pStyle w:val="NoSpacing"/>
        <w:spacing w:line="240" w:lineRule="auto"/>
        <w:ind w:left="360" w:hanging="360"/>
        <w:rPr>
          <w:rFonts w:cs="Times New Roman"/>
          <w:szCs w:val="24"/>
        </w:rPr>
      </w:pPr>
      <w:r w:rsidRPr="00B11F68">
        <w:rPr>
          <w:rFonts w:cs="Times New Roman"/>
          <w:szCs w:val="24"/>
        </w:rPr>
        <w:t>Casati, B., 2010: New developments of the intensity-scale technique</w:t>
      </w:r>
      <w:r>
        <w:rPr>
          <w:rFonts w:cs="Times New Roman"/>
          <w:szCs w:val="24"/>
        </w:rPr>
        <w:t xml:space="preserve"> </w:t>
      </w:r>
      <w:r w:rsidRPr="00B11F68">
        <w:rPr>
          <w:rFonts w:cs="Times New Roman"/>
          <w:szCs w:val="24"/>
        </w:rPr>
        <w:t>within the Spatial Verification M</w:t>
      </w:r>
      <w:r>
        <w:rPr>
          <w:rFonts w:cs="Times New Roman"/>
          <w:szCs w:val="24"/>
        </w:rPr>
        <w:t xml:space="preserve">ethods Intercomparison Project. </w:t>
      </w:r>
      <w:r w:rsidRPr="00B11F68">
        <w:rPr>
          <w:rFonts w:cs="Times New Roman"/>
          <w:i/>
          <w:szCs w:val="24"/>
        </w:rPr>
        <w:t>Wea. Forecasting</w:t>
      </w:r>
      <w:r w:rsidRPr="00B11F68">
        <w:rPr>
          <w:rFonts w:cs="Times New Roman"/>
          <w:szCs w:val="24"/>
        </w:rPr>
        <w:t xml:space="preserve">, </w:t>
      </w:r>
      <w:r w:rsidRPr="00055285">
        <w:rPr>
          <w:rFonts w:cs="Times New Roman"/>
          <w:b/>
          <w:szCs w:val="24"/>
        </w:rPr>
        <w:t>25</w:t>
      </w:r>
      <w:r w:rsidRPr="00B11F68">
        <w:rPr>
          <w:rFonts w:cs="Times New Roman"/>
          <w:szCs w:val="24"/>
        </w:rPr>
        <w:t>, 113–143.</w:t>
      </w:r>
    </w:p>
    <w:p w:rsidR="003762D6" w:rsidRDefault="003762D6" w:rsidP="003762D6">
      <w:pPr>
        <w:pStyle w:val="NoSpacing"/>
        <w:spacing w:line="240" w:lineRule="auto"/>
        <w:ind w:left="360" w:hanging="360"/>
        <w:rPr>
          <w:rFonts w:cs="Times New Roman"/>
          <w:szCs w:val="24"/>
        </w:rPr>
      </w:pPr>
    </w:p>
    <w:p w:rsidR="00C407F5" w:rsidRDefault="00C407F5" w:rsidP="003762D6">
      <w:pPr>
        <w:pStyle w:val="NoSpacing"/>
        <w:spacing w:line="240" w:lineRule="auto"/>
        <w:ind w:left="360" w:hanging="360"/>
        <w:rPr>
          <w:rFonts w:cs="Times New Roman"/>
          <w:szCs w:val="24"/>
        </w:rPr>
      </w:pPr>
      <w:r w:rsidRPr="00C407F5">
        <w:rPr>
          <w:rFonts w:cs="Times New Roman"/>
          <w:szCs w:val="24"/>
        </w:rPr>
        <w:t>Chou</w:t>
      </w:r>
      <w:r>
        <w:rPr>
          <w:rFonts w:cs="Times New Roman"/>
          <w:szCs w:val="24"/>
        </w:rPr>
        <w:t>,</w:t>
      </w:r>
      <w:r w:rsidRPr="00C407F5">
        <w:rPr>
          <w:rFonts w:cs="Times New Roman"/>
          <w:szCs w:val="24"/>
        </w:rPr>
        <w:t xml:space="preserve"> </w:t>
      </w:r>
      <w:r>
        <w:rPr>
          <w:rFonts w:cs="Times New Roman"/>
          <w:szCs w:val="24"/>
        </w:rPr>
        <w:t>M.-D.</w:t>
      </w:r>
      <w:r w:rsidRPr="00C407F5">
        <w:rPr>
          <w:rFonts w:cs="Times New Roman"/>
          <w:szCs w:val="24"/>
        </w:rPr>
        <w:t>, 2</w:t>
      </w:r>
      <w:r w:rsidR="003564AD">
        <w:rPr>
          <w:rFonts w:cs="Times New Roman"/>
          <w:szCs w:val="24"/>
        </w:rPr>
        <w:t>009: Parameterizations for the absorption of solar radiation by O2 and CO2 with a</w:t>
      </w:r>
      <w:r w:rsidRPr="00C407F5">
        <w:rPr>
          <w:rFonts w:cs="Times New Roman"/>
          <w:szCs w:val="24"/>
        </w:rPr>
        <w:t>pplicatio</w:t>
      </w:r>
      <w:r w:rsidR="003564AD">
        <w:rPr>
          <w:rFonts w:cs="Times New Roman"/>
          <w:szCs w:val="24"/>
        </w:rPr>
        <w:t>n to climate s</w:t>
      </w:r>
      <w:r w:rsidR="00061DB7">
        <w:rPr>
          <w:rFonts w:cs="Times New Roman"/>
          <w:szCs w:val="24"/>
        </w:rPr>
        <w:t xml:space="preserve">tudies. </w:t>
      </w:r>
      <w:r w:rsidR="00061DB7" w:rsidRPr="00061DB7">
        <w:rPr>
          <w:rFonts w:cs="Times New Roman"/>
          <w:i/>
          <w:szCs w:val="24"/>
        </w:rPr>
        <w:t>J.</w:t>
      </w:r>
      <w:r w:rsidRPr="00061DB7">
        <w:rPr>
          <w:rFonts w:cs="Times New Roman"/>
          <w:i/>
          <w:szCs w:val="24"/>
        </w:rPr>
        <w:t xml:space="preserve"> Climate</w:t>
      </w:r>
      <w:r w:rsidRPr="00C407F5">
        <w:rPr>
          <w:rFonts w:cs="Times New Roman"/>
          <w:szCs w:val="24"/>
        </w:rPr>
        <w:t xml:space="preserve">, </w:t>
      </w:r>
      <w:r w:rsidRPr="00061DB7">
        <w:rPr>
          <w:rFonts w:cs="Times New Roman"/>
          <w:b/>
          <w:szCs w:val="24"/>
        </w:rPr>
        <w:t>3</w:t>
      </w:r>
      <w:r w:rsidRPr="00C407F5">
        <w:rPr>
          <w:rFonts w:cs="Times New Roman"/>
          <w:szCs w:val="24"/>
        </w:rPr>
        <w:t>, 209–217</w:t>
      </w:r>
      <w:r w:rsidR="00061DB7">
        <w:rPr>
          <w:rFonts w:cs="Times New Roman"/>
          <w:szCs w:val="24"/>
        </w:rPr>
        <w:t>.</w:t>
      </w:r>
    </w:p>
    <w:p w:rsidR="003762D6" w:rsidRDefault="003762D6" w:rsidP="003762D6">
      <w:pPr>
        <w:pStyle w:val="NoSpacing"/>
        <w:spacing w:line="240" w:lineRule="auto"/>
        <w:ind w:left="360" w:hanging="360"/>
        <w:rPr>
          <w:rFonts w:cs="Times New Roman"/>
          <w:szCs w:val="24"/>
        </w:rPr>
      </w:pPr>
    </w:p>
    <w:p w:rsidR="00061DB7" w:rsidRDefault="00061DB7" w:rsidP="003762D6">
      <w:pPr>
        <w:pStyle w:val="NoSpacing"/>
        <w:spacing w:line="240" w:lineRule="auto"/>
        <w:ind w:left="360" w:hanging="360"/>
        <w:rPr>
          <w:rFonts w:cs="Times New Roman"/>
          <w:szCs w:val="24"/>
        </w:rPr>
      </w:pPr>
      <w:r w:rsidRPr="00C407F5">
        <w:rPr>
          <w:rFonts w:cs="Times New Roman"/>
          <w:szCs w:val="24"/>
        </w:rPr>
        <w:lastRenderedPageBreak/>
        <w:t>Chou</w:t>
      </w:r>
      <w:r>
        <w:rPr>
          <w:rFonts w:cs="Times New Roman"/>
          <w:szCs w:val="24"/>
        </w:rPr>
        <w:t>,</w:t>
      </w:r>
      <w:r w:rsidRPr="00C407F5">
        <w:rPr>
          <w:rFonts w:cs="Times New Roman"/>
          <w:szCs w:val="24"/>
        </w:rPr>
        <w:t xml:space="preserve"> </w:t>
      </w:r>
      <w:r>
        <w:rPr>
          <w:rFonts w:cs="Times New Roman"/>
          <w:szCs w:val="24"/>
        </w:rPr>
        <w:t>M.-D.</w:t>
      </w:r>
      <w:r w:rsidRPr="00C407F5">
        <w:rPr>
          <w:rFonts w:cs="Times New Roman"/>
          <w:szCs w:val="24"/>
        </w:rPr>
        <w:t>,</w:t>
      </w:r>
      <w:r>
        <w:rPr>
          <w:rFonts w:cs="Times New Roman"/>
          <w:szCs w:val="24"/>
        </w:rPr>
        <w:t xml:space="preserve"> </w:t>
      </w:r>
      <w:r w:rsidRPr="00061DB7">
        <w:rPr>
          <w:rFonts w:cs="Times New Roman"/>
          <w:szCs w:val="24"/>
        </w:rPr>
        <w:t>1992: A solar radiation mo</w:t>
      </w:r>
      <w:r>
        <w:rPr>
          <w:rFonts w:cs="Times New Roman"/>
          <w:szCs w:val="24"/>
        </w:rPr>
        <w:t xml:space="preserve">del for use in climate studies. </w:t>
      </w:r>
      <w:r w:rsidRPr="00061DB7">
        <w:rPr>
          <w:rFonts w:cs="Times New Roman"/>
          <w:i/>
          <w:szCs w:val="24"/>
        </w:rPr>
        <w:t>J. Atmos. Sci.</w:t>
      </w:r>
      <w:r w:rsidRPr="00061DB7">
        <w:rPr>
          <w:rFonts w:cs="Times New Roman"/>
          <w:szCs w:val="24"/>
        </w:rPr>
        <w:t xml:space="preserve">, </w:t>
      </w:r>
      <w:r w:rsidRPr="00061DB7">
        <w:rPr>
          <w:rFonts w:cs="Times New Roman"/>
          <w:b/>
          <w:szCs w:val="24"/>
        </w:rPr>
        <w:t>49</w:t>
      </w:r>
      <w:r>
        <w:rPr>
          <w:rFonts w:cs="Times New Roman"/>
          <w:szCs w:val="24"/>
        </w:rPr>
        <w:t>, 762–772.</w:t>
      </w:r>
    </w:p>
    <w:p w:rsidR="003762D6" w:rsidRDefault="003762D6" w:rsidP="003762D6">
      <w:pPr>
        <w:pStyle w:val="NoSpacing"/>
        <w:spacing w:line="240" w:lineRule="auto"/>
        <w:ind w:left="360" w:hanging="360"/>
        <w:rPr>
          <w:rFonts w:cs="Times New Roman"/>
          <w:szCs w:val="24"/>
        </w:rPr>
      </w:pPr>
    </w:p>
    <w:p w:rsidR="00061DB7" w:rsidRDefault="00061DB7" w:rsidP="003762D6">
      <w:pPr>
        <w:pStyle w:val="NoSpacing"/>
        <w:spacing w:line="240" w:lineRule="auto"/>
        <w:ind w:left="360" w:hanging="360"/>
      </w:pPr>
      <w:r w:rsidRPr="00C407F5">
        <w:rPr>
          <w:rFonts w:cs="Times New Roman"/>
          <w:szCs w:val="24"/>
        </w:rPr>
        <w:t>Chou</w:t>
      </w:r>
      <w:r>
        <w:rPr>
          <w:rFonts w:cs="Times New Roman"/>
          <w:szCs w:val="24"/>
        </w:rPr>
        <w:t>,</w:t>
      </w:r>
      <w:r w:rsidRPr="00C407F5">
        <w:rPr>
          <w:rFonts w:cs="Times New Roman"/>
          <w:szCs w:val="24"/>
        </w:rPr>
        <w:t xml:space="preserve"> </w:t>
      </w:r>
      <w:r>
        <w:rPr>
          <w:rFonts w:cs="Times New Roman"/>
          <w:szCs w:val="24"/>
        </w:rPr>
        <w:t>M.-D.</w:t>
      </w:r>
      <w:r w:rsidRPr="00C407F5">
        <w:rPr>
          <w:rFonts w:cs="Times New Roman"/>
          <w:szCs w:val="24"/>
        </w:rPr>
        <w:t>,</w:t>
      </w:r>
      <w:r>
        <w:rPr>
          <w:rFonts w:cs="Times New Roman"/>
          <w:szCs w:val="24"/>
        </w:rPr>
        <w:t xml:space="preserve"> </w:t>
      </w:r>
      <w:r>
        <w:t xml:space="preserve">and M. J. Suarez, 1994: An efficient thermal infrared radiation parameterization for use in general circulation models. NASA Tech. Memo. 104606, Vol. </w:t>
      </w:r>
      <w:r w:rsidRPr="003564AD">
        <w:rPr>
          <w:b/>
        </w:rPr>
        <w:t>3</w:t>
      </w:r>
      <w:r>
        <w:t>, 85 pp.</w:t>
      </w:r>
    </w:p>
    <w:p w:rsidR="003762D6" w:rsidRDefault="003762D6" w:rsidP="003762D6">
      <w:pPr>
        <w:pStyle w:val="NoSpacing"/>
        <w:spacing w:line="240" w:lineRule="auto"/>
        <w:ind w:left="360" w:hanging="360"/>
        <w:rPr>
          <w:rFonts w:cs="Times New Roman"/>
          <w:szCs w:val="24"/>
        </w:rPr>
      </w:pPr>
    </w:p>
    <w:p w:rsidR="00CD1318" w:rsidRDefault="00CD1318" w:rsidP="003762D6">
      <w:pPr>
        <w:pStyle w:val="NoSpacing"/>
        <w:spacing w:line="240" w:lineRule="auto"/>
        <w:ind w:left="360" w:hanging="360"/>
        <w:rPr>
          <w:rFonts w:cs="Times New Roman"/>
          <w:szCs w:val="24"/>
        </w:rPr>
      </w:pPr>
      <w:r w:rsidRPr="00B02464">
        <w:rPr>
          <w:rFonts w:cs="Times New Roman"/>
          <w:szCs w:val="24"/>
        </w:rPr>
        <w:t xml:space="preserve">Clark, A. J., and Coauthors, 2012: An overview of the 2010 Hazardous Weather Testbed Experimental Forecast Program Spring Experiment. </w:t>
      </w:r>
      <w:r w:rsidRPr="00F21A03">
        <w:rPr>
          <w:rFonts w:cs="Times New Roman"/>
          <w:i/>
          <w:szCs w:val="24"/>
        </w:rPr>
        <w:t>Bull. Amer. Meteor. Soc.</w:t>
      </w:r>
      <w:r>
        <w:rPr>
          <w:rFonts w:cs="Times New Roman"/>
          <w:szCs w:val="24"/>
        </w:rPr>
        <w:t xml:space="preserve">, </w:t>
      </w:r>
      <w:r w:rsidRPr="00055285">
        <w:rPr>
          <w:rFonts w:cs="Times New Roman"/>
          <w:b/>
          <w:szCs w:val="24"/>
        </w:rPr>
        <w:t>93</w:t>
      </w:r>
      <w:r>
        <w:rPr>
          <w:rFonts w:cs="Times New Roman"/>
          <w:szCs w:val="24"/>
        </w:rPr>
        <w:t>, 55–74.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B671E7">
        <w:rPr>
          <w:rFonts w:cs="Times New Roman"/>
          <w:szCs w:val="24"/>
        </w:rPr>
        <w:t>Clark,</w:t>
      </w:r>
      <w:r>
        <w:rPr>
          <w:rFonts w:cs="Times New Roman"/>
          <w:szCs w:val="24"/>
        </w:rPr>
        <w:t xml:space="preserve"> A. J., J. Gao, P. T. Marsh, T.</w:t>
      </w:r>
      <w:r w:rsidRPr="00B671E7">
        <w:rPr>
          <w:rFonts w:cs="Times New Roman"/>
          <w:szCs w:val="24"/>
        </w:rPr>
        <w:t xml:space="preserve"> Sm</w:t>
      </w:r>
      <w:r>
        <w:rPr>
          <w:rFonts w:cs="Times New Roman"/>
          <w:szCs w:val="24"/>
        </w:rPr>
        <w:t>ith, J. S. Kain, J. Correia Jr., M. Xue, and F.</w:t>
      </w:r>
      <w:r w:rsidR="003564AD">
        <w:rPr>
          <w:rFonts w:cs="Times New Roman"/>
          <w:szCs w:val="24"/>
        </w:rPr>
        <w:t xml:space="preserve"> Kong, 2013: Tornado pathlength forecasts from 2010 to 2011 using ensemble updraft h</w:t>
      </w:r>
      <w:r w:rsidRPr="00B671E7">
        <w:rPr>
          <w:rFonts w:cs="Times New Roman"/>
          <w:szCs w:val="24"/>
        </w:rPr>
        <w:t xml:space="preserve">elicity. </w:t>
      </w:r>
      <w:r w:rsidRPr="00B671E7">
        <w:rPr>
          <w:rFonts w:cs="Times New Roman"/>
          <w:i/>
          <w:szCs w:val="24"/>
        </w:rPr>
        <w:t>Wea. Forecasting</w:t>
      </w:r>
      <w:r w:rsidRPr="00B671E7">
        <w:rPr>
          <w:rFonts w:cs="Times New Roman"/>
          <w:szCs w:val="24"/>
        </w:rPr>
        <w:t xml:space="preserve">, </w:t>
      </w:r>
      <w:r w:rsidRPr="00055285">
        <w:rPr>
          <w:rFonts w:cs="Times New Roman"/>
          <w:b/>
          <w:szCs w:val="24"/>
        </w:rPr>
        <w:t>28</w:t>
      </w:r>
      <w:r w:rsidRPr="00B671E7">
        <w:rPr>
          <w:rFonts w:cs="Times New Roman"/>
          <w:szCs w:val="24"/>
        </w:rPr>
        <w:t>, 387–407.</w:t>
      </w:r>
    </w:p>
    <w:p w:rsidR="003762D6" w:rsidRDefault="003762D6" w:rsidP="003762D6">
      <w:pPr>
        <w:pStyle w:val="NoSpacing"/>
        <w:spacing w:line="240" w:lineRule="auto"/>
        <w:ind w:left="360" w:hanging="360"/>
        <w:rPr>
          <w:rFonts w:cs="Times New Roman"/>
          <w:szCs w:val="24"/>
        </w:rPr>
      </w:pPr>
    </w:p>
    <w:p w:rsidR="00CA115C" w:rsidRDefault="00CA115C" w:rsidP="003762D6">
      <w:pPr>
        <w:pStyle w:val="NoSpacing"/>
        <w:spacing w:line="240" w:lineRule="auto"/>
        <w:ind w:left="360" w:hanging="360"/>
        <w:rPr>
          <w:rFonts w:cs="Times New Roman"/>
          <w:szCs w:val="24"/>
        </w:rPr>
      </w:pPr>
      <w:r w:rsidRPr="00B11F68">
        <w:rPr>
          <w:rFonts w:cs="Times New Roman"/>
          <w:szCs w:val="24"/>
        </w:rPr>
        <w:t xml:space="preserve">Davis, C., B. G. Brown, and R. Bulloks, </w:t>
      </w:r>
      <w:r>
        <w:rPr>
          <w:rFonts w:cs="Times New Roman"/>
          <w:szCs w:val="24"/>
        </w:rPr>
        <w:t xml:space="preserve">2006: Object-based verification </w:t>
      </w:r>
      <w:r w:rsidRPr="00B11F68">
        <w:rPr>
          <w:rFonts w:cs="Times New Roman"/>
          <w:szCs w:val="24"/>
        </w:rPr>
        <w:t>of precipitation for</w:t>
      </w:r>
      <w:r w:rsidR="003564AD">
        <w:rPr>
          <w:rFonts w:cs="Times New Roman"/>
          <w:szCs w:val="24"/>
        </w:rPr>
        <w:t>ecasts. Part I: M</w:t>
      </w:r>
      <w:r>
        <w:rPr>
          <w:rFonts w:cs="Times New Roman"/>
          <w:szCs w:val="24"/>
        </w:rPr>
        <w:t xml:space="preserve">ethodology and </w:t>
      </w:r>
      <w:r w:rsidRPr="00B11F68">
        <w:rPr>
          <w:rFonts w:cs="Times New Roman"/>
          <w:szCs w:val="24"/>
        </w:rPr>
        <w:t xml:space="preserve">application to mesoscale rain areas. </w:t>
      </w:r>
      <w:r w:rsidRPr="00B11F68">
        <w:rPr>
          <w:rFonts w:cs="Times New Roman"/>
          <w:i/>
          <w:szCs w:val="24"/>
        </w:rPr>
        <w:t>Mon. Wea. Rev.</w:t>
      </w:r>
      <w:r>
        <w:rPr>
          <w:rFonts w:cs="Times New Roman"/>
          <w:szCs w:val="24"/>
        </w:rPr>
        <w:t xml:space="preserve">, </w:t>
      </w:r>
      <w:r w:rsidRPr="00055285">
        <w:rPr>
          <w:rFonts w:cs="Times New Roman"/>
          <w:b/>
          <w:szCs w:val="24"/>
        </w:rPr>
        <w:t>134</w:t>
      </w:r>
      <w:r>
        <w:rPr>
          <w:rFonts w:cs="Times New Roman"/>
          <w:szCs w:val="24"/>
        </w:rPr>
        <w:t xml:space="preserve">, </w:t>
      </w:r>
      <w:r w:rsidRPr="00B11F68">
        <w:rPr>
          <w:rFonts w:cs="Times New Roman"/>
          <w:szCs w:val="24"/>
        </w:rPr>
        <w:t>1772–1784.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 xml:space="preserve">Dawson II, </w:t>
      </w:r>
      <w:r>
        <w:rPr>
          <w:rFonts w:cs="Times New Roman"/>
          <w:szCs w:val="24"/>
        </w:rPr>
        <w:t>D. T., M. Xue, J.</w:t>
      </w:r>
      <w:r w:rsidRPr="00683A2F">
        <w:rPr>
          <w:rFonts w:cs="Times New Roman"/>
          <w:szCs w:val="24"/>
        </w:rPr>
        <w:t xml:space="preserve"> A. Milbrandt, and </w:t>
      </w:r>
      <w:r w:rsidR="003564AD">
        <w:rPr>
          <w:rFonts w:cs="Times New Roman"/>
          <w:szCs w:val="24"/>
        </w:rPr>
        <w:t>M. K. Yau, 2010: Comparison of evaporation and cold pool development between single-moment and multimoment bulk microphysics schemes in idealized simulations of tornadic t</w:t>
      </w:r>
      <w:r w:rsidRPr="00683A2F">
        <w:rPr>
          <w:rFonts w:cs="Times New Roman"/>
          <w:szCs w:val="24"/>
        </w:rPr>
        <w:t xml:space="preserve">hunderstorms. </w:t>
      </w:r>
      <w:r w:rsidRPr="00E31A3B">
        <w:rPr>
          <w:rFonts w:cs="Times New Roman"/>
          <w:i/>
          <w:szCs w:val="24"/>
        </w:rPr>
        <w:t>Mon. Wea. Rev.</w:t>
      </w:r>
      <w:r w:rsidRPr="00683A2F">
        <w:rPr>
          <w:rFonts w:cs="Times New Roman"/>
          <w:szCs w:val="24"/>
        </w:rPr>
        <w:t xml:space="preserve">, </w:t>
      </w:r>
      <w:r w:rsidRPr="00055285">
        <w:rPr>
          <w:rFonts w:cs="Times New Roman"/>
          <w:b/>
          <w:szCs w:val="24"/>
        </w:rPr>
        <w:t>138</w:t>
      </w:r>
      <w:r w:rsidRPr="00683A2F">
        <w:rPr>
          <w:rFonts w:cs="Times New Roman"/>
          <w:szCs w:val="24"/>
        </w:rPr>
        <w:t>, 1152–1171.</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Dawson II,</w:t>
      </w:r>
      <w:r>
        <w:rPr>
          <w:rFonts w:cs="Times New Roman"/>
          <w:szCs w:val="24"/>
        </w:rPr>
        <w:t xml:space="preserve"> D. T., L. J. Wicker, E. R. Mansell, and R.</w:t>
      </w:r>
      <w:r w:rsidRPr="00683A2F">
        <w:rPr>
          <w:rFonts w:cs="Times New Roman"/>
          <w:szCs w:val="24"/>
        </w:rPr>
        <w:t xml:space="preserve"> L. </w:t>
      </w:r>
      <w:r w:rsidR="003564AD">
        <w:rPr>
          <w:rFonts w:cs="Times New Roman"/>
          <w:szCs w:val="24"/>
        </w:rPr>
        <w:t>Tanamachi, 2012: Impact of the environmental low-level wind profile on ensemble f</w:t>
      </w:r>
      <w:r w:rsidRPr="00683A2F">
        <w:rPr>
          <w:rFonts w:cs="Times New Roman"/>
          <w:szCs w:val="24"/>
        </w:rPr>
        <w:t xml:space="preserve">orecasts of the </w:t>
      </w:r>
      <w:r w:rsidR="003564AD">
        <w:rPr>
          <w:rFonts w:cs="Times New Roman"/>
          <w:szCs w:val="24"/>
        </w:rPr>
        <w:t>4 May 2007 Greensburg, Kansas, tornadic storm and associated m</w:t>
      </w:r>
      <w:r w:rsidRPr="00683A2F">
        <w:rPr>
          <w:rFonts w:cs="Times New Roman"/>
          <w:szCs w:val="24"/>
        </w:rPr>
        <w:t xml:space="preserve">esocyclones. </w:t>
      </w:r>
      <w:r w:rsidRPr="00683A2F">
        <w:rPr>
          <w:rFonts w:cs="Times New Roman"/>
          <w:i/>
          <w:szCs w:val="24"/>
        </w:rPr>
        <w:t>Mon. Wea. Rev.</w:t>
      </w:r>
      <w:r w:rsidRPr="00683A2F">
        <w:rPr>
          <w:rFonts w:cs="Times New Roman"/>
          <w:szCs w:val="24"/>
        </w:rPr>
        <w:t xml:space="preserve">, </w:t>
      </w:r>
      <w:r w:rsidRPr="00055285">
        <w:rPr>
          <w:rFonts w:cs="Times New Roman"/>
          <w:b/>
          <w:szCs w:val="24"/>
        </w:rPr>
        <w:t>140</w:t>
      </w:r>
      <w:r w:rsidRPr="00683A2F">
        <w:rPr>
          <w:rFonts w:cs="Times New Roman"/>
          <w:szCs w:val="24"/>
        </w:rPr>
        <w:t>, 696–716.</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Dawson II,</w:t>
      </w:r>
      <w:r>
        <w:rPr>
          <w:rFonts w:cs="Times New Roman"/>
          <w:szCs w:val="24"/>
        </w:rPr>
        <w:t xml:space="preserve"> D. T., M. Xue, J. A. Milbrandt, and A.</w:t>
      </w:r>
      <w:r w:rsidR="003564AD">
        <w:rPr>
          <w:rFonts w:cs="Times New Roman"/>
          <w:szCs w:val="24"/>
        </w:rPr>
        <w:t xml:space="preserve"> Shapiro, 2015: Sensitivity of real-data s</w:t>
      </w:r>
      <w:r w:rsidRPr="00683A2F">
        <w:rPr>
          <w:rFonts w:cs="Times New Roman"/>
          <w:szCs w:val="24"/>
        </w:rPr>
        <w:t>imulations o</w:t>
      </w:r>
      <w:r w:rsidR="003564AD">
        <w:rPr>
          <w:rFonts w:cs="Times New Roman"/>
          <w:szCs w:val="24"/>
        </w:rPr>
        <w:t>f the 3 May 1999 Oklahoma City tornadic supercell and associated tornadoes to multimoment m</w:t>
      </w:r>
      <w:r w:rsidRPr="00683A2F">
        <w:rPr>
          <w:rFonts w:cs="Times New Roman"/>
          <w:szCs w:val="24"/>
        </w:rPr>
        <w:t>i</w:t>
      </w:r>
      <w:r w:rsidR="003564AD">
        <w:rPr>
          <w:rFonts w:cs="Times New Roman"/>
          <w:szCs w:val="24"/>
        </w:rPr>
        <w:t>crophysics. Part I: Storm- and tornado-scale numerical f</w:t>
      </w:r>
      <w:r w:rsidRPr="00683A2F">
        <w:rPr>
          <w:rFonts w:cs="Times New Roman"/>
          <w:szCs w:val="24"/>
        </w:rPr>
        <w:t xml:space="preserve">orecasts. </w:t>
      </w:r>
      <w:r w:rsidRPr="00683A2F">
        <w:rPr>
          <w:rFonts w:cs="Times New Roman"/>
          <w:i/>
          <w:szCs w:val="24"/>
        </w:rPr>
        <w:t>Mon. Wea. Rev.</w:t>
      </w:r>
      <w:r w:rsidRPr="00683A2F">
        <w:rPr>
          <w:rFonts w:cs="Times New Roman"/>
          <w:szCs w:val="24"/>
        </w:rPr>
        <w:t xml:space="preserve">, </w:t>
      </w:r>
      <w:r w:rsidRPr="00055285">
        <w:rPr>
          <w:rFonts w:cs="Times New Roman"/>
          <w:b/>
          <w:szCs w:val="24"/>
        </w:rPr>
        <w:t>143</w:t>
      </w:r>
      <w:r w:rsidRPr="00683A2F">
        <w:rPr>
          <w:rFonts w:cs="Times New Roman"/>
          <w:szCs w:val="24"/>
        </w:rPr>
        <w:t>, 2241–2265.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DC023F">
        <w:rPr>
          <w:rFonts w:cs="Times New Roman"/>
          <w:szCs w:val="24"/>
        </w:rPr>
        <w:t>Dial, G.</w:t>
      </w:r>
      <w:r>
        <w:rPr>
          <w:rFonts w:cs="Times New Roman"/>
          <w:szCs w:val="24"/>
        </w:rPr>
        <w:t xml:space="preserve"> </w:t>
      </w:r>
      <w:r w:rsidRPr="00DC023F">
        <w:rPr>
          <w:rFonts w:cs="Times New Roman"/>
          <w:szCs w:val="24"/>
        </w:rPr>
        <w:t>L.</w:t>
      </w:r>
      <w:r>
        <w:rPr>
          <w:rFonts w:cs="Times New Roman"/>
          <w:szCs w:val="24"/>
        </w:rPr>
        <w:t>,</w:t>
      </w:r>
      <w:r w:rsidRPr="00DC023F">
        <w:rPr>
          <w:rFonts w:cs="Times New Roman"/>
          <w:szCs w:val="24"/>
        </w:rPr>
        <w:t xml:space="preserve"> and J.</w:t>
      </w:r>
      <w:r>
        <w:rPr>
          <w:rFonts w:cs="Times New Roman"/>
          <w:szCs w:val="24"/>
        </w:rPr>
        <w:t xml:space="preserve"> </w:t>
      </w:r>
      <w:r w:rsidR="003564AD">
        <w:rPr>
          <w:rFonts w:cs="Times New Roman"/>
          <w:szCs w:val="24"/>
        </w:rPr>
        <w:t>P. Racy, 2004: Forecasting short term convective mode and evolution for severe storms initiated along synoptic b</w:t>
      </w:r>
      <w:r w:rsidRPr="00DC023F">
        <w:rPr>
          <w:rFonts w:cs="Times New Roman"/>
          <w:szCs w:val="24"/>
        </w:rPr>
        <w:t>oundaries. Preprints,</w:t>
      </w:r>
      <w:r w:rsidRPr="00DC023F">
        <w:rPr>
          <w:rFonts w:cs="Times New Roman"/>
          <w:i/>
          <w:szCs w:val="24"/>
        </w:rPr>
        <w:t xml:space="preserve"> 22</w:t>
      </w:r>
      <w:r w:rsidRPr="00DC023F">
        <w:rPr>
          <w:rFonts w:cs="Times New Roman"/>
          <w:i/>
          <w:szCs w:val="24"/>
          <w:vertAlign w:val="superscript"/>
        </w:rPr>
        <w:t>nd</w:t>
      </w:r>
      <w:r w:rsidRPr="00DC023F">
        <w:rPr>
          <w:rFonts w:cs="Times New Roman"/>
          <w:i/>
          <w:szCs w:val="24"/>
        </w:rPr>
        <w:t xml:space="preserve"> Conf. on SLS</w:t>
      </w:r>
      <w:r w:rsidRPr="00DC023F">
        <w:rPr>
          <w:rFonts w:cs="Times New Roman"/>
          <w:szCs w:val="24"/>
        </w:rPr>
        <w:t>,</w:t>
      </w:r>
      <w:r w:rsidR="00055285">
        <w:rPr>
          <w:rFonts w:cs="Times New Roman"/>
          <w:szCs w:val="24"/>
        </w:rPr>
        <w:t xml:space="preserve"> Hyannis, MA</w:t>
      </w:r>
      <w:r>
        <w:rPr>
          <w:rFonts w:cs="Times New Roman"/>
          <w:szCs w:val="24"/>
        </w:rPr>
        <w:t xml:space="preserve">, </w:t>
      </w:r>
      <w:r w:rsidR="00061DB7" w:rsidRPr="00061DB7">
        <w:rPr>
          <w:rFonts w:cs="Times New Roman"/>
          <w:szCs w:val="24"/>
        </w:rPr>
        <w:t>Amer. Meteor. Soc.</w:t>
      </w:r>
      <w:r w:rsidR="00061DB7">
        <w:rPr>
          <w:rFonts w:cs="Times New Roman"/>
          <w:szCs w:val="24"/>
        </w:rPr>
        <w:t xml:space="preserve">, </w:t>
      </w:r>
      <w:r>
        <w:rPr>
          <w:rFonts w:cs="Times New Roman"/>
          <w:szCs w:val="24"/>
        </w:rPr>
        <w:t>October 2004.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AD6279">
        <w:rPr>
          <w:rFonts w:cs="Times New Roman"/>
          <w:szCs w:val="24"/>
        </w:rPr>
        <w:t>Dowell,</w:t>
      </w:r>
      <w:r>
        <w:rPr>
          <w:rFonts w:cs="Times New Roman"/>
          <w:szCs w:val="24"/>
        </w:rPr>
        <w:t xml:space="preserve"> D. C., F. Zhang, L. J. Wicker, C. Snyder, and N. A.</w:t>
      </w:r>
      <w:r w:rsidR="002D4AD8">
        <w:rPr>
          <w:rFonts w:cs="Times New Roman"/>
          <w:szCs w:val="24"/>
        </w:rPr>
        <w:t xml:space="preserve"> Crook, 2004: Wind and temperature r</w:t>
      </w:r>
      <w:r w:rsidRPr="00AD6279">
        <w:rPr>
          <w:rFonts w:cs="Times New Roman"/>
          <w:szCs w:val="24"/>
        </w:rPr>
        <w:t xml:space="preserve">etrievals in the </w:t>
      </w:r>
      <w:r w:rsidR="002D4AD8">
        <w:rPr>
          <w:rFonts w:cs="Times New Roman"/>
          <w:szCs w:val="24"/>
        </w:rPr>
        <w:t>17 May 1981 Arcadia, Oklahoma, s</w:t>
      </w:r>
      <w:r w:rsidRPr="00AD6279">
        <w:rPr>
          <w:rFonts w:cs="Times New Roman"/>
          <w:szCs w:val="24"/>
        </w:rPr>
        <w:t>up</w:t>
      </w:r>
      <w:r w:rsidR="002D4AD8">
        <w:rPr>
          <w:rFonts w:cs="Times New Roman"/>
          <w:szCs w:val="24"/>
        </w:rPr>
        <w:t>ercell: Ensemble Kalman filter e</w:t>
      </w:r>
      <w:r w:rsidRPr="00AD6279">
        <w:rPr>
          <w:rFonts w:cs="Times New Roman"/>
          <w:szCs w:val="24"/>
        </w:rPr>
        <w:t xml:space="preserve">xperiments. </w:t>
      </w:r>
      <w:r w:rsidRPr="00AD6279">
        <w:rPr>
          <w:rFonts w:cs="Times New Roman"/>
          <w:i/>
          <w:szCs w:val="24"/>
        </w:rPr>
        <w:t>Mon. Wea. Rev.</w:t>
      </w:r>
      <w:r w:rsidRPr="00AD6279">
        <w:rPr>
          <w:rFonts w:cs="Times New Roman"/>
          <w:szCs w:val="24"/>
        </w:rPr>
        <w:t xml:space="preserve">, </w:t>
      </w:r>
      <w:r w:rsidRPr="00055285">
        <w:rPr>
          <w:rFonts w:cs="Times New Roman"/>
          <w:b/>
          <w:szCs w:val="24"/>
        </w:rPr>
        <w:t>132</w:t>
      </w:r>
      <w:r w:rsidRPr="00AD6279">
        <w:rPr>
          <w:rFonts w:cs="Times New Roman"/>
          <w:szCs w:val="24"/>
        </w:rPr>
        <w:t>, 1982–2005.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D13C88">
        <w:rPr>
          <w:rFonts w:cs="Times New Roman"/>
          <w:szCs w:val="24"/>
        </w:rPr>
        <w:t>Dowell,</w:t>
      </w:r>
      <w:r>
        <w:rPr>
          <w:rFonts w:cs="Times New Roman"/>
          <w:szCs w:val="24"/>
        </w:rPr>
        <w:t xml:space="preserve"> D. C., L. J. Wicker, and C.</w:t>
      </w:r>
      <w:r w:rsidRPr="00D13C88">
        <w:rPr>
          <w:rFonts w:cs="Times New Roman"/>
          <w:szCs w:val="24"/>
        </w:rPr>
        <w:t xml:space="preserve"> Snyder</w:t>
      </w:r>
      <w:r w:rsidR="002D4AD8">
        <w:rPr>
          <w:rFonts w:cs="Times New Roman"/>
          <w:szCs w:val="24"/>
        </w:rPr>
        <w:t>, 2011: Ensemble Kalman filter assimilation of radar o</w:t>
      </w:r>
      <w:r w:rsidRPr="00D13C88">
        <w:rPr>
          <w:rFonts w:cs="Times New Roman"/>
          <w:szCs w:val="24"/>
        </w:rPr>
        <w:t>bservations o</w:t>
      </w:r>
      <w:r w:rsidR="002D4AD8">
        <w:rPr>
          <w:rFonts w:cs="Times New Roman"/>
          <w:szCs w:val="24"/>
        </w:rPr>
        <w:t>f the 8 May 2003 Oklahoma City supercell: Influences of reflectivity observations on storm-scale a</w:t>
      </w:r>
      <w:r w:rsidRPr="00D13C88">
        <w:rPr>
          <w:rFonts w:cs="Times New Roman"/>
          <w:szCs w:val="24"/>
        </w:rPr>
        <w:t xml:space="preserve">nalyses. </w:t>
      </w:r>
      <w:r w:rsidRPr="00D13C88">
        <w:rPr>
          <w:rFonts w:cs="Times New Roman"/>
          <w:i/>
          <w:szCs w:val="24"/>
        </w:rPr>
        <w:t>Mon. Wea. Rev.</w:t>
      </w:r>
      <w:r w:rsidRPr="00D13C88">
        <w:rPr>
          <w:rFonts w:cs="Times New Roman"/>
          <w:szCs w:val="24"/>
        </w:rPr>
        <w:t xml:space="preserve">, </w:t>
      </w:r>
      <w:r w:rsidRPr="00055285">
        <w:rPr>
          <w:rFonts w:cs="Times New Roman"/>
          <w:b/>
          <w:szCs w:val="24"/>
        </w:rPr>
        <w:t>139</w:t>
      </w:r>
      <w:r w:rsidRPr="00D13C88">
        <w:rPr>
          <w:rFonts w:cs="Times New Roman"/>
          <w:szCs w:val="24"/>
        </w:rPr>
        <w:t>, 272–294.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lastRenderedPageBreak/>
        <w:t>Dowell, D. C., N. Yussouf, and C. K</w:t>
      </w:r>
      <w:r w:rsidR="002D4AD8">
        <w:rPr>
          <w:rFonts w:cs="Times New Roman"/>
          <w:szCs w:val="24"/>
        </w:rPr>
        <w:t>. Potvin, 2015: Sensitivity of storm-scale analyses and forecasts to radar-observation and model-grid r</w:t>
      </w:r>
      <w:r w:rsidRPr="00E31A3B">
        <w:rPr>
          <w:rFonts w:cs="Times New Roman"/>
          <w:szCs w:val="24"/>
        </w:rPr>
        <w:t xml:space="preserve">esolution. </w:t>
      </w:r>
      <w:r w:rsidRPr="00E31A3B">
        <w:rPr>
          <w:rFonts w:cs="Times New Roman"/>
          <w:i/>
          <w:szCs w:val="24"/>
        </w:rPr>
        <w:t>Presentation at 37th Conf. on Radar Meteorology</w:t>
      </w:r>
      <w:r w:rsidRPr="00E31A3B">
        <w:rPr>
          <w:rFonts w:cs="Times New Roman"/>
          <w:szCs w:val="24"/>
        </w:rPr>
        <w:t>, Norman, OK, 18 September 2015.</w:t>
      </w:r>
    </w:p>
    <w:p w:rsidR="003762D6" w:rsidRDefault="003762D6" w:rsidP="003762D6">
      <w:pPr>
        <w:pStyle w:val="NoSpacing"/>
        <w:spacing w:line="240" w:lineRule="auto"/>
        <w:ind w:left="360" w:hanging="360"/>
        <w:rPr>
          <w:rFonts w:cs="Times New Roman"/>
          <w:szCs w:val="24"/>
        </w:rPr>
      </w:pPr>
    </w:p>
    <w:p w:rsidR="00036592" w:rsidRDefault="00036592" w:rsidP="003762D6">
      <w:pPr>
        <w:pStyle w:val="NoSpacing"/>
        <w:spacing w:line="240" w:lineRule="auto"/>
        <w:ind w:left="360" w:hanging="360"/>
        <w:rPr>
          <w:rFonts w:cs="Times New Roman"/>
          <w:szCs w:val="24"/>
        </w:rPr>
      </w:pPr>
      <w:r w:rsidRPr="00B11F68">
        <w:rPr>
          <w:rFonts w:cs="Times New Roman"/>
          <w:szCs w:val="24"/>
        </w:rPr>
        <w:t>Ebert, E. E., 2008: Fuzzy verifica</w:t>
      </w:r>
      <w:r>
        <w:rPr>
          <w:rFonts w:cs="Times New Roman"/>
          <w:szCs w:val="24"/>
        </w:rPr>
        <w:t xml:space="preserve">tion of high-resolution gridded </w:t>
      </w:r>
      <w:r w:rsidRPr="00B11F68">
        <w:rPr>
          <w:rFonts w:cs="Times New Roman"/>
          <w:szCs w:val="24"/>
        </w:rPr>
        <w:t>forecasts: A review and pro</w:t>
      </w:r>
      <w:r>
        <w:rPr>
          <w:rFonts w:cs="Times New Roman"/>
          <w:szCs w:val="24"/>
        </w:rPr>
        <w:t xml:space="preserve">posed framework. </w:t>
      </w:r>
      <w:r w:rsidRPr="00B11F68">
        <w:rPr>
          <w:rFonts w:cs="Times New Roman"/>
          <w:i/>
          <w:szCs w:val="24"/>
        </w:rPr>
        <w:t>Meteor. Appl.</w:t>
      </w:r>
      <w:r>
        <w:rPr>
          <w:rFonts w:cs="Times New Roman"/>
          <w:szCs w:val="24"/>
        </w:rPr>
        <w:t xml:space="preserve">, </w:t>
      </w:r>
      <w:r w:rsidRPr="00055285">
        <w:rPr>
          <w:rFonts w:cs="Times New Roman"/>
          <w:b/>
          <w:szCs w:val="24"/>
        </w:rPr>
        <w:t>15</w:t>
      </w:r>
      <w:r w:rsidRPr="00B11F68">
        <w:rPr>
          <w:rFonts w:cs="Times New Roman"/>
          <w:szCs w:val="24"/>
        </w:rPr>
        <w:t>, 51–64.</w:t>
      </w:r>
    </w:p>
    <w:p w:rsidR="003762D6" w:rsidRDefault="003762D6" w:rsidP="003762D6">
      <w:pPr>
        <w:pStyle w:val="NoSpacing"/>
        <w:spacing w:line="240" w:lineRule="auto"/>
        <w:ind w:left="360" w:hanging="360"/>
        <w:rPr>
          <w:rFonts w:cs="Times New Roman"/>
          <w:szCs w:val="24"/>
        </w:rPr>
      </w:pPr>
    </w:p>
    <w:p w:rsidR="00036592" w:rsidRDefault="00036592" w:rsidP="003762D6">
      <w:pPr>
        <w:pStyle w:val="NoSpacing"/>
        <w:spacing w:line="240" w:lineRule="auto"/>
        <w:ind w:left="360" w:hanging="360"/>
        <w:rPr>
          <w:rFonts w:cs="Times New Roman"/>
          <w:szCs w:val="24"/>
        </w:rPr>
      </w:pPr>
      <w:r w:rsidRPr="00B11F68">
        <w:rPr>
          <w:rFonts w:cs="Times New Roman"/>
          <w:szCs w:val="24"/>
        </w:rPr>
        <w:t>Ebert, E. E.</w:t>
      </w:r>
      <w:r>
        <w:rPr>
          <w:rFonts w:cs="Times New Roman"/>
          <w:szCs w:val="24"/>
        </w:rPr>
        <w:t>,</w:t>
      </w:r>
      <w:r w:rsidRPr="00B11F68">
        <w:t xml:space="preserve"> </w:t>
      </w:r>
      <w:r w:rsidRPr="00B11F68">
        <w:rPr>
          <w:rFonts w:cs="Times New Roman"/>
          <w:szCs w:val="24"/>
        </w:rPr>
        <w:t>2009: Neighborhood verific</w:t>
      </w:r>
      <w:r>
        <w:rPr>
          <w:rFonts w:cs="Times New Roman"/>
          <w:szCs w:val="24"/>
        </w:rPr>
        <w:t xml:space="preserve">ation: A strategy for rewarding </w:t>
      </w:r>
      <w:r w:rsidRPr="00B11F68">
        <w:rPr>
          <w:rFonts w:cs="Times New Roman"/>
          <w:szCs w:val="24"/>
        </w:rPr>
        <w:t xml:space="preserve">close forecasts. </w:t>
      </w:r>
      <w:r w:rsidRPr="00B11F68">
        <w:rPr>
          <w:rFonts w:cs="Times New Roman"/>
          <w:i/>
          <w:szCs w:val="24"/>
        </w:rPr>
        <w:t>Wea. Forecasting</w:t>
      </w:r>
      <w:r w:rsidRPr="00B11F68">
        <w:rPr>
          <w:rFonts w:cs="Times New Roman"/>
          <w:szCs w:val="24"/>
        </w:rPr>
        <w:t xml:space="preserve">, </w:t>
      </w:r>
      <w:r w:rsidRPr="00055285">
        <w:rPr>
          <w:rFonts w:cs="Times New Roman"/>
          <w:b/>
          <w:szCs w:val="24"/>
        </w:rPr>
        <w:t>24</w:t>
      </w:r>
      <w:r w:rsidRPr="00B11F68">
        <w:rPr>
          <w:rFonts w:cs="Times New Roman"/>
          <w:szCs w:val="24"/>
        </w:rPr>
        <w:t>, 1498–1510.</w:t>
      </w:r>
    </w:p>
    <w:p w:rsidR="003762D6" w:rsidRPr="00E31A3B"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 xml:space="preserve">Evensen, G., 1994: Sequential data assimilation with a nonlinear quasi-geostrophic model using Monte Carlo methods to forecast error statistics. </w:t>
      </w:r>
      <w:r w:rsidRPr="00E31A3B">
        <w:rPr>
          <w:rFonts w:cs="Times New Roman"/>
          <w:i/>
          <w:szCs w:val="24"/>
        </w:rPr>
        <w:t>J. Geophys. Res.</w:t>
      </w:r>
      <w:r w:rsidRPr="00E31A3B">
        <w:rPr>
          <w:rFonts w:cs="Times New Roman"/>
          <w:szCs w:val="24"/>
        </w:rPr>
        <w:t xml:space="preserve">, </w:t>
      </w:r>
      <w:r w:rsidRPr="00055285">
        <w:rPr>
          <w:rFonts w:cs="Times New Roman"/>
          <w:b/>
          <w:szCs w:val="24"/>
        </w:rPr>
        <w:t>99</w:t>
      </w:r>
      <w:r w:rsidR="00055285">
        <w:rPr>
          <w:rFonts w:cs="Times New Roman"/>
          <w:szCs w:val="24"/>
        </w:rPr>
        <w:t>, 10143–10</w:t>
      </w:r>
      <w:r w:rsidRPr="00E31A3B">
        <w:rPr>
          <w:rFonts w:cs="Times New Roman"/>
          <w:szCs w:val="24"/>
        </w:rPr>
        <w:t>162.</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B671E7">
        <w:rPr>
          <w:rFonts w:cs="Times New Roman"/>
          <w:szCs w:val="24"/>
        </w:rPr>
        <w:t>Fierro,</w:t>
      </w:r>
      <w:r>
        <w:rPr>
          <w:rFonts w:cs="Times New Roman"/>
          <w:szCs w:val="24"/>
        </w:rPr>
        <w:t xml:space="preserve"> A. O., E. R. Mansell, C. L. Ziegler, and D.</w:t>
      </w:r>
      <w:r w:rsidRPr="00B671E7">
        <w:rPr>
          <w:rFonts w:cs="Times New Roman"/>
          <w:szCs w:val="24"/>
        </w:rPr>
        <w:t xml:space="preserve"> R. Mac</w:t>
      </w:r>
      <w:r w:rsidR="002D4AD8">
        <w:rPr>
          <w:rFonts w:cs="Times New Roman"/>
          <w:szCs w:val="24"/>
        </w:rPr>
        <w:t>Gorman, 2012: Application of a lightning data assimilation t</w:t>
      </w:r>
      <w:r w:rsidRPr="00B671E7">
        <w:rPr>
          <w:rFonts w:cs="Times New Roman"/>
          <w:szCs w:val="24"/>
        </w:rPr>
        <w:t>ec</w:t>
      </w:r>
      <w:r w:rsidR="002D4AD8">
        <w:rPr>
          <w:rFonts w:cs="Times New Roman"/>
          <w:szCs w:val="24"/>
        </w:rPr>
        <w:t>hnique in the WRF-ARW model at cloud-resolving scales for the tornado o</w:t>
      </w:r>
      <w:r w:rsidRPr="00B671E7">
        <w:rPr>
          <w:rFonts w:cs="Times New Roman"/>
          <w:szCs w:val="24"/>
        </w:rPr>
        <w:t xml:space="preserve">utbreak of 24 May 2011. </w:t>
      </w:r>
      <w:r w:rsidRPr="00214E83">
        <w:rPr>
          <w:rFonts w:cs="Times New Roman"/>
          <w:i/>
          <w:szCs w:val="24"/>
        </w:rPr>
        <w:t>Mon. Wea. Rev.</w:t>
      </w:r>
      <w:r w:rsidRPr="00B671E7">
        <w:rPr>
          <w:rFonts w:cs="Times New Roman"/>
          <w:szCs w:val="24"/>
        </w:rPr>
        <w:t xml:space="preserve">, </w:t>
      </w:r>
      <w:r w:rsidRPr="00055285">
        <w:rPr>
          <w:rFonts w:cs="Times New Roman"/>
          <w:b/>
          <w:szCs w:val="24"/>
        </w:rPr>
        <w:t>140</w:t>
      </w:r>
      <w:r w:rsidRPr="00B671E7">
        <w:rPr>
          <w:rFonts w:cs="Times New Roman"/>
          <w:szCs w:val="24"/>
        </w:rPr>
        <w:t>, 2609–2627.</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0CE0">
        <w:rPr>
          <w:rFonts w:cs="Times New Roman"/>
          <w:szCs w:val="24"/>
        </w:rPr>
        <w:t xml:space="preserve">French, </w:t>
      </w:r>
      <w:r>
        <w:rPr>
          <w:rFonts w:cs="Times New Roman"/>
          <w:szCs w:val="24"/>
        </w:rPr>
        <w:t>M. M., P. S. Skinner, L. J. Wicker, and H.</w:t>
      </w:r>
      <w:r w:rsidRPr="00E70CE0">
        <w:rPr>
          <w:rFonts w:cs="Times New Roman"/>
          <w:szCs w:val="24"/>
        </w:rPr>
        <w:t xml:space="preserve"> B. </w:t>
      </w:r>
      <w:r w:rsidR="002D4AD8">
        <w:rPr>
          <w:rFonts w:cs="Times New Roman"/>
          <w:szCs w:val="24"/>
        </w:rPr>
        <w:t>Bluestein, 2015: Documenting a rare tornado merger o</w:t>
      </w:r>
      <w:r w:rsidRPr="00E70CE0">
        <w:rPr>
          <w:rFonts w:cs="Times New Roman"/>
          <w:szCs w:val="24"/>
        </w:rPr>
        <w:t xml:space="preserve">bserved in the 24 May 2011 El Reno–Piedmont, Oklahoma, Supercell. </w:t>
      </w:r>
      <w:r w:rsidRPr="00E70CE0">
        <w:rPr>
          <w:rFonts w:cs="Times New Roman"/>
          <w:i/>
          <w:szCs w:val="24"/>
        </w:rPr>
        <w:t>Mon. Wea. Rev.</w:t>
      </w:r>
      <w:r w:rsidRPr="00E70CE0">
        <w:rPr>
          <w:rFonts w:cs="Times New Roman"/>
          <w:szCs w:val="24"/>
        </w:rPr>
        <w:t xml:space="preserve">, </w:t>
      </w:r>
      <w:r w:rsidRPr="00055285">
        <w:rPr>
          <w:rFonts w:cs="Times New Roman"/>
          <w:b/>
          <w:szCs w:val="24"/>
        </w:rPr>
        <w:t>143</w:t>
      </w:r>
      <w:r w:rsidRPr="00E70CE0">
        <w:rPr>
          <w:rFonts w:cs="Times New Roman"/>
          <w:szCs w:val="24"/>
        </w:rPr>
        <w:t>, 3025–3043.</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7B4BEE">
        <w:rPr>
          <w:rFonts w:cs="Times New Roman"/>
          <w:szCs w:val="24"/>
        </w:rPr>
        <w:t xml:space="preserve">Gao, J., M. Xue, K. Brewster, and K. K. Droegemeier, 2004: A three-dimensional variational data analysis method with recursive filter for Doppler radars. </w:t>
      </w:r>
      <w:r w:rsidRPr="007B4BEE">
        <w:rPr>
          <w:rFonts w:cs="Times New Roman"/>
          <w:i/>
          <w:szCs w:val="24"/>
        </w:rPr>
        <w:t>J. Atmos. Oceanic Tech.</w:t>
      </w:r>
      <w:r w:rsidRPr="007B4BEE">
        <w:rPr>
          <w:rFonts w:cs="Times New Roman"/>
          <w:szCs w:val="24"/>
        </w:rPr>
        <w:t xml:space="preserve">, </w:t>
      </w:r>
      <w:r w:rsidRPr="00055285">
        <w:rPr>
          <w:rFonts w:cs="Times New Roman"/>
          <w:b/>
          <w:szCs w:val="24"/>
        </w:rPr>
        <w:t>21</w:t>
      </w:r>
      <w:r w:rsidRPr="007B4BEE">
        <w:rPr>
          <w:rFonts w:cs="Times New Roman"/>
          <w:szCs w:val="24"/>
        </w:rPr>
        <w:t>, 457-469.</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Gao,</w:t>
      </w:r>
      <w:r>
        <w:rPr>
          <w:rFonts w:cs="Times New Roman"/>
          <w:szCs w:val="24"/>
        </w:rPr>
        <w:t xml:space="preserve"> J., T. M. Smith, D.</w:t>
      </w:r>
      <w:r w:rsidRPr="00683A2F">
        <w:rPr>
          <w:rFonts w:cs="Times New Roman"/>
          <w:szCs w:val="24"/>
        </w:rPr>
        <w:t xml:space="preserve"> J. Stensru</w:t>
      </w:r>
      <w:r>
        <w:rPr>
          <w:rFonts w:cs="Times New Roman"/>
          <w:szCs w:val="24"/>
        </w:rPr>
        <w:t>d, C. Fu, K. Calhoun, K. L. Manross, J. Brogden, V. Lakshmanan, Y. Wang, K. W. Thomas, K. Brewster, and M.</w:t>
      </w:r>
      <w:r w:rsidR="002D4AD8">
        <w:rPr>
          <w:rFonts w:cs="Times New Roman"/>
          <w:szCs w:val="24"/>
        </w:rPr>
        <w:t xml:space="preserve"> Xue, 2013: A real-time weather-adaptive 3DVAR analysis system for severe weather detections and w</w:t>
      </w:r>
      <w:r w:rsidRPr="00683A2F">
        <w:rPr>
          <w:rFonts w:cs="Times New Roman"/>
          <w:szCs w:val="24"/>
        </w:rPr>
        <w:t xml:space="preserve">arnings. </w:t>
      </w:r>
      <w:r w:rsidRPr="00683A2F">
        <w:rPr>
          <w:rFonts w:cs="Times New Roman"/>
          <w:i/>
          <w:szCs w:val="24"/>
        </w:rPr>
        <w:t>Wea. Forecasting</w:t>
      </w:r>
      <w:r w:rsidRPr="00683A2F">
        <w:rPr>
          <w:rFonts w:cs="Times New Roman"/>
          <w:szCs w:val="24"/>
        </w:rPr>
        <w:t xml:space="preserve">, </w:t>
      </w:r>
      <w:r w:rsidRPr="00055285">
        <w:rPr>
          <w:rFonts w:cs="Times New Roman"/>
          <w:b/>
          <w:szCs w:val="24"/>
        </w:rPr>
        <w:t>28</w:t>
      </w:r>
      <w:r w:rsidRPr="00683A2F">
        <w:rPr>
          <w:rFonts w:cs="Times New Roman"/>
          <w:szCs w:val="24"/>
        </w:rPr>
        <w:t>, 727–745.</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F21A03">
        <w:rPr>
          <w:rFonts w:cs="Times New Roman"/>
          <w:szCs w:val="24"/>
        </w:rPr>
        <w:t>Gilleland, E., D. Ahijevych, B. G. Brown, B. Casati, and E. E.</w:t>
      </w:r>
      <w:r>
        <w:rPr>
          <w:rFonts w:cs="Times New Roman"/>
          <w:szCs w:val="24"/>
        </w:rPr>
        <w:t xml:space="preserve"> </w:t>
      </w:r>
      <w:r w:rsidRPr="00F21A03">
        <w:rPr>
          <w:rFonts w:cs="Times New Roman"/>
          <w:szCs w:val="24"/>
        </w:rPr>
        <w:t>Ebert, 2009: Intercomparison o</w:t>
      </w:r>
      <w:r>
        <w:rPr>
          <w:rFonts w:cs="Times New Roman"/>
          <w:szCs w:val="24"/>
        </w:rPr>
        <w:t xml:space="preserve">f spatial forecast verification </w:t>
      </w:r>
      <w:r w:rsidRPr="00F21A03">
        <w:rPr>
          <w:rFonts w:cs="Times New Roman"/>
          <w:szCs w:val="24"/>
        </w:rPr>
        <w:t xml:space="preserve">methods. </w:t>
      </w:r>
      <w:r w:rsidRPr="00F21A03">
        <w:rPr>
          <w:rFonts w:cs="Times New Roman"/>
          <w:i/>
          <w:szCs w:val="24"/>
        </w:rPr>
        <w:t>Wea. Forecasting</w:t>
      </w:r>
      <w:r w:rsidRPr="00F21A03">
        <w:rPr>
          <w:rFonts w:cs="Times New Roman"/>
          <w:szCs w:val="24"/>
        </w:rPr>
        <w:t xml:space="preserve">, </w:t>
      </w:r>
      <w:r w:rsidRPr="00055285">
        <w:rPr>
          <w:rFonts w:cs="Times New Roman"/>
          <w:b/>
          <w:szCs w:val="24"/>
        </w:rPr>
        <w:t>24</w:t>
      </w:r>
      <w:r w:rsidRPr="00F21A03">
        <w:rPr>
          <w:rFonts w:cs="Times New Roman"/>
          <w:szCs w:val="24"/>
        </w:rPr>
        <w:t>, 1416–1430.</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6754DA">
        <w:rPr>
          <w:rFonts w:cs="Times New Roman"/>
          <w:szCs w:val="24"/>
        </w:rPr>
        <w:t>Gilleland,</w:t>
      </w:r>
      <w:r>
        <w:rPr>
          <w:rFonts w:cs="Times New Roman"/>
          <w:szCs w:val="24"/>
        </w:rPr>
        <w:t xml:space="preserve"> E., J.</w:t>
      </w:r>
      <w:r w:rsidRPr="006754DA">
        <w:rPr>
          <w:rFonts w:cs="Times New Roman"/>
          <w:szCs w:val="24"/>
        </w:rPr>
        <w:t xml:space="preserve"> Lindström, </w:t>
      </w:r>
      <w:r>
        <w:rPr>
          <w:rFonts w:cs="Times New Roman"/>
          <w:szCs w:val="24"/>
        </w:rPr>
        <w:t>and F.</w:t>
      </w:r>
      <w:r w:rsidRPr="006754DA">
        <w:rPr>
          <w:rFonts w:cs="Times New Roman"/>
          <w:szCs w:val="24"/>
        </w:rPr>
        <w:t xml:space="preserve"> Lindgren, 2010</w:t>
      </w:r>
      <w:r>
        <w:rPr>
          <w:rFonts w:cs="Times New Roman"/>
          <w:szCs w:val="24"/>
        </w:rPr>
        <w:t>a</w:t>
      </w:r>
      <w:r w:rsidR="002D4AD8">
        <w:rPr>
          <w:rFonts w:cs="Times New Roman"/>
          <w:szCs w:val="24"/>
        </w:rPr>
        <w:t>: Analyzing the image warp forecast verification method on precipitation f</w:t>
      </w:r>
      <w:r w:rsidRPr="006754DA">
        <w:rPr>
          <w:rFonts w:cs="Times New Roman"/>
          <w:szCs w:val="24"/>
        </w:rPr>
        <w:t xml:space="preserve">ields from the ICP. </w:t>
      </w:r>
      <w:r w:rsidRPr="006754DA">
        <w:rPr>
          <w:rFonts w:cs="Times New Roman"/>
          <w:i/>
          <w:szCs w:val="24"/>
        </w:rPr>
        <w:t>Wea. Forecasting</w:t>
      </w:r>
      <w:r w:rsidRPr="006754DA">
        <w:rPr>
          <w:rFonts w:cs="Times New Roman"/>
          <w:szCs w:val="24"/>
        </w:rPr>
        <w:t xml:space="preserve">, </w:t>
      </w:r>
      <w:r w:rsidRPr="00055285">
        <w:rPr>
          <w:rFonts w:cs="Times New Roman"/>
          <w:b/>
          <w:szCs w:val="24"/>
        </w:rPr>
        <w:t>25</w:t>
      </w:r>
      <w:r w:rsidRPr="006754DA">
        <w:rPr>
          <w:rFonts w:cs="Times New Roman"/>
          <w:szCs w:val="24"/>
        </w:rPr>
        <w:t>, 1249–1262.</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B11F68">
        <w:rPr>
          <w:rFonts w:cs="Times New Roman"/>
          <w:szCs w:val="24"/>
        </w:rPr>
        <w:t>Gilleland, E., D. Ahijevych, B. G. Brown,</w:t>
      </w:r>
      <w:r>
        <w:rPr>
          <w:rFonts w:cs="Times New Roman"/>
          <w:szCs w:val="24"/>
        </w:rPr>
        <w:t xml:space="preserve"> </w:t>
      </w:r>
      <w:r w:rsidRPr="00F21A03">
        <w:rPr>
          <w:rFonts w:cs="Times New Roman"/>
          <w:szCs w:val="24"/>
        </w:rPr>
        <w:t>and E. E. Ebert, 2010</w:t>
      </w:r>
      <w:r>
        <w:rPr>
          <w:rFonts w:cs="Times New Roman"/>
          <w:szCs w:val="24"/>
        </w:rPr>
        <w:t>b</w:t>
      </w:r>
      <w:r w:rsidRPr="00F21A03">
        <w:rPr>
          <w:rFonts w:cs="Times New Roman"/>
          <w:szCs w:val="24"/>
        </w:rPr>
        <w:t>:</w:t>
      </w:r>
      <w:r>
        <w:rPr>
          <w:rFonts w:cs="Times New Roman"/>
          <w:szCs w:val="24"/>
        </w:rPr>
        <w:t xml:space="preserve"> Verifying forecasts spatially. </w:t>
      </w:r>
      <w:r w:rsidRPr="00B11F68">
        <w:rPr>
          <w:rFonts w:cs="Times New Roman"/>
          <w:i/>
          <w:szCs w:val="24"/>
        </w:rPr>
        <w:t>Bull. Amer. Meteor. Soc.</w:t>
      </w:r>
      <w:r w:rsidRPr="00F21A03">
        <w:rPr>
          <w:rFonts w:cs="Times New Roman"/>
          <w:szCs w:val="24"/>
        </w:rPr>
        <w:t xml:space="preserve">, </w:t>
      </w:r>
      <w:r w:rsidRPr="00055285">
        <w:rPr>
          <w:rFonts w:cs="Times New Roman"/>
          <w:b/>
          <w:szCs w:val="24"/>
        </w:rPr>
        <w:t>91</w:t>
      </w:r>
      <w:r w:rsidRPr="00F21A03">
        <w:rPr>
          <w:rFonts w:cs="Times New Roman"/>
          <w:szCs w:val="24"/>
        </w:rPr>
        <w:t>, 1365–1373.</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B671E7">
        <w:rPr>
          <w:rFonts w:cs="Times New Roman"/>
          <w:szCs w:val="24"/>
        </w:rPr>
        <w:t xml:space="preserve">Heymsfield, </w:t>
      </w:r>
      <w:r>
        <w:rPr>
          <w:rFonts w:cs="Times New Roman"/>
          <w:szCs w:val="24"/>
        </w:rPr>
        <w:t>G. M., L. Tian, L. Li, M. McLinden, and J.</w:t>
      </w:r>
      <w:r w:rsidR="002D4AD8">
        <w:rPr>
          <w:rFonts w:cs="Times New Roman"/>
          <w:szCs w:val="24"/>
        </w:rPr>
        <w:t xml:space="preserve"> I. Cervantes, 2013: Airborne radar observations of severe hailstorms: Implications for future spaceborne r</w:t>
      </w:r>
      <w:r w:rsidRPr="00B671E7">
        <w:rPr>
          <w:rFonts w:cs="Times New Roman"/>
          <w:szCs w:val="24"/>
        </w:rPr>
        <w:t xml:space="preserve">adar. </w:t>
      </w:r>
      <w:r w:rsidRPr="00B671E7">
        <w:rPr>
          <w:rFonts w:cs="Times New Roman"/>
          <w:i/>
          <w:szCs w:val="24"/>
        </w:rPr>
        <w:t>J. Appl. Meteor. Climatol.</w:t>
      </w:r>
      <w:r w:rsidRPr="00B671E7">
        <w:rPr>
          <w:rFonts w:cs="Times New Roman"/>
          <w:szCs w:val="24"/>
        </w:rPr>
        <w:t xml:space="preserve">, </w:t>
      </w:r>
      <w:r w:rsidRPr="00055285">
        <w:rPr>
          <w:rFonts w:cs="Times New Roman"/>
          <w:b/>
          <w:szCs w:val="24"/>
        </w:rPr>
        <w:t>52</w:t>
      </w:r>
      <w:r w:rsidRPr="00B671E7">
        <w:rPr>
          <w:rFonts w:cs="Times New Roman"/>
          <w:szCs w:val="24"/>
        </w:rPr>
        <w:t>, 1851–1867.</w:t>
      </w:r>
    </w:p>
    <w:p w:rsidR="00FC698E" w:rsidRDefault="00FC698E" w:rsidP="003762D6">
      <w:pPr>
        <w:pStyle w:val="NoSpacing"/>
        <w:spacing w:line="240" w:lineRule="auto"/>
        <w:ind w:left="360" w:hanging="360"/>
        <w:rPr>
          <w:rFonts w:cs="Times New Roman"/>
          <w:szCs w:val="24"/>
        </w:rPr>
      </w:pPr>
    </w:p>
    <w:p w:rsidR="00FC698E" w:rsidRDefault="00FC698E" w:rsidP="003762D6">
      <w:pPr>
        <w:pStyle w:val="NoSpacing"/>
        <w:spacing w:line="240" w:lineRule="auto"/>
        <w:ind w:left="360" w:hanging="360"/>
        <w:rPr>
          <w:rFonts w:cs="Times New Roman"/>
          <w:szCs w:val="24"/>
        </w:rPr>
      </w:pPr>
      <w:r w:rsidRPr="00FC698E">
        <w:rPr>
          <w:rFonts w:cs="Times New Roman"/>
          <w:szCs w:val="24"/>
        </w:rPr>
        <w:t xml:space="preserve">Hitchens, N. M., M. E. Baldwin, and R. J. Trapp, 2012: An object-oriented characterization of extreme precipitation-producing convective systems in the midwestern United States. </w:t>
      </w:r>
      <w:r w:rsidRPr="00FC698E">
        <w:rPr>
          <w:rFonts w:cs="Times New Roman"/>
          <w:i/>
          <w:szCs w:val="24"/>
        </w:rPr>
        <w:t>Mon. Wea. Rev.</w:t>
      </w:r>
      <w:r w:rsidRPr="00FC698E">
        <w:rPr>
          <w:rFonts w:cs="Times New Roman"/>
          <w:szCs w:val="24"/>
        </w:rPr>
        <w:t xml:space="preserve">, </w:t>
      </w:r>
      <w:r w:rsidRPr="00FC698E">
        <w:rPr>
          <w:rFonts w:cs="Times New Roman"/>
          <w:b/>
          <w:szCs w:val="24"/>
        </w:rPr>
        <w:t>140</w:t>
      </w:r>
      <w:r w:rsidRPr="00FC698E">
        <w:rPr>
          <w:rFonts w:cs="Times New Roman"/>
          <w:szCs w:val="24"/>
        </w:rPr>
        <w:t>, 1356–1366</w:t>
      </w:r>
      <w:r>
        <w:rPr>
          <w:rFonts w:cs="Times New Roman"/>
          <w:szCs w:val="24"/>
        </w:rPr>
        <w:t>.</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6F5736">
        <w:rPr>
          <w:rFonts w:cs="Times New Roman"/>
          <w:szCs w:val="24"/>
        </w:rPr>
        <w:t xml:space="preserve">Hoke, J. E., and R. A. Anthes, 1976: </w:t>
      </w:r>
      <w:r>
        <w:rPr>
          <w:rFonts w:cs="Times New Roman"/>
          <w:szCs w:val="24"/>
        </w:rPr>
        <w:t xml:space="preserve">The initialization of numerical </w:t>
      </w:r>
      <w:r w:rsidRPr="006F5736">
        <w:rPr>
          <w:rFonts w:cs="Times New Roman"/>
          <w:szCs w:val="24"/>
        </w:rPr>
        <w:t>models by a dynamical init</w:t>
      </w:r>
      <w:r>
        <w:rPr>
          <w:rFonts w:cs="Times New Roman"/>
          <w:szCs w:val="24"/>
        </w:rPr>
        <w:t xml:space="preserve">ialization technique. </w:t>
      </w:r>
      <w:r w:rsidRPr="0009028D">
        <w:rPr>
          <w:rFonts w:cs="Times New Roman"/>
          <w:i/>
          <w:szCs w:val="24"/>
        </w:rPr>
        <w:t>Mon. Wea. Rev.</w:t>
      </w:r>
      <w:r>
        <w:rPr>
          <w:rFonts w:cs="Times New Roman"/>
          <w:szCs w:val="24"/>
        </w:rPr>
        <w:t xml:space="preserve">, </w:t>
      </w:r>
      <w:r w:rsidRPr="00055285">
        <w:rPr>
          <w:rFonts w:cs="Times New Roman"/>
          <w:b/>
          <w:szCs w:val="24"/>
        </w:rPr>
        <w:t>104</w:t>
      </w:r>
      <w:r>
        <w:rPr>
          <w:rFonts w:cs="Times New Roman"/>
          <w:szCs w:val="24"/>
        </w:rPr>
        <w:t>, 1551–1556.</w:t>
      </w:r>
    </w:p>
    <w:p w:rsidR="003762D6" w:rsidRDefault="003762D6" w:rsidP="003762D6">
      <w:pPr>
        <w:pStyle w:val="NoSpacing"/>
        <w:spacing w:line="240" w:lineRule="auto"/>
        <w:ind w:left="360" w:hanging="360"/>
        <w:rPr>
          <w:rFonts w:cs="Times New Roman"/>
          <w:szCs w:val="24"/>
        </w:rPr>
      </w:pPr>
    </w:p>
    <w:p w:rsidR="00EB4088" w:rsidRDefault="00EB4088" w:rsidP="003762D6">
      <w:pPr>
        <w:pStyle w:val="NoSpacing"/>
        <w:spacing w:line="240" w:lineRule="auto"/>
        <w:ind w:left="360" w:hanging="360"/>
        <w:rPr>
          <w:rFonts w:cs="Times New Roman"/>
          <w:szCs w:val="24"/>
        </w:rPr>
      </w:pPr>
      <w:r w:rsidRPr="00C15D7B">
        <w:rPr>
          <w:rFonts w:cs="Times New Roman"/>
          <w:szCs w:val="24"/>
        </w:rPr>
        <w:t xml:space="preserve">Hong, S.-Y., and J.-O. J. Lim, 2006: The WRF single-moment 6-class microphysics scheme (WSM6). </w:t>
      </w:r>
      <w:r w:rsidRPr="00C15D7B">
        <w:rPr>
          <w:rFonts w:cs="Times New Roman"/>
          <w:i/>
          <w:szCs w:val="24"/>
        </w:rPr>
        <w:t>J. Korean Meteor. Soc.</w:t>
      </w:r>
      <w:r w:rsidRPr="00C15D7B">
        <w:rPr>
          <w:rFonts w:cs="Times New Roman"/>
          <w:szCs w:val="24"/>
        </w:rPr>
        <w:t xml:space="preserve">, </w:t>
      </w:r>
      <w:r w:rsidRPr="00055285">
        <w:rPr>
          <w:rFonts w:cs="Times New Roman"/>
          <w:b/>
          <w:szCs w:val="24"/>
        </w:rPr>
        <w:t>42</w:t>
      </w:r>
      <w:r w:rsidRPr="00C15D7B">
        <w:rPr>
          <w:rFonts w:cs="Times New Roman"/>
          <w:szCs w:val="24"/>
        </w:rPr>
        <w:t>, 129–151.</w:t>
      </w:r>
    </w:p>
    <w:p w:rsidR="003762D6" w:rsidRDefault="003762D6" w:rsidP="003762D6">
      <w:pPr>
        <w:pStyle w:val="NoSpacing"/>
        <w:spacing w:line="240" w:lineRule="auto"/>
        <w:ind w:left="360" w:hanging="360"/>
        <w:rPr>
          <w:rFonts w:cs="Times New Roman"/>
          <w:szCs w:val="24"/>
        </w:rPr>
      </w:pPr>
    </w:p>
    <w:p w:rsidR="00C305DD" w:rsidRDefault="00C305DD" w:rsidP="003762D6">
      <w:pPr>
        <w:pStyle w:val="NoSpacing"/>
        <w:spacing w:line="240" w:lineRule="auto"/>
        <w:ind w:left="360" w:hanging="360"/>
      </w:pPr>
      <w:r w:rsidRPr="00C305DD">
        <w:t>Houser, J. H., H. B. Bluestein,</w:t>
      </w:r>
      <w:r w:rsidR="002D4AD8">
        <w:t xml:space="preserve"> and J. C. Snyder, 2015: Rapid-scan, polarimetric, Doppler radar observations of tornadogenesis and tornado dissipation in a tornadic s</w:t>
      </w:r>
      <w:r w:rsidRPr="00C305DD">
        <w:t>upe</w:t>
      </w:r>
      <w:r w:rsidR="002D4AD8">
        <w:t>rcell: The “El Reno, Oklahoma” s</w:t>
      </w:r>
      <w:r w:rsidRPr="00C305DD">
        <w:t xml:space="preserve">torm of 24 May 2011. </w:t>
      </w:r>
      <w:r w:rsidRPr="00C305DD">
        <w:rPr>
          <w:i/>
        </w:rPr>
        <w:t>Mon. Wea. Rev.</w:t>
      </w:r>
      <w:r w:rsidRPr="00C305DD">
        <w:t xml:space="preserve">, </w:t>
      </w:r>
      <w:r w:rsidRPr="00055285">
        <w:rPr>
          <w:b/>
        </w:rPr>
        <w:t>143</w:t>
      </w:r>
      <w:r w:rsidRPr="00C305DD">
        <w:t>, 2685–2710.</w:t>
      </w:r>
    </w:p>
    <w:p w:rsidR="003762D6" w:rsidRPr="00017111" w:rsidRDefault="003762D6" w:rsidP="003762D6">
      <w:pPr>
        <w:pStyle w:val="NoSpacing"/>
        <w:spacing w:line="240" w:lineRule="auto"/>
        <w:ind w:left="360" w:hanging="360"/>
      </w:pPr>
    </w:p>
    <w:p w:rsidR="006C6928" w:rsidRDefault="006C6928" w:rsidP="003762D6">
      <w:pPr>
        <w:pStyle w:val="NoSpacing"/>
        <w:spacing w:line="240" w:lineRule="auto"/>
        <w:ind w:left="360" w:hanging="360"/>
        <w:rPr>
          <w:rFonts w:cs="Times New Roman"/>
          <w:szCs w:val="24"/>
        </w:rPr>
      </w:pPr>
      <w:r w:rsidRPr="00E7103E">
        <w:rPr>
          <w:rFonts w:cs="Times New Roman"/>
          <w:szCs w:val="24"/>
        </w:rPr>
        <w:t>Hu, M., M. Xue, an</w:t>
      </w:r>
      <w:r w:rsidR="002D4AD8">
        <w:rPr>
          <w:rFonts w:cs="Times New Roman"/>
          <w:szCs w:val="24"/>
        </w:rPr>
        <w:t>d K. Brewster, 2006: 3DVAR and cloud analysis with WSR-88D level-II data for the p</w:t>
      </w:r>
      <w:r w:rsidRPr="00E7103E">
        <w:rPr>
          <w:rFonts w:cs="Times New Roman"/>
          <w:szCs w:val="24"/>
        </w:rPr>
        <w:t>redic</w:t>
      </w:r>
      <w:r w:rsidR="002D4AD8">
        <w:rPr>
          <w:rFonts w:cs="Times New Roman"/>
          <w:szCs w:val="24"/>
        </w:rPr>
        <w:t>tion of the Fort Worth, Texas, tornadic thunderstorms. Part I: Cloud analysis and its i</w:t>
      </w:r>
      <w:r w:rsidRPr="00E7103E">
        <w:rPr>
          <w:rFonts w:cs="Times New Roman"/>
          <w:szCs w:val="24"/>
        </w:rPr>
        <w:t xml:space="preserve">mpact. </w:t>
      </w:r>
      <w:r w:rsidRPr="00E7103E">
        <w:rPr>
          <w:rFonts w:cs="Times New Roman"/>
          <w:i/>
          <w:szCs w:val="24"/>
        </w:rPr>
        <w:t>Mon. Wea. Rev.</w:t>
      </w:r>
      <w:r w:rsidRPr="00E7103E">
        <w:rPr>
          <w:rFonts w:cs="Times New Roman"/>
          <w:szCs w:val="24"/>
        </w:rPr>
        <w:t xml:space="preserve">, </w:t>
      </w:r>
      <w:r w:rsidRPr="00055285">
        <w:rPr>
          <w:rFonts w:cs="Times New Roman"/>
          <w:b/>
          <w:szCs w:val="24"/>
        </w:rPr>
        <w:t>134</w:t>
      </w:r>
      <w:r w:rsidRPr="00E7103E">
        <w:rPr>
          <w:rFonts w:cs="Times New Roman"/>
          <w:szCs w:val="24"/>
        </w:rPr>
        <w:t>, 675–698.</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Hu, M., M. Xue, J. Gao, and K. Br</w:t>
      </w:r>
      <w:r w:rsidR="002D4AD8">
        <w:rPr>
          <w:rFonts w:cs="Times New Roman"/>
          <w:szCs w:val="24"/>
        </w:rPr>
        <w:t>ewster, 2006: 3DVAR and cloud analysis with WSR-88D level-II data for the p</w:t>
      </w:r>
      <w:r w:rsidRPr="00E7103E">
        <w:rPr>
          <w:rFonts w:cs="Times New Roman"/>
          <w:szCs w:val="24"/>
        </w:rPr>
        <w:t>redic</w:t>
      </w:r>
      <w:r w:rsidR="002D4AD8">
        <w:rPr>
          <w:rFonts w:cs="Times New Roman"/>
          <w:szCs w:val="24"/>
        </w:rPr>
        <w:t>tion of the Fort Worth, Texas, tornadic thunderstorms. Part II: impact of radial velocity a</w:t>
      </w:r>
      <w:r w:rsidRPr="00E7103E">
        <w:rPr>
          <w:rFonts w:cs="Times New Roman"/>
          <w:szCs w:val="24"/>
        </w:rPr>
        <w:t xml:space="preserve">nalysis via 3DVAR. </w:t>
      </w:r>
      <w:r w:rsidRPr="00E7103E">
        <w:rPr>
          <w:rFonts w:cs="Times New Roman"/>
          <w:i/>
          <w:szCs w:val="24"/>
        </w:rPr>
        <w:t>Mon. Wea. Rev.</w:t>
      </w:r>
      <w:r w:rsidRPr="00E7103E">
        <w:rPr>
          <w:rFonts w:cs="Times New Roman"/>
          <w:szCs w:val="24"/>
        </w:rPr>
        <w:t xml:space="preserve">, </w:t>
      </w:r>
      <w:r w:rsidRPr="00055285">
        <w:rPr>
          <w:rFonts w:cs="Times New Roman"/>
          <w:b/>
          <w:szCs w:val="24"/>
        </w:rPr>
        <w:t>134</w:t>
      </w:r>
      <w:r w:rsidRPr="00E7103E">
        <w:rPr>
          <w:rFonts w:cs="Times New Roman"/>
          <w:szCs w:val="24"/>
        </w:rPr>
        <w:t>, 699–721.</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1360A8">
        <w:rPr>
          <w:rFonts w:cs="Times New Roman"/>
          <w:szCs w:val="24"/>
        </w:rPr>
        <w:t>Johnson,</w:t>
      </w:r>
      <w:r>
        <w:rPr>
          <w:rFonts w:cs="Times New Roman"/>
          <w:szCs w:val="24"/>
        </w:rPr>
        <w:t xml:space="preserve"> A., X. Wang, F. Kong, and M.</w:t>
      </w:r>
      <w:r w:rsidR="002D4AD8">
        <w:rPr>
          <w:rFonts w:cs="Times New Roman"/>
          <w:szCs w:val="24"/>
        </w:rPr>
        <w:t xml:space="preserve"> Xue, 2013: Object-based evaluation of the impact of horizontal grid spacing on convection-allowing f</w:t>
      </w:r>
      <w:r w:rsidRPr="001360A8">
        <w:rPr>
          <w:rFonts w:cs="Times New Roman"/>
          <w:szCs w:val="24"/>
        </w:rPr>
        <w:t xml:space="preserve">orecasts. </w:t>
      </w:r>
      <w:r w:rsidRPr="001360A8">
        <w:rPr>
          <w:rFonts w:cs="Times New Roman"/>
          <w:i/>
          <w:szCs w:val="24"/>
        </w:rPr>
        <w:t>Mon. Wea. Rev.</w:t>
      </w:r>
      <w:r w:rsidRPr="001360A8">
        <w:rPr>
          <w:rFonts w:cs="Times New Roman"/>
          <w:szCs w:val="24"/>
        </w:rPr>
        <w:t xml:space="preserve">, </w:t>
      </w:r>
      <w:r w:rsidRPr="00055285">
        <w:rPr>
          <w:rFonts w:cs="Times New Roman"/>
          <w:b/>
          <w:szCs w:val="24"/>
        </w:rPr>
        <w:t>141</w:t>
      </w:r>
      <w:r w:rsidRPr="001360A8">
        <w:rPr>
          <w:rFonts w:cs="Times New Roman"/>
          <w:szCs w:val="24"/>
        </w:rPr>
        <w:t>, 3413–3425.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1360A8">
        <w:rPr>
          <w:rFonts w:cs="Times New Roman"/>
          <w:szCs w:val="24"/>
        </w:rPr>
        <w:t>Johnson,</w:t>
      </w:r>
      <w:r>
        <w:rPr>
          <w:rFonts w:cs="Times New Roman"/>
          <w:szCs w:val="24"/>
        </w:rPr>
        <w:t xml:space="preserve"> A., X. Wang, J. R. Carley, L. J. Wicker, and C.</w:t>
      </w:r>
      <w:r w:rsidR="002D4AD8">
        <w:rPr>
          <w:rFonts w:cs="Times New Roman"/>
          <w:szCs w:val="24"/>
        </w:rPr>
        <w:t xml:space="preserve"> Karstens, 2015: A comparison of multiscale GSI-b</w:t>
      </w:r>
      <w:r w:rsidRPr="001360A8">
        <w:rPr>
          <w:rFonts w:cs="Times New Roman"/>
          <w:szCs w:val="24"/>
        </w:rPr>
        <w:t xml:space="preserve">ased </w:t>
      </w:r>
      <w:r w:rsidR="002D4AD8">
        <w:rPr>
          <w:rFonts w:cs="Times New Roman"/>
          <w:szCs w:val="24"/>
        </w:rPr>
        <w:t>EnKF and 3DVar data assimilation using radar and conventional observations for midlatitude convective-scale precipitation f</w:t>
      </w:r>
      <w:r w:rsidRPr="001360A8">
        <w:rPr>
          <w:rFonts w:cs="Times New Roman"/>
          <w:szCs w:val="24"/>
        </w:rPr>
        <w:t xml:space="preserve">orecasts. </w:t>
      </w:r>
      <w:r w:rsidRPr="001360A8">
        <w:rPr>
          <w:rFonts w:cs="Times New Roman"/>
          <w:i/>
          <w:szCs w:val="24"/>
        </w:rPr>
        <w:t>Mon. Wea. Rev.</w:t>
      </w:r>
      <w:r w:rsidRPr="001360A8">
        <w:rPr>
          <w:rFonts w:cs="Times New Roman"/>
          <w:szCs w:val="24"/>
        </w:rPr>
        <w:t xml:space="preserve">, </w:t>
      </w:r>
      <w:r w:rsidRPr="00055285">
        <w:rPr>
          <w:rFonts w:cs="Times New Roman"/>
          <w:b/>
          <w:szCs w:val="24"/>
        </w:rPr>
        <w:t>143</w:t>
      </w:r>
      <w:r w:rsidRPr="001360A8">
        <w:rPr>
          <w:rFonts w:cs="Times New Roman"/>
          <w:szCs w:val="24"/>
        </w:rPr>
        <w:t>, 3087–3108.</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Jones, T. A., D. Stensrud, L. Wicker, P. Minnis, and R.</w:t>
      </w:r>
      <w:r w:rsidR="002D4AD8">
        <w:rPr>
          <w:rFonts w:cs="Times New Roman"/>
          <w:szCs w:val="24"/>
        </w:rPr>
        <w:t xml:space="preserve"> Palikonda, 2015: Simultaneous r</w:t>
      </w:r>
      <w:r w:rsidRPr="00E31A3B">
        <w:rPr>
          <w:rFonts w:cs="Times New Roman"/>
          <w:szCs w:val="24"/>
        </w:rPr>
        <w:t>ada</w:t>
      </w:r>
      <w:r w:rsidR="002D4AD8">
        <w:rPr>
          <w:rFonts w:cs="Times New Roman"/>
          <w:szCs w:val="24"/>
        </w:rPr>
        <w:t>r and satellite data storm-scale assimilation using an ensemble Kalman filter a</w:t>
      </w:r>
      <w:r w:rsidRPr="00E31A3B">
        <w:rPr>
          <w:rFonts w:cs="Times New Roman"/>
          <w:szCs w:val="24"/>
        </w:rPr>
        <w:t xml:space="preserve">pproach for 24 May 2011. </w:t>
      </w:r>
      <w:r w:rsidRPr="00E31A3B">
        <w:rPr>
          <w:rFonts w:cs="Times New Roman"/>
          <w:i/>
          <w:szCs w:val="24"/>
        </w:rPr>
        <w:t>Mon. Wea. Rev.</w:t>
      </w:r>
      <w:r w:rsidRPr="00E31A3B">
        <w:rPr>
          <w:rFonts w:cs="Times New Roman"/>
          <w:szCs w:val="24"/>
        </w:rPr>
        <w:t xml:space="preserve">, </w:t>
      </w:r>
      <w:r w:rsidRPr="00055285">
        <w:rPr>
          <w:rFonts w:cs="Times New Roman"/>
          <w:b/>
          <w:szCs w:val="24"/>
        </w:rPr>
        <w:t>143</w:t>
      </w:r>
      <w:r w:rsidRPr="00E31A3B">
        <w:rPr>
          <w:rFonts w:cs="Times New Roman"/>
          <w:szCs w:val="24"/>
        </w:rPr>
        <w:t>, 165–194.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960AA4">
        <w:rPr>
          <w:rFonts w:cs="Times New Roman"/>
          <w:szCs w:val="24"/>
        </w:rPr>
        <w:t>Kain,</w:t>
      </w:r>
      <w:r>
        <w:rPr>
          <w:rFonts w:cs="Times New Roman"/>
          <w:szCs w:val="24"/>
        </w:rPr>
        <w:t xml:space="preserve"> J. S., S. J. Weiss, D. R. Bright, M.</w:t>
      </w:r>
      <w:r w:rsidRPr="00960AA4">
        <w:rPr>
          <w:rFonts w:cs="Times New Roman"/>
          <w:szCs w:val="24"/>
        </w:rPr>
        <w:t xml:space="preserve"> E. Ba</w:t>
      </w:r>
      <w:r>
        <w:rPr>
          <w:rFonts w:cs="Times New Roman"/>
          <w:szCs w:val="24"/>
        </w:rPr>
        <w:t>ldwin, J. J. Levit, G. W. Carbin, C. S. Schwartz, M. L. Weisman, K. K. Droegemeier, D. B. Weber, and K.</w:t>
      </w:r>
      <w:r w:rsidR="002D4AD8">
        <w:rPr>
          <w:rFonts w:cs="Times New Roman"/>
          <w:szCs w:val="24"/>
        </w:rPr>
        <w:t xml:space="preserve"> W. Thomas, 2008: Some practical considerations regarding horizontal resolution in the first generation of operational convection-a</w:t>
      </w:r>
      <w:r w:rsidRPr="00960AA4">
        <w:rPr>
          <w:rFonts w:cs="Times New Roman"/>
          <w:szCs w:val="24"/>
        </w:rPr>
        <w:t xml:space="preserve">llowing NWP. </w:t>
      </w:r>
      <w:r w:rsidRPr="000C2621">
        <w:rPr>
          <w:rFonts w:cs="Times New Roman"/>
          <w:i/>
          <w:szCs w:val="24"/>
        </w:rPr>
        <w:t>Wea. Forecasting</w:t>
      </w:r>
      <w:r w:rsidRPr="00960AA4">
        <w:rPr>
          <w:rFonts w:cs="Times New Roman"/>
          <w:szCs w:val="24"/>
        </w:rPr>
        <w:t xml:space="preserve">, </w:t>
      </w:r>
      <w:r w:rsidRPr="00055285">
        <w:rPr>
          <w:rFonts w:cs="Times New Roman"/>
          <w:b/>
          <w:szCs w:val="24"/>
        </w:rPr>
        <w:t>23</w:t>
      </w:r>
      <w:r w:rsidRPr="00960AA4">
        <w:rPr>
          <w:rFonts w:cs="Times New Roman"/>
          <w:szCs w:val="24"/>
        </w:rPr>
        <w:t>, 931–952.</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805F48">
        <w:rPr>
          <w:rFonts w:cs="Times New Roman"/>
          <w:szCs w:val="24"/>
        </w:rPr>
        <w:t>K</w:t>
      </w:r>
      <w:r>
        <w:rPr>
          <w:rFonts w:cs="Times New Roman"/>
          <w:szCs w:val="24"/>
        </w:rPr>
        <w:t>umjian, M. R., and A. V. Ryzhkov</w:t>
      </w:r>
      <w:r w:rsidRPr="00805F48">
        <w:rPr>
          <w:rFonts w:cs="Times New Roman"/>
          <w:szCs w:val="24"/>
        </w:rPr>
        <w:t>, 2009: Polarimet</w:t>
      </w:r>
      <w:r w:rsidR="002D4AD8">
        <w:rPr>
          <w:rFonts w:cs="Times New Roman"/>
          <w:szCs w:val="24"/>
        </w:rPr>
        <w:t>ric signatures in supercell t</w:t>
      </w:r>
      <w:r w:rsidRPr="00805F48">
        <w:rPr>
          <w:rFonts w:cs="Times New Roman"/>
          <w:szCs w:val="24"/>
        </w:rPr>
        <w:t xml:space="preserve">hunderstorms. </w:t>
      </w:r>
      <w:r w:rsidRPr="00805F48">
        <w:rPr>
          <w:rFonts w:cs="Times New Roman"/>
          <w:i/>
          <w:szCs w:val="24"/>
        </w:rPr>
        <w:t>J. Appl. Meteor. Climatol.</w:t>
      </w:r>
      <w:r w:rsidRPr="00805F48">
        <w:rPr>
          <w:rFonts w:cs="Times New Roman"/>
          <w:szCs w:val="24"/>
        </w:rPr>
        <w:t xml:space="preserve">, </w:t>
      </w:r>
      <w:r w:rsidRPr="00805F48">
        <w:rPr>
          <w:rFonts w:cs="Times New Roman"/>
          <w:b/>
          <w:szCs w:val="24"/>
        </w:rPr>
        <w:t>47</w:t>
      </w:r>
      <w:r w:rsidRPr="00805F48">
        <w:rPr>
          <w:rFonts w:cs="Times New Roman"/>
          <w:szCs w:val="24"/>
        </w:rPr>
        <w:t>, 1940–1961</w:t>
      </w:r>
      <w:r>
        <w:rPr>
          <w:rFonts w:cs="Times New Roman"/>
          <w:szCs w:val="24"/>
        </w:rPr>
        <w:t>.</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091020">
        <w:rPr>
          <w:rFonts w:cs="Times New Roman"/>
          <w:szCs w:val="24"/>
        </w:rPr>
        <w:t>Lakshmanan</w:t>
      </w:r>
      <w:r>
        <w:rPr>
          <w:rFonts w:cs="Times New Roman"/>
          <w:szCs w:val="24"/>
        </w:rPr>
        <w:t>, V., M. Miller, T.</w:t>
      </w:r>
      <w:r w:rsidR="002D4AD8">
        <w:rPr>
          <w:rFonts w:cs="Times New Roman"/>
          <w:szCs w:val="24"/>
        </w:rPr>
        <w:t xml:space="preserve"> Smith, 2012: Quality control of accumulated fields by applying spatial and temporal c</w:t>
      </w:r>
      <w:r w:rsidRPr="00091020">
        <w:rPr>
          <w:rFonts w:cs="Times New Roman"/>
          <w:szCs w:val="24"/>
        </w:rPr>
        <w:t xml:space="preserve">onstraints. </w:t>
      </w:r>
      <w:r w:rsidRPr="00805F48">
        <w:rPr>
          <w:rFonts w:cs="Times New Roman"/>
          <w:i/>
          <w:szCs w:val="24"/>
        </w:rPr>
        <w:t>J. Atmos. Oceanic Technol.</w:t>
      </w:r>
      <w:r>
        <w:rPr>
          <w:rFonts w:cs="Times New Roman"/>
          <w:szCs w:val="24"/>
        </w:rPr>
        <w:t xml:space="preserve">, </w:t>
      </w:r>
      <w:r w:rsidRPr="00805F48">
        <w:rPr>
          <w:rFonts w:cs="Times New Roman"/>
          <w:b/>
          <w:szCs w:val="24"/>
        </w:rPr>
        <w:t>30</w:t>
      </w:r>
      <w:r>
        <w:rPr>
          <w:rFonts w:cs="Times New Roman"/>
          <w:szCs w:val="24"/>
        </w:rPr>
        <w:t>, 745–758.</w:t>
      </w:r>
    </w:p>
    <w:p w:rsidR="003762D6" w:rsidRDefault="003762D6" w:rsidP="003762D6">
      <w:pPr>
        <w:pStyle w:val="NoSpacing"/>
        <w:spacing w:line="240" w:lineRule="auto"/>
        <w:ind w:left="360" w:hanging="360"/>
        <w:rPr>
          <w:rFonts w:cs="Times New Roman"/>
          <w:szCs w:val="24"/>
        </w:rPr>
      </w:pPr>
    </w:p>
    <w:p w:rsidR="00EB4088" w:rsidRDefault="00EB4088" w:rsidP="003762D6">
      <w:pPr>
        <w:pStyle w:val="NoSpacing"/>
        <w:spacing w:line="240" w:lineRule="auto"/>
        <w:ind w:left="360" w:hanging="360"/>
        <w:rPr>
          <w:rFonts w:cs="Times New Roman"/>
          <w:szCs w:val="24"/>
        </w:rPr>
      </w:pPr>
      <w:r w:rsidRPr="00C15D7B">
        <w:rPr>
          <w:rFonts w:cs="Times New Roman"/>
          <w:szCs w:val="24"/>
        </w:rPr>
        <w:t>Lin, Y.-L., R. D. Farley,</w:t>
      </w:r>
      <w:r w:rsidR="002D4AD8">
        <w:rPr>
          <w:rFonts w:cs="Times New Roman"/>
          <w:szCs w:val="24"/>
        </w:rPr>
        <w:t xml:space="preserve"> and H. D. Orville, 1983: Bulk parameterization of the snow field in a cloud m</w:t>
      </w:r>
      <w:r w:rsidRPr="00C15D7B">
        <w:rPr>
          <w:rFonts w:cs="Times New Roman"/>
          <w:szCs w:val="24"/>
        </w:rPr>
        <w:t xml:space="preserve">odel. </w:t>
      </w:r>
      <w:r w:rsidRPr="00C15D7B">
        <w:rPr>
          <w:rFonts w:cs="Times New Roman"/>
          <w:i/>
          <w:szCs w:val="24"/>
        </w:rPr>
        <w:t>J. Climate Appl. Meteor.</w:t>
      </w:r>
      <w:r w:rsidRPr="00C15D7B">
        <w:rPr>
          <w:rFonts w:cs="Times New Roman"/>
          <w:szCs w:val="24"/>
        </w:rPr>
        <w:t xml:space="preserve">, </w:t>
      </w:r>
      <w:r w:rsidRPr="00055285">
        <w:rPr>
          <w:rFonts w:cs="Times New Roman"/>
          <w:b/>
          <w:szCs w:val="24"/>
        </w:rPr>
        <w:t>22</w:t>
      </w:r>
      <w:r w:rsidRPr="00C15D7B">
        <w:rPr>
          <w:rFonts w:cs="Times New Roman"/>
          <w:szCs w:val="24"/>
        </w:rPr>
        <w:t>, 1065–1092.</w:t>
      </w:r>
    </w:p>
    <w:p w:rsidR="003762D6" w:rsidRDefault="003762D6" w:rsidP="003762D6">
      <w:pPr>
        <w:pStyle w:val="NoSpacing"/>
        <w:spacing w:line="240" w:lineRule="auto"/>
        <w:ind w:left="360" w:hanging="360"/>
        <w:rPr>
          <w:rFonts w:cs="Times New Roman"/>
          <w:szCs w:val="24"/>
        </w:rPr>
      </w:pPr>
    </w:p>
    <w:p w:rsidR="00017111" w:rsidRDefault="00017111" w:rsidP="003762D6">
      <w:pPr>
        <w:pStyle w:val="NoSpacing"/>
        <w:spacing w:line="240" w:lineRule="auto"/>
        <w:ind w:left="360" w:hanging="360"/>
        <w:rPr>
          <w:rFonts w:cs="Times New Roman"/>
          <w:szCs w:val="24"/>
        </w:rPr>
      </w:pPr>
      <w:r w:rsidRPr="00226D5A">
        <w:rPr>
          <w:rFonts w:cs="Times New Roman"/>
          <w:szCs w:val="24"/>
        </w:rPr>
        <w:t>Markowski,</w:t>
      </w:r>
      <w:r>
        <w:rPr>
          <w:rFonts w:cs="Times New Roman"/>
          <w:szCs w:val="24"/>
        </w:rPr>
        <w:t xml:space="preserve"> P., C. Hannon, J. Frame, E. Lancaster, A. Pietrycha, R. Edwards, and R.</w:t>
      </w:r>
      <w:r w:rsidRPr="00226D5A">
        <w:rPr>
          <w:rFonts w:cs="Times New Roman"/>
          <w:szCs w:val="24"/>
        </w:rPr>
        <w:t xml:space="preserve"> L. Thompson, 2003: Cha</w:t>
      </w:r>
      <w:r w:rsidR="002D4AD8">
        <w:rPr>
          <w:rFonts w:cs="Times New Roman"/>
          <w:szCs w:val="24"/>
        </w:rPr>
        <w:t>racteristics of vertical w</w:t>
      </w:r>
      <w:r w:rsidR="00946597">
        <w:rPr>
          <w:rFonts w:cs="Times New Roman"/>
          <w:szCs w:val="24"/>
        </w:rPr>
        <w:t>ind profiles near supercells o</w:t>
      </w:r>
      <w:r w:rsidRPr="00226D5A">
        <w:rPr>
          <w:rFonts w:cs="Times New Roman"/>
          <w:szCs w:val="24"/>
        </w:rPr>
        <w:t xml:space="preserve">btained from the Rapid Update Cycle. </w:t>
      </w:r>
      <w:r w:rsidRPr="00226D5A">
        <w:rPr>
          <w:rFonts w:cs="Times New Roman"/>
          <w:i/>
          <w:szCs w:val="24"/>
        </w:rPr>
        <w:t>Wea. Forecasting</w:t>
      </w:r>
      <w:r w:rsidRPr="00226D5A">
        <w:rPr>
          <w:rFonts w:cs="Times New Roman"/>
          <w:szCs w:val="24"/>
        </w:rPr>
        <w:t xml:space="preserve">, </w:t>
      </w:r>
      <w:r w:rsidRPr="00055285">
        <w:rPr>
          <w:rFonts w:cs="Times New Roman"/>
          <w:b/>
          <w:szCs w:val="24"/>
        </w:rPr>
        <w:t>18</w:t>
      </w:r>
      <w:r w:rsidRPr="00226D5A">
        <w:rPr>
          <w:rFonts w:cs="Times New Roman"/>
          <w:szCs w:val="24"/>
        </w:rPr>
        <w:t>, 1262–1272.</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AE4F15">
        <w:rPr>
          <w:rFonts w:cs="Times New Roman"/>
          <w:szCs w:val="24"/>
        </w:rPr>
        <w:t>McLaughlin, D., D. Pepyne, B. Philips, J. Kurose, M. Zink, E. Knapp, D. Westbrook, E. Lyons, A. Hopf, A. DeFonzo, R. Contreras, T. Djaferis, E. Insanic, S. Frasier, V. Chandrasekar, F. Junyent, N. Bharadwaj, Y. Liu, and Y. Wang, K. Droegemeier, M. Xue, J. Brotzge, F. Carr, K. Kloesel, K. Brewster, S. Cruz-</w:t>
      </w:r>
      <w:r w:rsidR="00946597">
        <w:rPr>
          <w:rFonts w:cs="Times New Roman"/>
          <w:szCs w:val="24"/>
        </w:rPr>
        <w:t>Pol, and K. Hondl, 2009: Short-wavelength technology and the potential for d</w:t>
      </w:r>
      <w:r w:rsidRPr="00AE4F15">
        <w:rPr>
          <w:rFonts w:cs="Times New Roman"/>
          <w:szCs w:val="24"/>
        </w:rPr>
        <w:t xml:space="preserve">istributed </w:t>
      </w:r>
      <w:r w:rsidR="00946597">
        <w:rPr>
          <w:rFonts w:cs="Times New Roman"/>
          <w:szCs w:val="24"/>
        </w:rPr>
        <w:t>networks of small radar s</w:t>
      </w:r>
      <w:r>
        <w:rPr>
          <w:rFonts w:cs="Times New Roman"/>
          <w:szCs w:val="24"/>
        </w:rPr>
        <w:t>ystems.</w:t>
      </w:r>
      <w:r w:rsidRPr="00AE4F15">
        <w:rPr>
          <w:rFonts w:cs="Times New Roman"/>
          <w:szCs w:val="24"/>
        </w:rPr>
        <w:t xml:space="preserve"> </w:t>
      </w:r>
      <w:r w:rsidRPr="00AE4F15">
        <w:rPr>
          <w:rFonts w:cs="Times New Roman"/>
          <w:i/>
          <w:szCs w:val="24"/>
        </w:rPr>
        <w:t>Bull. Amer. Meteor. Soc.</w:t>
      </w:r>
      <w:r w:rsidRPr="00AE4F15">
        <w:rPr>
          <w:rFonts w:cs="Times New Roman"/>
          <w:szCs w:val="24"/>
        </w:rPr>
        <w:t xml:space="preserve">, </w:t>
      </w:r>
      <w:r w:rsidRPr="00055285">
        <w:rPr>
          <w:rFonts w:cs="Times New Roman"/>
          <w:b/>
          <w:szCs w:val="24"/>
        </w:rPr>
        <w:t>90</w:t>
      </w:r>
      <w:r w:rsidRPr="00AE4F15">
        <w:rPr>
          <w:rFonts w:cs="Times New Roman"/>
          <w:szCs w:val="24"/>
        </w:rPr>
        <w:t>, 1797-1817.</w:t>
      </w:r>
    </w:p>
    <w:p w:rsidR="003762D6" w:rsidRDefault="003762D6" w:rsidP="003762D6">
      <w:pPr>
        <w:pStyle w:val="NoSpacing"/>
        <w:spacing w:line="240" w:lineRule="auto"/>
        <w:ind w:left="360" w:hanging="360"/>
        <w:rPr>
          <w:rFonts w:cs="Times New Roman"/>
          <w:szCs w:val="24"/>
        </w:rPr>
      </w:pPr>
    </w:p>
    <w:p w:rsidR="00EB4088" w:rsidRDefault="00EB4088" w:rsidP="003762D6">
      <w:pPr>
        <w:pStyle w:val="NoSpacing"/>
        <w:spacing w:line="240" w:lineRule="auto"/>
        <w:ind w:left="360" w:hanging="360"/>
        <w:rPr>
          <w:rFonts w:cs="Times New Roman"/>
          <w:szCs w:val="24"/>
        </w:rPr>
      </w:pPr>
      <w:r w:rsidRPr="00C15D7B">
        <w:rPr>
          <w:rFonts w:cs="Times New Roman"/>
          <w:szCs w:val="24"/>
        </w:rPr>
        <w:t>Milbrandt</w:t>
      </w:r>
      <w:r w:rsidR="00946597">
        <w:rPr>
          <w:rFonts w:cs="Times New Roman"/>
          <w:szCs w:val="24"/>
        </w:rPr>
        <w:t>, J. A. and M. K. Yau, 2005: A multimoment bulk microphysics p</w:t>
      </w:r>
      <w:r w:rsidRPr="00C15D7B">
        <w:rPr>
          <w:rFonts w:cs="Times New Roman"/>
          <w:szCs w:val="24"/>
        </w:rPr>
        <w:t>arameteriz</w:t>
      </w:r>
      <w:r w:rsidR="00946597">
        <w:rPr>
          <w:rFonts w:cs="Times New Roman"/>
          <w:szCs w:val="24"/>
        </w:rPr>
        <w:t>ation. Part I: Analysis of the role of the spectral shape p</w:t>
      </w:r>
      <w:r w:rsidRPr="00C15D7B">
        <w:rPr>
          <w:rFonts w:cs="Times New Roman"/>
          <w:szCs w:val="24"/>
        </w:rPr>
        <w:t xml:space="preserve">arameter. </w:t>
      </w:r>
      <w:r w:rsidRPr="00C15D7B">
        <w:rPr>
          <w:rFonts w:cs="Times New Roman"/>
          <w:i/>
          <w:szCs w:val="24"/>
        </w:rPr>
        <w:t>J. Atmos. Sci.</w:t>
      </w:r>
      <w:r w:rsidRPr="00C15D7B">
        <w:rPr>
          <w:rFonts w:cs="Times New Roman"/>
          <w:szCs w:val="24"/>
        </w:rPr>
        <w:t xml:space="preserve">, </w:t>
      </w:r>
      <w:r w:rsidRPr="00055285">
        <w:rPr>
          <w:rFonts w:cs="Times New Roman"/>
          <w:b/>
          <w:szCs w:val="24"/>
        </w:rPr>
        <w:t>62</w:t>
      </w:r>
      <w:r w:rsidRPr="00C15D7B">
        <w:rPr>
          <w:rFonts w:cs="Times New Roman"/>
          <w:szCs w:val="24"/>
        </w:rPr>
        <w:t>, 3051–3064.</w:t>
      </w:r>
    </w:p>
    <w:p w:rsidR="003762D6" w:rsidRDefault="003762D6" w:rsidP="003762D6">
      <w:pPr>
        <w:pStyle w:val="NoSpacing"/>
        <w:spacing w:line="240" w:lineRule="auto"/>
        <w:ind w:left="360" w:hanging="360"/>
        <w:rPr>
          <w:rFonts w:cs="Times New Roman"/>
          <w:szCs w:val="24"/>
        </w:rPr>
      </w:pPr>
    </w:p>
    <w:p w:rsidR="00EB4088" w:rsidRDefault="00EB4088" w:rsidP="003762D6">
      <w:pPr>
        <w:pStyle w:val="NoSpacing"/>
        <w:spacing w:line="240" w:lineRule="auto"/>
        <w:ind w:left="360" w:hanging="360"/>
        <w:rPr>
          <w:rFonts w:cs="Times New Roman"/>
          <w:szCs w:val="24"/>
        </w:rPr>
      </w:pPr>
      <w:r w:rsidRPr="00C15D7B">
        <w:rPr>
          <w:rFonts w:cs="Times New Roman"/>
          <w:szCs w:val="24"/>
        </w:rPr>
        <w:t>Milbrandt</w:t>
      </w:r>
      <w:r w:rsidR="00946597">
        <w:rPr>
          <w:rFonts w:cs="Times New Roman"/>
          <w:szCs w:val="24"/>
        </w:rPr>
        <w:t>, J. A. and M. K. Yau, 2005: A multimoment bulk microphysics parameterization. Part II: A proposed three-moment closure and scheme d</w:t>
      </w:r>
      <w:r w:rsidRPr="00C15D7B">
        <w:rPr>
          <w:rFonts w:cs="Times New Roman"/>
          <w:szCs w:val="24"/>
        </w:rPr>
        <w:t xml:space="preserve">escription. </w:t>
      </w:r>
      <w:r w:rsidRPr="00C15D7B">
        <w:rPr>
          <w:rFonts w:cs="Times New Roman"/>
          <w:i/>
          <w:szCs w:val="24"/>
        </w:rPr>
        <w:t>J. Atmos. Sci.</w:t>
      </w:r>
      <w:r w:rsidRPr="00C15D7B">
        <w:rPr>
          <w:rFonts w:cs="Times New Roman"/>
          <w:szCs w:val="24"/>
        </w:rPr>
        <w:t xml:space="preserve">, </w:t>
      </w:r>
      <w:r w:rsidRPr="00055285">
        <w:rPr>
          <w:rFonts w:cs="Times New Roman"/>
          <w:b/>
          <w:szCs w:val="24"/>
        </w:rPr>
        <w:t>62</w:t>
      </w:r>
      <w:r w:rsidRPr="00C15D7B">
        <w:rPr>
          <w:rFonts w:cs="Times New Roman"/>
          <w:szCs w:val="24"/>
        </w:rPr>
        <w:t>, 3065–3081.</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F21A03">
        <w:rPr>
          <w:rFonts w:cs="Times New Roman"/>
          <w:szCs w:val="24"/>
        </w:rPr>
        <w:t>Mittermaier, M., and N. Roberts, 2010: Intercomparison of sp</w:t>
      </w:r>
      <w:r>
        <w:rPr>
          <w:rFonts w:cs="Times New Roman"/>
          <w:szCs w:val="24"/>
        </w:rPr>
        <w:t xml:space="preserve">atial </w:t>
      </w:r>
      <w:r w:rsidRPr="00F21A03">
        <w:rPr>
          <w:rFonts w:cs="Times New Roman"/>
          <w:szCs w:val="24"/>
        </w:rPr>
        <w:t>forecast verification methods: Iden</w:t>
      </w:r>
      <w:r>
        <w:rPr>
          <w:rFonts w:cs="Times New Roman"/>
          <w:szCs w:val="24"/>
        </w:rPr>
        <w:t xml:space="preserve">tifying skillful spatial scales </w:t>
      </w:r>
      <w:r w:rsidRPr="00F21A03">
        <w:rPr>
          <w:rFonts w:cs="Times New Roman"/>
          <w:szCs w:val="24"/>
        </w:rPr>
        <w:t xml:space="preserve">using the fractions skill score. </w:t>
      </w:r>
      <w:r w:rsidRPr="00F21A03">
        <w:rPr>
          <w:rFonts w:cs="Times New Roman"/>
          <w:i/>
          <w:szCs w:val="24"/>
        </w:rPr>
        <w:t>Wea. Forecasting</w:t>
      </w:r>
      <w:r w:rsidRPr="00F21A03">
        <w:rPr>
          <w:rFonts w:cs="Times New Roman"/>
          <w:szCs w:val="24"/>
        </w:rPr>
        <w:t xml:space="preserve">, </w:t>
      </w:r>
      <w:r w:rsidRPr="00055285">
        <w:rPr>
          <w:rFonts w:cs="Times New Roman"/>
          <w:b/>
          <w:szCs w:val="24"/>
        </w:rPr>
        <w:t>25</w:t>
      </w:r>
      <w:r w:rsidRPr="00F21A03">
        <w:rPr>
          <w:rFonts w:cs="Times New Roman"/>
          <w:szCs w:val="24"/>
        </w:rPr>
        <w:t>, 343–354.</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C15D7B">
        <w:rPr>
          <w:rFonts w:cs="Times New Roman"/>
          <w:szCs w:val="24"/>
        </w:rPr>
        <w:t xml:space="preserve">Noilhan, J. and S. Planton, 1989: A simple parameterization of land surface processes for meteorological models. </w:t>
      </w:r>
      <w:r w:rsidRPr="00C15D7B">
        <w:rPr>
          <w:rFonts w:cs="Times New Roman"/>
          <w:i/>
          <w:szCs w:val="24"/>
        </w:rPr>
        <w:t>Mon. Wea. Rev.</w:t>
      </w:r>
      <w:r w:rsidRPr="00C15D7B">
        <w:rPr>
          <w:rFonts w:cs="Times New Roman"/>
          <w:szCs w:val="24"/>
        </w:rPr>
        <w:t xml:space="preserve">, </w:t>
      </w:r>
      <w:r w:rsidRPr="00055285">
        <w:rPr>
          <w:rFonts w:cs="Times New Roman"/>
          <w:b/>
          <w:szCs w:val="24"/>
        </w:rPr>
        <w:t>117</w:t>
      </w:r>
      <w:r w:rsidRPr="00C15D7B">
        <w:rPr>
          <w:rFonts w:cs="Times New Roman"/>
          <w:szCs w:val="24"/>
        </w:rPr>
        <w:t>, 536-549.</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1360A8">
        <w:rPr>
          <w:rFonts w:cs="Times New Roman"/>
          <w:szCs w:val="24"/>
        </w:rPr>
        <w:t>Potvin</w:t>
      </w:r>
      <w:r>
        <w:rPr>
          <w:rFonts w:cs="Times New Roman"/>
          <w:szCs w:val="24"/>
        </w:rPr>
        <w:t>, C. K., and L.</w:t>
      </w:r>
      <w:r w:rsidR="00946597">
        <w:rPr>
          <w:rFonts w:cs="Times New Roman"/>
          <w:szCs w:val="24"/>
        </w:rPr>
        <w:t xml:space="preserve"> J. Wicker, 2013: Assessing ensemble forecasts of low-level supercell rotation within an OSSE f</w:t>
      </w:r>
      <w:r w:rsidRPr="001360A8">
        <w:rPr>
          <w:rFonts w:cs="Times New Roman"/>
          <w:szCs w:val="24"/>
        </w:rPr>
        <w:t xml:space="preserve">ramework. Wea. Forecasting, </w:t>
      </w:r>
      <w:r w:rsidRPr="00055285">
        <w:rPr>
          <w:rFonts w:cs="Times New Roman"/>
          <w:b/>
          <w:szCs w:val="24"/>
        </w:rPr>
        <w:t>28</w:t>
      </w:r>
      <w:r w:rsidRPr="001360A8">
        <w:rPr>
          <w:rFonts w:cs="Times New Roman"/>
          <w:szCs w:val="24"/>
        </w:rPr>
        <w:t>, 940–960.</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 xml:space="preserve">Potvin, C. K., and M. </w:t>
      </w:r>
      <w:r w:rsidR="00946597">
        <w:rPr>
          <w:rFonts w:cs="Times New Roman"/>
          <w:szCs w:val="24"/>
        </w:rPr>
        <w:t>L. Flora, 2015: Sensitivity of idealized s</w:t>
      </w:r>
      <w:r w:rsidRPr="00E31A3B">
        <w:rPr>
          <w:rFonts w:cs="Times New Roman"/>
          <w:szCs w:val="24"/>
        </w:rPr>
        <w:t xml:space="preserve">upercell </w:t>
      </w:r>
      <w:r w:rsidR="00946597">
        <w:rPr>
          <w:rFonts w:cs="Times New Roman"/>
          <w:szCs w:val="24"/>
        </w:rPr>
        <w:t>simulations to horizontal grid s</w:t>
      </w:r>
      <w:r w:rsidRPr="00E31A3B">
        <w:rPr>
          <w:rFonts w:cs="Times New Roman"/>
          <w:szCs w:val="24"/>
        </w:rPr>
        <w:t xml:space="preserve">pacing: Implications for Warn-on-Forecast. </w:t>
      </w:r>
      <w:r w:rsidRPr="00E31A3B">
        <w:rPr>
          <w:rFonts w:cs="Times New Roman"/>
          <w:i/>
          <w:szCs w:val="24"/>
        </w:rPr>
        <w:t>Mon. Wea. Rev.</w:t>
      </w:r>
      <w:r>
        <w:rPr>
          <w:rFonts w:cs="Times New Roman"/>
          <w:szCs w:val="24"/>
        </w:rPr>
        <w:t xml:space="preserve">, </w:t>
      </w:r>
      <w:r w:rsidRPr="00055285">
        <w:rPr>
          <w:rFonts w:cs="Times New Roman"/>
          <w:b/>
          <w:szCs w:val="24"/>
        </w:rPr>
        <w:t>143</w:t>
      </w:r>
      <w:r>
        <w:rPr>
          <w:rFonts w:cs="Times New Roman"/>
          <w:szCs w:val="24"/>
        </w:rPr>
        <w:t>, 2998–3024.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Putnam,</w:t>
      </w:r>
      <w:r>
        <w:rPr>
          <w:rFonts w:cs="Times New Roman"/>
          <w:szCs w:val="24"/>
        </w:rPr>
        <w:t xml:space="preserve"> B. J., M. Xue, Y. Jung, N. Snook, and G.</w:t>
      </w:r>
      <w:r w:rsidR="00946597">
        <w:rPr>
          <w:rFonts w:cs="Times New Roman"/>
          <w:szCs w:val="24"/>
        </w:rPr>
        <w:t xml:space="preserve"> Zhang, 2014: The analysis and prediction of microphysical states and polarimetric radar v</w:t>
      </w:r>
      <w:r w:rsidRPr="00E31A3B">
        <w:rPr>
          <w:rFonts w:cs="Times New Roman"/>
          <w:szCs w:val="24"/>
        </w:rPr>
        <w:t>ariables i</w:t>
      </w:r>
      <w:r w:rsidR="00946597">
        <w:rPr>
          <w:rFonts w:cs="Times New Roman"/>
          <w:szCs w:val="24"/>
        </w:rPr>
        <w:t>n a mesoscale convective system using double-moment microphysics, multinetwork radar data, and the ensemble Kalman f</w:t>
      </w:r>
      <w:r w:rsidRPr="00E31A3B">
        <w:rPr>
          <w:rFonts w:cs="Times New Roman"/>
          <w:szCs w:val="24"/>
        </w:rPr>
        <w:t xml:space="preserve">ilter. </w:t>
      </w:r>
      <w:r w:rsidRPr="00E31A3B">
        <w:rPr>
          <w:rFonts w:cs="Times New Roman"/>
          <w:i/>
          <w:szCs w:val="24"/>
        </w:rPr>
        <w:t>Mon. Wea. Rev.</w:t>
      </w:r>
      <w:r w:rsidRPr="00E31A3B">
        <w:rPr>
          <w:rFonts w:cs="Times New Roman"/>
          <w:szCs w:val="24"/>
        </w:rPr>
        <w:t xml:space="preserve">, </w:t>
      </w:r>
      <w:r w:rsidRPr="00055285">
        <w:rPr>
          <w:rFonts w:cs="Times New Roman"/>
          <w:b/>
          <w:szCs w:val="24"/>
        </w:rPr>
        <w:t>142</w:t>
      </w:r>
      <w:r w:rsidRPr="00E31A3B">
        <w:rPr>
          <w:rFonts w:cs="Times New Roman"/>
          <w:szCs w:val="24"/>
        </w:rPr>
        <w:t>, 141–162.</w:t>
      </w:r>
    </w:p>
    <w:p w:rsidR="00631543" w:rsidRDefault="00631543" w:rsidP="003762D6">
      <w:pPr>
        <w:pStyle w:val="NoSpacing"/>
        <w:spacing w:line="240" w:lineRule="auto"/>
        <w:ind w:left="360" w:hanging="360"/>
        <w:rPr>
          <w:rFonts w:cs="Times New Roman"/>
          <w:szCs w:val="24"/>
        </w:rPr>
      </w:pPr>
    </w:p>
    <w:p w:rsidR="00631543" w:rsidRDefault="00631543" w:rsidP="003762D6">
      <w:pPr>
        <w:pStyle w:val="NoSpacing"/>
        <w:spacing w:line="240" w:lineRule="auto"/>
        <w:ind w:left="360" w:hanging="360"/>
        <w:rPr>
          <w:rFonts w:cs="Times New Roman"/>
          <w:szCs w:val="24"/>
        </w:rPr>
      </w:pPr>
      <w:r w:rsidRPr="00631543">
        <w:rPr>
          <w:rFonts w:cs="Times New Roman"/>
          <w:szCs w:val="24"/>
        </w:rPr>
        <w:lastRenderedPageBreak/>
        <w:t xml:space="preserve">Rasmussen, E. N., and D. O. Blanchard, 1998: A baseline climatology of sounding-derived supercell and tornado forecast parameters. </w:t>
      </w:r>
      <w:r w:rsidRPr="00631543">
        <w:rPr>
          <w:rFonts w:cs="Times New Roman"/>
          <w:i/>
          <w:szCs w:val="24"/>
        </w:rPr>
        <w:t>Wea. Forecasting</w:t>
      </w:r>
      <w:r w:rsidRPr="00631543">
        <w:rPr>
          <w:rFonts w:cs="Times New Roman"/>
          <w:szCs w:val="24"/>
        </w:rPr>
        <w:t xml:space="preserve">, </w:t>
      </w:r>
      <w:r w:rsidRPr="00631543">
        <w:rPr>
          <w:rFonts w:cs="Times New Roman"/>
          <w:b/>
          <w:szCs w:val="24"/>
        </w:rPr>
        <w:t>13</w:t>
      </w:r>
      <w:r w:rsidRPr="00631543">
        <w:rPr>
          <w:rFonts w:cs="Times New Roman"/>
          <w:szCs w:val="24"/>
        </w:rPr>
        <w:t>, 1148–1164.</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AA0CDD">
        <w:rPr>
          <w:rFonts w:cs="Times New Roman"/>
          <w:szCs w:val="24"/>
        </w:rPr>
        <w:t>Roberts, N. M.,</w:t>
      </w:r>
      <w:r>
        <w:rPr>
          <w:rFonts w:cs="Times New Roman"/>
          <w:szCs w:val="24"/>
        </w:rPr>
        <w:t xml:space="preserve"> </w:t>
      </w:r>
      <w:r w:rsidRPr="00AA0CDD">
        <w:rPr>
          <w:rFonts w:cs="Times New Roman"/>
          <w:szCs w:val="24"/>
        </w:rPr>
        <w:t xml:space="preserve">2008: Assessing the spatial and </w:t>
      </w:r>
      <w:r>
        <w:rPr>
          <w:rFonts w:cs="Times New Roman"/>
          <w:szCs w:val="24"/>
        </w:rPr>
        <w:t xml:space="preserve">temporal variation in the skill </w:t>
      </w:r>
      <w:r w:rsidRPr="00AA0CDD">
        <w:rPr>
          <w:rFonts w:cs="Times New Roman"/>
          <w:szCs w:val="24"/>
        </w:rPr>
        <w:t>of precipitation forecasts fr</w:t>
      </w:r>
      <w:r>
        <w:rPr>
          <w:rFonts w:cs="Times New Roman"/>
          <w:szCs w:val="24"/>
        </w:rPr>
        <w:t xml:space="preserve">om an NWP model. </w:t>
      </w:r>
      <w:r w:rsidRPr="00AA0CDD">
        <w:rPr>
          <w:rFonts w:cs="Times New Roman"/>
          <w:i/>
          <w:szCs w:val="24"/>
        </w:rPr>
        <w:t>Meteor. Appl.</w:t>
      </w:r>
      <w:r>
        <w:rPr>
          <w:rFonts w:cs="Times New Roman"/>
          <w:szCs w:val="24"/>
        </w:rPr>
        <w:t xml:space="preserve">, </w:t>
      </w:r>
      <w:r w:rsidRPr="00055285">
        <w:rPr>
          <w:rFonts w:cs="Times New Roman"/>
          <w:b/>
          <w:szCs w:val="24"/>
        </w:rPr>
        <w:t>15</w:t>
      </w:r>
      <w:r w:rsidRPr="00AA0CDD">
        <w:rPr>
          <w:rFonts w:cs="Times New Roman"/>
          <w:szCs w:val="24"/>
        </w:rPr>
        <w:t>, 163–169.</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F21A03">
        <w:rPr>
          <w:rFonts w:cs="Times New Roman"/>
          <w:szCs w:val="24"/>
        </w:rPr>
        <w:t>Roberts, N. M., and H. W. Lean, 200</w:t>
      </w:r>
      <w:r>
        <w:rPr>
          <w:rFonts w:cs="Times New Roman"/>
          <w:szCs w:val="24"/>
        </w:rPr>
        <w:t xml:space="preserve">8: Scale-selective verification </w:t>
      </w:r>
      <w:r w:rsidRPr="00F21A03">
        <w:rPr>
          <w:rFonts w:cs="Times New Roman"/>
          <w:szCs w:val="24"/>
        </w:rPr>
        <w:t>of rainfall accumulations fr</w:t>
      </w:r>
      <w:r>
        <w:rPr>
          <w:rFonts w:cs="Times New Roman"/>
          <w:szCs w:val="24"/>
        </w:rPr>
        <w:t xml:space="preserve">om high-resolution forecasts of </w:t>
      </w:r>
      <w:r w:rsidRPr="00F21A03">
        <w:rPr>
          <w:rFonts w:cs="Times New Roman"/>
          <w:szCs w:val="24"/>
        </w:rPr>
        <w:t xml:space="preserve">convective events. </w:t>
      </w:r>
      <w:r w:rsidRPr="00F21A03">
        <w:rPr>
          <w:rFonts w:cs="Times New Roman"/>
          <w:i/>
          <w:szCs w:val="24"/>
        </w:rPr>
        <w:t>Mon. Wea. Rev.</w:t>
      </w:r>
      <w:r w:rsidRPr="00F21A03">
        <w:rPr>
          <w:rFonts w:cs="Times New Roman"/>
          <w:szCs w:val="24"/>
        </w:rPr>
        <w:t xml:space="preserve">, </w:t>
      </w:r>
      <w:r w:rsidRPr="00055285">
        <w:rPr>
          <w:rFonts w:cs="Times New Roman"/>
          <w:b/>
          <w:szCs w:val="24"/>
        </w:rPr>
        <w:t>136</w:t>
      </w:r>
      <w:r w:rsidRPr="00F21A03">
        <w:rPr>
          <w:rFonts w:cs="Times New Roman"/>
          <w:szCs w:val="24"/>
        </w:rPr>
        <w:t>, 78–97.</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6D11D0">
        <w:rPr>
          <w:rFonts w:cs="Times New Roman"/>
          <w:szCs w:val="24"/>
        </w:rPr>
        <w:t>Schenkman, A.</w:t>
      </w:r>
      <w:r>
        <w:rPr>
          <w:rFonts w:cs="Times New Roman"/>
          <w:szCs w:val="24"/>
        </w:rPr>
        <w:t xml:space="preserve"> D.</w:t>
      </w:r>
      <w:r w:rsidRPr="006D11D0">
        <w:rPr>
          <w:rFonts w:cs="Times New Roman"/>
          <w:szCs w:val="24"/>
        </w:rPr>
        <w:t>, M. Xue, A. Shapiro, K. Brewster, and J. Gao, 2011</w:t>
      </w:r>
      <w:r>
        <w:rPr>
          <w:rFonts w:cs="Times New Roman"/>
          <w:szCs w:val="24"/>
        </w:rPr>
        <w:t>a</w:t>
      </w:r>
      <w:r w:rsidRPr="006D11D0">
        <w:rPr>
          <w:rFonts w:cs="Times New Roman"/>
          <w:szCs w:val="24"/>
        </w:rPr>
        <w:t xml:space="preserve">: The analysis and prediction of the 8-9 May 2007 Oklahoma tornadic mesoscale convective system by assimilating WSR-88D and CASA radar data using 3DVAR. </w:t>
      </w:r>
      <w:r w:rsidRPr="006D11D0">
        <w:rPr>
          <w:rFonts w:cs="Times New Roman"/>
          <w:i/>
          <w:szCs w:val="24"/>
        </w:rPr>
        <w:t>Mon. Wea. Rev.</w:t>
      </w:r>
      <w:r w:rsidRPr="006D11D0">
        <w:rPr>
          <w:rFonts w:cs="Times New Roman"/>
          <w:szCs w:val="24"/>
        </w:rPr>
        <w:t xml:space="preserve">, </w:t>
      </w:r>
      <w:r w:rsidRPr="006D11D0">
        <w:rPr>
          <w:rFonts w:cs="Times New Roman"/>
          <w:b/>
          <w:szCs w:val="24"/>
        </w:rPr>
        <w:t>139</w:t>
      </w:r>
      <w:r w:rsidRPr="006D11D0">
        <w:rPr>
          <w:rFonts w:cs="Times New Roman"/>
          <w:szCs w:val="24"/>
        </w:rPr>
        <w:t>, 224-246.</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Schenkman</w:t>
      </w:r>
      <w:r>
        <w:rPr>
          <w:rFonts w:cs="Times New Roman"/>
          <w:szCs w:val="24"/>
        </w:rPr>
        <w:t>,</w:t>
      </w:r>
      <w:r w:rsidRPr="00E7103E">
        <w:rPr>
          <w:rFonts w:cs="Times New Roman"/>
          <w:szCs w:val="24"/>
        </w:rPr>
        <w:t xml:space="preserve"> A. D., M. Xue, A. Shapiro, K. Brewster, and J. Gao, 2011</w:t>
      </w:r>
      <w:r>
        <w:rPr>
          <w:rFonts w:cs="Times New Roman"/>
          <w:szCs w:val="24"/>
        </w:rPr>
        <w:t>b</w:t>
      </w:r>
      <w:r w:rsidR="00946597">
        <w:rPr>
          <w:rFonts w:cs="Times New Roman"/>
          <w:szCs w:val="24"/>
        </w:rPr>
        <w:t>: Impact of CASA radar and oklahoma mesonet data a</w:t>
      </w:r>
      <w:r w:rsidRPr="00E7103E">
        <w:rPr>
          <w:rFonts w:cs="Times New Roman"/>
          <w:szCs w:val="24"/>
        </w:rPr>
        <w:t>ssimi</w:t>
      </w:r>
      <w:r w:rsidR="00946597">
        <w:rPr>
          <w:rFonts w:cs="Times New Roman"/>
          <w:szCs w:val="24"/>
        </w:rPr>
        <w:t>lation on the analysis and prediction of tornadic m</w:t>
      </w:r>
      <w:r w:rsidRPr="00E7103E">
        <w:rPr>
          <w:rFonts w:cs="Times New Roman"/>
          <w:szCs w:val="24"/>
        </w:rPr>
        <w:t xml:space="preserve">esovortices in an MCS. </w:t>
      </w:r>
      <w:r w:rsidRPr="00E7103E">
        <w:rPr>
          <w:rFonts w:cs="Times New Roman"/>
          <w:i/>
          <w:szCs w:val="24"/>
        </w:rPr>
        <w:t>Mon. Wea. Rev.</w:t>
      </w:r>
      <w:r w:rsidRPr="00E7103E">
        <w:rPr>
          <w:rFonts w:cs="Times New Roman"/>
          <w:szCs w:val="24"/>
        </w:rPr>
        <w:t xml:space="preserve">, </w:t>
      </w:r>
      <w:r w:rsidRPr="00055285">
        <w:rPr>
          <w:rFonts w:cs="Times New Roman"/>
          <w:b/>
          <w:szCs w:val="24"/>
        </w:rPr>
        <w:t>139</w:t>
      </w:r>
      <w:r w:rsidRPr="00E7103E">
        <w:rPr>
          <w:rFonts w:cs="Times New Roman"/>
          <w:szCs w:val="24"/>
        </w:rPr>
        <w:t>, 3422–3445.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960AA4">
        <w:rPr>
          <w:rFonts w:cs="Times New Roman"/>
          <w:szCs w:val="24"/>
        </w:rPr>
        <w:t>Schwartz,</w:t>
      </w:r>
      <w:r>
        <w:rPr>
          <w:rFonts w:cs="Times New Roman"/>
          <w:szCs w:val="24"/>
        </w:rPr>
        <w:t xml:space="preserve"> C. S., J. S. Kain, S. J. Weiss, M. Xue, D. R. Bright, F. Kong, K. W. Thomas, J. J. Levit, and M.</w:t>
      </w:r>
      <w:r w:rsidR="00946597">
        <w:rPr>
          <w:rFonts w:cs="Times New Roman"/>
          <w:szCs w:val="24"/>
        </w:rPr>
        <w:t xml:space="preserve"> C. Coniglio, 2009: Next-day convection-a</w:t>
      </w:r>
      <w:r w:rsidRPr="00960AA4">
        <w:rPr>
          <w:rFonts w:cs="Times New Roman"/>
          <w:szCs w:val="24"/>
        </w:rPr>
        <w:t>ll</w:t>
      </w:r>
      <w:r w:rsidR="00946597">
        <w:rPr>
          <w:rFonts w:cs="Times New Roman"/>
          <w:szCs w:val="24"/>
        </w:rPr>
        <w:t>owing WRF model guidance: A second look at 2-km versus 4-km grid s</w:t>
      </w:r>
      <w:r w:rsidRPr="00960AA4">
        <w:rPr>
          <w:rFonts w:cs="Times New Roman"/>
          <w:szCs w:val="24"/>
        </w:rPr>
        <w:t xml:space="preserve">pacing. </w:t>
      </w:r>
      <w:r w:rsidRPr="000C2621">
        <w:rPr>
          <w:rFonts w:cs="Times New Roman"/>
          <w:i/>
          <w:szCs w:val="24"/>
        </w:rPr>
        <w:t>Mon. Wea. Rev.</w:t>
      </w:r>
      <w:r w:rsidRPr="00960AA4">
        <w:rPr>
          <w:rFonts w:cs="Times New Roman"/>
          <w:szCs w:val="24"/>
        </w:rPr>
        <w:t xml:space="preserve">, </w:t>
      </w:r>
      <w:r w:rsidRPr="00055285">
        <w:rPr>
          <w:rFonts w:cs="Times New Roman"/>
          <w:b/>
          <w:szCs w:val="24"/>
        </w:rPr>
        <w:t>137</w:t>
      </w:r>
      <w:r w:rsidRPr="00960AA4">
        <w:rPr>
          <w:rFonts w:cs="Times New Roman"/>
          <w:szCs w:val="24"/>
        </w:rPr>
        <w:t>, 3351–3372.</w:t>
      </w:r>
    </w:p>
    <w:p w:rsidR="003762D6" w:rsidRDefault="003762D6" w:rsidP="003762D6">
      <w:pPr>
        <w:pStyle w:val="NoSpacing"/>
        <w:spacing w:line="240" w:lineRule="auto"/>
        <w:ind w:left="360" w:hanging="360"/>
        <w:rPr>
          <w:rFonts w:cs="Times New Roman"/>
          <w:szCs w:val="24"/>
        </w:rPr>
      </w:pPr>
    </w:p>
    <w:p w:rsidR="00017111" w:rsidRDefault="00017111" w:rsidP="003762D6">
      <w:pPr>
        <w:pStyle w:val="NoSpacing"/>
        <w:spacing w:line="240" w:lineRule="auto"/>
        <w:ind w:left="360" w:hanging="360"/>
        <w:rPr>
          <w:rFonts w:cs="Times New Roman"/>
          <w:szCs w:val="24"/>
        </w:rPr>
      </w:pPr>
      <w:r w:rsidRPr="00E70CE0">
        <w:rPr>
          <w:rFonts w:cs="Times New Roman"/>
          <w:szCs w:val="24"/>
        </w:rPr>
        <w:t>Shapiro,</w:t>
      </w:r>
      <w:r>
        <w:rPr>
          <w:rFonts w:cs="Times New Roman"/>
          <w:szCs w:val="24"/>
        </w:rPr>
        <w:t xml:space="preserve"> A., S. Rahimi, C.</w:t>
      </w:r>
      <w:r w:rsidRPr="00E70CE0">
        <w:rPr>
          <w:rFonts w:cs="Times New Roman"/>
          <w:szCs w:val="24"/>
        </w:rPr>
        <w:t xml:space="preserve"> </w:t>
      </w:r>
      <w:r>
        <w:rPr>
          <w:rFonts w:cs="Times New Roman"/>
          <w:szCs w:val="24"/>
        </w:rPr>
        <w:t>K. Potvin, and L.</w:t>
      </w:r>
      <w:r w:rsidR="00946597">
        <w:rPr>
          <w:rFonts w:cs="Times New Roman"/>
          <w:szCs w:val="24"/>
        </w:rPr>
        <w:t xml:space="preserve"> Orf, 2015: On the use of advection correction in trajectory c</w:t>
      </w:r>
      <w:r w:rsidRPr="00E70CE0">
        <w:rPr>
          <w:rFonts w:cs="Times New Roman"/>
          <w:szCs w:val="24"/>
        </w:rPr>
        <w:t xml:space="preserve">alculations. </w:t>
      </w:r>
      <w:r w:rsidRPr="00E70CE0">
        <w:rPr>
          <w:rFonts w:cs="Times New Roman"/>
          <w:i/>
          <w:szCs w:val="24"/>
        </w:rPr>
        <w:t>J. Atmos. Sci.</w:t>
      </w:r>
      <w:r w:rsidRPr="00E70CE0">
        <w:rPr>
          <w:rFonts w:cs="Times New Roman"/>
          <w:szCs w:val="24"/>
        </w:rPr>
        <w:t xml:space="preserve">, </w:t>
      </w:r>
      <w:r w:rsidRPr="00055285">
        <w:rPr>
          <w:rFonts w:cs="Times New Roman"/>
          <w:b/>
          <w:szCs w:val="24"/>
        </w:rPr>
        <w:t>72</w:t>
      </w:r>
      <w:r w:rsidRPr="00E70CE0">
        <w:rPr>
          <w:rFonts w:cs="Times New Roman"/>
          <w:szCs w:val="24"/>
        </w:rPr>
        <w:t>, 4261–4280.</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1360A8">
        <w:rPr>
          <w:rFonts w:cs="Times New Roman"/>
          <w:szCs w:val="24"/>
        </w:rPr>
        <w:t>Sobash</w:t>
      </w:r>
      <w:r>
        <w:rPr>
          <w:rFonts w:cs="Times New Roman"/>
          <w:szCs w:val="24"/>
        </w:rPr>
        <w:t>, R. A., and D.</w:t>
      </w:r>
      <w:r w:rsidRPr="001360A8">
        <w:rPr>
          <w:rFonts w:cs="Times New Roman"/>
          <w:szCs w:val="24"/>
        </w:rPr>
        <w:t xml:space="preserve"> J</w:t>
      </w:r>
      <w:r w:rsidR="00946597">
        <w:rPr>
          <w:rFonts w:cs="Times New Roman"/>
          <w:szCs w:val="24"/>
        </w:rPr>
        <w:t>. Stensrud, 2015: Assimilating surface mesonet observations with the EnKF to improve ensemble forecasts of convection i</w:t>
      </w:r>
      <w:r w:rsidRPr="001360A8">
        <w:rPr>
          <w:rFonts w:cs="Times New Roman"/>
          <w:szCs w:val="24"/>
        </w:rPr>
        <w:t xml:space="preserve">nitiation on 29 May 2012. </w:t>
      </w:r>
      <w:r w:rsidRPr="001360A8">
        <w:rPr>
          <w:rFonts w:cs="Times New Roman"/>
          <w:i/>
          <w:szCs w:val="24"/>
        </w:rPr>
        <w:t>Mon. Wea. Rev.</w:t>
      </w:r>
      <w:r w:rsidRPr="001360A8">
        <w:rPr>
          <w:rFonts w:cs="Times New Roman"/>
          <w:szCs w:val="24"/>
        </w:rPr>
        <w:t xml:space="preserve">, </w:t>
      </w:r>
      <w:r w:rsidRPr="00055285">
        <w:rPr>
          <w:rFonts w:cs="Times New Roman"/>
          <w:b/>
          <w:szCs w:val="24"/>
        </w:rPr>
        <w:t>143</w:t>
      </w:r>
      <w:r w:rsidRPr="001360A8">
        <w:rPr>
          <w:rFonts w:cs="Times New Roman"/>
          <w:szCs w:val="24"/>
        </w:rPr>
        <w:t>, 3700–3725.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Snook,</w:t>
      </w:r>
      <w:r>
        <w:rPr>
          <w:rFonts w:cs="Times New Roman"/>
          <w:szCs w:val="24"/>
        </w:rPr>
        <w:t xml:space="preserve"> N., M.</w:t>
      </w:r>
      <w:r w:rsidRPr="00E31A3B">
        <w:rPr>
          <w:rFonts w:cs="Times New Roman"/>
          <w:szCs w:val="24"/>
        </w:rPr>
        <w:t xml:space="preserve"> Xue</w:t>
      </w:r>
      <w:r>
        <w:rPr>
          <w:rFonts w:cs="Times New Roman"/>
          <w:szCs w:val="24"/>
        </w:rPr>
        <w:t>, and Y.</w:t>
      </w:r>
      <w:r w:rsidR="00946597">
        <w:rPr>
          <w:rFonts w:cs="Times New Roman"/>
          <w:szCs w:val="24"/>
        </w:rPr>
        <w:t xml:space="preserve"> Jung, 2011: Analysis of a tornadic mesoscale convective vortex based on ensemble Kalman filter assimilation of CASA X-band and WSR-88D radar d</w:t>
      </w:r>
      <w:r w:rsidRPr="00E31A3B">
        <w:rPr>
          <w:rFonts w:cs="Times New Roman"/>
          <w:szCs w:val="24"/>
        </w:rPr>
        <w:t xml:space="preserve">ata. </w:t>
      </w:r>
      <w:r w:rsidRPr="00E31A3B">
        <w:rPr>
          <w:rFonts w:cs="Times New Roman"/>
          <w:i/>
          <w:szCs w:val="24"/>
        </w:rPr>
        <w:t>Mon. Wea. Rev.</w:t>
      </w:r>
      <w:r w:rsidRPr="00E31A3B">
        <w:rPr>
          <w:rFonts w:cs="Times New Roman"/>
          <w:szCs w:val="24"/>
        </w:rPr>
        <w:t xml:space="preserve">, </w:t>
      </w:r>
      <w:r w:rsidRPr="00055285">
        <w:rPr>
          <w:rFonts w:cs="Times New Roman"/>
          <w:b/>
          <w:szCs w:val="24"/>
        </w:rPr>
        <w:t>139</w:t>
      </w:r>
      <w:r w:rsidRPr="00E31A3B">
        <w:rPr>
          <w:rFonts w:cs="Times New Roman"/>
          <w:szCs w:val="24"/>
        </w:rPr>
        <w:t>, 3446–3468.</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31A3B">
        <w:rPr>
          <w:rFonts w:cs="Times New Roman"/>
          <w:szCs w:val="24"/>
        </w:rPr>
        <w:t>Snook,</w:t>
      </w:r>
      <w:r>
        <w:rPr>
          <w:rFonts w:cs="Times New Roman"/>
          <w:szCs w:val="24"/>
        </w:rPr>
        <w:t xml:space="preserve"> N., M. Xue, and Y.</w:t>
      </w:r>
      <w:r w:rsidR="00946597">
        <w:rPr>
          <w:rFonts w:cs="Times New Roman"/>
          <w:szCs w:val="24"/>
        </w:rPr>
        <w:t xml:space="preserve"> Jung, 2012: Ensemble probabilistic forecasts of a tornadic mesoscale c</w:t>
      </w:r>
      <w:r w:rsidRPr="00E31A3B">
        <w:rPr>
          <w:rFonts w:cs="Times New Roman"/>
          <w:szCs w:val="24"/>
        </w:rPr>
        <w:t>onvecti</w:t>
      </w:r>
      <w:r w:rsidR="00946597">
        <w:rPr>
          <w:rFonts w:cs="Times New Roman"/>
          <w:szCs w:val="24"/>
        </w:rPr>
        <w:t>ve system from ensemble Kalman filter analyses using WSR-88D and CASA radar d</w:t>
      </w:r>
      <w:r w:rsidRPr="00E31A3B">
        <w:rPr>
          <w:rFonts w:cs="Times New Roman"/>
          <w:szCs w:val="24"/>
        </w:rPr>
        <w:t xml:space="preserve">ata. </w:t>
      </w:r>
      <w:r w:rsidRPr="00E31A3B">
        <w:rPr>
          <w:rFonts w:cs="Times New Roman"/>
          <w:i/>
          <w:szCs w:val="24"/>
        </w:rPr>
        <w:t>Mon. Wea. Rev.</w:t>
      </w:r>
      <w:r w:rsidRPr="00E31A3B">
        <w:rPr>
          <w:rFonts w:cs="Times New Roman"/>
          <w:szCs w:val="24"/>
        </w:rPr>
        <w:t xml:space="preserve">, </w:t>
      </w:r>
      <w:r w:rsidRPr="00055285">
        <w:rPr>
          <w:rFonts w:cs="Times New Roman"/>
          <w:b/>
          <w:szCs w:val="24"/>
        </w:rPr>
        <w:t>140</w:t>
      </w:r>
      <w:r w:rsidRPr="00E31A3B">
        <w:rPr>
          <w:rFonts w:cs="Times New Roman"/>
          <w:szCs w:val="24"/>
        </w:rPr>
        <w:t>, 2126–2146.</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5A1F92">
        <w:rPr>
          <w:rFonts w:cs="Times New Roman"/>
          <w:szCs w:val="24"/>
        </w:rPr>
        <w:t>Stensrud,</w:t>
      </w:r>
      <w:r w:rsidR="00946597">
        <w:rPr>
          <w:rFonts w:cs="Times New Roman"/>
          <w:szCs w:val="24"/>
        </w:rPr>
        <w:t xml:space="preserve"> D. J., 2007: Parameterization schemes: Keys to understanding numerical weather prediction m</w:t>
      </w:r>
      <w:r w:rsidRPr="005A1F92">
        <w:rPr>
          <w:rFonts w:cs="Times New Roman"/>
          <w:szCs w:val="24"/>
        </w:rPr>
        <w:t xml:space="preserve">odels. </w:t>
      </w:r>
      <w:r w:rsidRPr="005A1F92">
        <w:rPr>
          <w:rFonts w:cs="Times New Roman"/>
          <w:i/>
          <w:szCs w:val="24"/>
        </w:rPr>
        <w:t>Cambridge University Press</w:t>
      </w:r>
      <w:r w:rsidRPr="005A1F92">
        <w:rPr>
          <w:rFonts w:cs="Times New Roman"/>
          <w:szCs w:val="24"/>
        </w:rPr>
        <w:t>.</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514F74">
        <w:rPr>
          <w:rFonts w:cs="Times New Roman"/>
          <w:szCs w:val="24"/>
        </w:rPr>
        <w:t>Stensrud, D. J., L. J. Wicker, K. E. Kelleher, M. Xue, M. P. Foster, J. T. Schaefer, R. S. Schneider, S. G. Benjamin, S. S. Weygandt, J. T. Ferree, and</w:t>
      </w:r>
      <w:r w:rsidR="00946597">
        <w:rPr>
          <w:rFonts w:cs="Times New Roman"/>
          <w:szCs w:val="24"/>
        </w:rPr>
        <w:t xml:space="preserve"> J. P. Tuell, 2009: </w:t>
      </w:r>
      <w:r w:rsidR="00946597">
        <w:rPr>
          <w:rFonts w:cs="Times New Roman"/>
          <w:szCs w:val="24"/>
        </w:rPr>
        <w:lastRenderedPageBreak/>
        <w:t>Convective-scale Warn-on-Forecast s</w:t>
      </w:r>
      <w:r w:rsidRPr="00514F74">
        <w:rPr>
          <w:rFonts w:cs="Times New Roman"/>
          <w:szCs w:val="24"/>
        </w:rPr>
        <w:t xml:space="preserve">ystem. Bull. Amer. Meteor. Soc., </w:t>
      </w:r>
      <w:r w:rsidRPr="00055285">
        <w:rPr>
          <w:rFonts w:cs="Times New Roman"/>
          <w:b/>
          <w:szCs w:val="24"/>
        </w:rPr>
        <w:t>90</w:t>
      </w:r>
      <w:r w:rsidRPr="00514F74">
        <w:rPr>
          <w:rFonts w:cs="Times New Roman"/>
          <w:szCs w:val="24"/>
        </w:rPr>
        <w:t>, 1487–1499.</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Stensrud</w:t>
      </w:r>
      <w:r>
        <w:rPr>
          <w:rFonts w:cs="Times New Roman"/>
          <w:szCs w:val="24"/>
        </w:rPr>
        <w:t>, D. J., and J.</w:t>
      </w:r>
      <w:r w:rsidR="00946597">
        <w:rPr>
          <w:rFonts w:cs="Times New Roman"/>
          <w:szCs w:val="24"/>
        </w:rPr>
        <w:t xml:space="preserve"> Gao, 2010: Importance of horizontally inhomogeneous environmental initial conditions to ensemble storm-scale radar data assimilation and very short-range f</w:t>
      </w:r>
      <w:r w:rsidRPr="00683A2F">
        <w:rPr>
          <w:rFonts w:cs="Times New Roman"/>
          <w:szCs w:val="24"/>
        </w:rPr>
        <w:t xml:space="preserve">orecasts. </w:t>
      </w:r>
      <w:r w:rsidRPr="00683A2F">
        <w:rPr>
          <w:rFonts w:cs="Times New Roman"/>
          <w:i/>
          <w:szCs w:val="24"/>
        </w:rPr>
        <w:t>Mon. Wea. Rev.</w:t>
      </w:r>
      <w:r w:rsidRPr="00683A2F">
        <w:rPr>
          <w:rFonts w:cs="Times New Roman"/>
          <w:szCs w:val="24"/>
        </w:rPr>
        <w:t xml:space="preserve">, </w:t>
      </w:r>
      <w:r w:rsidRPr="00055285">
        <w:rPr>
          <w:rFonts w:cs="Times New Roman"/>
          <w:b/>
          <w:szCs w:val="24"/>
        </w:rPr>
        <w:t>138</w:t>
      </w:r>
      <w:r w:rsidRPr="00683A2F">
        <w:rPr>
          <w:rFonts w:cs="Times New Roman"/>
          <w:szCs w:val="24"/>
        </w:rPr>
        <w:t>, 1250–1272.</w:t>
      </w:r>
    </w:p>
    <w:p w:rsidR="003762D6" w:rsidRPr="00447A88"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447A88">
        <w:rPr>
          <w:rFonts w:cs="Times New Roman"/>
          <w:szCs w:val="24"/>
        </w:rPr>
        <w:t xml:space="preserve">Stensrud, D. J., L. J. Wicker, M. Xue, D. T. Dawson, N. Yussouf, D. M. Wheatley, T. E. Thompson, N. A. Snook, T. M. Smith, A. D. Schenkman, C. K. Potvin, E. R. Mansell, T. Lei, K. M. Kuhlman, Y. Jung, T. A. Jones, J. Gao, M. C. Coniglio, H. E. Brooks, K. A. Brewster, 2013: Progress and challenges with Warn-on-Forecast. </w:t>
      </w:r>
      <w:r w:rsidRPr="00447A88">
        <w:rPr>
          <w:rFonts w:cs="Times New Roman"/>
          <w:i/>
          <w:szCs w:val="24"/>
        </w:rPr>
        <w:t>Atmos. Res.</w:t>
      </w:r>
      <w:r w:rsidRPr="00447A88">
        <w:rPr>
          <w:rFonts w:cs="Times New Roman"/>
          <w:szCs w:val="24"/>
        </w:rPr>
        <w:t xml:space="preserve">, </w:t>
      </w:r>
      <w:r w:rsidRPr="00055285">
        <w:rPr>
          <w:rFonts w:cs="Times New Roman"/>
          <w:b/>
          <w:szCs w:val="24"/>
        </w:rPr>
        <w:t>123</w:t>
      </w:r>
      <w:r w:rsidRPr="00447A88">
        <w:rPr>
          <w:rFonts w:cs="Times New Roman"/>
          <w:szCs w:val="24"/>
        </w:rPr>
        <w:t>, 2-16.</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514F74">
        <w:rPr>
          <w:rFonts w:cs="Times New Roman"/>
          <w:szCs w:val="24"/>
        </w:rPr>
        <w:t>Stratman,</w:t>
      </w:r>
      <w:r>
        <w:rPr>
          <w:rFonts w:cs="Times New Roman"/>
          <w:szCs w:val="24"/>
        </w:rPr>
        <w:t xml:space="preserve"> D. R., M. C. Coniglio, S. E. Koch, and M.</w:t>
      </w:r>
      <w:r w:rsidR="00946597">
        <w:rPr>
          <w:rFonts w:cs="Times New Roman"/>
          <w:szCs w:val="24"/>
        </w:rPr>
        <w:t xml:space="preserve"> Xue, 2013: Use of multiple verification methods to evaluate forecasts of convection from hot- and cold-start convection-allowing m</w:t>
      </w:r>
      <w:r w:rsidRPr="00514F74">
        <w:rPr>
          <w:rFonts w:cs="Times New Roman"/>
          <w:szCs w:val="24"/>
        </w:rPr>
        <w:t xml:space="preserve">odels. </w:t>
      </w:r>
      <w:r w:rsidRPr="00514F74">
        <w:rPr>
          <w:rFonts w:cs="Times New Roman"/>
          <w:i/>
          <w:szCs w:val="24"/>
        </w:rPr>
        <w:t>Wea. Forecasting</w:t>
      </w:r>
      <w:r w:rsidRPr="00514F74">
        <w:rPr>
          <w:rFonts w:cs="Times New Roman"/>
          <w:szCs w:val="24"/>
        </w:rPr>
        <w:t xml:space="preserve">, </w:t>
      </w:r>
      <w:r w:rsidRPr="00055285">
        <w:rPr>
          <w:rFonts w:cs="Times New Roman"/>
          <w:b/>
          <w:szCs w:val="24"/>
        </w:rPr>
        <w:t>28</w:t>
      </w:r>
      <w:r w:rsidRPr="00514F74">
        <w:rPr>
          <w:rFonts w:cs="Times New Roman"/>
          <w:szCs w:val="24"/>
        </w:rPr>
        <w:t>, 119–138.</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C15D7B">
        <w:rPr>
          <w:rFonts w:cs="Times New Roman"/>
          <w:szCs w:val="24"/>
        </w:rPr>
        <w:t>Sun, W.-Y., and C.-Z. Chang, 1986: Diffusion model for a convect</w:t>
      </w:r>
      <w:r w:rsidR="00B0475D">
        <w:rPr>
          <w:rFonts w:cs="Times New Roman"/>
          <w:szCs w:val="24"/>
        </w:rPr>
        <w:t>ive layer. Part I: Numerical</w:t>
      </w:r>
      <w:r w:rsidRPr="00C15D7B">
        <w:rPr>
          <w:rFonts w:cs="Times New Roman"/>
          <w:szCs w:val="24"/>
        </w:rPr>
        <w:t xml:space="preserve"> simulation of convective boundary layer. </w:t>
      </w:r>
      <w:r w:rsidRPr="00C15D7B">
        <w:rPr>
          <w:rFonts w:cs="Times New Roman"/>
          <w:i/>
          <w:szCs w:val="24"/>
        </w:rPr>
        <w:t>J. Climate App. Meteorol.</w:t>
      </w:r>
      <w:r w:rsidRPr="00C15D7B">
        <w:rPr>
          <w:rFonts w:cs="Times New Roman"/>
          <w:szCs w:val="24"/>
        </w:rPr>
        <w:t xml:space="preserve">, </w:t>
      </w:r>
      <w:r w:rsidRPr="00055285">
        <w:rPr>
          <w:rFonts w:cs="Times New Roman"/>
          <w:b/>
          <w:szCs w:val="24"/>
        </w:rPr>
        <w:t>25</w:t>
      </w:r>
      <w:r w:rsidRPr="00C15D7B">
        <w:rPr>
          <w:rFonts w:cs="Times New Roman"/>
          <w:szCs w:val="24"/>
        </w:rPr>
        <w:t>, 1445–1453.</w:t>
      </w:r>
    </w:p>
    <w:p w:rsidR="003762D6" w:rsidRDefault="003762D6" w:rsidP="003762D6">
      <w:pPr>
        <w:pStyle w:val="NoSpacing"/>
        <w:spacing w:line="240" w:lineRule="auto"/>
        <w:ind w:left="360" w:hanging="360"/>
        <w:rPr>
          <w:rFonts w:cs="Times New Roman"/>
          <w:szCs w:val="24"/>
        </w:rPr>
      </w:pPr>
    </w:p>
    <w:p w:rsidR="00017111" w:rsidRDefault="00017111" w:rsidP="003762D6">
      <w:pPr>
        <w:pStyle w:val="NoSpacing"/>
        <w:spacing w:line="240" w:lineRule="auto"/>
        <w:ind w:left="360" w:hanging="360"/>
        <w:rPr>
          <w:rFonts w:cs="Times New Roman"/>
          <w:szCs w:val="24"/>
        </w:rPr>
      </w:pPr>
      <w:r w:rsidRPr="00E70CE0">
        <w:rPr>
          <w:rFonts w:cs="Times New Roman"/>
          <w:szCs w:val="24"/>
        </w:rPr>
        <w:t>Tanamachi,</w:t>
      </w:r>
      <w:r>
        <w:rPr>
          <w:rFonts w:cs="Times New Roman"/>
          <w:szCs w:val="24"/>
        </w:rPr>
        <w:t xml:space="preserve"> R. L., P. L. Heinselman, and L.</w:t>
      </w:r>
      <w:r w:rsidRPr="00E70CE0">
        <w:rPr>
          <w:rFonts w:cs="Times New Roman"/>
          <w:szCs w:val="24"/>
        </w:rPr>
        <w:t xml:space="preserve"> J. Wicker, 2015:</w:t>
      </w:r>
      <w:r w:rsidR="00B0475D">
        <w:rPr>
          <w:rFonts w:cs="Times New Roman"/>
          <w:szCs w:val="24"/>
        </w:rPr>
        <w:t xml:space="preserve"> Impacts of a storm m</w:t>
      </w:r>
      <w:r w:rsidRPr="00E70CE0">
        <w:rPr>
          <w:rFonts w:cs="Times New Roman"/>
          <w:szCs w:val="24"/>
        </w:rPr>
        <w:t xml:space="preserve">erger on the </w:t>
      </w:r>
      <w:r w:rsidR="00B0475D">
        <w:rPr>
          <w:rFonts w:cs="Times New Roman"/>
          <w:szCs w:val="24"/>
        </w:rPr>
        <w:t>24 May 2011 El Reno, Oklahoma, tornadic s</w:t>
      </w:r>
      <w:r w:rsidRPr="00E70CE0">
        <w:rPr>
          <w:rFonts w:cs="Times New Roman"/>
          <w:szCs w:val="24"/>
        </w:rPr>
        <w:t xml:space="preserve">upercell. </w:t>
      </w:r>
      <w:r w:rsidRPr="00E70CE0">
        <w:rPr>
          <w:rFonts w:cs="Times New Roman"/>
          <w:i/>
          <w:szCs w:val="24"/>
        </w:rPr>
        <w:t>Wea. Forecasting</w:t>
      </w:r>
      <w:r w:rsidRPr="00E70CE0">
        <w:rPr>
          <w:rFonts w:cs="Times New Roman"/>
          <w:szCs w:val="24"/>
        </w:rPr>
        <w:t xml:space="preserve">, </w:t>
      </w:r>
      <w:r w:rsidRPr="00055285">
        <w:rPr>
          <w:rFonts w:cs="Times New Roman"/>
          <w:b/>
          <w:szCs w:val="24"/>
        </w:rPr>
        <w:t>30</w:t>
      </w:r>
      <w:r w:rsidRPr="00E70CE0">
        <w:rPr>
          <w:rFonts w:cs="Times New Roman"/>
          <w:szCs w:val="24"/>
        </w:rPr>
        <w:t>, 501–524.</w:t>
      </w:r>
    </w:p>
    <w:p w:rsidR="003762D6" w:rsidRDefault="003762D6" w:rsidP="003762D6">
      <w:pPr>
        <w:pStyle w:val="NoSpacing"/>
        <w:spacing w:line="240" w:lineRule="auto"/>
        <w:ind w:left="360" w:hanging="360"/>
        <w:rPr>
          <w:rFonts w:cs="Times New Roman"/>
          <w:szCs w:val="24"/>
        </w:rPr>
      </w:pPr>
    </w:p>
    <w:p w:rsidR="00091668" w:rsidRDefault="00091668" w:rsidP="003762D6">
      <w:pPr>
        <w:pStyle w:val="NoSpacing"/>
        <w:spacing w:line="240" w:lineRule="auto"/>
        <w:ind w:left="360" w:hanging="360"/>
        <w:rPr>
          <w:rFonts w:cs="Times New Roman"/>
          <w:szCs w:val="24"/>
        </w:rPr>
      </w:pPr>
      <w:r w:rsidRPr="00091020">
        <w:rPr>
          <w:rFonts w:cs="Times New Roman"/>
          <w:szCs w:val="24"/>
        </w:rPr>
        <w:t xml:space="preserve">Thompson, G., P. R. Field, R. M. Rasmussen, and W. D. Hall, 2008: Explicit forecasts of winter precipitation using an improved bulk microphysics scheme. Part II: Implementation of a new snow parameterization. </w:t>
      </w:r>
      <w:r w:rsidRPr="00091020">
        <w:rPr>
          <w:rFonts w:cs="Times New Roman"/>
          <w:i/>
          <w:szCs w:val="24"/>
        </w:rPr>
        <w:t>Mon. Wea. Rev.</w:t>
      </w:r>
      <w:r w:rsidRPr="00091020">
        <w:rPr>
          <w:rFonts w:cs="Times New Roman"/>
          <w:szCs w:val="24"/>
        </w:rPr>
        <w:t xml:space="preserve">, </w:t>
      </w:r>
      <w:r w:rsidRPr="00091020">
        <w:rPr>
          <w:rFonts w:cs="Times New Roman"/>
          <w:b/>
          <w:szCs w:val="24"/>
        </w:rPr>
        <w:t>136</w:t>
      </w:r>
      <w:r w:rsidRPr="00091020">
        <w:rPr>
          <w:rFonts w:cs="Times New Roman"/>
          <w:szCs w:val="24"/>
        </w:rPr>
        <w:t>, 5095–5115</w:t>
      </w:r>
      <w:r>
        <w:rPr>
          <w:rFonts w:cs="Times New Roman"/>
          <w:szCs w:val="24"/>
        </w:rPr>
        <w:t>.</w:t>
      </w:r>
    </w:p>
    <w:p w:rsidR="003762D6" w:rsidRDefault="003762D6" w:rsidP="003762D6">
      <w:pPr>
        <w:pStyle w:val="NoSpacing"/>
        <w:spacing w:line="240" w:lineRule="auto"/>
        <w:ind w:left="360" w:hanging="360"/>
        <w:rPr>
          <w:rFonts w:cs="Times New Roman"/>
          <w:szCs w:val="24"/>
        </w:rPr>
      </w:pPr>
    </w:p>
    <w:p w:rsidR="00781FDE" w:rsidRDefault="00781FDE" w:rsidP="003762D6">
      <w:pPr>
        <w:pStyle w:val="NoSpacing"/>
        <w:spacing w:line="240" w:lineRule="auto"/>
        <w:ind w:left="360" w:hanging="360"/>
        <w:rPr>
          <w:rFonts w:cs="Times New Roman"/>
          <w:szCs w:val="24"/>
        </w:rPr>
      </w:pPr>
      <w:r w:rsidRPr="00226D5A">
        <w:rPr>
          <w:rFonts w:cs="Times New Roman"/>
          <w:szCs w:val="24"/>
        </w:rPr>
        <w:t xml:space="preserve">Thompson, R. L., R. Edwards, J. A. Hart, K. L. Elmore, and P. Markowski, 2003: Close proximity soundings within supercell environments obtained from the Rapid Update Cycle. </w:t>
      </w:r>
      <w:r w:rsidRPr="00226D5A">
        <w:rPr>
          <w:rFonts w:cs="Times New Roman"/>
          <w:i/>
          <w:szCs w:val="24"/>
        </w:rPr>
        <w:t>Wea. Forecasting</w:t>
      </w:r>
      <w:r w:rsidRPr="00226D5A">
        <w:rPr>
          <w:rFonts w:cs="Times New Roman"/>
          <w:szCs w:val="24"/>
        </w:rPr>
        <w:t xml:space="preserve">, </w:t>
      </w:r>
      <w:r w:rsidRPr="00055285">
        <w:rPr>
          <w:rFonts w:cs="Times New Roman"/>
          <w:b/>
          <w:szCs w:val="24"/>
        </w:rPr>
        <w:t>18</w:t>
      </w:r>
      <w:r w:rsidRPr="00226D5A">
        <w:rPr>
          <w:rFonts w:cs="Times New Roman"/>
          <w:szCs w:val="24"/>
        </w:rPr>
        <w:t>, 1243–1261.</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683A2F">
        <w:rPr>
          <w:rFonts w:cs="Times New Roman"/>
          <w:szCs w:val="24"/>
        </w:rPr>
        <w:t>Wainwright,</w:t>
      </w:r>
      <w:r>
        <w:rPr>
          <w:rFonts w:cs="Times New Roman"/>
          <w:szCs w:val="24"/>
        </w:rPr>
        <w:t xml:space="preserve"> C. E., D. T. Dawson II, M. Xue, and G.</w:t>
      </w:r>
      <w:r w:rsidRPr="00683A2F">
        <w:rPr>
          <w:rFonts w:cs="Times New Roman"/>
          <w:szCs w:val="24"/>
        </w:rPr>
        <w:t xml:space="preserve"> Zhang, 2014:</w:t>
      </w:r>
      <w:r w:rsidR="00B0475D">
        <w:rPr>
          <w:rFonts w:cs="Times New Roman"/>
          <w:szCs w:val="24"/>
        </w:rPr>
        <w:t xml:space="preserve"> Diagnosing the intercept parameters of the exponential drop size distributions in a single-moment microphysics scheme and impact on supercell storm s</w:t>
      </w:r>
      <w:r w:rsidRPr="00683A2F">
        <w:rPr>
          <w:rFonts w:cs="Times New Roman"/>
          <w:szCs w:val="24"/>
        </w:rPr>
        <w:t xml:space="preserve">imulations. </w:t>
      </w:r>
      <w:r w:rsidRPr="00683A2F">
        <w:rPr>
          <w:rFonts w:cs="Times New Roman"/>
          <w:i/>
          <w:szCs w:val="24"/>
        </w:rPr>
        <w:t>J. Appl. Meteor. Climatol.</w:t>
      </w:r>
      <w:r w:rsidRPr="00683A2F">
        <w:rPr>
          <w:rFonts w:cs="Times New Roman"/>
          <w:szCs w:val="24"/>
        </w:rPr>
        <w:t xml:space="preserve">, </w:t>
      </w:r>
      <w:r w:rsidRPr="00055285">
        <w:rPr>
          <w:rFonts w:cs="Times New Roman"/>
          <w:b/>
          <w:szCs w:val="24"/>
        </w:rPr>
        <w:t>53</w:t>
      </w:r>
      <w:r w:rsidRPr="00683A2F">
        <w:rPr>
          <w:rFonts w:cs="Times New Roman"/>
          <w:szCs w:val="24"/>
        </w:rPr>
        <w:t>, 2072–2090.</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Wheatley,</w:t>
      </w:r>
      <w:r>
        <w:rPr>
          <w:rFonts w:cs="Times New Roman"/>
          <w:szCs w:val="24"/>
        </w:rPr>
        <w:t xml:space="preserve"> D. M., N. Yussouf, and D.</w:t>
      </w:r>
      <w:r w:rsidRPr="00E7103E">
        <w:rPr>
          <w:rFonts w:cs="Times New Roman"/>
          <w:szCs w:val="24"/>
        </w:rPr>
        <w:t xml:space="preserve"> J. Stensrud, 2</w:t>
      </w:r>
      <w:r w:rsidR="00B0475D">
        <w:rPr>
          <w:rFonts w:cs="Times New Roman"/>
          <w:szCs w:val="24"/>
        </w:rPr>
        <w:t>014: Ensemble Kalman filter analyses and forecasts of a severe mesoscale convective system using different choices of microphysics s</w:t>
      </w:r>
      <w:r w:rsidRPr="00E7103E">
        <w:rPr>
          <w:rFonts w:cs="Times New Roman"/>
          <w:szCs w:val="24"/>
        </w:rPr>
        <w:t xml:space="preserve">chemes. </w:t>
      </w:r>
      <w:r w:rsidRPr="00E7103E">
        <w:rPr>
          <w:rFonts w:cs="Times New Roman"/>
          <w:i/>
          <w:szCs w:val="24"/>
        </w:rPr>
        <w:t>Mon. Wea. Rev.</w:t>
      </w:r>
      <w:r w:rsidRPr="00E7103E">
        <w:rPr>
          <w:rFonts w:cs="Times New Roman"/>
          <w:szCs w:val="24"/>
        </w:rPr>
        <w:t xml:space="preserve">, </w:t>
      </w:r>
      <w:r w:rsidRPr="00055285">
        <w:rPr>
          <w:rFonts w:cs="Times New Roman"/>
          <w:b/>
          <w:szCs w:val="24"/>
        </w:rPr>
        <w:t>142</w:t>
      </w:r>
      <w:r w:rsidRPr="00E7103E">
        <w:rPr>
          <w:rFonts w:cs="Times New Roman"/>
          <w:szCs w:val="24"/>
        </w:rPr>
        <w:t>, 3243–3263.</w:t>
      </w:r>
    </w:p>
    <w:p w:rsidR="003762D6" w:rsidRDefault="003762D6" w:rsidP="003762D6">
      <w:pPr>
        <w:pStyle w:val="NoSpacing"/>
        <w:spacing w:line="240" w:lineRule="auto"/>
        <w:ind w:left="360" w:hanging="360"/>
        <w:rPr>
          <w:rFonts w:cs="Times New Roman"/>
          <w:szCs w:val="24"/>
        </w:rPr>
      </w:pPr>
    </w:p>
    <w:p w:rsidR="00994B08" w:rsidRDefault="00994B08" w:rsidP="003762D6">
      <w:pPr>
        <w:pStyle w:val="NoSpacing"/>
        <w:spacing w:line="240" w:lineRule="auto"/>
        <w:ind w:left="360" w:hanging="360"/>
        <w:rPr>
          <w:rFonts w:cs="Times New Roman"/>
          <w:szCs w:val="24"/>
        </w:rPr>
      </w:pPr>
      <w:r w:rsidRPr="00E70CE0">
        <w:rPr>
          <w:rFonts w:cs="Times New Roman"/>
          <w:szCs w:val="24"/>
        </w:rPr>
        <w:t>Xu,</w:t>
      </w:r>
      <w:r>
        <w:rPr>
          <w:rFonts w:cs="Times New Roman"/>
          <w:szCs w:val="24"/>
        </w:rPr>
        <w:t xml:space="preserve"> Q., L. Wei, and K.</w:t>
      </w:r>
      <w:r w:rsidR="00B0475D">
        <w:rPr>
          <w:rFonts w:cs="Times New Roman"/>
          <w:szCs w:val="24"/>
        </w:rPr>
        <w:t xml:space="preserve"> Nai, 2015: Analyzing vortex winds in radar-observed t</w:t>
      </w:r>
      <w:r w:rsidRPr="00E70CE0">
        <w:rPr>
          <w:rFonts w:cs="Times New Roman"/>
          <w:szCs w:val="24"/>
        </w:rPr>
        <w:t>ornadic</w:t>
      </w:r>
      <w:r w:rsidR="00B0475D">
        <w:rPr>
          <w:rFonts w:cs="Times New Roman"/>
          <w:szCs w:val="24"/>
        </w:rPr>
        <w:t xml:space="preserve"> mesocyclones for nowcast a</w:t>
      </w:r>
      <w:r w:rsidRPr="00E70CE0">
        <w:rPr>
          <w:rFonts w:cs="Times New Roman"/>
          <w:szCs w:val="24"/>
        </w:rPr>
        <w:t xml:space="preserve">pplications. </w:t>
      </w:r>
      <w:r w:rsidRPr="00E70CE0">
        <w:rPr>
          <w:rFonts w:cs="Times New Roman"/>
          <w:i/>
          <w:szCs w:val="24"/>
        </w:rPr>
        <w:t>Wea. Forecasting</w:t>
      </w:r>
      <w:r w:rsidRPr="00E70CE0">
        <w:rPr>
          <w:rFonts w:cs="Times New Roman"/>
          <w:szCs w:val="24"/>
        </w:rPr>
        <w:t xml:space="preserve">, </w:t>
      </w:r>
      <w:r w:rsidRPr="00055285">
        <w:rPr>
          <w:rFonts w:cs="Times New Roman"/>
          <w:b/>
          <w:szCs w:val="24"/>
        </w:rPr>
        <w:t>30</w:t>
      </w:r>
      <w:r w:rsidRPr="00E70CE0">
        <w:rPr>
          <w:rFonts w:cs="Times New Roman"/>
          <w:szCs w:val="24"/>
        </w:rPr>
        <w:t>, 1140–1157.</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lastRenderedPageBreak/>
        <w:t xml:space="preserve">Xue, M., K. K. Droegemeier, and V. Wong, 2000: The Advanced Regional Prediction System (ARPS) - A multiscale nonhydrostatic atmospheric simulation and prediction tool. Part I: Model dynamics and verification. </w:t>
      </w:r>
      <w:r>
        <w:rPr>
          <w:rFonts w:cs="Times New Roman"/>
          <w:i/>
          <w:szCs w:val="24"/>
        </w:rPr>
        <w:t>Meteor. Atmos. Physics</w:t>
      </w:r>
      <w:r w:rsidRPr="00E7103E">
        <w:rPr>
          <w:rFonts w:cs="Times New Roman"/>
          <w:szCs w:val="24"/>
        </w:rPr>
        <w:t xml:space="preserve">, </w:t>
      </w:r>
      <w:r w:rsidRPr="00055285">
        <w:rPr>
          <w:rFonts w:cs="Times New Roman"/>
          <w:b/>
          <w:szCs w:val="24"/>
        </w:rPr>
        <w:t>75</w:t>
      </w:r>
      <w:r w:rsidRPr="00E7103E">
        <w:rPr>
          <w:rFonts w:cs="Times New Roman"/>
          <w:szCs w:val="24"/>
        </w:rPr>
        <w:t>, 161-193.</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 xml:space="preserve">Xue, M., K. K. Droegemeier, V. Wong, A. Shapiro, K. Brewster, F. Carr, D. Weber, Y. Liu, and D.-H. Wang, 2001: The Advanced Regional Prediction System (ARPS) - A multiscale nonhydrostatic atmospheric simulation and prediction tool. Part II: Model physics and applications. </w:t>
      </w:r>
      <w:r>
        <w:rPr>
          <w:rFonts w:cs="Times New Roman"/>
          <w:i/>
          <w:szCs w:val="24"/>
        </w:rPr>
        <w:t>Meteor. Atmos. Physics</w:t>
      </w:r>
      <w:r w:rsidRPr="00E7103E">
        <w:rPr>
          <w:rFonts w:cs="Times New Roman"/>
          <w:szCs w:val="24"/>
        </w:rPr>
        <w:t xml:space="preserve">, </w:t>
      </w:r>
      <w:r w:rsidRPr="00055285">
        <w:rPr>
          <w:rFonts w:cs="Times New Roman"/>
          <w:b/>
          <w:szCs w:val="24"/>
        </w:rPr>
        <w:t>76</w:t>
      </w:r>
      <w:r w:rsidRPr="00E7103E">
        <w:rPr>
          <w:rFonts w:cs="Times New Roman"/>
          <w:szCs w:val="24"/>
        </w:rPr>
        <w:t>, 134-165.</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E7103E">
        <w:rPr>
          <w:rFonts w:cs="Times New Roman"/>
          <w:szCs w:val="24"/>
        </w:rPr>
        <w:t xml:space="preserve">Xue, M., D.-H. Wang, J.-D. Gao, K. Brewster, and K. K. Droegemeier, 2003: The Advanced Regional Prediction System (ARPS), storm-scale numerical weather prediction and data assimilation. </w:t>
      </w:r>
      <w:r w:rsidRPr="00E7103E">
        <w:rPr>
          <w:rFonts w:cs="Times New Roman"/>
          <w:i/>
          <w:szCs w:val="24"/>
        </w:rPr>
        <w:t>Meteor. Atmos. Physics</w:t>
      </w:r>
      <w:r w:rsidRPr="00E7103E">
        <w:rPr>
          <w:rFonts w:cs="Times New Roman"/>
          <w:szCs w:val="24"/>
        </w:rPr>
        <w:t xml:space="preserve">, </w:t>
      </w:r>
      <w:r w:rsidRPr="00055285">
        <w:rPr>
          <w:rFonts w:cs="Times New Roman"/>
          <w:b/>
          <w:szCs w:val="24"/>
        </w:rPr>
        <w:t>82</w:t>
      </w:r>
      <w:r w:rsidRPr="00E7103E">
        <w:rPr>
          <w:rFonts w:cs="Times New Roman"/>
          <w:szCs w:val="24"/>
        </w:rPr>
        <w:t>, 139-170.</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1360A8">
        <w:rPr>
          <w:rFonts w:cs="Times New Roman"/>
          <w:szCs w:val="24"/>
        </w:rPr>
        <w:t>Xue,</w:t>
      </w:r>
      <w:r>
        <w:rPr>
          <w:rFonts w:cs="Times New Roman"/>
          <w:szCs w:val="24"/>
        </w:rPr>
        <w:t xml:space="preserve"> M., M.</w:t>
      </w:r>
      <w:r w:rsidRPr="001360A8">
        <w:rPr>
          <w:rFonts w:cs="Times New Roman"/>
          <w:szCs w:val="24"/>
        </w:rPr>
        <w:t xml:space="preserve"> </w:t>
      </w:r>
      <w:r>
        <w:rPr>
          <w:rFonts w:cs="Times New Roman"/>
          <w:szCs w:val="24"/>
        </w:rPr>
        <w:t>Tong, and K.</w:t>
      </w:r>
      <w:r w:rsidR="00B0475D">
        <w:rPr>
          <w:rFonts w:cs="Times New Roman"/>
          <w:szCs w:val="24"/>
        </w:rPr>
        <w:t xml:space="preserve"> K. Droegemeier, 2006: An OSSE framework based on the ensemble square root Kalman filter for evaluating the impact of data from radar n</w:t>
      </w:r>
      <w:r w:rsidRPr="001360A8">
        <w:rPr>
          <w:rFonts w:cs="Times New Roman"/>
          <w:szCs w:val="24"/>
        </w:rPr>
        <w:t>etworks o</w:t>
      </w:r>
      <w:r w:rsidR="00B0475D">
        <w:rPr>
          <w:rFonts w:cs="Times New Roman"/>
          <w:szCs w:val="24"/>
        </w:rPr>
        <w:t>n thunderstorm analysis and f</w:t>
      </w:r>
      <w:r w:rsidRPr="001360A8">
        <w:rPr>
          <w:rFonts w:cs="Times New Roman"/>
          <w:szCs w:val="24"/>
        </w:rPr>
        <w:t xml:space="preserve">orecasting. </w:t>
      </w:r>
      <w:r w:rsidRPr="001360A8">
        <w:rPr>
          <w:rFonts w:cs="Times New Roman"/>
          <w:i/>
          <w:szCs w:val="24"/>
        </w:rPr>
        <w:t>J. Atmos. Oceanic Technol.</w:t>
      </w:r>
      <w:r w:rsidRPr="001360A8">
        <w:rPr>
          <w:rFonts w:cs="Times New Roman"/>
          <w:szCs w:val="24"/>
        </w:rPr>
        <w:t xml:space="preserve">, </w:t>
      </w:r>
      <w:r w:rsidRPr="00055285">
        <w:rPr>
          <w:rFonts w:cs="Times New Roman"/>
          <w:b/>
          <w:szCs w:val="24"/>
        </w:rPr>
        <w:t>23</w:t>
      </w:r>
      <w:r w:rsidRPr="001360A8">
        <w:rPr>
          <w:rFonts w:cs="Times New Roman"/>
          <w:szCs w:val="24"/>
        </w:rPr>
        <w:t>, 46–66.</w:t>
      </w:r>
    </w:p>
    <w:p w:rsidR="003762D6" w:rsidRDefault="003762D6" w:rsidP="003762D6">
      <w:pPr>
        <w:pStyle w:val="NoSpacing"/>
        <w:spacing w:line="240" w:lineRule="auto"/>
        <w:ind w:left="360" w:hanging="360"/>
        <w:rPr>
          <w:rFonts w:cs="Times New Roman"/>
          <w:szCs w:val="24"/>
        </w:rPr>
      </w:pPr>
    </w:p>
    <w:p w:rsidR="008C0EA7" w:rsidRDefault="008C0EA7" w:rsidP="003762D6">
      <w:pPr>
        <w:pStyle w:val="NoSpacing"/>
        <w:spacing w:line="240" w:lineRule="auto"/>
        <w:ind w:left="360" w:hanging="360"/>
        <w:rPr>
          <w:rFonts w:cs="Times New Roman"/>
          <w:szCs w:val="24"/>
        </w:rPr>
      </w:pPr>
      <w:r w:rsidRPr="008B202D">
        <w:rPr>
          <w:rFonts w:cs="Times New Roman"/>
          <w:szCs w:val="24"/>
        </w:rPr>
        <w:t>Xue, M., J. Schleif, F. Kong, K. W. Thomas, Y. Wan</w:t>
      </w:r>
      <w:r w:rsidR="00B0475D">
        <w:rPr>
          <w:rFonts w:cs="Times New Roman"/>
          <w:szCs w:val="24"/>
        </w:rPr>
        <w:t>g, and K. Zhu, 2013: Track and intensity forecasting of hurricanes: Impact of convection-permitting resolution and global e</w:t>
      </w:r>
      <w:r w:rsidRPr="008B202D">
        <w:rPr>
          <w:rFonts w:cs="Times New Roman"/>
          <w:szCs w:val="24"/>
        </w:rPr>
        <w:t>ns</w:t>
      </w:r>
      <w:r w:rsidR="00B0475D">
        <w:rPr>
          <w:rFonts w:cs="Times New Roman"/>
          <w:szCs w:val="24"/>
        </w:rPr>
        <w:t>emble Kalman filter analysis on 2010 Atlantic season f</w:t>
      </w:r>
      <w:r w:rsidRPr="008B202D">
        <w:rPr>
          <w:rFonts w:cs="Times New Roman"/>
          <w:szCs w:val="24"/>
        </w:rPr>
        <w:t xml:space="preserve">orecasts. </w:t>
      </w:r>
      <w:r w:rsidRPr="008B202D">
        <w:rPr>
          <w:rFonts w:cs="Times New Roman"/>
          <w:i/>
          <w:szCs w:val="24"/>
        </w:rPr>
        <w:t>Wea. Forecasting</w:t>
      </w:r>
      <w:r w:rsidRPr="008B202D">
        <w:rPr>
          <w:rFonts w:cs="Times New Roman"/>
          <w:szCs w:val="24"/>
        </w:rPr>
        <w:t xml:space="preserve">, </w:t>
      </w:r>
      <w:r w:rsidRPr="00055285">
        <w:rPr>
          <w:rFonts w:cs="Times New Roman"/>
          <w:b/>
          <w:szCs w:val="24"/>
        </w:rPr>
        <w:t>28</w:t>
      </w:r>
      <w:r w:rsidRPr="008B202D">
        <w:rPr>
          <w:rFonts w:cs="Times New Roman"/>
          <w:szCs w:val="24"/>
        </w:rPr>
        <w:t>, 1366–1384.</w:t>
      </w:r>
    </w:p>
    <w:p w:rsidR="003762D6"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7B4BEE">
        <w:rPr>
          <w:rFonts w:cs="Times New Roman"/>
          <w:szCs w:val="24"/>
        </w:rPr>
        <w:t>Yussouf, N., E. R. Mansell, L. J. Wicker, D. M. Wheatley,</w:t>
      </w:r>
      <w:r w:rsidR="00B0475D">
        <w:rPr>
          <w:rFonts w:cs="Times New Roman"/>
          <w:szCs w:val="24"/>
        </w:rPr>
        <w:t xml:space="preserve"> and D. J. Stensrud, 2013: The ensemble Kalman filter analyses and f</w:t>
      </w:r>
      <w:r w:rsidRPr="007B4BEE">
        <w:rPr>
          <w:rFonts w:cs="Times New Roman"/>
          <w:szCs w:val="24"/>
        </w:rPr>
        <w:t>orecasts of the 8 May 2003 Oklaho</w:t>
      </w:r>
      <w:r w:rsidR="00B0475D">
        <w:rPr>
          <w:rFonts w:cs="Times New Roman"/>
          <w:szCs w:val="24"/>
        </w:rPr>
        <w:t>ma City tornadic supercell storm using single- and double-moment microphysics s</w:t>
      </w:r>
      <w:r w:rsidRPr="007B4BEE">
        <w:rPr>
          <w:rFonts w:cs="Times New Roman"/>
          <w:szCs w:val="24"/>
        </w:rPr>
        <w:t xml:space="preserve">chemes. </w:t>
      </w:r>
      <w:r w:rsidRPr="007B4BEE">
        <w:rPr>
          <w:rFonts w:cs="Times New Roman"/>
          <w:i/>
          <w:szCs w:val="24"/>
        </w:rPr>
        <w:t>Mon. Wea. Rev.</w:t>
      </w:r>
      <w:r w:rsidRPr="007B4BEE">
        <w:rPr>
          <w:rFonts w:cs="Times New Roman"/>
          <w:szCs w:val="24"/>
        </w:rPr>
        <w:t xml:space="preserve">, </w:t>
      </w:r>
      <w:r w:rsidRPr="00055285">
        <w:rPr>
          <w:rFonts w:cs="Times New Roman"/>
          <w:b/>
          <w:szCs w:val="24"/>
        </w:rPr>
        <w:t>141</w:t>
      </w:r>
      <w:r w:rsidRPr="007B4BEE">
        <w:rPr>
          <w:rFonts w:cs="Times New Roman"/>
          <w:szCs w:val="24"/>
        </w:rPr>
        <w:t>, 3388–3412.</w:t>
      </w:r>
    </w:p>
    <w:p w:rsidR="003762D6" w:rsidRPr="007B4BEE" w:rsidRDefault="003762D6" w:rsidP="003762D6">
      <w:pPr>
        <w:pStyle w:val="NoSpacing"/>
        <w:spacing w:line="240" w:lineRule="auto"/>
        <w:ind w:left="360" w:hanging="360"/>
        <w:rPr>
          <w:rFonts w:cs="Times New Roman"/>
          <w:szCs w:val="24"/>
        </w:rPr>
      </w:pPr>
    </w:p>
    <w:p w:rsidR="006C6928" w:rsidRDefault="006C6928" w:rsidP="003762D6">
      <w:pPr>
        <w:pStyle w:val="NoSpacing"/>
        <w:spacing w:line="240" w:lineRule="auto"/>
        <w:ind w:left="360" w:hanging="360"/>
        <w:rPr>
          <w:rFonts w:cs="Times New Roman"/>
          <w:szCs w:val="24"/>
        </w:rPr>
      </w:pPr>
      <w:r w:rsidRPr="007B4BEE">
        <w:rPr>
          <w:rFonts w:cs="Times New Roman"/>
          <w:szCs w:val="24"/>
        </w:rPr>
        <w:t>Yussouf, N., D. C. Dowell, L. J. Wicker, K. H. Knopfmeier, a</w:t>
      </w:r>
      <w:r w:rsidR="00B0475D">
        <w:rPr>
          <w:rFonts w:cs="Times New Roman"/>
          <w:szCs w:val="24"/>
        </w:rPr>
        <w:t>nd D. M. Wheatley, 2015: Storm-scale data assimilation and ensemble f</w:t>
      </w:r>
      <w:r w:rsidRPr="007B4BEE">
        <w:rPr>
          <w:rFonts w:cs="Times New Roman"/>
          <w:szCs w:val="24"/>
        </w:rPr>
        <w:t>orecast</w:t>
      </w:r>
      <w:r w:rsidR="00B0475D">
        <w:rPr>
          <w:rFonts w:cs="Times New Roman"/>
          <w:szCs w:val="24"/>
        </w:rPr>
        <w:t>s for the 27 April 2011 severe weather outbreak in a</w:t>
      </w:r>
      <w:r w:rsidRPr="007B4BEE">
        <w:rPr>
          <w:rFonts w:cs="Times New Roman"/>
          <w:szCs w:val="24"/>
        </w:rPr>
        <w:t xml:space="preserve">labama. </w:t>
      </w:r>
      <w:r w:rsidRPr="007B4BEE">
        <w:rPr>
          <w:rFonts w:cs="Times New Roman"/>
          <w:i/>
          <w:szCs w:val="24"/>
        </w:rPr>
        <w:t>Mon. Wea. Rev.</w:t>
      </w:r>
      <w:r w:rsidRPr="007B4BEE">
        <w:rPr>
          <w:rFonts w:cs="Times New Roman"/>
          <w:szCs w:val="24"/>
        </w:rPr>
        <w:t xml:space="preserve">, </w:t>
      </w:r>
      <w:r w:rsidRPr="00055285">
        <w:rPr>
          <w:rFonts w:cs="Times New Roman"/>
          <w:b/>
          <w:szCs w:val="24"/>
        </w:rPr>
        <w:t>143</w:t>
      </w:r>
      <w:r w:rsidRPr="007B4BEE">
        <w:rPr>
          <w:rFonts w:cs="Times New Roman"/>
          <w:szCs w:val="24"/>
        </w:rPr>
        <w:t>, 3044–3066.</w:t>
      </w:r>
    </w:p>
    <w:p w:rsidR="003762D6" w:rsidRDefault="003762D6" w:rsidP="003762D6">
      <w:pPr>
        <w:pStyle w:val="NoSpacing"/>
        <w:spacing w:line="240" w:lineRule="auto"/>
        <w:ind w:left="360" w:hanging="360"/>
        <w:rPr>
          <w:rFonts w:cs="Times New Roman"/>
          <w:szCs w:val="24"/>
        </w:rPr>
      </w:pPr>
    </w:p>
    <w:p w:rsidR="00091668" w:rsidRDefault="00B0475D" w:rsidP="003762D6">
      <w:pPr>
        <w:pStyle w:val="NoSpacing"/>
        <w:spacing w:line="240" w:lineRule="auto"/>
        <w:ind w:left="360" w:hanging="360"/>
        <w:rPr>
          <w:rFonts w:cs="Times New Roman"/>
          <w:szCs w:val="24"/>
        </w:rPr>
      </w:pPr>
      <w:r>
        <w:rPr>
          <w:rFonts w:cs="Times New Roman"/>
          <w:szCs w:val="24"/>
        </w:rPr>
        <w:t>Zalesak, S. T., 1979: Fully multidimensional flux-corrected transport algorithms for f</w:t>
      </w:r>
      <w:r w:rsidR="00091668" w:rsidRPr="00C15D7B">
        <w:rPr>
          <w:rFonts w:cs="Times New Roman"/>
          <w:szCs w:val="24"/>
        </w:rPr>
        <w:t xml:space="preserve">luids. </w:t>
      </w:r>
      <w:r w:rsidR="00091668" w:rsidRPr="00C15D7B">
        <w:rPr>
          <w:rFonts w:cs="Times New Roman"/>
          <w:i/>
          <w:szCs w:val="24"/>
        </w:rPr>
        <w:t>J. Comput. Phys.</w:t>
      </w:r>
      <w:r w:rsidR="00091668" w:rsidRPr="00C15D7B">
        <w:rPr>
          <w:rFonts w:cs="Times New Roman"/>
          <w:szCs w:val="24"/>
        </w:rPr>
        <w:t xml:space="preserve">, </w:t>
      </w:r>
      <w:r w:rsidR="00091668" w:rsidRPr="00055285">
        <w:rPr>
          <w:rFonts w:cs="Times New Roman"/>
          <w:b/>
          <w:szCs w:val="24"/>
        </w:rPr>
        <w:t>31</w:t>
      </w:r>
      <w:r w:rsidR="00091668" w:rsidRPr="00C15D7B">
        <w:rPr>
          <w:rFonts w:cs="Times New Roman"/>
          <w:szCs w:val="24"/>
        </w:rPr>
        <w:t>, 335–362.</w:t>
      </w:r>
    </w:p>
    <w:p w:rsidR="002D1407" w:rsidRDefault="002D1407" w:rsidP="003762D6">
      <w:pPr>
        <w:pStyle w:val="NoSpacing"/>
        <w:spacing w:line="240" w:lineRule="auto"/>
        <w:ind w:left="360" w:hanging="360"/>
        <w:rPr>
          <w:rFonts w:cs="Times New Roman"/>
          <w:szCs w:val="24"/>
        </w:rPr>
      </w:pPr>
    </w:p>
    <w:p w:rsidR="002D1407" w:rsidRPr="006C6928" w:rsidRDefault="002D1407" w:rsidP="002D1407">
      <w:pPr>
        <w:pStyle w:val="NoSpacing"/>
        <w:spacing w:line="240" w:lineRule="auto"/>
        <w:ind w:left="360" w:hanging="360"/>
        <w:rPr>
          <w:rFonts w:cs="Times New Roman"/>
          <w:szCs w:val="24"/>
        </w:rPr>
      </w:pPr>
      <w:r>
        <w:rPr>
          <w:rFonts w:cs="Times New Roman"/>
          <w:szCs w:val="24"/>
        </w:rPr>
        <w:t>Zhang, J.,</w:t>
      </w:r>
      <w:r w:rsidRPr="002D1407">
        <w:t xml:space="preserve"> </w:t>
      </w:r>
      <w:r>
        <w:rPr>
          <w:rFonts w:cs="Times New Roman"/>
          <w:szCs w:val="24"/>
        </w:rPr>
        <w:t>K. Howard, C.</w:t>
      </w:r>
      <w:r w:rsidRPr="002D1407">
        <w:rPr>
          <w:rFonts w:cs="Times New Roman"/>
          <w:szCs w:val="24"/>
        </w:rPr>
        <w:t xml:space="preserve"> Langston</w:t>
      </w:r>
      <w:r>
        <w:rPr>
          <w:rFonts w:cs="Times New Roman"/>
          <w:szCs w:val="24"/>
        </w:rPr>
        <w:t>, S. Vasiloff, B. Kaney, A. Arthur, S. Van Cooten, K. Kelleher, D. Kitzmiller, F. Ding, D.</w:t>
      </w:r>
      <w:r w:rsidR="007929CF">
        <w:rPr>
          <w:rFonts w:cs="Times New Roman"/>
          <w:szCs w:val="24"/>
        </w:rPr>
        <w:t xml:space="preserve"> J. Seo, E. Wells, and C.</w:t>
      </w:r>
      <w:r w:rsidRPr="002D1407">
        <w:rPr>
          <w:rFonts w:cs="Times New Roman"/>
          <w:szCs w:val="24"/>
        </w:rPr>
        <w:t xml:space="preserve"> Dempsey</w:t>
      </w:r>
      <w:r>
        <w:rPr>
          <w:rFonts w:cs="Times New Roman"/>
          <w:szCs w:val="24"/>
        </w:rPr>
        <w:t xml:space="preserve">, 2011: </w:t>
      </w:r>
      <w:r w:rsidRPr="002D1407">
        <w:rPr>
          <w:rFonts w:cs="Times New Roman"/>
          <w:szCs w:val="24"/>
        </w:rPr>
        <w:t>Natio</w:t>
      </w:r>
      <w:r>
        <w:rPr>
          <w:rFonts w:cs="Times New Roman"/>
          <w:szCs w:val="24"/>
        </w:rPr>
        <w:t xml:space="preserve">nal Mosaic and Multi-sensor QPE </w:t>
      </w:r>
      <w:r w:rsidRPr="002D1407">
        <w:rPr>
          <w:rFonts w:cs="Times New Roman"/>
          <w:szCs w:val="24"/>
        </w:rPr>
        <w:t xml:space="preserve">(NMQ) system:–Description, </w:t>
      </w:r>
      <w:r>
        <w:rPr>
          <w:rFonts w:cs="Times New Roman"/>
          <w:szCs w:val="24"/>
        </w:rPr>
        <w:t xml:space="preserve">results and future plans. </w:t>
      </w:r>
      <w:r w:rsidRPr="002D1407">
        <w:rPr>
          <w:rFonts w:cs="Times New Roman"/>
          <w:i/>
          <w:szCs w:val="24"/>
        </w:rPr>
        <w:t>Bull. Amer. Meteor. Soc.</w:t>
      </w:r>
      <w:r w:rsidRPr="002D1407">
        <w:rPr>
          <w:rFonts w:cs="Times New Roman"/>
          <w:szCs w:val="24"/>
        </w:rPr>
        <w:t xml:space="preserve">, </w:t>
      </w:r>
      <w:r w:rsidRPr="002D1407">
        <w:rPr>
          <w:rFonts w:cs="Times New Roman"/>
          <w:b/>
          <w:szCs w:val="24"/>
        </w:rPr>
        <w:t>92</w:t>
      </w:r>
      <w:r w:rsidRPr="002D1407">
        <w:rPr>
          <w:rFonts w:cs="Times New Roman"/>
          <w:szCs w:val="24"/>
        </w:rPr>
        <w:t>, 1321–1338.</w:t>
      </w:r>
    </w:p>
    <w:sectPr w:rsidR="002D1407" w:rsidRPr="006C6928" w:rsidSect="000E74A0">
      <w:pgSz w:w="12240" w:h="15840"/>
      <w:pgMar w:top="1440" w:right="1584"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87A" w:rsidRDefault="00D4287A" w:rsidP="000904BA">
      <w:pPr>
        <w:spacing w:after="0" w:line="240" w:lineRule="auto"/>
      </w:pPr>
      <w:r>
        <w:separator/>
      </w:r>
    </w:p>
  </w:endnote>
  <w:endnote w:type="continuationSeparator" w:id="0">
    <w:p w:rsidR="00D4287A" w:rsidRDefault="00D4287A" w:rsidP="0009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864384"/>
      <w:docPartObj>
        <w:docPartGallery w:val="Page Numbers (Bottom of Page)"/>
        <w:docPartUnique/>
      </w:docPartObj>
    </w:sdtPr>
    <w:sdtEndPr>
      <w:rPr>
        <w:rFonts w:ascii="Times New Roman" w:hAnsi="Times New Roman" w:cs="Times New Roman"/>
        <w:noProof/>
        <w:sz w:val="24"/>
        <w:szCs w:val="24"/>
      </w:rPr>
    </w:sdtEndPr>
    <w:sdtContent>
      <w:p w:rsidR="00F7579D" w:rsidRPr="00055285" w:rsidRDefault="00F7579D">
        <w:pPr>
          <w:pStyle w:val="Footer"/>
          <w:jc w:val="center"/>
          <w:rPr>
            <w:rFonts w:ascii="Times New Roman" w:hAnsi="Times New Roman" w:cs="Times New Roman"/>
            <w:sz w:val="24"/>
            <w:szCs w:val="24"/>
          </w:rPr>
        </w:pPr>
        <w:r w:rsidRPr="00055285">
          <w:rPr>
            <w:rFonts w:ascii="Times New Roman" w:hAnsi="Times New Roman" w:cs="Times New Roman"/>
            <w:sz w:val="24"/>
            <w:szCs w:val="24"/>
          </w:rPr>
          <w:fldChar w:fldCharType="begin"/>
        </w:r>
        <w:r w:rsidRPr="00055285">
          <w:rPr>
            <w:rFonts w:ascii="Times New Roman" w:hAnsi="Times New Roman" w:cs="Times New Roman"/>
            <w:sz w:val="24"/>
            <w:szCs w:val="24"/>
          </w:rPr>
          <w:instrText xml:space="preserve"> PAGE   \* MERGEFORMAT </w:instrText>
        </w:r>
        <w:r w:rsidRPr="00055285">
          <w:rPr>
            <w:rFonts w:ascii="Times New Roman" w:hAnsi="Times New Roman" w:cs="Times New Roman"/>
            <w:sz w:val="24"/>
            <w:szCs w:val="24"/>
          </w:rPr>
          <w:fldChar w:fldCharType="separate"/>
        </w:r>
        <w:r w:rsidR="00704983">
          <w:rPr>
            <w:rFonts w:ascii="Times New Roman" w:hAnsi="Times New Roman" w:cs="Times New Roman"/>
            <w:noProof/>
            <w:sz w:val="24"/>
            <w:szCs w:val="24"/>
          </w:rPr>
          <w:t>148</w:t>
        </w:r>
        <w:r w:rsidRPr="00055285">
          <w:rPr>
            <w:rFonts w:ascii="Times New Roman" w:hAnsi="Times New Roman" w:cs="Times New Roman"/>
            <w:noProof/>
            <w:sz w:val="24"/>
            <w:szCs w:val="24"/>
          </w:rPr>
          <w:fldChar w:fldCharType="end"/>
        </w:r>
      </w:p>
    </w:sdtContent>
  </w:sdt>
  <w:p w:rsidR="00F7579D" w:rsidRDefault="00F75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87A" w:rsidRDefault="00D4287A" w:rsidP="000904BA">
      <w:pPr>
        <w:spacing w:after="0" w:line="240" w:lineRule="auto"/>
      </w:pPr>
      <w:r>
        <w:separator/>
      </w:r>
    </w:p>
  </w:footnote>
  <w:footnote w:type="continuationSeparator" w:id="0">
    <w:p w:rsidR="00D4287A" w:rsidRDefault="00D4287A" w:rsidP="00090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015A1"/>
    <w:multiLevelType w:val="hybridMultilevel"/>
    <w:tmpl w:val="7DC2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D409C5"/>
    <w:multiLevelType w:val="hybridMultilevel"/>
    <w:tmpl w:val="F4CA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FA193E"/>
    <w:multiLevelType w:val="multilevel"/>
    <w:tmpl w:val="44386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23D"/>
    <w:rsid w:val="000018CB"/>
    <w:rsid w:val="00001E7C"/>
    <w:rsid w:val="00001EAE"/>
    <w:rsid w:val="00002299"/>
    <w:rsid w:val="00007E9C"/>
    <w:rsid w:val="0001207A"/>
    <w:rsid w:val="00012735"/>
    <w:rsid w:val="0001443F"/>
    <w:rsid w:val="000147F5"/>
    <w:rsid w:val="000164E0"/>
    <w:rsid w:val="00017111"/>
    <w:rsid w:val="00021893"/>
    <w:rsid w:val="00022602"/>
    <w:rsid w:val="000250CB"/>
    <w:rsid w:val="000252E7"/>
    <w:rsid w:val="00032298"/>
    <w:rsid w:val="00032A51"/>
    <w:rsid w:val="00032F40"/>
    <w:rsid w:val="00033341"/>
    <w:rsid w:val="00033FF3"/>
    <w:rsid w:val="00035B2B"/>
    <w:rsid w:val="00036592"/>
    <w:rsid w:val="00040552"/>
    <w:rsid w:val="00042CC9"/>
    <w:rsid w:val="000440CF"/>
    <w:rsid w:val="00044576"/>
    <w:rsid w:val="000502C0"/>
    <w:rsid w:val="00050558"/>
    <w:rsid w:val="00051125"/>
    <w:rsid w:val="000518C0"/>
    <w:rsid w:val="00054011"/>
    <w:rsid w:val="00054305"/>
    <w:rsid w:val="000545A4"/>
    <w:rsid w:val="00055285"/>
    <w:rsid w:val="0005557B"/>
    <w:rsid w:val="00056502"/>
    <w:rsid w:val="00057499"/>
    <w:rsid w:val="000577C6"/>
    <w:rsid w:val="00061DB7"/>
    <w:rsid w:val="000649ED"/>
    <w:rsid w:val="00065A65"/>
    <w:rsid w:val="00072D1D"/>
    <w:rsid w:val="000737E7"/>
    <w:rsid w:val="00075BB9"/>
    <w:rsid w:val="00077911"/>
    <w:rsid w:val="00080468"/>
    <w:rsid w:val="0008227D"/>
    <w:rsid w:val="000825CE"/>
    <w:rsid w:val="000828C0"/>
    <w:rsid w:val="0008318A"/>
    <w:rsid w:val="000832BC"/>
    <w:rsid w:val="00083545"/>
    <w:rsid w:val="000851C2"/>
    <w:rsid w:val="0008662B"/>
    <w:rsid w:val="00087EEB"/>
    <w:rsid w:val="000904BA"/>
    <w:rsid w:val="00090D80"/>
    <w:rsid w:val="00091668"/>
    <w:rsid w:val="00092642"/>
    <w:rsid w:val="0009432E"/>
    <w:rsid w:val="00094531"/>
    <w:rsid w:val="000956EE"/>
    <w:rsid w:val="00096DB3"/>
    <w:rsid w:val="00097555"/>
    <w:rsid w:val="000A1E08"/>
    <w:rsid w:val="000A20A4"/>
    <w:rsid w:val="000A42CE"/>
    <w:rsid w:val="000A5885"/>
    <w:rsid w:val="000A5F73"/>
    <w:rsid w:val="000A604C"/>
    <w:rsid w:val="000B0308"/>
    <w:rsid w:val="000B2249"/>
    <w:rsid w:val="000B292C"/>
    <w:rsid w:val="000B2C2B"/>
    <w:rsid w:val="000B3605"/>
    <w:rsid w:val="000B3925"/>
    <w:rsid w:val="000B4F7A"/>
    <w:rsid w:val="000B5F67"/>
    <w:rsid w:val="000C1553"/>
    <w:rsid w:val="000C1968"/>
    <w:rsid w:val="000C1A0B"/>
    <w:rsid w:val="000C49E5"/>
    <w:rsid w:val="000C6097"/>
    <w:rsid w:val="000C6FA1"/>
    <w:rsid w:val="000D1042"/>
    <w:rsid w:val="000D271F"/>
    <w:rsid w:val="000D2F92"/>
    <w:rsid w:val="000D411A"/>
    <w:rsid w:val="000D4652"/>
    <w:rsid w:val="000D62D2"/>
    <w:rsid w:val="000D65A6"/>
    <w:rsid w:val="000D6C1D"/>
    <w:rsid w:val="000D6E57"/>
    <w:rsid w:val="000D722C"/>
    <w:rsid w:val="000E057F"/>
    <w:rsid w:val="000E0657"/>
    <w:rsid w:val="000E406C"/>
    <w:rsid w:val="000E4142"/>
    <w:rsid w:val="000E5584"/>
    <w:rsid w:val="000E6ADE"/>
    <w:rsid w:val="000E7346"/>
    <w:rsid w:val="000E74A0"/>
    <w:rsid w:val="000E7B85"/>
    <w:rsid w:val="000F14DC"/>
    <w:rsid w:val="000F5F17"/>
    <w:rsid w:val="001000DC"/>
    <w:rsid w:val="00100600"/>
    <w:rsid w:val="00100910"/>
    <w:rsid w:val="0010349D"/>
    <w:rsid w:val="00103504"/>
    <w:rsid w:val="00104105"/>
    <w:rsid w:val="001055CE"/>
    <w:rsid w:val="00107790"/>
    <w:rsid w:val="00107B38"/>
    <w:rsid w:val="00107E25"/>
    <w:rsid w:val="00110193"/>
    <w:rsid w:val="0011336D"/>
    <w:rsid w:val="00117E0B"/>
    <w:rsid w:val="0012041B"/>
    <w:rsid w:val="00120BAD"/>
    <w:rsid w:val="00120FB6"/>
    <w:rsid w:val="00121FD9"/>
    <w:rsid w:val="001222E5"/>
    <w:rsid w:val="001224C0"/>
    <w:rsid w:val="001229DB"/>
    <w:rsid w:val="001241F9"/>
    <w:rsid w:val="00125ED5"/>
    <w:rsid w:val="00126E67"/>
    <w:rsid w:val="00130EF2"/>
    <w:rsid w:val="00132308"/>
    <w:rsid w:val="00132A87"/>
    <w:rsid w:val="001348D6"/>
    <w:rsid w:val="001403F4"/>
    <w:rsid w:val="001410C9"/>
    <w:rsid w:val="0014358D"/>
    <w:rsid w:val="001461D8"/>
    <w:rsid w:val="00146CF4"/>
    <w:rsid w:val="00146FA6"/>
    <w:rsid w:val="00151F76"/>
    <w:rsid w:val="0015680A"/>
    <w:rsid w:val="00156CA7"/>
    <w:rsid w:val="00162B51"/>
    <w:rsid w:val="00162ED3"/>
    <w:rsid w:val="00163F9D"/>
    <w:rsid w:val="0017012A"/>
    <w:rsid w:val="00170A75"/>
    <w:rsid w:val="00171106"/>
    <w:rsid w:val="00171ED7"/>
    <w:rsid w:val="001727B1"/>
    <w:rsid w:val="00172F34"/>
    <w:rsid w:val="00173BE6"/>
    <w:rsid w:val="00175104"/>
    <w:rsid w:val="0017613A"/>
    <w:rsid w:val="0018049C"/>
    <w:rsid w:val="00180734"/>
    <w:rsid w:val="00181D00"/>
    <w:rsid w:val="0018201C"/>
    <w:rsid w:val="001835EC"/>
    <w:rsid w:val="00183CF8"/>
    <w:rsid w:val="00184033"/>
    <w:rsid w:val="00184568"/>
    <w:rsid w:val="00184581"/>
    <w:rsid w:val="001846A3"/>
    <w:rsid w:val="0018534F"/>
    <w:rsid w:val="0018547E"/>
    <w:rsid w:val="00186433"/>
    <w:rsid w:val="00190682"/>
    <w:rsid w:val="001915AC"/>
    <w:rsid w:val="00191D35"/>
    <w:rsid w:val="00192F53"/>
    <w:rsid w:val="001940F9"/>
    <w:rsid w:val="001955D8"/>
    <w:rsid w:val="001968A0"/>
    <w:rsid w:val="00197E40"/>
    <w:rsid w:val="001A30B1"/>
    <w:rsid w:val="001A5070"/>
    <w:rsid w:val="001A5530"/>
    <w:rsid w:val="001A563F"/>
    <w:rsid w:val="001A577E"/>
    <w:rsid w:val="001A6058"/>
    <w:rsid w:val="001A6C2F"/>
    <w:rsid w:val="001A737F"/>
    <w:rsid w:val="001B0722"/>
    <w:rsid w:val="001B1E6E"/>
    <w:rsid w:val="001B3623"/>
    <w:rsid w:val="001B3F0C"/>
    <w:rsid w:val="001B4780"/>
    <w:rsid w:val="001B4900"/>
    <w:rsid w:val="001B6914"/>
    <w:rsid w:val="001B6989"/>
    <w:rsid w:val="001B7855"/>
    <w:rsid w:val="001B79E8"/>
    <w:rsid w:val="001C0569"/>
    <w:rsid w:val="001C406B"/>
    <w:rsid w:val="001C79EE"/>
    <w:rsid w:val="001C7A45"/>
    <w:rsid w:val="001D27F3"/>
    <w:rsid w:val="001D3674"/>
    <w:rsid w:val="001D3F20"/>
    <w:rsid w:val="001D6C62"/>
    <w:rsid w:val="001E1F97"/>
    <w:rsid w:val="001E2208"/>
    <w:rsid w:val="001E2705"/>
    <w:rsid w:val="001E525C"/>
    <w:rsid w:val="001E5FC4"/>
    <w:rsid w:val="001E667B"/>
    <w:rsid w:val="001E7BA2"/>
    <w:rsid w:val="001F0AF1"/>
    <w:rsid w:val="001F246A"/>
    <w:rsid w:val="001F26F9"/>
    <w:rsid w:val="001F5EB3"/>
    <w:rsid w:val="001F6452"/>
    <w:rsid w:val="001F6CF9"/>
    <w:rsid w:val="001F6E1D"/>
    <w:rsid w:val="001F7419"/>
    <w:rsid w:val="00200B88"/>
    <w:rsid w:val="002065E2"/>
    <w:rsid w:val="00206686"/>
    <w:rsid w:val="0020715A"/>
    <w:rsid w:val="0021135C"/>
    <w:rsid w:val="00211CA8"/>
    <w:rsid w:val="00212A3F"/>
    <w:rsid w:val="00212CFA"/>
    <w:rsid w:val="00213D89"/>
    <w:rsid w:val="00213F7C"/>
    <w:rsid w:val="002146C1"/>
    <w:rsid w:val="00214706"/>
    <w:rsid w:val="00215F78"/>
    <w:rsid w:val="00216136"/>
    <w:rsid w:val="002165A5"/>
    <w:rsid w:val="002169DD"/>
    <w:rsid w:val="00217460"/>
    <w:rsid w:val="00217867"/>
    <w:rsid w:val="0022392F"/>
    <w:rsid w:val="0022465B"/>
    <w:rsid w:val="00224B28"/>
    <w:rsid w:val="0022531D"/>
    <w:rsid w:val="002256AF"/>
    <w:rsid w:val="0022579F"/>
    <w:rsid w:val="002268C5"/>
    <w:rsid w:val="002322F4"/>
    <w:rsid w:val="00232BF3"/>
    <w:rsid w:val="00233376"/>
    <w:rsid w:val="00235F03"/>
    <w:rsid w:val="00236020"/>
    <w:rsid w:val="00236821"/>
    <w:rsid w:val="002378A5"/>
    <w:rsid w:val="00241D94"/>
    <w:rsid w:val="00243AC1"/>
    <w:rsid w:val="00245443"/>
    <w:rsid w:val="00245557"/>
    <w:rsid w:val="00245A39"/>
    <w:rsid w:val="00246F36"/>
    <w:rsid w:val="002470CD"/>
    <w:rsid w:val="00250C19"/>
    <w:rsid w:val="002515D1"/>
    <w:rsid w:val="002529EB"/>
    <w:rsid w:val="00253227"/>
    <w:rsid w:val="00257E46"/>
    <w:rsid w:val="00262C0E"/>
    <w:rsid w:val="00263281"/>
    <w:rsid w:val="00265B07"/>
    <w:rsid w:val="002660D3"/>
    <w:rsid w:val="0026700C"/>
    <w:rsid w:val="00270610"/>
    <w:rsid w:val="00270ECC"/>
    <w:rsid w:val="00271020"/>
    <w:rsid w:val="00271DD2"/>
    <w:rsid w:val="002749FD"/>
    <w:rsid w:val="00274C71"/>
    <w:rsid w:val="00281A61"/>
    <w:rsid w:val="002840C0"/>
    <w:rsid w:val="002847B6"/>
    <w:rsid w:val="00286651"/>
    <w:rsid w:val="00287065"/>
    <w:rsid w:val="002873AE"/>
    <w:rsid w:val="00287F33"/>
    <w:rsid w:val="002917D9"/>
    <w:rsid w:val="002942BD"/>
    <w:rsid w:val="002945C1"/>
    <w:rsid w:val="00294865"/>
    <w:rsid w:val="0029486B"/>
    <w:rsid w:val="00295ACD"/>
    <w:rsid w:val="00295DF7"/>
    <w:rsid w:val="00296BEC"/>
    <w:rsid w:val="00296F31"/>
    <w:rsid w:val="002A3476"/>
    <w:rsid w:val="002A3DAC"/>
    <w:rsid w:val="002A443B"/>
    <w:rsid w:val="002A4BB2"/>
    <w:rsid w:val="002B0723"/>
    <w:rsid w:val="002B0C7C"/>
    <w:rsid w:val="002B1A72"/>
    <w:rsid w:val="002B1D1D"/>
    <w:rsid w:val="002B30C8"/>
    <w:rsid w:val="002B39B8"/>
    <w:rsid w:val="002B687A"/>
    <w:rsid w:val="002B77F6"/>
    <w:rsid w:val="002B7CCF"/>
    <w:rsid w:val="002C2F00"/>
    <w:rsid w:val="002C57D2"/>
    <w:rsid w:val="002C67CE"/>
    <w:rsid w:val="002C7580"/>
    <w:rsid w:val="002C7FE8"/>
    <w:rsid w:val="002D0094"/>
    <w:rsid w:val="002D0E05"/>
    <w:rsid w:val="002D1407"/>
    <w:rsid w:val="002D4AD8"/>
    <w:rsid w:val="002D784D"/>
    <w:rsid w:val="002D7BA5"/>
    <w:rsid w:val="002E1FE2"/>
    <w:rsid w:val="002E267E"/>
    <w:rsid w:val="002E2C8C"/>
    <w:rsid w:val="002E3946"/>
    <w:rsid w:val="002E414E"/>
    <w:rsid w:val="002F04F3"/>
    <w:rsid w:val="002F32BF"/>
    <w:rsid w:val="002F38B3"/>
    <w:rsid w:val="002F493A"/>
    <w:rsid w:val="002F610E"/>
    <w:rsid w:val="002F6B31"/>
    <w:rsid w:val="002F7029"/>
    <w:rsid w:val="0030251F"/>
    <w:rsid w:val="003027A5"/>
    <w:rsid w:val="00302807"/>
    <w:rsid w:val="00302DBD"/>
    <w:rsid w:val="00305195"/>
    <w:rsid w:val="003052BC"/>
    <w:rsid w:val="003060C4"/>
    <w:rsid w:val="00307013"/>
    <w:rsid w:val="003077B2"/>
    <w:rsid w:val="00311793"/>
    <w:rsid w:val="00313076"/>
    <w:rsid w:val="00316946"/>
    <w:rsid w:val="003170EC"/>
    <w:rsid w:val="00317561"/>
    <w:rsid w:val="00317F76"/>
    <w:rsid w:val="0032113C"/>
    <w:rsid w:val="003237E3"/>
    <w:rsid w:val="003238CB"/>
    <w:rsid w:val="00323C3A"/>
    <w:rsid w:val="0032414C"/>
    <w:rsid w:val="00325666"/>
    <w:rsid w:val="0032722B"/>
    <w:rsid w:val="003272D0"/>
    <w:rsid w:val="00331BB2"/>
    <w:rsid w:val="003371E6"/>
    <w:rsid w:val="00337E88"/>
    <w:rsid w:val="003408B8"/>
    <w:rsid w:val="00340D03"/>
    <w:rsid w:val="00342747"/>
    <w:rsid w:val="00344356"/>
    <w:rsid w:val="003520F0"/>
    <w:rsid w:val="00352114"/>
    <w:rsid w:val="00354C81"/>
    <w:rsid w:val="00355969"/>
    <w:rsid w:val="00355C29"/>
    <w:rsid w:val="00355E0D"/>
    <w:rsid w:val="00355EC3"/>
    <w:rsid w:val="003560B8"/>
    <w:rsid w:val="003564AD"/>
    <w:rsid w:val="00360485"/>
    <w:rsid w:val="00362DEB"/>
    <w:rsid w:val="00363048"/>
    <w:rsid w:val="003632C9"/>
    <w:rsid w:val="00364D0C"/>
    <w:rsid w:val="003662DD"/>
    <w:rsid w:val="00366704"/>
    <w:rsid w:val="0036716B"/>
    <w:rsid w:val="0037009B"/>
    <w:rsid w:val="0037036B"/>
    <w:rsid w:val="00373725"/>
    <w:rsid w:val="003757D6"/>
    <w:rsid w:val="00375C4A"/>
    <w:rsid w:val="003762D6"/>
    <w:rsid w:val="0037696A"/>
    <w:rsid w:val="00380EBB"/>
    <w:rsid w:val="00382678"/>
    <w:rsid w:val="00383BAC"/>
    <w:rsid w:val="00385220"/>
    <w:rsid w:val="0038726B"/>
    <w:rsid w:val="00387FB0"/>
    <w:rsid w:val="00390518"/>
    <w:rsid w:val="003929D2"/>
    <w:rsid w:val="00395683"/>
    <w:rsid w:val="00395F81"/>
    <w:rsid w:val="003970C3"/>
    <w:rsid w:val="003A061E"/>
    <w:rsid w:val="003A11F9"/>
    <w:rsid w:val="003A1A08"/>
    <w:rsid w:val="003A1E2F"/>
    <w:rsid w:val="003A4F65"/>
    <w:rsid w:val="003A7C52"/>
    <w:rsid w:val="003B365D"/>
    <w:rsid w:val="003B3FCC"/>
    <w:rsid w:val="003C0B90"/>
    <w:rsid w:val="003C39B7"/>
    <w:rsid w:val="003C3B49"/>
    <w:rsid w:val="003C457F"/>
    <w:rsid w:val="003C5A74"/>
    <w:rsid w:val="003D0D08"/>
    <w:rsid w:val="003D131F"/>
    <w:rsid w:val="003D13A8"/>
    <w:rsid w:val="003D14C6"/>
    <w:rsid w:val="003D3D3E"/>
    <w:rsid w:val="003D5925"/>
    <w:rsid w:val="003D6070"/>
    <w:rsid w:val="003E047D"/>
    <w:rsid w:val="003E2081"/>
    <w:rsid w:val="003E293B"/>
    <w:rsid w:val="003E3AE5"/>
    <w:rsid w:val="003E5734"/>
    <w:rsid w:val="003E5FEE"/>
    <w:rsid w:val="003E6AAB"/>
    <w:rsid w:val="003F30E7"/>
    <w:rsid w:val="00403A62"/>
    <w:rsid w:val="00406063"/>
    <w:rsid w:val="004064E8"/>
    <w:rsid w:val="004070BF"/>
    <w:rsid w:val="00407D81"/>
    <w:rsid w:val="00410E78"/>
    <w:rsid w:val="00412A05"/>
    <w:rsid w:val="004138B6"/>
    <w:rsid w:val="00416C18"/>
    <w:rsid w:val="004176D0"/>
    <w:rsid w:val="00417E74"/>
    <w:rsid w:val="004206D5"/>
    <w:rsid w:val="0042613C"/>
    <w:rsid w:val="0042631F"/>
    <w:rsid w:val="00433A63"/>
    <w:rsid w:val="00434B82"/>
    <w:rsid w:val="00434F9A"/>
    <w:rsid w:val="00442800"/>
    <w:rsid w:val="0044345A"/>
    <w:rsid w:val="00444381"/>
    <w:rsid w:val="004452FF"/>
    <w:rsid w:val="00450829"/>
    <w:rsid w:val="0045124C"/>
    <w:rsid w:val="00453162"/>
    <w:rsid w:val="004536E5"/>
    <w:rsid w:val="00454536"/>
    <w:rsid w:val="004565FD"/>
    <w:rsid w:val="00460D8E"/>
    <w:rsid w:val="00465855"/>
    <w:rsid w:val="00465C6B"/>
    <w:rsid w:val="0047025E"/>
    <w:rsid w:val="00472AD1"/>
    <w:rsid w:val="00474AD4"/>
    <w:rsid w:val="00475DAC"/>
    <w:rsid w:val="00476E17"/>
    <w:rsid w:val="0048039D"/>
    <w:rsid w:val="00481F68"/>
    <w:rsid w:val="00482439"/>
    <w:rsid w:val="00483359"/>
    <w:rsid w:val="00483689"/>
    <w:rsid w:val="00484613"/>
    <w:rsid w:val="0048463B"/>
    <w:rsid w:val="00485506"/>
    <w:rsid w:val="0048568B"/>
    <w:rsid w:val="00490149"/>
    <w:rsid w:val="0049043F"/>
    <w:rsid w:val="00490ABF"/>
    <w:rsid w:val="00491F12"/>
    <w:rsid w:val="00492572"/>
    <w:rsid w:val="00493090"/>
    <w:rsid w:val="00495774"/>
    <w:rsid w:val="00496C8D"/>
    <w:rsid w:val="004A0973"/>
    <w:rsid w:val="004A234C"/>
    <w:rsid w:val="004A31A4"/>
    <w:rsid w:val="004A55D2"/>
    <w:rsid w:val="004A5F8C"/>
    <w:rsid w:val="004B15E5"/>
    <w:rsid w:val="004B556A"/>
    <w:rsid w:val="004B7AFC"/>
    <w:rsid w:val="004C14FE"/>
    <w:rsid w:val="004C1689"/>
    <w:rsid w:val="004C40A9"/>
    <w:rsid w:val="004C501B"/>
    <w:rsid w:val="004C5D5E"/>
    <w:rsid w:val="004C5DF1"/>
    <w:rsid w:val="004D1C60"/>
    <w:rsid w:val="004D1E10"/>
    <w:rsid w:val="004D1F0C"/>
    <w:rsid w:val="004D2FEC"/>
    <w:rsid w:val="004D39F9"/>
    <w:rsid w:val="004D5194"/>
    <w:rsid w:val="004D531D"/>
    <w:rsid w:val="004D5462"/>
    <w:rsid w:val="004D54FA"/>
    <w:rsid w:val="004D6101"/>
    <w:rsid w:val="004D7CC4"/>
    <w:rsid w:val="004E12C5"/>
    <w:rsid w:val="004E248C"/>
    <w:rsid w:val="004E2CEB"/>
    <w:rsid w:val="004E55AB"/>
    <w:rsid w:val="004E66AD"/>
    <w:rsid w:val="004E7E4B"/>
    <w:rsid w:val="004E7F4E"/>
    <w:rsid w:val="004F10E2"/>
    <w:rsid w:val="004F1A23"/>
    <w:rsid w:val="004F3661"/>
    <w:rsid w:val="004F509E"/>
    <w:rsid w:val="004F683E"/>
    <w:rsid w:val="004F6A26"/>
    <w:rsid w:val="00500238"/>
    <w:rsid w:val="005016ED"/>
    <w:rsid w:val="0050306D"/>
    <w:rsid w:val="00504053"/>
    <w:rsid w:val="00504B8E"/>
    <w:rsid w:val="0050572B"/>
    <w:rsid w:val="00505D83"/>
    <w:rsid w:val="00507931"/>
    <w:rsid w:val="00507CAC"/>
    <w:rsid w:val="00507F58"/>
    <w:rsid w:val="00510BEA"/>
    <w:rsid w:val="0051243F"/>
    <w:rsid w:val="00512E97"/>
    <w:rsid w:val="005132F8"/>
    <w:rsid w:val="00513BC3"/>
    <w:rsid w:val="005153C4"/>
    <w:rsid w:val="00516B22"/>
    <w:rsid w:val="0051727B"/>
    <w:rsid w:val="0051731E"/>
    <w:rsid w:val="00520B59"/>
    <w:rsid w:val="00521132"/>
    <w:rsid w:val="00522370"/>
    <w:rsid w:val="005226ED"/>
    <w:rsid w:val="0052602B"/>
    <w:rsid w:val="00527FC3"/>
    <w:rsid w:val="005368AB"/>
    <w:rsid w:val="005379E9"/>
    <w:rsid w:val="00540E01"/>
    <w:rsid w:val="00541926"/>
    <w:rsid w:val="00542E1A"/>
    <w:rsid w:val="00543726"/>
    <w:rsid w:val="00543E47"/>
    <w:rsid w:val="00545570"/>
    <w:rsid w:val="00547EA6"/>
    <w:rsid w:val="00553B2E"/>
    <w:rsid w:val="00554F48"/>
    <w:rsid w:val="0055575D"/>
    <w:rsid w:val="0055684F"/>
    <w:rsid w:val="00556C66"/>
    <w:rsid w:val="00561C11"/>
    <w:rsid w:val="00563537"/>
    <w:rsid w:val="00564273"/>
    <w:rsid w:val="0056585C"/>
    <w:rsid w:val="00572BB2"/>
    <w:rsid w:val="00573FBD"/>
    <w:rsid w:val="0057437F"/>
    <w:rsid w:val="005766DB"/>
    <w:rsid w:val="00577228"/>
    <w:rsid w:val="005810D4"/>
    <w:rsid w:val="00582DF3"/>
    <w:rsid w:val="005833FC"/>
    <w:rsid w:val="00583D09"/>
    <w:rsid w:val="0058490E"/>
    <w:rsid w:val="00585224"/>
    <w:rsid w:val="00586026"/>
    <w:rsid w:val="00586E50"/>
    <w:rsid w:val="005877D3"/>
    <w:rsid w:val="00587FF6"/>
    <w:rsid w:val="00587FFC"/>
    <w:rsid w:val="00590217"/>
    <w:rsid w:val="00590722"/>
    <w:rsid w:val="0059218B"/>
    <w:rsid w:val="0059263F"/>
    <w:rsid w:val="00593080"/>
    <w:rsid w:val="00594B1B"/>
    <w:rsid w:val="005972A5"/>
    <w:rsid w:val="005A2E33"/>
    <w:rsid w:val="005A44D4"/>
    <w:rsid w:val="005B06B8"/>
    <w:rsid w:val="005B2FF3"/>
    <w:rsid w:val="005B308E"/>
    <w:rsid w:val="005B41A2"/>
    <w:rsid w:val="005B5974"/>
    <w:rsid w:val="005B71FF"/>
    <w:rsid w:val="005B7D12"/>
    <w:rsid w:val="005B7D6C"/>
    <w:rsid w:val="005C113B"/>
    <w:rsid w:val="005C3735"/>
    <w:rsid w:val="005C5069"/>
    <w:rsid w:val="005C5251"/>
    <w:rsid w:val="005C6303"/>
    <w:rsid w:val="005C6A09"/>
    <w:rsid w:val="005D1333"/>
    <w:rsid w:val="005D34B1"/>
    <w:rsid w:val="005D3AF5"/>
    <w:rsid w:val="005D6BBD"/>
    <w:rsid w:val="005D6D04"/>
    <w:rsid w:val="005D76B0"/>
    <w:rsid w:val="005D7F8E"/>
    <w:rsid w:val="005E01C6"/>
    <w:rsid w:val="005E05DB"/>
    <w:rsid w:val="005E0953"/>
    <w:rsid w:val="005E1E4A"/>
    <w:rsid w:val="005E2106"/>
    <w:rsid w:val="005E4435"/>
    <w:rsid w:val="005E709D"/>
    <w:rsid w:val="005E7D61"/>
    <w:rsid w:val="005E7FED"/>
    <w:rsid w:val="005F0F94"/>
    <w:rsid w:val="005F19D5"/>
    <w:rsid w:val="005F23E7"/>
    <w:rsid w:val="005F4019"/>
    <w:rsid w:val="005F56AB"/>
    <w:rsid w:val="006013FE"/>
    <w:rsid w:val="006019C4"/>
    <w:rsid w:val="00601FF2"/>
    <w:rsid w:val="006045E6"/>
    <w:rsid w:val="0060503F"/>
    <w:rsid w:val="006065E7"/>
    <w:rsid w:val="00606608"/>
    <w:rsid w:val="00607BF5"/>
    <w:rsid w:val="00610326"/>
    <w:rsid w:val="00611707"/>
    <w:rsid w:val="00612B60"/>
    <w:rsid w:val="00612B8A"/>
    <w:rsid w:val="00613C12"/>
    <w:rsid w:val="00614BC9"/>
    <w:rsid w:val="006161AE"/>
    <w:rsid w:val="00616AF5"/>
    <w:rsid w:val="00617889"/>
    <w:rsid w:val="006202CB"/>
    <w:rsid w:val="00620855"/>
    <w:rsid w:val="00621CBA"/>
    <w:rsid w:val="0062470F"/>
    <w:rsid w:val="00631543"/>
    <w:rsid w:val="0063458D"/>
    <w:rsid w:val="00634671"/>
    <w:rsid w:val="0063511C"/>
    <w:rsid w:val="006353E7"/>
    <w:rsid w:val="0063584E"/>
    <w:rsid w:val="00636796"/>
    <w:rsid w:val="00641533"/>
    <w:rsid w:val="00645036"/>
    <w:rsid w:val="006508E9"/>
    <w:rsid w:val="006521C7"/>
    <w:rsid w:val="00652895"/>
    <w:rsid w:val="00653CD6"/>
    <w:rsid w:val="00654095"/>
    <w:rsid w:val="00654A0B"/>
    <w:rsid w:val="00660827"/>
    <w:rsid w:val="0066172C"/>
    <w:rsid w:val="00663622"/>
    <w:rsid w:val="0066732E"/>
    <w:rsid w:val="00673112"/>
    <w:rsid w:val="006762F4"/>
    <w:rsid w:val="006776FE"/>
    <w:rsid w:val="00680636"/>
    <w:rsid w:val="006808A5"/>
    <w:rsid w:val="006817A4"/>
    <w:rsid w:val="00682F39"/>
    <w:rsid w:val="006836C2"/>
    <w:rsid w:val="006838D5"/>
    <w:rsid w:val="00683B4F"/>
    <w:rsid w:val="00685A9C"/>
    <w:rsid w:val="00685DA9"/>
    <w:rsid w:val="006860B1"/>
    <w:rsid w:val="0068625B"/>
    <w:rsid w:val="00686F1E"/>
    <w:rsid w:val="00686FA5"/>
    <w:rsid w:val="006909A4"/>
    <w:rsid w:val="006910C5"/>
    <w:rsid w:val="00695179"/>
    <w:rsid w:val="0069638A"/>
    <w:rsid w:val="00697DDE"/>
    <w:rsid w:val="006A3CB2"/>
    <w:rsid w:val="006A46A5"/>
    <w:rsid w:val="006A5C21"/>
    <w:rsid w:val="006B0101"/>
    <w:rsid w:val="006B01DE"/>
    <w:rsid w:val="006B17A1"/>
    <w:rsid w:val="006B21D6"/>
    <w:rsid w:val="006B2264"/>
    <w:rsid w:val="006B5206"/>
    <w:rsid w:val="006B5922"/>
    <w:rsid w:val="006C249E"/>
    <w:rsid w:val="006C5106"/>
    <w:rsid w:val="006C56B8"/>
    <w:rsid w:val="006C6928"/>
    <w:rsid w:val="006C6EFE"/>
    <w:rsid w:val="006C7509"/>
    <w:rsid w:val="006D1E88"/>
    <w:rsid w:val="006D2405"/>
    <w:rsid w:val="006D39B5"/>
    <w:rsid w:val="006D46F1"/>
    <w:rsid w:val="006D4A5E"/>
    <w:rsid w:val="006D4CA6"/>
    <w:rsid w:val="006D544E"/>
    <w:rsid w:val="006D632B"/>
    <w:rsid w:val="006E16D2"/>
    <w:rsid w:val="006E19C4"/>
    <w:rsid w:val="006E1A4D"/>
    <w:rsid w:val="006E4D33"/>
    <w:rsid w:val="006E60B8"/>
    <w:rsid w:val="006F0560"/>
    <w:rsid w:val="006F1129"/>
    <w:rsid w:val="006F1654"/>
    <w:rsid w:val="006F1DB9"/>
    <w:rsid w:val="006F1E10"/>
    <w:rsid w:val="006F27E8"/>
    <w:rsid w:val="006F3C40"/>
    <w:rsid w:val="006F3DAE"/>
    <w:rsid w:val="006F4B1F"/>
    <w:rsid w:val="006F4CA1"/>
    <w:rsid w:val="006F5862"/>
    <w:rsid w:val="006F62A7"/>
    <w:rsid w:val="006F6764"/>
    <w:rsid w:val="006F7DE8"/>
    <w:rsid w:val="0070379F"/>
    <w:rsid w:val="00704983"/>
    <w:rsid w:val="00706609"/>
    <w:rsid w:val="00712145"/>
    <w:rsid w:val="00712780"/>
    <w:rsid w:val="00714053"/>
    <w:rsid w:val="00714519"/>
    <w:rsid w:val="00716ACF"/>
    <w:rsid w:val="00720B6C"/>
    <w:rsid w:val="00722AE7"/>
    <w:rsid w:val="00723552"/>
    <w:rsid w:val="007244E3"/>
    <w:rsid w:val="00726420"/>
    <w:rsid w:val="00730EEE"/>
    <w:rsid w:val="00733403"/>
    <w:rsid w:val="007341AD"/>
    <w:rsid w:val="00735771"/>
    <w:rsid w:val="0073577F"/>
    <w:rsid w:val="00735A11"/>
    <w:rsid w:val="00737A3F"/>
    <w:rsid w:val="00740C4C"/>
    <w:rsid w:val="00741C9D"/>
    <w:rsid w:val="00742447"/>
    <w:rsid w:val="00744157"/>
    <w:rsid w:val="007454E6"/>
    <w:rsid w:val="00746A10"/>
    <w:rsid w:val="00747885"/>
    <w:rsid w:val="00750B03"/>
    <w:rsid w:val="00755914"/>
    <w:rsid w:val="007559ED"/>
    <w:rsid w:val="00755A5F"/>
    <w:rsid w:val="00756F30"/>
    <w:rsid w:val="0076259B"/>
    <w:rsid w:val="00762BB6"/>
    <w:rsid w:val="00763609"/>
    <w:rsid w:val="00764003"/>
    <w:rsid w:val="007658F3"/>
    <w:rsid w:val="00765987"/>
    <w:rsid w:val="007660D5"/>
    <w:rsid w:val="0076610B"/>
    <w:rsid w:val="0076612B"/>
    <w:rsid w:val="00770AEF"/>
    <w:rsid w:val="0077297C"/>
    <w:rsid w:val="00773F86"/>
    <w:rsid w:val="00773F96"/>
    <w:rsid w:val="0077608D"/>
    <w:rsid w:val="0077684C"/>
    <w:rsid w:val="0077708E"/>
    <w:rsid w:val="00777158"/>
    <w:rsid w:val="00781FDE"/>
    <w:rsid w:val="00783470"/>
    <w:rsid w:val="00783D9C"/>
    <w:rsid w:val="007840DB"/>
    <w:rsid w:val="007853C3"/>
    <w:rsid w:val="00787028"/>
    <w:rsid w:val="00787ABC"/>
    <w:rsid w:val="00787E83"/>
    <w:rsid w:val="00790220"/>
    <w:rsid w:val="00790288"/>
    <w:rsid w:val="0079098A"/>
    <w:rsid w:val="00790AA8"/>
    <w:rsid w:val="00790DBC"/>
    <w:rsid w:val="00791A31"/>
    <w:rsid w:val="00792592"/>
    <w:rsid w:val="007929CF"/>
    <w:rsid w:val="007954AD"/>
    <w:rsid w:val="00795B65"/>
    <w:rsid w:val="007963A1"/>
    <w:rsid w:val="0079680D"/>
    <w:rsid w:val="007A3892"/>
    <w:rsid w:val="007A3C73"/>
    <w:rsid w:val="007A582D"/>
    <w:rsid w:val="007A66D0"/>
    <w:rsid w:val="007A7CF2"/>
    <w:rsid w:val="007B3DE1"/>
    <w:rsid w:val="007B47FE"/>
    <w:rsid w:val="007B5012"/>
    <w:rsid w:val="007B52D9"/>
    <w:rsid w:val="007B6BFF"/>
    <w:rsid w:val="007C0913"/>
    <w:rsid w:val="007C12F4"/>
    <w:rsid w:val="007C1D11"/>
    <w:rsid w:val="007C1FFF"/>
    <w:rsid w:val="007C346D"/>
    <w:rsid w:val="007C3A91"/>
    <w:rsid w:val="007C412F"/>
    <w:rsid w:val="007C42A8"/>
    <w:rsid w:val="007C43AB"/>
    <w:rsid w:val="007C46B8"/>
    <w:rsid w:val="007C537F"/>
    <w:rsid w:val="007C7C1E"/>
    <w:rsid w:val="007D02FA"/>
    <w:rsid w:val="007D0A5B"/>
    <w:rsid w:val="007D1F59"/>
    <w:rsid w:val="007D2125"/>
    <w:rsid w:val="007D226C"/>
    <w:rsid w:val="007D597C"/>
    <w:rsid w:val="007D7A17"/>
    <w:rsid w:val="007E0ACE"/>
    <w:rsid w:val="007E195B"/>
    <w:rsid w:val="007E294A"/>
    <w:rsid w:val="007E3563"/>
    <w:rsid w:val="007E3808"/>
    <w:rsid w:val="007E3A83"/>
    <w:rsid w:val="007E4BDD"/>
    <w:rsid w:val="007E6D71"/>
    <w:rsid w:val="007F045A"/>
    <w:rsid w:val="007F2FC7"/>
    <w:rsid w:val="007F32E1"/>
    <w:rsid w:val="007F45A9"/>
    <w:rsid w:val="007F499D"/>
    <w:rsid w:val="007F6976"/>
    <w:rsid w:val="007F7317"/>
    <w:rsid w:val="007F74EA"/>
    <w:rsid w:val="00800DB7"/>
    <w:rsid w:val="008015AF"/>
    <w:rsid w:val="0080381C"/>
    <w:rsid w:val="0080539F"/>
    <w:rsid w:val="00805EA1"/>
    <w:rsid w:val="00806710"/>
    <w:rsid w:val="00806DAE"/>
    <w:rsid w:val="008078A2"/>
    <w:rsid w:val="00807F0D"/>
    <w:rsid w:val="00810176"/>
    <w:rsid w:val="0081431A"/>
    <w:rsid w:val="00817512"/>
    <w:rsid w:val="008228CA"/>
    <w:rsid w:val="008247BA"/>
    <w:rsid w:val="00825D51"/>
    <w:rsid w:val="00826229"/>
    <w:rsid w:val="008264CA"/>
    <w:rsid w:val="0082696C"/>
    <w:rsid w:val="00831E0F"/>
    <w:rsid w:val="008361D5"/>
    <w:rsid w:val="00836AF0"/>
    <w:rsid w:val="00836BF5"/>
    <w:rsid w:val="0083748A"/>
    <w:rsid w:val="0083750B"/>
    <w:rsid w:val="008412CB"/>
    <w:rsid w:val="0084136A"/>
    <w:rsid w:val="00842E38"/>
    <w:rsid w:val="0084504F"/>
    <w:rsid w:val="00845683"/>
    <w:rsid w:val="008466C8"/>
    <w:rsid w:val="008471F1"/>
    <w:rsid w:val="00857E88"/>
    <w:rsid w:val="008621EF"/>
    <w:rsid w:val="0086450F"/>
    <w:rsid w:val="00865366"/>
    <w:rsid w:val="0086550D"/>
    <w:rsid w:val="00871BF5"/>
    <w:rsid w:val="00871E8C"/>
    <w:rsid w:val="008730F8"/>
    <w:rsid w:val="00873F0A"/>
    <w:rsid w:val="008740B4"/>
    <w:rsid w:val="008756A3"/>
    <w:rsid w:val="00875B1A"/>
    <w:rsid w:val="00882F54"/>
    <w:rsid w:val="00886394"/>
    <w:rsid w:val="00891A60"/>
    <w:rsid w:val="008945D1"/>
    <w:rsid w:val="008947E0"/>
    <w:rsid w:val="00896333"/>
    <w:rsid w:val="00896E2C"/>
    <w:rsid w:val="008974CA"/>
    <w:rsid w:val="00897526"/>
    <w:rsid w:val="008A25DA"/>
    <w:rsid w:val="008A57FC"/>
    <w:rsid w:val="008A595A"/>
    <w:rsid w:val="008A7A33"/>
    <w:rsid w:val="008B1620"/>
    <w:rsid w:val="008B35F2"/>
    <w:rsid w:val="008B487F"/>
    <w:rsid w:val="008B4AF7"/>
    <w:rsid w:val="008C0EA7"/>
    <w:rsid w:val="008C19BB"/>
    <w:rsid w:val="008C21D4"/>
    <w:rsid w:val="008C28EB"/>
    <w:rsid w:val="008C2AA3"/>
    <w:rsid w:val="008C2CEA"/>
    <w:rsid w:val="008C588B"/>
    <w:rsid w:val="008C7231"/>
    <w:rsid w:val="008C7B9B"/>
    <w:rsid w:val="008D18A9"/>
    <w:rsid w:val="008D24D4"/>
    <w:rsid w:val="008D2718"/>
    <w:rsid w:val="008D39B8"/>
    <w:rsid w:val="008D5067"/>
    <w:rsid w:val="008D588C"/>
    <w:rsid w:val="008D74AE"/>
    <w:rsid w:val="008E0244"/>
    <w:rsid w:val="008E2956"/>
    <w:rsid w:val="008E3BB1"/>
    <w:rsid w:val="008F10CB"/>
    <w:rsid w:val="008F112E"/>
    <w:rsid w:val="008F2D17"/>
    <w:rsid w:val="008F73CD"/>
    <w:rsid w:val="009002A3"/>
    <w:rsid w:val="00900B8C"/>
    <w:rsid w:val="00901C87"/>
    <w:rsid w:val="0090218A"/>
    <w:rsid w:val="00902492"/>
    <w:rsid w:val="009028D6"/>
    <w:rsid w:val="00902D46"/>
    <w:rsid w:val="00902ECE"/>
    <w:rsid w:val="00906261"/>
    <w:rsid w:val="00906F02"/>
    <w:rsid w:val="00907018"/>
    <w:rsid w:val="00911B2D"/>
    <w:rsid w:val="009130DF"/>
    <w:rsid w:val="00914BEE"/>
    <w:rsid w:val="00914ECE"/>
    <w:rsid w:val="00914F1D"/>
    <w:rsid w:val="0091561B"/>
    <w:rsid w:val="00916607"/>
    <w:rsid w:val="00917025"/>
    <w:rsid w:val="00917A3F"/>
    <w:rsid w:val="00920C66"/>
    <w:rsid w:val="00920C84"/>
    <w:rsid w:val="00922E3A"/>
    <w:rsid w:val="0092382A"/>
    <w:rsid w:val="009247EC"/>
    <w:rsid w:val="00925DAF"/>
    <w:rsid w:val="0092717F"/>
    <w:rsid w:val="0093451F"/>
    <w:rsid w:val="009349F2"/>
    <w:rsid w:val="00935455"/>
    <w:rsid w:val="0093744E"/>
    <w:rsid w:val="0094025A"/>
    <w:rsid w:val="00940CD8"/>
    <w:rsid w:val="00942245"/>
    <w:rsid w:val="00942B7A"/>
    <w:rsid w:val="00944460"/>
    <w:rsid w:val="009454A8"/>
    <w:rsid w:val="00946597"/>
    <w:rsid w:val="009473FE"/>
    <w:rsid w:val="00950ABD"/>
    <w:rsid w:val="00950CE7"/>
    <w:rsid w:val="00951BC7"/>
    <w:rsid w:val="00952EA8"/>
    <w:rsid w:val="00953F48"/>
    <w:rsid w:val="009549C1"/>
    <w:rsid w:val="00955C59"/>
    <w:rsid w:val="00956ED1"/>
    <w:rsid w:val="00957C96"/>
    <w:rsid w:val="00962109"/>
    <w:rsid w:val="00962C04"/>
    <w:rsid w:val="00963AEE"/>
    <w:rsid w:val="009645A0"/>
    <w:rsid w:val="00965BEF"/>
    <w:rsid w:val="00970EAC"/>
    <w:rsid w:val="009718A6"/>
    <w:rsid w:val="00971DD2"/>
    <w:rsid w:val="009755C2"/>
    <w:rsid w:val="00977A4A"/>
    <w:rsid w:val="00977D49"/>
    <w:rsid w:val="0098073E"/>
    <w:rsid w:val="0098107B"/>
    <w:rsid w:val="00984539"/>
    <w:rsid w:val="009847AB"/>
    <w:rsid w:val="00984E06"/>
    <w:rsid w:val="00984F06"/>
    <w:rsid w:val="00986031"/>
    <w:rsid w:val="009878F4"/>
    <w:rsid w:val="00987FA5"/>
    <w:rsid w:val="009921CF"/>
    <w:rsid w:val="00992970"/>
    <w:rsid w:val="00994899"/>
    <w:rsid w:val="00994B08"/>
    <w:rsid w:val="009955AA"/>
    <w:rsid w:val="009A0626"/>
    <w:rsid w:val="009A11D6"/>
    <w:rsid w:val="009A1F97"/>
    <w:rsid w:val="009A2612"/>
    <w:rsid w:val="009A4CFF"/>
    <w:rsid w:val="009A5BC9"/>
    <w:rsid w:val="009A7297"/>
    <w:rsid w:val="009A74EA"/>
    <w:rsid w:val="009A7E11"/>
    <w:rsid w:val="009B1270"/>
    <w:rsid w:val="009B17BD"/>
    <w:rsid w:val="009B3D02"/>
    <w:rsid w:val="009B4E79"/>
    <w:rsid w:val="009B58EB"/>
    <w:rsid w:val="009B7374"/>
    <w:rsid w:val="009C0BF1"/>
    <w:rsid w:val="009C2066"/>
    <w:rsid w:val="009C2C40"/>
    <w:rsid w:val="009C3FDE"/>
    <w:rsid w:val="009C5322"/>
    <w:rsid w:val="009C584E"/>
    <w:rsid w:val="009C6F6A"/>
    <w:rsid w:val="009D17B3"/>
    <w:rsid w:val="009E1B9A"/>
    <w:rsid w:val="009E40FD"/>
    <w:rsid w:val="009E444D"/>
    <w:rsid w:val="009E6AC0"/>
    <w:rsid w:val="009E70F8"/>
    <w:rsid w:val="009F3094"/>
    <w:rsid w:val="009F3DB6"/>
    <w:rsid w:val="009F5B7C"/>
    <w:rsid w:val="009F6172"/>
    <w:rsid w:val="009F7D36"/>
    <w:rsid w:val="00A0094B"/>
    <w:rsid w:val="00A01932"/>
    <w:rsid w:val="00A03A45"/>
    <w:rsid w:val="00A05974"/>
    <w:rsid w:val="00A102DB"/>
    <w:rsid w:val="00A10901"/>
    <w:rsid w:val="00A1567E"/>
    <w:rsid w:val="00A15877"/>
    <w:rsid w:val="00A217E6"/>
    <w:rsid w:val="00A21CBF"/>
    <w:rsid w:val="00A23F81"/>
    <w:rsid w:val="00A2421B"/>
    <w:rsid w:val="00A25611"/>
    <w:rsid w:val="00A26ECC"/>
    <w:rsid w:val="00A27AA8"/>
    <w:rsid w:val="00A27F30"/>
    <w:rsid w:val="00A30632"/>
    <w:rsid w:val="00A30CB1"/>
    <w:rsid w:val="00A314B5"/>
    <w:rsid w:val="00A3175C"/>
    <w:rsid w:val="00A32381"/>
    <w:rsid w:val="00A329A7"/>
    <w:rsid w:val="00A350E6"/>
    <w:rsid w:val="00A35989"/>
    <w:rsid w:val="00A35AF3"/>
    <w:rsid w:val="00A37073"/>
    <w:rsid w:val="00A37526"/>
    <w:rsid w:val="00A40080"/>
    <w:rsid w:val="00A40751"/>
    <w:rsid w:val="00A411E3"/>
    <w:rsid w:val="00A4350C"/>
    <w:rsid w:val="00A4413F"/>
    <w:rsid w:val="00A442CC"/>
    <w:rsid w:val="00A44522"/>
    <w:rsid w:val="00A44B19"/>
    <w:rsid w:val="00A45C67"/>
    <w:rsid w:val="00A4767D"/>
    <w:rsid w:val="00A500AB"/>
    <w:rsid w:val="00A513D8"/>
    <w:rsid w:val="00A5364E"/>
    <w:rsid w:val="00A560BF"/>
    <w:rsid w:val="00A56F6A"/>
    <w:rsid w:val="00A57B26"/>
    <w:rsid w:val="00A6057F"/>
    <w:rsid w:val="00A64646"/>
    <w:rsid w:val="00A65B09"/>
    <w:rsid w:val="00A65B21"/>
    <w:rsid w:val="00A66D23"/>
    <w:rsid w:val="00A674B2"/>
    <w:rsid w:val="00A67E0D"/>
    <w:rsid w:val="00A7028B"/>
    <w:rsid w:val="00A70F5C"/>
    <w:rsid w:val="00A7321B"/>
    <w:rsid w:val="00A733BC"/>
    <w:rsid w:val="00A74371"/>
    <w:rsid w:val="00A74D6A"/>
    <w:rsid w:val="00A762AC"/>
    <w:rsid w:val="00A77AC0"/>
    <w:rsid w:val="00A80D35"/>
    <w:rsid w:val="00A82283"/>
    <w:rsid w:val="00A82336"/>
    <w:rsid w:val="00A82EE5"/>
    <w:rsid w:val="00A82FFA"/>
    <w:rsid w:val="00A85A9F"/>
    <w:rsid w:val="00A862B4"/>
    <w:rsid w:val="00A90A0F"/>
    <w:rsid w:val="00A944F9"/>
    <w:rsid w:val="00A94659"/>
    <w:rsid w:val="00A965E2"/>
    <w:rsid w:val="00A96B97"/>
    <w:rsid w:val="00A9723C"/>
    <w:rsid w:val="00AA16BC"/>
    <w:rsid w:val="00AA26C9"/>
    <w:rsid w:val="00AA3351"/>
    <w:rsid w:val="00AA4E2F"/>
    <w:rsid w:val="00AA56FC"/>
    <w:rsid w:val="00AA5E15"/>
    <w:rsid w:val="00AA6C69"/>
    <w:rsid w:val="00AA7174"/>
    <w:rsid w:val="00AA7A50"/>
    <w:rsid w:val="00AB0F4B"/>
    <w:rsid w:val="00AB217B"/>
    <w:rsid w:val="00AB26CA"/>
    <w:rsid w:val="00AB39BE"/>
    <w:rsid w:val="00AB3A71"/>
    <w:rsid w:val="00AB710D"/>
    <w:rsid w:val="00AC265A"/>
    <w:rsid w:val="00AC7F7B"/>
    <w:rsid w:val="00AD15E2"/>
    <w:rsid w:val="00AD348B"/>
    <w:rsid w:val="00AD37ED"/>
    <w:rsid w:val="00AD51D4"/>
    <w:rsid w:val="00AD5F25"/>
    <w:rsid w:val="00AD7599"/>
    <w:rsid w:val="00AD7AED"/>
    <w:rsid w:val="00AE45D7"/>
    <w:rsid w:val="00AE59EC"/>
    <w:rsid w:val="00AE6379"/>
    <w:rsid w:val="00AF1212"/>
    <w:rsid w:val="00AF1C6A"/>
    <w:rsid w:val="00AF2147"/>
    <w:rsid w:val="00AF39EA"/>
    <w:rsid w:val="00AF5B8F"/>
    <w:rsid w:val="00AF60B5"/>
    <w:rsid w:val="00AF676F"/>
    <w:rsid w:val="00B00421"/>
    <w:rsid w:val="00B01574"/>
    <w:rsid w:val="00B02571"/>
    <w:rsid w:val="00B039E8"/>
    <w:rsid w:val="00B0434B"/>
    <w:rsid w:val="00B0475D"/>
    <w:rsid w:val="00B06163"/>
    <w:rsid w:val="00B1096B"/>
    <w:rsid w:val="00B1195E"/>
    <w:rsid w:val="00B14664"/>
    <w:rsid w:val="00B17452"/>
    <w:rsid w:val="00B218E3"/>
    <w:rsid w:val="00B2190E"/>
    <w:rsid w:val="00B237A3"/>
    <w:rsid w:val="00B2439F"/>
    <w:rsid w:val="00B24D0D"/>
    <w:rsid w:val="00B2517D"/>
    <w:rsid w:val="00B25D01"/>
    <w:rsid w:val="00B27A64"/>
    <w:rsid w:val="00B30677"/>
    <w:rsid w:val="00B316B1"/>
    <w:rsid w:val="00B3269A"/>
    <w:rsid w:val="00B33391"/>
    <w:rsid w:val="00B33B50"/>
    <w:rsid w:val="00B34049"/>
    <w:rsid w:val="00B36006"/>
    <w:rsid w:val="00B36648"/>
    <w:rsid w:val="00B37548"/>
    <w:rsid w:val="00B37C0F"/>
    <w:rsid w:val="00B401EB"/>
    <w:rsid w:val="00B4192C"/>
    <w:rsid w:val="00B42A02"/>
    <w:rsid w:val="00B44C86"/>
    <w:rsid w:val="00B460BA"/>
    <w:rsid w:val="00B46E72"/>
    <w:rsid w:val="00B46E75"/>
    <w:rsid w:val="00B50149"/>
    <w:rsid w:val="00B51C7A"/>
    <w:rsid w:val="00B51E05"/>
    <w:rsid w:val="00B52012"/>
    <w:rsid w:val="00B53B4A"/>
    <w:rsid w:val="00B53DB9"/>
    <w:rsid w:val="00B57C7F"/>
    <w:rsid w:val="00B60996"/>
    <w:rsid w:val="00B6178D"/>
    <w:rsid w:val="00B62089"/>
    <w:rsid w:val="00B6257C"/>
    <w:rsid w:val="00B6570C"/>
    <w:rsid w:val="00B658C3"/>
    <w:rsid w:val="00B65B51"/>
    <w:rsid w:val="00B66474"/>
    <w:rsid w:val="00B66FA5"/>
    <w:rsid w:val="00B67088"/>
    <w:rsid w:val="00B67D55"/>
    <w:rsid w:val="00B70B02"/>
    <w:rsid w:val="00B70E1C"/>
    <w:rsid w:val="00B70F4F"/>
    <w:rsid w:val="00B724A5"/>
    <w:rsid w:val="00B72ADD"/>
    <w:rsid w:val="00B747B2"/>
    <w:rsid w:val="00B75645"/>
    <w:rsid w:val="00B75951"/>
    <w:rsid w:val="00B76E23"/>
    <w:rsid w:val="00B778D0"/>
    <w:rsid w:val="00B779EC"/>
    <w:rsid w:val="00B81A2A"/>
    <w:rsid w:val="00B82D47"/>
    <w:rsid w:val="00B8308A"/>
    <w:rsid w:val="00B83C69"/>
    <w:rsid w:val="00B90635"/>
    <w:rsid w:val="00B913B6"/>
    <w:rsid w:val="00B91A01"/>
    <w:rsid w:val="00B953A6"/>
    <w:rsid w:val="00B95EDD"/>
    <w:rsid w:val="00BA0438"/>
    <w:rsid w:val="00BA0C10"/>
    <w:rsid w:val="00BA0CAD"/>
    <w:rsid w:val="00BA166C"/>
    <w:rsid w:val="00BA2096"/>
    <w:rsid w:val="00BA2244"/>
    <w:rsid w:val="00BA4352"/>
    <w:rsid w:val="00BA4DAE"/>
    <w:rsid w:val="00BA66A5"/>
    <w:rsid w:val="00BA6A1A"/>
    <w:rsid w:val="00BA7BC6"/>
    <w:rsid w:val="00BB2CB2"/>
    <w:rsid w:val="00BB494B"/>
    <w:rsid w:val="00BB53F1"/>
    <w:rsid w:val="00BB598F"/>
    <w:rsid w:val="00BB64CF"/>
    <w:rsid w:val="00BC169F"/>
    <w:rsid w:val="00BC183A"/>
    <w:rsid w:val="00BC2D5A"/>
    <w:rsid w:val="00BC3D3B"/>
    <w:rsid w:val="00BC67E6"/>
    <w:rsid w:val="00BD0AC5"/>
    <w:rsid w:val="00BD1755"/>
    <w:rsid w:val="00BD2895"/>
    <w:rsid w:val="00BD48EB"/>
    <w:rsid w:val="00BD4B0F"/>
    <w:rsid w:val="00BD4D09"/>
    <w:rsid w:val="00BD7EC5"/>
    <w:rsid w:val="00BE129D"/>
    <w:rsid w:val="00BE1967"/>
    <w:rsid w:val="00BE50AD"/>
    <w:rsid w:val="00BE5B6F"/>
    <w:rsid w:val="00BF0094"/>
    <w:rsid w:val="00BF0BF1"/>
    <w:rsid w:val="00BF1C25"/>
    <w:rsid w:val="00BF422B"/>
    <w:rsid w:val="00BF4F46"/>
    <w:rsid w:val="00BF521E"/>
    <w:rsid w:val="00BF6F85"/>
    <w:rsid w:val="00C02F8F"/>
    <w:rsid w:val="00C0344A"/>
    <w:rsid w:val="00C04AF5"/>
    <w:rsid w:val="00C061E0"/>
    <w:rsid w:val="00C07051"/>
    <w:rsid w:val="00C12550"/>
    <w:rsid w:val="00C15027"/>
    <w:rsid w:val="00C21202"/>
    <w:rsid w:val="00C22162"/>
    <w:rsid w:val="00C269CD"/>
    <w:rsid w:val="00C276D0"/>
    <w:rsid w:val="00C277B4"/>
    <w:rsid w:val="00C305DD"/>
    <w:rsid w:val="00C326D1"/>
    <w:rsid w:val="00C326F6"/>
    <w:rsid w:val="00C3277E"/>
    <w:rsid w:val="00C33277"/>
    <w:rsid w:val="00C33691"/>
    <w:rsid w:val="00C33BE0"/>
    <w:rsid w:val="00C34EE2"/>
    <w:rsid w:val="00C407F5"/>
    <w:rsid w:val="00C41D41"/>
    <w:rsid w:val="00C42C84"/>
    <w:rsid w:val="00C46C89"/>
    <w:rsid w:val="00C47ED8"/>
    <w:rsid w:val="00C50B03"/>
    <w:rsid w:val="00C516C7"/>
    <w:rsid w:val="00C5181B"/>
    <w:rsid w:val="00C51F1B"/>
    <w:rsid w:val="00C52510"/>
    <w:rsid w:val="00C536BC"/>
    <w:rsid w:val="00C539E7"/>
    <w:rsid w:val="00C55253"/>
    <w:rsid w:val="00C55FA6"/>
    <w:rsid w:val="00C565BF"/>
    <w:rsid w:val="00C568A9"/>
    <w:rsid w:val="00C57227"/>
    <w:rsid w:val="00C57D96"/>
    <w:rsid w:val="00C57EBF"/>
    <w:rsid w:val="00C61703"/>
    <w:rsid w:val="00C643D1"/>
    <w:rsid w:val="00C66875"/>
    <w:rsid w:val="00C71FE5"/>
    <w:rsid w:val="00C72152"/>
    <w:rsid w:val="00C72662"/>
    <w:rsid w:val="00C73FBF"/>
    <w:rsid w:val="00C74C6D"/>
    <w:rsid w:val="00C80BBE"/>
    <w:rsid w:val="00C8243A"/>
    <w:rsid w:val="00C8404C"/>
    <w:rsid w:val="00C84170"/>
    <w:rsid w:val="00C84E9D"/>
    <w:rsid w:val="00C869D1"/>
    <w:rsid w:val="00C93CEB"/>
    <w:rsid w:val="00C93DC3"/>
    <w:rsid w:val="00C9465B"/>
    <w:rsid w:val="00C94716"/>
    <w:rsid w:val="00C94CEC"/>
    <w:rsid w:val="00C96053"/>
    <w:rsid w:val="00CA115C"/>
    <w:rsid w:val="00CA12F1"/>
    <w:rsid w:val="00CA1CC7"/>
    <w:rsid w:val="00CA2C37"/>
    <w:rsid w:val="00CA2F4F"/>
    <w:rsid w:val="00CA4B96"/>
    <w:rsid w:val="00CA7600"/>
    <w:rsid w:val="00CB20EA"/>
    <w:rsid w:val="00CB39D8"/>
    <w:rsid w:val="00CB3C3C"/>
    <w:rsid w:val="00CB48A7"/>
    <w:rsid w:val="00CB7D8E"/>
    <w:rsid w:val="00CC015E"/>
    <w:rsid w:val="00CC08DC"/>
    <w:rsid w:val="00CC23E5"/>
    <w:rsid w:val="00CC539F"/>
    <w:rsid w:val="00CC543C"/>
    <w:rsid w:val="00CD1318"/>
    <w:rsid w:val="00CD3CD7"/>
    <w:rsid w:val="00CD41B3"/>
    <w:rsid w:val="00CD4593"/>
    <w:rsid w:val="00CD463E"/>
    <w:rsid w:val="00CD4C6E"/>
    <w:rsid w:val="00CD554D"/>
    <w:rsid w:val="00CD5590"/>
    <w:rsid w:val="00CD7EFF"/>
    <w:rsid w:val="00CE08A2"/>
    <w:rsid w:val="00CE24D3"/>
    <w:rsid w:val="00CE3DAF"/>
    <w:rsid w:val="00CE3E5B"/>
    <w:rsid w:val="00CE46D4"/>
    <w:rsid w:val="00CE5C5E"/>
    <w:rsid w:val="00CE61EC"/>
    <w:rsid w:val="00CF02CC"/>
    <w:rsid w:val="00CF1C0D"/>
    <w:rsid w:val="00CF4097"/>
    <w:rsid w:val="00CF4E5E"/>
    <w:rsid w:val="00CF7E0E"/>
    <w:rsid w:val="00D002B4"/>
    <w:rsid w:val="00D014F5"/>
    <w:rsid w:val="00D05048"/>
    <w:rsid w:val="00D0603F"/>
    <w:rsid w:val="00D0642E"/>
    <w:rsid w:val="00D06CA9"/>
    <w:rsid w:val="00D0753B"/>
    <w:rsid w:val="00D1170B"/>
    <w:rsid w:val="00D120C5"/>
    <w:rsid w:val="00D12629"/>
    <w:rsid w:val="00D12B47"/>
    <w:rsid w:val="00D155BB"/>
    <w:rsid w:val="00D15A90"/>
    <w:rsid w:val="00D16264"/>
    <w:rsid w:val="00D164A5"/>
    <w:rsid w:val="00D2044E"/>
    <w:rsid w:val="00D238C8"/>
    <w:rsid w:val="00D239B2"/>
    <w:rsid w:val="00D2459E"/>
    <w:rsid w:val="00D26993"/>
    <w:rsid w:val="00D27CBC"/>
    <w:rsid w:val="00D30256"/>
    <w:rsid w:val="00D326AA"/>
    <w:rsid w:val="00D35061"/>
    <w:rsid w:val="00D35CB6"/>
    <w:rsid w:val="00D36CD7"/>
    <w:rsid w:val="00D36F07"/>
    <w:rsid w:val="00D37547"/>
    <w:rsid w:val="00D4287A"/>
    <w:rsid w:val="00D43618"/>
    <w:rsid w:val="00D5502D"/>
    <w:rsid w:val="00D55B49"/>
    <w:rsid w:val="00D56329"/>
    <w:rsid w:val="00D5697E"/>
    <w:rsid w:val="00D57E58"/>
    <w:rsid w:val="00D60427"/>
    <w:rsid w:val="00D61B0C"/>
    <w:rsid w:val="00D635AA"/>
    <w:rsid w:val="00D641F6"/>
    <w:rsid w:val="00D656A4"/>
    <w:rsid w:val="00D65E67"/>
    <w:rsid w:val="00D70793"/>
    <w:rsid w:val="00D71B27"/>
    <w:rsid w:val="00D72318"/>
    <w:rsid w:val="00D74938"/>
    <w:rsid w:val="00D762AF"/>
    <w:rsid w:val="00D775CF"/>
    <w:rsid w:val="00D7790D"/>
    <w:rsid w:val="00D80D4D"/>
    <w:rsid w:val="00D83A37"/>
    <w:rsid w:val="00D8496E"/>
    <w:rsid w:val="00D85B8A"/>
    <w:rsid w:val="00D86996"/>
    <w:rsid w:val="00D87F86"/>
    <w:rsid w:val="00D90D2B"/>
    <w:rsid w:val="00D92870"/>
    <w:rsid w:val="00D95C62"/>
    <w:rsid w:val="00D9756B"/>
    <w:rsid w:val="00DA044D"/>
    <w:rsid w:val="00DA184C"/>
    <w:rsid w:val="00DA1D3F"/>
    <w:rsid w:val="00DA5808"/>
    <w:rsid w:val="00DB0979"/>
    <w:rsid w:val="00DB10BD"/>
    <w:rsid w:val="00DB153B"/>
    <w:rsid w:val="00DB15F0"/>
    <w:rsid w:val="00DB372C"/>
    <w:rsid w:val="00DB3A6E"/>
    <w:rsid w:val="00DB3BF7"/>
    <w:rsid w:val="00DB5243"/>
    <w:rsid w:val="00DB52C2"/>
    <w:rsid w:val="00DB5F5D"/>
    <w:rsid w:val="00DB64F8"/>
    <w:rsid w:val="00DB75CA"/>
    <w:rsid w:val="00DB7F2A"/>
    <w:rsid w:val="00DC0B01"/>
    <w:rsid w:val="00DC0F76"/>
    <w:rsid w:val="00DC1B56"/>
    <w:rsid w:val="00DC1C71"/>
    <w:rsid w:val="00DC2003"/>
    <w:rsid w:val="00DC36CD"/>
    <w:rsid w:val="00DC4F2B"/>
    <w:rsid w:val="00DC51F8"/>
    <w:rsid w:val="00DD3030"/>
    <w:rsid w:val="00DE03BF"/>
    <w:rsid w:val="00DE1368"/>
    <w:rsid w:val="00DE3C1E"/>
    <w:rsid w:val="00DE5F17"/>
    <w:rsid w:val="00DF063D"/>
    <w:rsid w:val="00DF1AA5"/>
    <w:rsid w:val="00DF1CDA"/>
    <w:rsid w:val="00DF21AE"/>
    <w:rsid w:val="00DF3BB2"/>
    <w:rsid w:val="00DF4318"/>
    <w:rsid w:val="00E00B83"/>
    <w:rsid w:val="00E00BFA"/>
    <w:rsid w:val="00E020BE"/>
    <w:rsid w:val="00E030F8"/>
    <w:rsid w:val="00E06524"/>
    <w:rsid w:val="00E07848"/>
    <w:rsid w:val="00E10737"/>
    <w:rsid w:val="00E1096A"/>
    <w:rsid w:val="00E10A56"/>
    <w:rsid w:val="00E1284D"/>
    <w:rsid w:val="00E13471"/>
    <w:rsid w:val="00E16337"/>
    <w:rsid w:val="00E16B0E"/>
    <w:rsid w:val="00E213EC"/>
    <w:rsid w:val="00E254D5"/>
    <w:rsid w:val="00E2558E"/>
    <w:rsid w:val="00E25820"/>
    <w:rsid w:val="00E25E9E"/>
    <w:rsid w:val="00E26465"/>
    <w:rsid w:val="00E26BD7"/>
    <w:rsid w:val="00E274E2"/>
    <w:rsid w:val="00E27C9C"/>
    <w:rsid w:val="00E30009"/>
    <w:rsid w:val="00E30866"/>
    <w:rsid w:val="00E3204C"/>
    <w:rsid w:val="00E36C59"/>
    <w:rsid w:val="00E374A1"/>
    <w:rsid w:val="00E4047A"/>
    <w:rsid w:val="00E4299C"/>
    <w:rsid w:val="00E43EDE"/>
    <w:rsid w:val="00E4491A"/>
    <w:rsid w:val="00E44BAE"/>
    <w:rsid w:val="00E454F5"/>
    <w:rsid w:val="00E46799"/>
    <w:rsid w:val="00E472E5"/>
    <w:rsid w:val="00E47DCB"/>
    <w:rsid w:val="00E5099C"/>
    <w:rsid w:val="00E514F4"/>
    <w:rsid w:val="00E52AA0"/>
    <w:rsid w:val="00E53394"/>
    <w:rsid w:val="00E53658"/>
    <w:rsid w:val="00E55495"/>
    <w:rsid w:val="00E55765"/>
    <w:rsid w:val="00E574FF"/>
    <w:rsid w:val="00E57B83"/>
    <w:rsid w:val="00E621EC"/>
    <w:rsid w:val="00E62303"/>
    <w:rsid w:val="00E64171"/>
    <w:rsid w:val="00E64E4B"/>
    <w:rsid w:val="00E64FFD"/>
    <w:rsid w:val="00E65706"/>
    <w:rsid w:val="00E66A43"/>
    <w:rsid w:val="00E67076"/>
    <w:rsid w:val="00E72297"/>
    <w:rsid w:val="00E72576"/>
    <w:rsid w:val="00E7409B"/>
    <w:rsid w:val="00E76CBC"/>
    <w:rsid w:val="00E77669"/>
    <w:rsid w:val="00E80DF5"/>
    <w:rsid w:val="00E81B79"/>
    <w:rsid w:val="00E82845"/>
    <w:rsid w:val="00E83535"/>
    <w:rsid w:val="00E8498A"/>
    <w:rsid w:val="00E85127"/>
    <w:rsid w:val="00E856F6"/>
    <w:rsid w:val="00E86CA3"/>
    <w:rsid w:val="00E86EE5"/>
    <w:rsid w:val="00E86FD9"/>
    <w:rsid w:val="00E92D41"/>
    <w:rsid w:val="00E9341F"/>
    <w:rsid w:val="00E93EE9"/>
    <w:rsid w:val="00E948D4"/>
    <w:rsid w:val="00E9542C"/>
    <w:rsid w:val="00E96557"/>
    <w:rsid w:val="00E975E6"/>
    <w:rsid w:val="00E978CD"/>
    <w:rsid w:val="00EA00E3"/>
    <w:rsid w:val="00EA2109"/>
    <w:rsid w:val="00EA61D4"/>
    <w:rsid w:val="00EA6B94"/>
    <w:rsid w:val="00EA6DD8"/>
    <w:rsid w:val="00EB09B4"/>
    <w:rsid w:val="00EB2539"/>
    <w:rsid w:val="00EB4088"/>
    <w:rsid w:val="00EB605D"/>
    <w:rsid w:val="00EB714D"/>
    <w:rsid w:val="00EB734A"/>
    <w:rsid w:val="00EB7954"/>
    <w:rsid w:val="00EB7C8D"/>
    <w:rsid w:val="00EC00A4"/>
    <w:rsid w:val="00EC0486"/>
    <w:rsid w:val="00EC18D7"/>
    <w:rsid w:val="00EC3159"/>
    <w:rsid w:val="00EC336E"/>
    <w:rsid w:val="00EC3F89"/>
    <w:rsid w:val="00EC4732"/>
    <w:rsid w:val="00EC64B8"/>
    <w:rsid w:val="00EC65F0"/>
    <w:rsid w:val="00EC6AF7"/>
    <w:rsid w:val="00EC7297"/>
    <w:rsid w:val="00EC72B4"/>
    <w:rsid w:val="00ED5CF4"/>
    <w:rsid w:val="00EE16A7"/>
    <w:rsid w:val="00EE2FE8"/>
    <w:rsid w:val="00EE3DF5"/>
    <w:rsid w:val="00EE42DA"/>
    <w:rsid w:val="00EE4F28"/>
    <w:rsid w:val="00EE7BFC"/>
    <w:rsid w:val="00EF195E"/>
    <w:rsid w:val="00EF224D"/>
    <w:rsid w:val="00EF2928"/>
    <w:rsid w:val="00EF2A8A"/>
    <w:rsid w:val="00EF326D"/>
    <w:rsid w:val="00EF3B25"/>
    <w:rsid w:val="00EF5332"/>
    <w:rsid w:val="00EF729D"/>
    <w:rsid w:val="00F004D4"/>
    <w:rsid w:val="00F00794"/>
    <w:rsid w:val="00F009ED"/>
    <w:rsid w:val="00F00C2E"/>
    <w:rsid w:val="00F03465"/>
    <w:rsid w:val="00F04A12"/>
    <w:rsid w:val="00F05013"/>
    <w:rsid w:val="00F06161"/>
    <w:rsid w:val="00F13F2F"/>
    <w:rsid w:val="00F14035"/>
    <w:rsid w:val="00F14D65"/>
    <w:rsid w:val="00F15929"/>
    <w:rsid w:val="00F16F07"/>
    <w:rsid w:val="00F17C1B"/>
    <w:rsid w:val="00F17FFC"/>
    <w:rsid w:val="00F20745"/>
    <w:rsid w:val="00F255DA"/>
    <w:rsid w:val="00F27255"/>
    <w:rsid w:val="00F304C3"/>
    <w:rsid w:val="00F30A3C"/>
    <w:rsid w:val="00F31509"/>
    <w:rsid w:val="00F31752"/>
    <w:rsid w:val="00F34222"/>
    <w:rsid w:val="00F3634B"/>
    <w:rsid w:val="00F36960"/>
    <w:rsid w:val="00F42286"/>
    <w:rsid w:val="00F42751"/>
    <w:rsid w:val="00F42B08"/>
    <w:rsid w:val="00F42F5A"/>
    <w:rsid w:val="00F46054"/>
    <w:rsid w:val="00F46BEE"/>
    <w:rsid w:val="00F5237F"/>
    <w:rsid w:val="00F5271F"/>
    <w:rsid w:val="00F53121"/>
    <w:rsid w:val="00F542A8"/>
    <w:rsid w:val="00F54527"/>
    <w:rsid w:val="00F558F8"/>
    <w:rsid w:val="00F55E08"/>
    <w:rsid w:val="00F61699"/>
    <w:rsid w:val="00F622BE"/>
    <w:rsid w:val="00F67B8F"/>
    <w:rsid w:val="00F67EFF"/>
    <w:rsid w:val="00F713B2"/>
    <w:rsid w:val="00F726F6"/>
    <w:rsid w:val="00F72A37"/>
    <w:rsid w:val="00F75376"/>
    <w:rsid w:val="00F7579D"/>
    <w:rsid w:val="00F75B2B"/>
    <w:rsid w:val="00F774C5"/>
    <w:rsid w:val="00F810A9"/>
    <w:rsid w:val="00F820BA"/>
    <w:rsid w:val="00F8237E"/>
    <w:rsid w:val="00F8310F"/>
    <w:rsid w:val="00F831EA"/>
    <w:rsid w:val="00F8396F"/>
    <w:rsid w:val="00F92BEE"/>
    <w:rsid w:val="00F948A1"/>
    <w:rsid w:val="00F95311"/>
    <w:rsid w:val="00FA2795"/>
    <w:rsid w:val="00FA320F"/>
    <w:rsid w:val="00FA381C"/>
    <w:rsid w:val="00FA3DBC"/>
    <w:rsid w:val="00FA5262"/>
    <w:rsid w:val="00FA69C0"/>
    <w:rsid w:val="00FA741F"/>
    <w:rsid w:val="00FB06A3"/>
    <w:rsid w:val="00FB08A6"/>
    <w:rsid w:val="00FB0D6C"/>
    <w:rsid w:val="00FB1B99"/>
    <w:rsid w:val="00FB2726"/>
    <w:rsid w:val="00FB3F48"/>
    <w:rsid w:val="00FB5B69"/>
    <w:rsid w:val="00FB73B9"/>
    <w:rsid w:val="00FC05EB"/>
    <w:rsid w:val="00FC0F66"/>
    <w:rsid w:val="00FC18BF"/>
    <w:rsid w:val="00FC53C8"/>
    <w:rsid w:val="00FC5E71"/>
    <w:rsid w:val="00FC698E"/>
    <w:rsid w:val="00FD0606"/>
    <w:rsid w:val="00FD1BB5"/>
    <w:rsid w:val="00FD4AD7"/>
    <w:rsid w:val="00FD4E4C"/>
    <w:rsid w:val="00FD6343"/>
    <w:rsid w:val="00FE6713"/>
    <w:rsid w:val="00FF1B02"/>
    <w:rsid w:val="00FF223D"/>
    <w:rsid w:val="00FF32C5"/>
    <w:rsid w:val="00FF34DC"/>
    <w:rsid w:val="00FF5903"/>
    <w:rsid w:val="00FF5B8C"/>
    <w:rsid w:val="00FF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62A612-76D4-40F9-ADDC-92FD8B2A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094"/>
  </w:style>
  <w:style w:type="paragraph" w:styleId="Heading1">
    <w:name w:val="heading 1"/>
    <w:next w:val="NoSpacing"/>
    <w:link w:val="Heading1Char"/>
    <w:autoRedefine/>
    <w:uiPriority w:val="9"/>
    <w:qFormat/>
    <w:rsid w:val="00D7790D"/>
    <w:pPr>
      <w:keepNext/>
      <w:keepLines/>
      <w:spacing w:after="0" w:line="480" w:lineRule="auto"/>
      <w:jc w:val="center"/>
      <w:outlineLvl w:val="0"/>
    </w:pPr>
    <w:rPr>
      <w:rFonts w:ascii="Times New Roman" w:eastAsia="Times New Roman" w:hAnsi="Times New Roman" w:cstheme="majorBidi"/>
      <w:b/>
      <w:sz w:val="28"/>
      <w:szCs w:val="32"/>
      <w:lang w:bidi="en-US"/>
    </w:rPr>
  </w:style>
  <w:style w:type="paragraph" w:styleId="Heading2">
    <w:name w:val="heading 2"/>
    <w:next w:val="NoSpacing"/>
    <w:link w:val="Heading2Char"/>
    <w:autoRedefine/>
    <w:uiPriority w:val="9"/>
    <w:unhideWhenUsed/>
    <w:qFormat/>
    <w:rsid w:val="00D7790D"/>
    <w:pPr>
      <w:keepNext/>
      <w:keepLines/>
      <w:spacing w:after="0" w:line="480" w:lineRule="auto"/>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unhideWhenUsed/>
    <w:qFormat/>
    <w:rsid w:val="00D7790D"/>
    <w:pPr>
      <w:keepNext/>
      <w:keepLines/>
      <w:spacing w:after="0" w:line="480" w:lineRule="auto"/>
      <w:jc w:val="center"/>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E294A"/>
    <w:pPr>
      <w:spacing w:after="0" w:line="480" w:lineRule="auto"/>
      <w:jc w:val="both"/>
    </w:pPr>
    <w:rPr>
      <w:rFonts w:ascii="Times New Roman" w:hAnsi="Times New Roman"/>
      <w:sz w:val="24"/>
    </w:rPr>
  </w:style>
  <w:style w:type="character" w:customStyle="1" w:styleId="Heading1Char">
    <w:name w:val="Heading 1 Char"/>
    <w:basedOn w:val="DefaultParagraphFont"/>
    <w:link w:val="Heading1"/>
    <w:uiPriority w:val="9"/>
    <w:rsid w:val="00D7790D"/>
    <w:rPr>
      <w:rFonts w:ascii="Times New Roman" w:eastAsia="Times New Roman" w:hAnsi="Times New Roman" w:cstheme="majorBidi"/>
      <w:b/>
      <w:sz w:val="28"/>
      <w:szCs w:val="32"/>
      <w:lang w:bidi="en-US"/>
    </w:rPr>
  </w:style>
  <w:style w:type="character" w:customStyle="1" w:styleId="Heading2Char">
    <w:name w:val="Heading 2 Char"/>
    <w:basedOn w:val="DefaultParagraphFont"/>
    <w:link w:val="Heading2"/>
    <w:uiPriority w:val="9"/>
    <w:rsid w:val="00D7790D"/>
    <w:rPr>
      <w:rFonts w:ascii="Times New Roman" w:eastAsiaTheme="majorEastAsia" w:hAnsi="Times New Roman" w:cstheme="majorBidi"/>
      <w:b/>
      <w:sz w:val="24"/>
      <w:szCs w:val="26"/>
    </w:rPr>
  </w:style>
  <w:style w:type="paragraph" w:customStyle="1" w:styleId="Captions">
    <w:name w:val="Captions"/>
    <w:basedOn w:val="NoSpacing"/>
    <w:link w:val="CaptionsChar"/>
    <w:qFormat/>
    <w:rsid w:val="007E294A"/>
    <w:pPr>
      <w:spacing w:line="240" w:lineRule="auto"/>
    </w:pPr>
    <w:rPr>
      <w:rFonts w:cs="Times New Roman"/>
      <w:szCs w:val="20"/>
    </w:rPr>
  </w:style>
  <w:style w:type="character" w:customStyle="1" w:styleId="Heading3Char">
    <w:name w:val="Heading 3 Char"/>
    <w:basedOn w:val="DefaultParagraphFont"/>
    <w:link w:val="Heading3"/>
    <w:uiPriority w:val="9"/>
    <w:rsid w:val="00D7790D"/>
    <w:rPr>
      <w:rFonts w:ascii="Times New Roman" w:eastAsiaTheme="majorEastAsia" w:hAnsi="Times New Roman" w:cstheme="majorBidi"/>
      <w:i/>
      <w:sz w:val="24"/>
      <w:szCs w:val="24"/>
    </w:rPr>
  </w:style>
  <w:style w:type="character" w:customStyle="1" w:styleId="CaptionsChar">
    <w:name w:val="Captions Char"/>
    <w:basedOn w:val="DefaultParagraphFont"/>
    <w:link w:val="Captions"/>
    <w:rsid w:val="007E294A"/>
    <w:rPr>
      <w:rFonts w:ascii="Times New Roman" w:hAnsi="Times New Roman" w:cs="Times New Roman"/>
      <w:sz w:val="24"/>
      <w:szCs w:val="20"/>
    </w:rPr>
  </w:style>
  <w:style w:type="character" w:styleId="Hyperlink">
    <w:name w:val="Hyperlink"/>
    <w:basedOn w:val="DefaultParagraphFont"/>
    <w:uiPriority w:val="99"/>
    <w:unhideWhenUsed/>
    <w:rsid w:val="00490149"/>
    <w:rPr>
      <w:color w:val="0563C1" w:themeColor="hyperlink"/>
      <w:u w:val="single"/>
    </w:rPr>
  </w:style>
  <w:style w:type="paragraph" w:styleId="Caption">
    <w:name w:val="caption"/>
    <w:basedOn w:val="Normal"/>
    <w:next w:val="Normal"/>
    <w:uiPriority w:val="35"/>
    <w:unhideWhenUsed/>
    <w:qFormat/>
    <w:rsid w:val="004901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490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149"/>
    <w:rPr>
      <w:rFonts w:ascii="Segoe UI" w:hAnsi="Segoe UI" w:cs="Segoe UI"/>
      <w:sz w:val="18"/>
      <w:szCs w:val="18"/>
    </w:rPr>
  </w:style>
  <w:style w:type="paragraph" w:styleId="Header">
    <w:name w:val="header"/>
    <w:basedOn w:val="Normal"/>
    <w:link w:val="HeaderChar"/>
    <w:uiPriority w:val="99"/>
    <w:unhideWhenUsed/>
    <w:rsid w:val="00090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BA"/>
  </w:style>
  <w:style w:type="paragraph" w:styleId="Footer">
    <w:name w:val="footer"/>
    <w:basedOn w:val="Normal"/>
    <w:link w:val="FooterChar"/>
    <w:uiPriority w:val="99"/>
    <w:unhideWhenUsed/>
    <w:rsid w:val="00090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4BA"/>
  </w:style>
  <w:style w:type="paragraph" w:styleId="TOCHeading">
    <w:name w:val="TOC Heading"/>
    <w:basedOn w:val="Heading1"/>
    <w:next w:val="Normal"/>
    <w:uiPriority w:val="39"/>
    <w:unhideWhenUsed/>
    <w:qFormat/>
    <w:rsid w:val="00465855"/>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47025E"/>
    <w:pPr>
      <w:tabs>
        <w:tab w:val="right" w:leader="dot" w:pos="8486"/>
      </w:tabs>
      <w:spacing w:after="100" w:line="360"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465855"/>
    <w:pPr>
      <w:spacing w:after="100"/>
      <w:ind w:left="220"/>
    </w:pPr>
  </w:style>
  <w:style w:type="paragraph" w:styleId="TOC3">
    <w:name w:val="toc 3"/>
    <w:basedOn w:val="Normal"/>
    <w:next w:val="Normal"/>
    <w:autoRedefine/>
    <w:uiPriority w:val="39"/>
    <w:unhideWhenUsed/>
    <w:rsid w:val="00465855"/>
    <w:pPr>
      <w:spacing w:after="100"/>
      <w:ind w:left="440"/>
    </w:pPr>
  </w:style>
  <w:style w:type="character" w:styleId="PlaceholderText">
    <w:name w:val="Placeholder Text"/>
    <w:basedOn w:val="DefaultParagraphFont"/>
    <w:uiPriority w:val="99"/>
    <w:semiHidden/>
    <w:rsid w:val="008247BA"/>
    <w:rPr>
      <w:color w:val="808080"/>
    </w:rPr>
  </w:style>
  <w:style w:type="paragraph" w:styleId="TableofFigures">
    <w:name w:val="table of figures"/>
    <w:basedOn w:val="Normal"/>
    <w:next w:val="Normal"/>
    <w:uiPriority w:val="99"/>
    <w:unhideWhenUsed/>
    <w:rsid w:val="00917A3F"/>
    <w:pPr>
      <w:spacing w:after="0"/>
    </w:pPr>
  </w:style>
  <w:style w:type="character" w:styleId="FollowedHyperlink">
    <w:name w:val="FollowedHyperlink"/>
    <w:basedOn w:val="DefaultParagraphFont"/>
    <w:uiPriority w:val="99"/>
    <w:semiHidden/>
    <w:unhideWhenUsed/>
    <w:rsid w:val="006F16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glossaryDocument" Target="glossary/document.xml"/><Relationship Id="rId16" Type="http://schemas.openxmlformats.org/officeDocument/2006/relationships/hyperlink" Target="http://weather.uwyo.edu/upperair/sounding.html" TargetMode="External"/><Relationship Id="rId11" Type="http://schemas.openxmlformats.org/officeDocument/2006/relationships/image" Target="media/image2.gif"/><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19" Type="http://schemas.openxmlformats.org/officeDocument/2006/relationships/image" Target="media/image6.png"/><Relationship Id="rId14" Type="http://schemas.openxmlformats.org/officeDocument/2006/relationships/hyperlink" Target="http://www.srh.noaa.gov/oun/?n=events-20110524"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pc.noaa.gov/exper/archive/events/" TargetMode="External"/><Relationship Id="rId17" Type="http://schemas.openxmlformats.org/officeDocument/2006/relationships/hyperlink" Target="http://www.spc.noaa.gov/exper/archive/event.php?date=20110524"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https://www.ncdc.noaa.gov/stormevents/"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61" Type="http://schemas.openxmlformats.org/officeDocument/2006/relationships/image" Target="media/image48.png"/><Relationship Id="rId8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rek\Dropbox\Research\Dissertation%20Plots\cputim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ln>
                  <a:noFill/>
                </a:ln>
                <a:solidFill>
                  <a:schemeClr val="tx1"/>
                </a:solidFill>
                <a:latin typeface="+mn-lt"/>
                <a:ea typeface="+mn-ea"/>
                <a:cs typeface="+mn-cs"/>
              </a:defRPr>
            </a:pPr>
            <a:r>
              <a:rPr lang="en-US">
                <a:solidFill>
                  <a:schemeClr val="tx1"/>
                </a:solidFill>
              </a:rPr>
              <a:t>CPU Time (core-hr)</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Sheet1!$B$12</c:f>
              <c:strCache>
                <c:ptCount val="1"/>
                <c:pt idx="0">
                  <c:v>LIN3</c:v>
                </c:pt>
              </c:strCache>
            </c:strRef>
          </c:tx>
          <c:spPr>
            <a:ln w="34925" cap="rnd">
              <a:solidFill>
                <a:srgbClr val="FF0000"/>
              </a:solidFill>
              <a:round/>
            </a:ln>
            <a:effectLst>
              <a:outerShdw blurRad="57150" dist="19050" dir="5400000" algn="ctr" rotWithShape="0">
                <a:srgbClr val="000000">
                  <a:alpha val="63000"/>
                </a:srgbClr>
              </a:outerShdw>
            </a:effectLst>
          </c:spPr>
          <c:marker>
            <c:symbol val="none"/>
          </c:marker>
          <c:cat>
            <c:strRef>
              <c:f>Sheet1!$A$13:$A$20</c:f>
              <c:strCache>
                <c:ptCount val="8"/>
                <c:pt idx="0">
                  <c:v>1900 UTC</c:v>
                </c:pt>
                <c:pt idx="1">
                  <c:v>1930 UTC</c:v>
                </c:pt>
                <c:pt idx="2">
                  <c:v>2000 UTC</c:v>
                </c:pt>
                <c:pt idx="3">
                  <c:v>2030 UTC</c:v>
                </c:pt>
                <c:pt idx="4">
                  <c:v>2100 UTC</c:v>
                </c:pt>
                <c:pt idx="5">
                  <c:v>2130 UTC</c:v>
                </c:pt>
                <c:pt idx="6">
                  <c:v>2200 UTC</c:v>
                </c:pt>
                <c:pt idx="7">
                  <c:v>2230 UTC</c:v>
                </c:pt>
              </c:strCache>
            </c:strRef>
          </c:cat>
          <c:val>
            <c:numRef>
              <c:f>Sheet1!$B$13:$B$20</c:f>
              <c:numCache>
                <c:formatCode>0.0</c:formatCode>
                <c:ptCount val="8"/>
                <c:pt idx="0">
                  <c:v>79.967188888888884</c:v>
                </c:pt>
                <c:pt idx="1">
                  <c:v>81.40421111111111</c:v>
                </c:pt>
                <c:pt idx="2">
                  <c:v>48.34213888888889</c:v>
                </c:pt>
                <c:pt idx="3">
                  <c:v>51.367083333333333</c:v>
                </c:pt>
                <c:pt idx="4">
                  <c:v>50.689211111111113</c:v>
                </c:pt>
                <c:pt idx="5">
                  <c:v>75.601944444444442</c:v>
                </c:pt>
                <c:pt idx="6">
                  <c:v>72.526483333333331</c:v>
                </c:pt>
                <c:pt idx="7">
                  <c:v>57.918686111111107</c:v>
                </c:pt>
              </c:numCache>
            </c:numRef>
          </c:val>
          <c:smooth val="0"/>
        </c:ser>
        <c:ser>
          <c:idx val="1"/>
          <c:order val="1"/>
          <c:tx>
            <c:strRef>
              <c:f>Sheet1!$C$12</c:f>
              <c:strCache>
                <c:ptCount val="1"/>
                <c:pt idx="0">
                  <c:v>WSM6</c:v>
                </c:pt>
              </c:strCache>
            </c:strRef>
          </c:tx>
          <c:spPr>
            <a:ln w="34925" cap="rnd">
              <a:solidFill>
                <a:srgbClr val="0000FF"/>
              </a:solidFill>
              <a:round/>
            </a:ln>
            <a:effectLst>
              <a:outerShdw blurRad="57150" dist="19050" dir="5400000" algn="ctr" rotWithShape="0">
                <a:srgbClr val="000000">
                  <a:alpha val="63000"/>
                </a:srgbClr>
              </a:outerShdw>
            </a:effectLst>
          </c:spPr>
          <c:marker>
            <c:symbol val="none"/>
          </c:marker>
          <c:cat>
            <c:strRef>
              <c:f>Sheet1!$A$13:$A$20</c:f>
              <c:strCache>
                <c:ptCount val="8"/>
                <c:pt idx="0">
                  <c:v>1900 UTC</c:v>
                </c:pt>
                <c:pt idx="1">
                  <c:v>1930 UTC</c:v>
                </c:pt>
                <c:pt idx="2">
                  <c:v>2000 UTC</c:v>
                </c:pt>
                <c:pt idx="3">
                  <c:v>2030 UTC</c:v>
                </c:pt>
                <c:pt idx="4">
                  <c:v>2100 UTC</c:v>
                </c:pt>
                <c:pt idx="5">
                  <c:v>2130 UTC</c:v>
                </c:pt>
                <c:pt idx="6">
                  <c:v>2200 UTC</c:v>
                </c:pt>
                <c:pt idx="7">
                  <c:v>2230 UTC</c:v>
                </c:pt>
              </c:strCache>
            </c:strRef>
          </c:cat>
          <c:val>
            <c:numRef>
              <c:f>Sheet1!$C$13:$C$20</c:f>
              <c:numCache>
                <c:formatCode>0.0</c:formatCode>
                <c:ptCount val="8"/>
                <c:pt idx="0">
                  <c:v>80.643966666666671</c:v>
                </c:pt>
                <c:pt idx="1">
                  <c:v>48.024647222222228</c:v>
                </c:pt>
                <c:pt idx="2">
                  <c:v>55.444752777777772</c:v>
                </c:pt>
                <c:pt idx="3">
                  <c:v>54.664813888888887</c:v>
                </c:pt>
                <c:pt idx="4">
                  <c:v>47.941633333333336</c:v>
                </c:pt>
                <c:pt idx="5">
                  <c:v>57.724827777777776</c:v>
                </c:pt>
                <c:pt idx="6">
                  <c:v>79.634358333333338</c:v>
                </c:pt>
                <c:pt idx="7">
                  <c:v>79.677099999999996</c:v>
                </c:pt>
              </c:numCache>
            </c:numRef>
          </c:val>
          <c:smooth val="0"/>
        </c:ser>
        <c:ser>
          <c:idx val="2"/>
          <c:order val="2"/>
          <c:tx>
            <c:strRef>
              <c:f>Sheet1!$D$12</c:f>
              <c:strCache>
                <c:ptCount val="1"/>
                <c:pt idx="0">
                  <c:v>MYSM</c:v>
                </c:pt>
              </c:strCache>
            </c:strRef>
          </c:tx>
          <c:spPr>
            <a:ln w="34925" cap="rnd">
              <a:solidFill>
                <a:srgbClr val="00B050"/>
              </a:solidFill>
              <a:round/>
            </a:ln>
            <a:effectLst>
              <a:outerShdw blurRad="57150" dist="19050" dir="5400000" algn="ctr" rotWithShape="0">
                <a:srgbClr val="000000">
                  <a:alpha val="63000"/>
                </a:srgbClr>
              </a:outerShdw>
            </a:effectLst>
          </c:spPr>
          <c:marker>
            <c:symbol val="none"/>
          </c:marker>
          <c:cat>
            <c:strRef>
              <c:f>Sheet1!$A$13:$A$20</c:f>
              <c:strCache>
                <c:ptCount val="8"/>
                <c:pt idx="0">
                  <c:v>1900 UTC</c:v>
                </c:pt>
                <c:pt idx="1">
                  <c:v>1930 UTC</c:v>
                </c:pt>
                <c:pt idx="2">
                  <c:v>2000 UTC</c:v>
                </c:pt>
                <c:pt idx="3">
                  <c:v>2030 UTC</c:v>
                </c:pt>
                <c:pt idx="4">
                  <c:v>2100 UTC</c:v>
                </c:pt>
                <c:pt idx="5">
                  <c:v>2130 UTC</c:v>
                </c:pt>
                <c:pt idx="6">
                  <c:v>2200 UTC</c:v>
                </c:pt>
                <c:pt idx="7">
                  <c:v>2230 UTC</c:v>
                </c:pt>
              </c:strCache>
            </c:strRef>
          </c:cat>
          <c:val>
            <c:numRef>
              <c:f>Sheet1!$D$13:$D$20</c:f>
              <c:numCache>
                <c:formatCode>0.0</c:formatCode>
                <c:ptCount val="8"/>
                <c:pt idx="0">
                  <c:v>128.35852500000001</c:v>
                </c:pt>
                <c:pt idx="1">
                  <c:v>123.46749166666666</c:v>
                </c:pt>
                <c:pt idx="2">
                  <c:v>137.42032222222221</c:v>
                </c:pt>
                <c:pt idx="3">
                  <c:v>132.75631944444444</c:v>
                </c:pt>
                <c:pt idx="4">
                  <c:v>135.37723055555557</c:v>
                </c:pt>
                <c:pt idx="5">
                  <c:v>141.63916666666665</c:v>
                </c:pt>
                <c:pt idx="6">
                  <c:v>148.06244722222223</c:v>
                </c:pt>
                <c:pt idx="7">
                  <c:v>134.94991388888889</c:v>
                </c:pt>
              </c:numCache>
            </c:numRef>
          </c:val>
          <c:smooth val="0"/>
        </c:ser>
        <c:ser>
          <c:idx val="3"/>
          <c:order val="3"/>
          <c:tx>
            <c:strRef>
              <c:f>Sheet1!$E$12</c:f>
              <c:strCache>
                <c:ptCount val="1"/>
                <c:pt idx="0">
                  <c:v>MYDM</c:v>
                </c:pt>
              </c:strCache>
            </c:strRef>
          </c:tx>
          <c:spPr>
            <a:ln w="34925" cap="rnd">
              <a:solidFill>
                <a:srgbClr val="FFC000"/>
              </a:solidFill>
              <a:round/>
            </a:ln>
            <a:effectLst>
              <a:outerShdw blurRad="57150" dist="19050" dir="5400000" algn="ctr" rotWithShape="0">
                <a:srgbClr val="000000">
                  <a:alpha val="63000"/>
                </a:srgbClr>
              </a:outerShdw>
            </a:effectLst>
          </c:spPr>
          <c:marker>
            <c:symbol val="none"/>
          </c:marker>
          <c:cat>
            <c:strRef>
              <c:f>Sheet1!$A$13:$A$20</c:f>
              <c:strCache>
                <c:ptCount val="8"/>
                <c:pt idx="0">
                  <c:v>1900 UTC</c:v>
                </c:pt>
                <c:pt idx="1">
                  <c:v>1930 UTC</c:v>
                </c:pt>
                <c:pt idx="2">
                  <c:v>2000 UTC</c:v>
                </c:pt>
                <c:pt idx="3">
                  <c:v>2030 UTC</c:v>
                </c:pt>
                <c:pt idx="4">
                  <c:v>2100 UTC</c:v>
                </c:pt>
                <c:pt idx="5">
                  <c:v>2130 UTC</c:v>
                </c:pt>
                <c:pt idx="6">
                  <c:v>2200 UTC</c:v>
                </c:pt>
                <c:pt idx="7">
                  <c:v>2230 UTC</c:v>
                </c:pt>
              </c:strCache>
            </c:strRef>
          </c:cat>
          <c:val>
            <c:numRef>
              <c:f>Sheet1!$E$13:$E$20</c:f>
              <c:numCache>
                <c:formatCode>0.0</c:formatCode>
                <c:ptCount val="8"/>
                <c:pt idx="0">
                  <c:v>142.24397500000001</c:v>
                </c:pt>
                <c:pt idx="1">
                  <c:v>130.88640555555554</c:v>
                </c:pt>
                <c:pt idx="2">
                  <c:v>138.05029444444443</c:v>
                </c:pt>
                <c:pt idx="3">
                  <c:v>140.07642222222222</c:v>
                </c:pt>
                <c:pt idx="4">
                  <c:v>158.29298611111111</c:v>
                </c:pt>
                <c:pt idx="5">
                  <c:v>154.70930555555555</c:v>
                </c:pt>
                <c:pt idx="6">
                  <c:v>152.34854166666668</c:v>
                </c:pt>
                <c:pt idx="7">
                  <c:v>155.24607777777777</c:v>
                </c:pt>
              </c:numCache>
            </c:numRef>
          </c:val>
          <c:smooth val="0"/>
        </c:ser>
        <c:ser>
          <c:idx val="4"/>
          <c:order val="4"/>
          <c:tx>
            <c:strRef>
              <c:f>Sheet1!$F$12</c:f>
              <c:strCache>
                <c:ptCount val="1"/>
                <c:pt idx="0">
                  <c:v>MYTM</c:v>
                </c:pt>
              </c:strCache>
            </c:strRef>
          </c:tx>
          <c:spPr>
            <a:ln w="34925" cap="rnd">
              <a:solidFill>
                <a:srgbClr val="7030A0"/>
              </a:solidFill>
              <a:round/>
            </a:ln>
            <a:effectLst>
              <a:outerShdw blurRad="57150" dist="19050" dir="5400000" algn="ctr" rotWithShape="0">
                <a:srgbClr val="000000">
                  <a:alpha val="63000"/>
                </a:srgbClr>
              </a:outerShdw>
            </a:effectLst>
          </c:spPr>
          <c:marker>
            <c:symbol val="none"/>
          </c:marker>
          <c:cat>
            <c:strRef>
              <c:f>Sheet1!$A$13:$A$20</c:f>
              <c:strCache>
                <c:ptCount val="8"/>
                <c:pt idx="0">
                  <c:v>1900 UTC</c:v>
                </c:pt>
                <c:pt idx="1">
                  <c:v>1930 UTC</c:v>
                </c:pt>
                <c:pt idx="2">
                  <c:v>2000 UTC</c:v>
                </c:pt>
                <c:pt idx="3">
                  <c:v>2030 UTC</c:v>
                </c:pt>
                <c:pt idx="4">
                  <c:v>2100 UTC</c:v>
                </c:pt>
                <c:pt idx="5">
                  <c:v>2130 UTC</c:v>
                </c:pt>
                <c:pt idx="6">
                  <c:v>2200 UTC</c:v>
                </c:pt>
                <c:pt idx="7">
                  <c:v>2230 UTC</c:v>
                </c:pt>
              </c:strCache>
            </c:strRef>
          </c:cat>
          <c:val>
            <c:numRef>
              <c:f>Sheet1!$F$13:$F$20</c:f>
              <c:numCache>
                <c:formatCode>0.0</c:formatCode>
                <c:ptCount val="8"/>
                <c:pt idx="0">
                  <c:v>162.09237777777778</c:v>
                </c:pt>
                <c:pt idx="1">
                  <c:v>153.60359444444444</c:v>
                </c:pt>
                <c:pt idx="2">
                  <c:v>161.51968888888888</c:v>
                </c:pt>
                <c:pt idx="3">
                  <c:v>165.25041666666667</c:v>
                </c:pt>
                <c:pt idx="4">
                  <c:v>167.82322777777779</c:v>
                </c:pt>
                <c:pt idx="5">
                  <c:v>179.76920000000001</c:v>
                </c:pt>
                <c:pt idx="6">
                  <c:v>175.938525</c:v>
                </c:pt>
                <c:pt idx="7">
                  <c:v>179.76920000000001</c:v>
                </c:pt>
              </c:numCache>
            </c:numRef>
          </c:val>
          <c:smooth val="0"/>
        </c:ser>
        <c:dLbls>
          <c:showLegendKey val="0"/>
          <c:showVal val="0"/>
          <c:showCatName val="0"/>
          <c:showSerName val="0"/>
          <c:showPercent val="0"/>
          <c:showBubbleSize val="0"/>
        </c:dLbls>
        <c:smooth val="0"/>
        <c:axId val="320442160"/>
        <c:axId val="320443280"/>
      </c:lineChart>
      <c:catAx>
        <c:axId val="320442160"/>
        <c:scaling>
          <c:orientation val="minMax"/>
        </c:scaling>
        <c:delete val="0"/>
        <c:axPos val="b"/>
        <c:numFmt formatCode="General" sourceLinked="1"/>
        <c:majorTickMark val="cross"/>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320443280"/>
        <c:crosses val="autoZero"/>
        <c:auto val="1"/>
        <c:lblAlgn val="ctr"/>
        <c:lblOffset val="100"/>
        <c:noMultiLvlLbl val="0"/>
      </c:catAx>
      <c:valAx>
        <c:axId val="320443280"/>
        <c:scaling>
          <c:orientation val="minMax"/>
        </c:scaling>
        <c:delete val="0"/>
        <c:axPos val="l"/>
        <c:majorGridlines>
          <c:spPr>
            <a:ln w="9525" cap="flat" cmpd="sng" algn="ctr">
              <a:solidFill>
                <a:schemeClr val="bg1">
                  <a:lumMod val="50000"/>
                </a:schemeClr>
              </a:solidFill>
              <a:round/>
            </a:ln>
            <a:effectLst/>
          </c:spPr>
        </c:majorGridlines>
        <c:numFmt formatCode="0.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320442160"/>
        <c:crosses val="autoZero"/>
        <c:crossBetween val="midCat"/>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Entry>
      <c:legendEntry>
        <c:idx val="4"/>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noFill/>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1C610924EB4DD7A9302280CC4B6FAF"/>
        <w:category>
          <w:name w:val="General"/>
          <w:gallery w:val="placeholder"/>
        </w:category>
        <w:types>
          <w:type w:val="bbPlcHdr"/>
        </w:types>
        <w:behaviors>
          <w:behavior w:val="content"/>
        </w:behaviors>
        <w:guid w:val="{02DEB345-6B01-4941-AA71-E2CD8BCD16F3}"/>
      </w:docPartPr>
      <w:docPartBody>
        <w:p w:rsidR="00215562" w:rsidRDefault="00215562" w:rsidP="00215562">
          <w:pPr>
            <w:pStyle w:val="C31C610924EB4DD7A9302280CC4B6FAF"/>
          </w:pPr>
          <w:r w:rsidRPr="001F1C68">
            <w:rPr>
              <w:rStyle w:val="PlaceholderText"/>
            </w:rPr>
            <w:t>Click here to enter text.</w:t>
          </w:r>
        </w:p>
      </w:docPartBody>
    </w:docPart>
    <w:docPart>
      <w:docPartPr>
        <w:name w:val="02C4128CE7764AD3BD2B1E29FE7B46DF"/>
        <w:category>
          <w:name w:val="General"/>
          <w:gallery w:val="placeholder"/>
        </w:category>
        <w:types>
          <w:type w:val="bbPlcHdr"/>
        </w:types>
        <w:behaviors>
          <w:behavior w:val="content"/>
        </w:behaviors>
        <w:guid w:val="{4CE6D283-2965-45A8-A186-49B4CCCF8141}"/>
      </w:docPartPr>
      <w:docPartBody>
        <w:p w:rsidR="00215562" w:rsidRDefault="00215562" w:rsidP="00215562">
          <w:pPr>
            <w:pStyle w:val="02C4128CE7764AD3BD2B1E29FE7B46DF"/>
          </w:pPr>
          <w:r w:rsidRPr="001F1C68">
            <w:rPr>
              <w:rStyle w:val="PlaceholderText"/>
            </w:rPr>
            <w:t>Choose an item.</w:t>
          </w:r>
        </w:p>
      </w:docPartBody>
    </w:docPart>
    <w:docPart>
      <w:docPartPr>
        <w:name w:val="F1F707B72E8348EC8B1D1DA281B8CA26"/>
        <w:category>
          <w:name w:val="General"/>
          <w:gallery w:val="placeholder"/>
        </w:category>
        <w:types>
          <w:type w:val="bbPlcHdr"/>
        </w:types>
        <w:behaviors>
          <w:behavior w:val="content"/>
        </w:behaviors>
        <w:guid w:val="{ADE592C2-1B46-4BBC-A66A-166C9237A9B2}"/>
      </w:docPartPr>
      <w:docPartBody>
        <w:p w:rsidR="00215562" w:rsidRDefault="00215562" w:rsidP="00215562">
          <w:pPr>
            <w:pStyle w:val="F1F707B72E8348EC8B1D1DA281B8CA26"/>
          </w:pPr>
          <w:r w:rsidRPr="00AC7F25">
            <w:rPr>
              <w:rStyle w:val="PlaceholderText"/>
            </w:rPr>
            <w:t>Choose an item.</w:t>
          </w:r>
        </w:p>
      </w:docPartBody>
    </w:docPart>
    <w:docPart>
      <w:docPartPr>
        <w:name w:val="838D52B4636842F48F8DE1653F618A6E"/>
        <w:category>
          <w:name w:val="General"/>
          <w:gallery w:val="placeholder"/>
        </w:category>
        <w:types>
          <w:type w:val="bbPlcHdr"/>
        </w:types>
        <w:behaviors>
          <w:behavior w:val="content"/>
        </w:behaviors>
        <w:guid w:val="{A76EF530-4FA4-4A0D-95F2-662165CFDEA1}"/>
      </w:docPartPr>
      <w:docPartBody>
        <w:p w:rsidR="00215562" w:rsidRDefault="00215562" w:rsidP="00215562">
          <w:pPr>
            <w:pStyle w:val="838D52B4636842F48F8DE1653F618A6E"/>
          </w:pPr>
          <w:r w:rsidRPr="00BB1A19">
            <w:rPr>
              <w:rStyle w:val="PlaceholderText"/>
            </w:rPr>
            <w:t>Click here to enter text.</w:t>
          </w:r>
        </w:p>
      </w:docPartBody>
    </w:docPart>
    <w:docPart>
      <w:docPartPr>
        <w:name w:val="38F77DA315904ADC857F47F0FEFBFD99"/>
        <w:category>
          <w:name w:val="General"/>
          <w:gallery w:val="placeholder"/>
        </w:category>
        <w:types>
          <w:type w:val="bbPlcHdr"/>
        </w:types>
        <w:behaviors>
          <w:behavior w:val="content"/>
        </w:behaviors>
        <w:guid w:val="{9DE95656-8AFE-470C-87CF-16D341001881}"/>
      </w:docPartPr>
      <w:docPartBody>
        <w:p w:rsidR="00672132" w:rsidRDefault="00672132" w:rsidP="00672132">
          <w:pPr>
            <w:pStyle w:val="38F77DA315904ADC857F47F0FEFBFD99"/>
          </w:pPr>
          <w:r w:rsidRPr="001F1C68">
            <w:rPr>
              <w:rStyle w:val="PlaceholderText"/>
            </w:rPr>
            <w:t>Click here to enter text.</w:t>
          </w:r>
        </w:p>
      </w:docPartBody>
    </w:docPart>
    <w:docPart>
      <w:docPartPr>
        <w:name w:val="5CC6CC5BE7B94B3E88886F68F8526E3D"/>
        <w:category>
          <w:name w:val="General"/>
          <w:gallery w:val="placeholder"/>
        </w:category>
        <w:types>
          <w:type w:val="bbPlcHdr"/>
        </w:types>
        <w:behaviors>
          <w:behavior w:val="content"/>
        </w:behaviors>
        <w:guid w:val="{4D716145-DC8F-49CD-9CA8-6282664A58CF}"/>
      </w:docPartPr>
      <w:docPartBody>
        <w:p w:rsidR="00672132" w:rsidRDefault="00672132" w:rsidP="00672132">
          <w:pPr>
            <w:pStyle w:val="5CC6CC5BE7B94B3E88886F68F8526E3D"/>
          </w:pPr>
          <w:r w:rsidRPr="001F1C68">
            <w:rPr>
              <w:rStyle w:val="PlaceholderText"/>
            </w:rPr>
            <w:t>Choose an item.</w:t>
          </w:r>
        </w:p>
      </w:docPartBody>
    </w:docPart>
    <w:docPart>
      <w:docPartPr>
        <w:name w:val="34EE9B85891A4CE5A315749B0B7093E3"/>
        <w:category>
          <w:name w:val="General"/>
          <w:gallery w:val="placeholder"/>
        </w:category>
        <w:types>
          <w:type w:val="bbPlcHdr"/>
        </w:types>
        <w:behaviors>
          <w:behavior w:val="content"/>
        </w:behaviors>
        <w:guid w:val="{F3748614-8C10-483D-8785-83A7151309EF}"/>
      </w:docPartPr>
      <w:docPartBody>
        <w:p w:rsidR="00672132" w:rsidRDefault="00672132" w:rsidP="00672132">
          <w:pPr>
            <w:pStyle w:val="34EE9B85891A4CE5A315749B0B7093E3"/>
          </w:pPr>
          <w:r w:rsidRPr="00DB664C">
            <w:rPr>
              <w:rStyle w:val="PlaceholderText"/>
            </w:rPr>
            <w:t>[EXACT NAME OF YOUR ACADEMIC UNIT IN ALL CAPS]</w:t>
          </w:r>
        </w:p>
      </w:docPartBody>
    </w:docPart>
    <w:docPart>
      <w:docPartPr>
        <w:name w:val="7324CCC8A50042BCA13BD7962CEB44F0"/>
        <w:category>
          <w:name w:val="General"/>
          <w:gallery w:val="placeholder"/>
        </w:category>
        <w:types>
          <w:type w:val="bbPlcHdr"/>
        </w:types>
        <w:behaviors>
          <w:behavior w:val="content"/>
        </w:behaviors>
        <w:guid w:val="{13595C74-9FC3-4824-BEB0-CB341F2A2091}"/>
      </w:docPartPr>
      <w:docPartBody>
        <w:p w:rsidR="00672132" w:rsidRDefault="00672132" w:rsidP="00672132">
          <w:pPr>
            <w:pStyle w:val="7324CCC8A50042BCA13BD7962CEB44F0"/>
          </w:pPr>
          <w:r w:rsidRPr="00AC7F25">
            <w:rPr>
              <w:rStyle w:val="PlaceholderText"/>
            </w:rPr>
            <w:t>Choose an item.</w:t>
          </w:r>
        </w:p>
      </w:docPartBody>
    </w:docPart>
    <w:docPart>
      <w:docPartPr>
        <w:name w:val="2F0DD19BC5D549ABB4AFF5666DA972D2"/>
        <w:category>
          <w:name w:val="General"/>
          <w:gallery w:val="placeholder"/>
        </w:category>
        <w:types>
          <w:type w:val="bbPlcHdr"/>
        </w:types>
        <w:behaviors>
          <w:behavior w:val="content"/>
        </w:behaviors>
        <w:guid w:val="{FD0673C2-8A58-4275-B291-FD778B17631B}"/>
      </w:docPartPr>
      <w:docPartBody>
        <w:p w:rsidR="00672132" w:rsidRDefault="00672132" w:rsidP="00672132">
          <w:pPr>
            <w:pStyle w:val="2F0DD19BC5D549ABB4AFF5666DA972D2"/>
          </w:pPr>
          <w:r w:rsidRPr="001F1C68">
            <w:rPr>
              <w:rStyle w:val="PlaceholderText"/>
            </w:rPr>
            <w:t>Click here to enter text.</w:t>
          </w:r>
        </w:p>
      </w:docPartBody>
    </w:docPart>
    <w:docPart>
      <w:docPartPr>
        <w:name w:val="C0B62D6D62B74BD69012663785AA0C59"/>
        <w:category>
          <w:name w:val="General"/>
          <w:gallery w:val="placeholder"/>
        </w:category>
        <w:types>
          <w:type w:val="bbPlcHdr"/>
        </w:types>
        <w:behaviors>
          <w:behavior w:val="content"/>
        </w:behaviors>
        <w:guid w:val="{80856346-7A70-4115-8FD0-B580E2A981D4}"/>
      </w:docPartPr>
      <w:docPartBody>
        <w:p w:rsidR="00672132" w:rsidRDefault="00672132" w:rsidP="00672132">
          <w:pPr>
            <w:pStyle w:val="C0B62D6D62B74BD69012663785AA0C59"/>
          </w:pPr>
          <w:r w:rsidRPr="00AC7F25">
            <w:rPr>
              <w:rStyle w:val="PlaceholderText"/>
            </w:rPr>
            <w:t>Choose an item.</w:t>
          </w:r>
        </w:p>
      </w:docPartBody>
    </w:docPart>
    <w:docPart>
      <w:docPartPr>
        <w:name w:val="512009F9A5EA4BDD8521077494164139"/>
        <w:category>
          <w:name w:val="General"/>
          <w:gallery w:val="placeholder"/>
        </w:category>
        <w:types>
          <w:type w:val="bbPlcHdr"/>
        </w:types>
        <w:behaviors>
          <w:behavior w:val="content"/>
        </w:behaviors>
        <w:guid w:val="{33324B73-7930-44EA-AB98-F04255F93E1E}"/>
      </w:docPartPr>
      <w:docPartBody>
        <w:p w:rsidR="00672132" w:rsidRDefault="00672132" w:rsidP="00672132">
          <w:pPr>
            <w:pStyle w:val="512009F9A5EA4BDD8521077494164139"/>
          </w:pPr>
          <w:r w:rsidRPr="001F1C68">
            <w:rPr>
              <w:rStyle w:val="PlaceholderText"/>
            </w:rPr>
            <w:t>Click here to enter text.</w:t>
          </w:r>
        </w:p>
      </w:docPartBody>
    </w:docPart>
    <w:docPart>
      <w:docPartPr>
        <w:name w:val="1073E7E18E074CA8AB3C2B292AC302B0"/>
        <w:category>
          <w:name w:val="General"/>
          <w:gallery w:val="placeholder"/>
        </w:category>
        <w:types>
          <w:type w:val="bbPlcHdr"/>
        </w:types>
        <w:behaviors>
          <w:behavior w:val="content"/>
        </w:behaviors>
        <w:guid w:val="{8D6DA38D-72F2-4150-92D3-98294EDE8502}"/>
      </w:docPartPr>
      <w:docPartBody>
        <w:p w:rsidR="00672132" w:rsidRDefault="00672132" w:rsidP="00672132">
          <w:pPr>
            <w:pStyle w:val="1073E7E18E074CA8AB3C2B292AC302B0"/>
          </w:pPr>
          <w:r w:rsidRPr="00AC7F25">
            <w:rPr>
              <w:rStyle w:val="PlaceholderText"/>
            </w:rPr>
            <w:t>Choose an item.</w:t>
          </w:r>
        </w:p>
      </w:docPartBody>
    </w:docPart>
    <w:docPart>
      <w:docPartPr>
        <w:name w:val="347E6765980F46C6B57F64C68A3F8CCF"/>
        <w:category>
          <w:name w:val="General"/>
          <w:gallery w:val="placeholder"/>
        </w:category>
        <w:types>
          <w:type w:val="bbPlcHdr"/>
        </w:types>
        <w:behaviors>
          <w:behavior w:val="content"/>
        </w:behaviors>
        <w:guid w:val="{26F3D965-C7FB-4B51-A616-D9D6DA7D49A4}"/>
      </w:docPartPr>
      <w:docPartBody>
        <w:p w:rsidR="00672132" w:rsidRDefault="00672132" w:rsidP="00672132">
          <w:pPr>
            <w:pStyle w:val="347E6765980F46C6B57F64C68A3F8CCF"/>
          </w:pPr>
          <w:r w:rsidRPr="001F1C68">
            <w:rPr>
              <w:rStyle w:val="PlaceholderText"/>
            </w:rPr>
            <w:t>Click here to enter text.</w:t>
          </w:r>
        </w:p>
      </w:docPartBody>
    </w:docPart>
    <w:docPart>
      <w:docPartPr>
        <w:name w:val="B807A092CE3C4BAD9D96D4444634997F"/>
        <w:category>
          <w:name w:val="General"/>
          <w:gallery w:val="placeholder"/>
        </w:category>
        <w:types>
          <w:type w:val="bbPlcHdr"/>
        </w:types>
        <w:behaviors>
          <w:behavior w:val="content"/>
        </w:behaviors>
        <w:guid w:val="{F6EB04C4-4B59-420E-98CE-EF132B27793E}"/>
      </w:docPartPr>
      <w:docPartBody>
        <w:p w:rsidR="00672132" w:rsidRDefault="00672132" w:rsidP="00672132">
          <w:pPr>
            <w:pStyle w:val="B807A092CE3C4BAD9D96D4444634997F"/>
          </w:pPr>
          <w:r w:rsidRPr="00AC7F25">
            <w:rPr>
              <w:rStyle w:val="PlaceholderText"/>
            </w:rPr>
            <w:t>Choose an item.</w:t>
          </w:r>
        </w:p>
      </w:docPartBody>
    </w:docPart>
    <w:docPart>
      <w:docPartPr>
        <w:name w:val="BF4347CE16644B00B0300B99AE117DD7"/>
        <w:category>
          <w:name w:val="General"/>
          <w:gallery w:val="placeholder"/>
        </w:category>
        <w:types>
          <w:type w:val="bbPlcHdr"/>
        </w:types>
        <w:behaviors>
          <w:behavior w:val="content"/>
        </w:behaviors>
        <w:guid w:val="{AF58BC2C-5258-448E-997A-DEDBD068DC4B}"/>
      </w:docPartPr>
      <w:docPartBody>
        <w:p w:rsidR="00672132" w:rsidRDefault="00672132" w:rsidP="00672132">
          <w:pPr>
            <w:pStyle w:val="BF4347CE16644B00B0300B99AE117DD7"/>
          </w:pPr>
          <w:r w:rsidRPr="001F1C68">
            <w:rPr>
              <w:rStyle w:val="PlaceholderText"/>
            </w:rPr>
            <w:t>Click here to enter text.</w:t>
          </w:r>
        </w:p>
      </w:docPartBody>
    </w:docPart>
    <w:docPart>
      <w:docPartPr>
        <w:name w:val="9850E490187C47D78F3FE447553E9DAA"/>
        <w:category>
          <w:name w:val="General"/>
          <w:gallery w:val="placeholder"/>
        </w:category>
        <w:types>
          <w:type w:val="bbPlcHdr"/>
        </w:types>
        <w:behaviors>
          <w:behavior w:val="content"/>
        </w:behaviors>
        <w:guid w:val="{069EF647-357C-430A-8B76-6E9067E9C7B8}"/>
      </w:docPartPr>
      <w:docPartBody>
        <w:p w:rsidR="00672132" w:rsidRDefault="00672132" w:rsidP="00672132">
          <w:pPr>
            <w:pStyle w:val="9850E490187C47D78F3FE447553E9DA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62"/>
    <w:rsid w:val="00215562"/>
    <w:rsid w:val="00231F2C"/>
    <w:rsid w:val="0065730D"/>
    <w:rsid w:val="00672132"/>
    <w:rsid w:val="006A3454"/>
    <w:rsid w:val="00855A9B"/>
    <w:rsid w:val="00A10A0D"/>
    <w:rsid w:val="00A61B00"/>
    <w:rsid w:val="00BF63E8"/>
    <w:rsid w:val="00CA4D70"/>
    <w:rsid w:val="00D23F03"/>
    <w:rsid w:val="00D431D7"/>
    <w:rsid w:val="00E33269"/>
    <w:rsid w:val="00E865FE"/>
    <w:rsid w:val="00EF263A"/>
    <w:rsid w:val="00F46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5FE"/>
    <w:rPr>
      <w:color w:val="808080"/>
    </w:rPr>
  </w:style>
  <w:style w:type="paragraph" w:customStyle="1" w:styleId="C31C610924EB4DD7A9302280CC4B6FAF">
    <w:name w:val="C31C610924EB4DD7A9302280CC4B6FAF"/>
    <w:rsid w:val="00215562"/>
  </w:style>
  <w:style w:type="paragraph" w:customStyle="1" w:styleId="02C4128CE7764AD3BD2B1E29FE7B46DF">
    <w:name w:val="02C4128CE7764AD3BD2B1E29FE7B46DF"/>
    <w:rsid w:val="00215562"/>
  </w:style>
  <w:style w:type="paragraph" w:customStyle="1" w:styleId="F1F707B72E8348EC8B1D1DA281B8CA26">
    <w:name w:val="F1F707B72E8348EC8B1D1DA281B8CA26"/>
    <w:rsid w:val="00215562"/>
  </w:style>
  <w:style w:type="paragraph" w:customStyle="1" w:styleId="838D52B4636842F48F8DE1653F618A6E">
    <w:name w:val="838D52B4636842F48F8DE1653F618A6E"/>
    <w:rsid w:val="00215562"/>
  </w:style>
  <w:style w:type="paragraph" w:customStyle="1" w:styleId="7A163F8683C740928A3FCDDCEEB7F658">
    <w:name w:val="7A163F8683C740928A3FCDDCEEB7F658"/>
    <w:rsid w:val="00215562"/>
  </w:style>
  <w:style w:type="paragraph" w:customStyle="1" w:styleId="D29A4F7359E041CB975FB81E1B4202B9">
    <w:name w:val="D29A4F7359E041CB975FB81E1B4202B9"/>
    <w:rsid w:val="00215562"/>
  </w:style>
  <w:style w:type="paragraph" w:customStyle="1" w:styleId="0AEB860BCA4D4FBA8C10F952A39E20D8">
    <w:name w:val="0AEB860BCA4D4FBA8C10F952A39E20D8"/>
    <w:rsid w:val="00215562"/>
  </w:style>
  <w:style w:type="paragraph" w:customStyle="1" w:styleId="38F77DA315904ADC857F47F0FEFBFD99">
    <w:name w:val="38F77DA315904ADC857F47F0FEFBFD99"/>
    <w:rsid w:val="00672132"/>
  </w:style>
  <w:style w:type="paragraph" w:customStyle="1" w:styleId="5CC6CC5BE7B94B3E88886F68F8526E3D">
    <w:name w:val="5CC6CC5BE7B94B3E88886F68F8526E3D"/>
    <w:rsid w:val="00672132"/>
  </w:style>
  <w:style w:type="paragraph" w:customStyle="1" w:styleId="34EE9B85891A4CE5A315749B0B7093E3">
    <w:name w:val="34EE9B85891A4CE5A315749B0B7093E3"/>
    <w:rsid w:val="00672132"/>
  </w:style>
  <w:style w:type="paragraph" w:customStyle="1" w:styleId="7324CCC8A50042BCA13BD7962CEB44F0">
    <w:name w:val="7324CCC8A50042BCA13BD7962CEB44F0"/>
    <w:rsid w:val="00672132"/>
  </w:style>
  <w:style w:type="paragraph" w:customStyle="1" w:styleId="2F0DD19BC5D549ABB4AFF5666DA972D2">
    <w:name w:val="2F0DD19BC5D549ABB4AFF5666DA972D2"/>
    <w:rsid w:val="00672132"/>
  </w:style>
  <w:style w:type="paragraph" w:customStyle="1" w:styleId="C0B62D6D62B74BD69012663785AA0C59">
    <w:name w:val="C0B62D6D62B74BD69012663785AA0C59"/>
    <w:rsid w:val="00672132"/>
  </w:style>
  <w:style w:type="paragraph" w:customStyle="1" w:styleId="512009F9A5EA4BDD8521077494164139">
    <w:name w:val="512009F9A5EA4BDD8521077494164139"/>
    <w:rsid w:val="00672132"/>
  </w:style>
  <w:style w:type="paragraph" w:customStyle="1" w:styleId="1073E7E18E074CA8AB3C2B292AC302B0">
    <w:name w:val="1073E7E18E074CA8AB3C2B292AC302B0"/>
    <w:rsid w:val="00672132"/>
  </w:style>
  <w:style w:type="paragraph" w:customStyle="1" w:styleId="347E6765980F46C6B57F64C68A3F8CCF">
    <w:name w:val="347E6765980F46C6B57F64C68A3F8CCF"/>
    <w:rsid w:val="00672132"/>
  </w:style>
  <w:style w:type="paragraph" w:customStyle="1" w:styleId="B807A092CE3C4BAD9D96D4444634997F">
    <w:name w:val="B807A092CE3C4BAD9D96D4444634997F"/>
    <w:rsid w:val="00672132"/>
  </w:style>
  <w:style w:type="paragraph" w:customStyle="1" w:styleId="BF4347CE16644B00B0300B99AE117DD7">
    <w:name w:val="BF4347CE16644B00B0300B99AE117DD7"/>
    <w:rsid w:val="00672132"/>
  </w:style>
  <w:style w:type="paragraph" w:customStyle="1" w:styleId="59C87DB066904D24AE0C21F5F4FBE5F6">
    <w:name w:val="59C87DB066904D24AE0C21F5F4FBE5F6"/>
    <w:rsid w:val="00672132"/>
  </w:style>
  <w:style w:type="paragraph" w:customStyle="1" w:styleId="0AD22135E790487A96E730BB238DCB96">
    <w:name w:val="0AD22135E790487A96E730BB238DCB96"/>
    <w:rsid w:val="00672132"/>
  </w:style>
  <w:style w:type="paragraph" w:customStyle="1" w:styleId="A32B972F3A8F4E3796F5147B2DD56129">
    <w:name w:val="A32B972F3A8F4E3796F5147B2DD56129"/>
    <w:rsid w:val="00672132"/>
  </w:style>
  <w:style w:type="paragraph" w:customStyle="1" w:styleId="9850E490187C47D78F3FE447553E9DAA">
    <w:name w:val="9850E490187C47D78F3FE447553E9DAA"/>
    <w:rsid w:val="00672132"/>
  </w:style>
  <w:style w:type="paragraph" w:customStyle="1" w:styleId="90F826E896E34466A5A1784E803E042A">
    <w:name w:val="90F826E896E34466A5A1784E803E042A"/>
    <w:rsid w:val="00672132"/>
  </w:style>
  <w:style w:type="paragraph" w:customStyle="1" w:styleId="DE4D5B98F0B846E687979A5DE62EED39">
    <w:name w:val="DE4D5B98F0B846E687979A5DE62EED39"/>
    <w:rsid w:val="00672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2B8B1-56CD-408C-9CD6-3F711B39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28259</Words>
  <Characters>161078</Characters>
  <Application>Microsoft Office Word</Application>
  <DocSecurity>0</DocSecurity>
  <Lines>1342</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dc:creator>
  <cp:keywords/>
  <dc:description/>
  <cp:lastModifiedBy>Derek</cp:lastModifiedBy>
  <cp:revision>3</cp:revision>
  <cp:lastPrinted>2016-05-10T03:27:00Z</cp:lastPrinted>
  <dcterms:created xsi:type="dcterms:W3CDTF">2016-05-11T19:29:00Z</dcterms:created>
  <dcterms:modified xsi:type="dcterms:W3CDTF">2016-05-11T19:29:00Z</dcterms:modified>
</cp:coreProperties>
</file>