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486DBF" w14:textId="63A0A316" w:rsidR="002D29D1" w:rsidRDefault="002D29D1" w:rsidP="007237E0">
      <w:pPr>
        <w:spacing w:line="480" w:lineRule="auto"/>
        <w:rPr>
          <w:rFonts w:ascii="Times New Roman" w:hAnsi="Times New Roman" w:cs="Times New Roman"/>
        </w:rPr>
      </w:pPr>
    </w:p>
    <w:p w14:paraId="42A708A3" w14:textId="77777777" w:rsidR="002D29D1" w:rsidRDefault="002D29D1" w:rsidP="002D29D1">
      <w:pPr>
        <w:spacing w:line="480" w:lineRule="auto"/>
        <w:jc w:val="center"/>
        <w:rPr>
          <w:rFonts w:ascii="Times New Roman" w:hAnsi="Times New Roman" w:cs="Times New Roman"/>
        </w:rPr>
      </w:pPr>
      <w:r>
        <w:rPr>
          <w:rFonts w:ascii="Times New Roman" w:hAnsi="Times New Roman" w:cs="Times New Roman"/>
        </w:rPr>
        <w:t>UNIVERSITY OF OKLAHOMA</w:t>
      </w:r>
    </w:p>
    <w:p w14:paraId="1D031D4C" w14:textId="77777777" w:rsidR="002D29D1" w:rsidRDefault="002D29D1" w:rsidP="002D29D1">
      <w:pPr>
        <w:spacing w:line="480" w:lineRule="auto"/>
        <w:jc w:val="center"/>
        <w:rPr>
          <w:rFonts w:ascii="Times New Roman" w:hAnsi="Times New Roman" w:cs="Times New Roman"/>
        </w:rPr>
      </w:pPr>
      <w:r>
        <w:rPr>
          <w:rFonts w:ascii="Times New Roman" w:hAnsi="Times New Roman" w:cs="Times New Roman"/>
        </w:rPr>
        <w:t>GRADUATE COLLEGE</w:t>
      </w:r>
    </w:p>
    <w:p w14:paraId="1B87BC69" w14:textId="77777777" w:rsidR="002D29D1" w:rsidRDefault="002D29D1" w:rsidP="002D29D1">
      <w:pPr>
        <w:spacing w:line="480" w:lineRule="auto"/>
        <w:jc w:val="center"/>
        <w:rPr>
          <w:rFonts w:ascii="Times New Roman" w:hAnsi="Times New Roman" w:cs="Times New Roman"/>
        </w:rPr>
      </w:pPr>
    </w:p>
    <w:p w14:paraId="4153CCC7" w14:textId="77777777" w:rsidR="002D29D1" w:rsidRDefault="002D29D1" w:rsidP="002D29D1">
      <w:pPr>
        <w:spacing w:line="480" w:lineRule="auto"/>
        <w:jc w:val="center"/>
        <w:rPr>
          <w:rFonts w:ascii="Times New Roman" w:hAnsi="Times New Roman" w:cs="Times New Roman"/>
        </w:rPr>
      </w:pPr>
    </w:p>
    <w:p w14:paraId="46E3D6D1" w14:textId="77777777" w:rsidR="002D29D1" w:rsidRDefault="002D29D1" w:rsidP="002D29D1">
      <w:pPr>
        <w:spacing w:line="480" w:lineRule="auto"/>
        <w:jc w:val="center"/>
        <w:rPr>
          <w:rFonts w:ascii="Times New Roman" w:hAnsi="Times New Roman" w:cs="Times New Roman"/>
        </w:rPr>
      </w:pPr>
    </w:p>
    <w:p w14:paraId="01EAE2F3" w14:textId="29A844CF" w:rsidR="007B0216" w:rsidRDefault="00F421C9" w:rsidP="007B0216">
      <w:pPr>
        <w:spacing w:line="480" w:lineRule="auto"/>
        <w:jc w:val="center"/>
        <w:rPr>
          <w:rFonts w:ascii="Times New Roman" w:hAnsi="Times New Roman" w:cs="Times New Roman"/>
        </w:rPr>
      </w:pPr>
      <w:r>
        <w:rPr>
          <w:rFonts w:ascii="Times New Roman" w:hAnsi="Times New Roman" w:cs="Times New Roman"/>
        </w:rPr>
        <w:t>MAKING THE BUSINESS OF DEATH, BUSINESS-AS-USUAL</w:t>
      </w:r>
      <w:r w:rsidR="007B0216">
        <w:rPr>
          <w:rFonts w:ascii="Times New Roman" w:hAnsi="Times New Roman" w:cs="Times New Roman"/>
        </w:rPr>
        <w:t>: THE COMMERCE-</w:t>
      </w:r>
      <w:r w:rsidR="006919EE">
        <w:rPr>
          <w:rFonts w:ascii="Times New Roman" w:hAnsi="Times New Roman" w:cs="Times New Roman"/>
        </w:rPr>
        <w:t>CARE</w:t>
      </w:r>
      <w:r w:rsidR="007B0216">
        <w:rPr>
          <w:rFonts w:ascii="Times New Roman" w:hAnsi="Times New Roman" w:cs="Times New Roman"/>
        </w:rPr>
        <w:t xml:space="preserve"> </w:t>
      </w:r>
      <w:r w:rsidR="0029138F">
        <w:rPr>
          <w:rFonts w:ascii="Times New Roman" w:hAnsi="Times New Roman" w:cs="Times New Roman"/>
        </w:rPr>
        <w:t>DIALECTIC</w:t>
      </w:r>
      <w:r w:rsidR="007B0216">
        <w:rPr>
          <w:rFonts w:ascii="Times New Roman" w:hAnsi="Times New Roman" w:cs="Times New Roman"/>
        </w:rPr>
        <w:t xml:space="preserve"> IN </w:t>
      </w:r>
      <w:r w:rsidR="0004541E">
        <w:rPr>
          <w:rFonts w:ascii="Times New Roman" w:hAnsi="Times New Roman" w:cs="Times New Roman"/>
        </w:rPr>
        <w:t>FUNERAL PLANNING</w:t>
      </w:r>
      <w:r w:rsidR="001139B8">
        <w:rPr>
          <w:rFonts w:ascii="Times New Roman" w:hAnsi="Times New Roman" w:cs="Times New Roman"/>
        </w:rPr>
        <w:t xml:space="preserve"> </w:t>
      </w:r>
    </w:p>
    <w:p w14:paraId="12B4DC24" w14:textId="77777777" w:rsidR="002D29D1" w:rsidRDefault="002D29D1" w:rsidP="002D29D1">
      <w:pPr>
        <w:spacing w:line="480" w:lineRule="auto"/>
        <w:jc w:val="center"/>
        <w:rPr>
          <w:rFonts w:ascii="Times New Roman" w:hAnsi="Times New Roman" w:cs="Times New Roman"/>
        </w:rPr>
      </w:pPr>
    </w:p>
    <w:p w14:paraId="3F6E1C02" w14:textId="77777777" w:rsidR="002D29D1" w:rsidRDefault="002D29D1" w:rsidP="002D29D1">
      <w:pPr>
        <w:spacing w:line="480" w:lineRule="auto"/>
        <w:jc w:val="center"/>
        <w:rPr>
          <w:rFonts w:ascii="Times New Roman" w:hAnsi="Times New Roman" w:cs="Times New Roman"/>
        </w:rPr>
      </w:pPr>
    </w:p>
    <w:p w14:paraId="7E3544C6" w14:textId="77777777" w:rsidR="002D29D1" w:rsidRDefault="002D29D1" w:rsidP="002D29D1">
      <w:pPr>
        <w:spacing w:line="480" w:lineRule="auto"/>
        <w:jc w:val="center"/>
        <w:rPr>
          <w:rFonts w:ascii="Times New Roman" w:hAnsi="Times New Roman" w:cs="Times New Roman"/>
        </w:rPr>
      </w:pPr>
      <w:r>
        <w:rPr>
          <w:rFonts w:ascii="Times New Roman" w:hAnsi="Times New Roman" w:cs="Times New Roman"/>
        </w:rPr>
        <w:t>A DISSERTATION</w:t>
      </w:r>
    </w:p>
    <w:p w14:paraId="5C9C6E24" w14:textId="77777777" w:rsidR="002D29D1" w:rsidRDefault="002D29D1" w:rsidP="002D29D1">
      <w:pPr>
        <w:spacing w:line="480" w:lineRule="auto"/>
        <w:jc w:val="center"/>
        <w:rPr>
          <w:rFonts w:ascii="Times New Roman" w:hAnsi="Times New Roman" w:cs="Times New Roman"/>
        </w:rPr>
      </w:pPr>
      <w:r>
        <w:rPr>
          <w:rFonts w:ascii="Times New Roman" w:hAnsi="Times New Roman" w:cs="Times New Roman"/>
        </w:rPr>
        <w:t>SUBMITTED TO THE GRADUATE FACULTY</w:t>
      </w:r>
    </w:p>
    <w:p w14:paraId="783A51FC" w14:textId="77777777" w:rsidR="002D29D1" w:rsidRDefault="002D29D1" w:rsidP="002D29D1">
      <w:pPr>
        <w:spacing w:line="480" w:lineRule="auto"/>
        <w:jc w:val="center"/>
        <w:rPr>
          <w:rFonts w:ascii="Times New Roman" w:hAnsi="Times New Roman" w:cs="Times New Roman"/>
        </w:rPr>
      </w:pPr>
      <w:r>
        <w:rPr>
          <w:rFonts w:ascii="Times New Roman" w:hAnsi="Times New Roman" w:cs="Times New Roman"/>
        </w:rPr>
        <w:t xml:space="preserve">in partial fulfillment of the requirements for the </w:t>
      </w:r>
    </w:p>
    <w:p w14:paraId="70683ADD" w14:textId="77777777" w:rsidR="002D29D1" w:rsidRDefault="002D29D1" w:rsidP="002D29D1">
      <w:pPr>
        <w:spacing w:line="480" w:lineRule="auto"/>
        <w:jc w:val="center"/>
        <w:rPr>
          <w:rFonts w:ascii="Times New Roman" w:hAnsi="Times New Roman" w:cs="Times New Roman"/>
        </w:rPr>
      </w:pPr>
      <w:r>
        <w:rPr>
          <w:rFonts w:ascii="Times New Roman" w:hAnsi="Times New Roman" w:cs="Times New Roman"/>
        </w:rPr>
        <w:t xml:space="preserve">Degree of </w:t>
      </w:r>
    </w:p>
    <w:p w14:paraId="69A7161C" w14:textId="2968FCFE" w:rsidR="002D29D1" w:rsidRDefault="002D29D1" w:rsidP="002D29D1">
      <w:pPr>
        <w:spacing w:line="480" w:lineRule="auto"/>
        <w:jc w:val="center"/>
        <w:rPr>
          <w:rFonts w:ascii="Times New Roman" w:hAnsi="Times New Roman" w:cs="Times New Roman"/>
        </w:rPr>
      </w:pPr>
      <w:r>
        <w:rPr>
          <w:rFonts w:ascii="Times New Roman" w:hAnsi="Times New Roman" w:cs="Times New Roman"/>
        </w:rPr>
        <w:t>DOCTOR OF PHILOSOPHY</w:t>
      </w:r>
    </w:p>
    <w:p w14:paraId="4A082AAE" w14:textId="77777777" w:rsidR="002D29D1" w:rsidRDefault="002D29D1" w:rsidP="002D29D1">
      <w:pPr>
        <w:spacing w:line="480" w:lineRule="auto"/>
        <w:jc w:val="center"/>
        <w:rPr>
          <w:rFonts w:ascii="Times New Roman" w:hAnsi="Times New Roman" w:cs="Times New Roman"/>
        </w:rPr>
      </w:pPr>
    </w:p>
    <w:p w14:paraId="3CB1F88F" w14:textId="77777777" w:rsidR="002D29D1" w:rsidRDefault="002D29D1" w:rsidP="005E3707">
      <w:pPr>
        <w:spacing w:line="480" w:lineRule="auto"/>
        <w:rPr>
          <w:rFonts w:ascii="Times New Roman" w:hAnsi="Times New Roman" w:cs="Times New Roman"/>
        </w:rPr>
      </w:pPr>
    </w:p>
    <w:p w14:paraId="12995E11" w14:textId="77777777" w:rsidR="002D29D1" w:rsidRDefault="002D29D1" w:rsidP="002D29D1">
      <w:pPr>
        <w:spacing w:line="480" w:lineRule="auto"/>
        <w:jc w:val="center"/>
        <w:rPr>
          <w:rFonts w:ascii="Times New Roman" w:hAnsi="Times New Roman" w:cs="Times New Roman"/>
        </w:rPr>
      </w:pPr>
    </w:p>
    <w:p w14:paraId="20BA7D08" w14:textId="77777777" w:rsidR="002D29D1" w:rsidRDefault="002D29D1" w:rsidP="002D29D1">
      <w:pPr>
        <w:spacing w:line="480" w:lineRule="auto"/>
        <w:jc w:val="center"/>
        <w:rPr>
          <w:rFonts w:ascii="Times New Roman" w:hAnsi="Times New Roman" w:cs="Times New Roman"/>
        </w:rPr>
      </w:pPr>
    </w:p>
    <w:p w14:paraId="2D5B60FE" w14:textId="77777777" w:rsidR="002D29D1" w:rsidRDefault="002D29D1" w:rsidP="002D29D1">
      <w:pPr>
        <w:spacing w:line="480" w:lineRule="auto"/>
        <w:jc w:val="center"/>
        <w:rPr>
          <w:rFonts w:ascii="Times New Roman" w:hAnsi="Times New Roman" w:cs="Times New Roman"/>
        </w:rPr>
      </w:pPr>
      <w:r>
        <w:rPr>
          <w:rFonts w:ascii="Times New Roman" w:hAnsi="Times New Roman" w:cs="Times New Roman"/>
        </w:rPr>
        <w:t>By</w:t>
      </w:r>
    </w:p>
    <w:p w14:paraId="25A4B5E2" w14:textId="77777777" w:rsidR="002D29D1" w:rsidRDefault="002D29D1" w:rsidP="002D29D1">
      <w:pPr>
        <w:jc w:val="center"/>
        <w:rPr>
          <w:rFonts w:ascii="Times New Roman" w:hAnsi="Times New Roman" w:cs="Times New Roman"/>
        </w:rPr>
      </w:pPr>
      <w:r>
        <w:rPr>
          <w:rFonts w:ascii="Times New Roman" w:hAnsi="Times New Roman" w:cs="Times New Roman"/>
        </w:rPr>
        <w:t>Da Bi</w:t>
      </w:r>
    </w:p>
    <w:p w14:paraId="3AE26F20" w14:textId="77777777" w:rsidR="002D29D1" w:rsidRDefault="002D29D1" w:rsidP="002D29D1">
      <w:pPr>
        <w:jc w:val="center"/>
        <w:rPr>
          <w:rFonts w:ascii="Times New Roman" w:hAnsi="Times New Roman" w:cs="Times New Roman"/>
        </w:rPr>
      </w:pPr>
      <w:r>
        <w:rPr>
          <w:rFonts w:ascii="Times New Roman" w:hAnsi="Times New Roman" w:cs="Times New Roman"/>
        </w:rPr>
        <w:t>Norman, Oklahoma</w:t>
      </w:r>
    </w:p>
    <w:p w14:paraId="1BCDF82B" w14:textId="77777777" w:rsidR="002D29D1" w:rsidRDefault="002D29D1" w:rsidP="002D29D1">
      <w:pPr>
        <w:jc w:val="center"/>
        <w:rPr>
          <w:rFonts w:ascii="Times New Roman" w:hAnsi="Times New Roman" w:cs="Times New Roman"/>
        </w:rPr>
      </w:pPr>
      <w:r>
        <w:rPr>
          <w:rFonts w:ascii="Times New Roman" w:hAnsi="Times New Roman" w:cs="Times New Roman"/>
        </w:rPr>
        <w:t>2024</w:t>
      </w:r>
    </w:p>
    <w:p w14:paraId="47B63F6B" w14:textId="77777777" w:rsidR="002D29D1" w:rsidRDefault="002D29D1" w:rsidP="002D29D1">
      <w:pPr>
        <w:rPr>
          <w:rFonts w:ascii="Times New Roman" w:hAnsi="Times New Roman" w:cs="Times New Roman"/>
        </w:rPr>
      </w:pPr>
    </w:p>
    <w:p w14:paraId="35ABD5BF" w14:textId="77777777" w:rsidR="002D29D1" w:rsidRDefault="002D29D1" w:rsidP="002D29D1">
      <w:pPr>
        <w:spacing w:line="480" w:lineRule="auto"/>
        <w:ind w:firstLine="720"/>
        <w:jc w:val="center"/>
        <w:rPr>
          <w:rFonts w:ascii="Times New Roman" w:hAnsi="Times New Roman" w:cs="Times New Roman"/>
        </w:rPr>
      </w:pPr>
      <w:r>
        <w:rPr>
          <w:rFonts w:ascii="Times New Roman" w:hAnsi="Times New Roman" w:cs="Times New Roman"/>
        </w:rPr>
        <w:tab/>
      </w:r>
    </w:p>
    <w:p w14:paraId="0A50AB61" w14:textId="77AD6267" w:rsidR="002D29D1" w:rsidRDefault="00F421C9" w:rsidP="002D29D1">
      <w:pPr>
        <w:spacing w:line="480" w:lineRule="auto"/>
        <w:jc w:val="center"/>
        <w:rPr>
          <w:rFonts w:ascii="Times New Roman" w:hAnsi="Times New Roman" w:cs="Times New Roman"/>
        </w:rPr>
      </w:pPr>
      <w:r>
        <w:rPr>
          <w:rFonts w:ascii="Times New Roman" w:hAnsi="Times New Roman" w:cs="Times New Roman"/>
        </w:rPr>
        <w:lastRenderedPageBreak/>
        <w:t>MAKING THE BUSINESS OF DEATH, BUSINESS-AS-USUAL</w:t>
      </w:r>
      <w:r w:rsidR="007B0216">
        <w:rPr>
          <w:rFonts w:ascii="Times New Roman" w:hAnsi="Times New Roman" w:cs="Times New Roman"/>
        </w:rPr>
        <w:t>: THE COMMERCE-</w:t>
      </w:r>
      <w:r w:rsidR="006919EE">
        <w:rPr>
          <w:rFonts w:ascii="Times New Roman" w:hAnsi="Times New Roman" w:cs="Times New Roman"/>
        </w:rPr>
        <w:t>CARE</w:t>
      </w:r>
      <w:r w:rsidR="007B0216">
        <w:rPr>
          <w:rFonts w:ascii="Times New Roman" w:hAnsi="Times New Roman" w:cs="Times New Roman"/>
        </w:rPr>
        <w:t xml:space="preserve"> </w:t>
      </w:r>
      <w:r>
        <w:rPr>
          <w:rFonts w:ascii="Times New Roman" w:hAnsi="Times New Roman" w:cs="Times New Roman"/>
        </w:rPr>
        <w:t xml:space="preserve">DIALECTIC </w:t>
      </w:r>
      <w:r w:rsidR="00A147F0">
        <w:rPr>
          <w:rFonts w:ascii="Times New Roman" w:hAnsi="Times New Roman" w:cs="Times New Roman"/>
        </w:rPr>
        <w:t xml:space="preserve">IN FUNERAL </w:t>
      </w:r>
      <w:r w:rsidR="006A0977">
        <w:rPr>
          <w:rFonts w:ascii="Times New Roman" w:hAnsi="Times New Roman" w:cs="Times New Roman"/>
        </w:rPr>
        <w:t>PLANNING</w:t>
      </w:r>
      <w:r w:rsidR="001139B8">
        <w:rPr>
          <w:rFonts w:ascii="Times New Roman" w:hAnsi="Times New Roman" w:cs="Times New Roman"/>
        </w:rPr>
        <w:t xml:space="preserve"> </w:t>
      </w:r>
    </w:p>
    <w:p w14:paraId="53CB538C" w14:textId="77777777" w:rsidR="002D29D1" w:rsidRDefault="002D29D1" w:rsidP="002D29D1">
      <w:pPr>
        <w:spacing w:line="480" w:lineRule="auto"/>
        <w:jc w:val="center"/>
        <w:rPr>
          <w:rFonts w:ascii="Times New Roman" w:hAnsi="Times New Roman" w:cs="Times New Roman"/>
        </w:rPr>
      </w:pPr>
    </w:p>
    <w:p w14:paraId="3A50FB40" w14:textId="77777777" w:rsidR="002D29D1" w:rsidRDefault="002D29D1" w:rsidP="002D29D1">
      <w:pPr>
        <w:spacing w:line="480" w:lineRule="auto"/>
        <w:jc w:val="center"/>
        <w:rPr>
          <w:rFonts w:ascii="Times New Roman" w:hAnsi="Times New Roman" w:cs="Times New Roman"/>
        </w:rPr>
      </w:pPr>
    </w:p>
    <w:p w14:paraId="4FC39479" w14:textId="77777777" w:rsidR="002D29D1" w:rsidRDefault="002D29D1" w:rsidP="002D29D1">
      <w:pPr>
        <w:spacing w:line="480" w:lineRule="auto"/>
        <w:jc w:val="center"/>
        <w:rPr>
          <w:rFonts w:ascii="Times New Roman" w:hAnsi="Times New Roman" w:cs="Times New Roman"/>
        </w:rPr>
      </w:pPr>
      <w:r>
        <w:rPr>
          <w:rFonts w:ascii="Times New Roman" w:hAnsi="Times New Roman" w:cs="Times New Roman"/>
        </w:rPr>
        <w:t>A DISSERTATION APPROVED FOR THE</w:t>
      </w:r>
    </w:p>
    <w:p w14:paraId="1D23D813" w14:textId="77777777" w:rsidR="002D29D1" w:rsidRDefault="002D29D1" w:rsidP="002D29D1">
      <w:pPr>
        <w:spacing w:line="480" w:lineRule="auto"/>
        <w:jc w:val="center"/>
        <w:rPr>
          <w:rFonts w:ascii="Times New Roman" w:hAnsi="Times New Roman" w:cs="Times New Roman"/>
        </w:rPr>
      </w:pPr>
      <w:r>
        <w:rPr>
          <w:rFonts w:ascii="Times New Roman" w:hAnsi="Times New Roman" w:cs="Times New Roman"/>
        </w:rPr>
        <w:t>DEPARTMENT OF COMMUNICATION</w:t>
      </w:r>
    </w:p>
    <w:p w14:paraId="03251CE2" w14:textId="77777777" w:rsidR="002D29D1" w:rsidRDefault="002D29D1" w:rsidP="002D29D1">
      <w:pPr>
        <w:spacing w:line="480" w:lineRule="auto"/>
        <w:jc w:val="center"/>
        <w:rPr>
          <w:rFonts w:ascii="Times New Roman" w:hAnsi="Times New Roman" w:cs="Times New Roman"/>
        </w:rPr>
      </w:pPr>
    </w:p>
    <w:p w14:paraId="41D1C49F" w14:textId="77777777" w:rsidR="002D29D1" w:rsidRDefault="002D29D1" w:rsidP="002D29D1">
      <w:pPr>
        <w:spacing w:line="480" w:lineRule="auto"/>
        <w:jc w:val="center"/>
        <w:rPr>
          <w:rFonts w:ascii="Times New Roman" w:hAnsi="Times New Roman" w:cs="Times New Roman"/>
        </w:rPr>
      </w:pPr>
    </w:p>
    <w:p w14:paraId="2770DC49" w14:textId="77777777" w:rsidR="002D29D1" w:rsidRDefault="002D29D1" w:rsidP="002D29D1">
      <w:pPr>
        <w:spacing w:line="480" w:lineRule="auto"/>
        <w:jc w:val="center"/>
        <w:rPr>
          <w:rFonts w:ascii="Times New Roman" w:hAnsi="Times New Roman" w:cs="Times New Roman"/>
        </w:rPr>
      </w:pPr>
    </w:p>
    <w:p w14:paraId="2FBFA2CE" w14:textId="77777777" w:rsidR="002D29D1" w:rsidRDefault="002D29D1" w:rsidP="002D29D1">
      <w:pPr>
        <w:spacing w:line="480" w:lineRule="auto"/>
        <w:jc w:val="center"/>
        <w:rPr>
          <w:rFonts w:ascii="Times New Roman" w:hAnsi="Times New Roman" w:cs="Times New Roman"/>
        </w:rPr>
      </w:pPr>
      <w:r>
        <w:rPr>
          <w:rFonts w:ascii="Times New Roman" w:hAnsi="Times New Roman" w:cs="Times New Roman"/>
        </w:rPr>
        <w:t xml:space="preserve">BY THE COMMITTEE CONSISTING OF </w:t>
      </w:r>
    </w:p>
    <w:p w14:paraId="65D57AD9" w14:textId="77777777" w:rsidR="002D29D1" w:rsidRDefault="002D29D1" w:rsidP="002D29D1">
      <w:pPr>
        <w:spacing w:line="480" w:lineRule="auto"/>
        <w:jc w:val="center"/>
        <w:rPr>
          <w:rFonts w:ascii="Times New Roman" w:hAnsi="Times New Roman" w:cs="Times New Roman"/>
        </w:rPr>
      </w:pPr>
    </w:p>
    <w:p w14:paraId="49D6B1A5" w14:textId="77777777" w:rsidR="002D29D1" w:rsidRDefault="002D29D1" w:rsidP="002D29D1">
      <w:pPr>
        <w:spacing w:line="480" w:lineRule="auto"/>
        <w:jc w:val="center"/>
        <w:rPr>
          <w:rFonts w:ascii="Times New Roman" w:hAnsi="Times New Roman" w:cs="Times New Roman"/>
        </w:rPr>
      </w:pPr>
    </w:p>
    <w:p w14:paraId="4C69E679" w14:textId="77777777" w:rsidR="002D29D1" w:rsidRDefault="002D29D1" w:rsidP="002D29D1">
      <w:pPr>
        <w:spacing w:line="480" w:lineRule="auto"/>
        <w:jc w:val="center"/>
        <w:rPr>
          <w:rFonts w:ascii="Times New Roman" w:hAnsi="Times New Roman" w:cs="Times New Roman"/>
        </w:rPr>
      </w:pPr>
    </w:p>
    <w:p w14:paraId="15BBA081" w14:textId="77777777" w:rsidR="002D29D1" w:rsidRDefault="002D29D1" w:rsidP="002D29D1">
      <w:pPr>
        <w:spacing w:line="480" w:lineRule="auto"/>
        <w:jc w:val="center"/>
        <w:rPr>
          <w:rFonts w:ascii="Times New Roman" w:hAnsi="Times New Roman" w:cs="Times New Roman"/>
        </w:rPr>
      </w:pPr>
    </w:p>
    <w:p w14:paraId="5A092198" w14:textId="77777777" w:rsidR="002D29D1" w:rsidRDefault="002D29D1" w:rsidP="002D29D1">
      <w:pPr>
        <w:spacing w:line="480" w:lineRule="auto"/>
        <w:jc w:val="center"/>
        <w:rPr>
          <w:rFonts w:ascii="Times New Roman" w:hAnsi="Times New Roman" w:cs="Times New Roman"/>
        </w:rPr>
      </w:pPr>
    </w:p>
    <w:p w14:paraId="2B5AAEEB" w14:textId="77777777" w:rsidR="002D29D1" w:rsidRDefault="002D29D1" w:rsidP="002D29D1">
      <w:pPr>
        <w:spacing w:line="480" w:lineRule="auto"/>
        <w:jc w:val="center"/>
        <w:rPr>
          <w:rFonts w:ascii="Times New Roman" w:hAnsi="Times New Roman" w:cs="Times New Roman"/>
        </w:rPr>
      </w:pPr>
    </w:p>
    <w:p w14:paraId="50F53A06" w14:textId="77777777" w:rsidR="002D29D1" w:rsidRDefault="002D29D1" w:rsidP="002D29D1">
      <w:pPr>
        <w:spacing w:line="480" w:lineRule="auto"/>
        <w:jc w:val="right"/>
        <w:rPr>
          <w:rFonts w:ascii="Times New Roman" w:hAnsi="Times New Roman" w:cs="Times New Roman"/>
        </w:rPr>
      </w:pPr>
      <w:r>
        <w:rPr>
          <w:rFonts w:ascii="Times New Roman" w:hAnsi="Times New Roman" w:cs="Times New Roman"/>
        </w:rPr>
        <w:t>Dr. Ryan S. Bisel, Chair</w:t>
      </w:r>
    </w:p>
    <w:p w14:paraId="6ABFCB0C" w14:textId="77777777" w:rsidR="002D29D1" w:rsidRDefault="002D29D1" w:rsidP="002D29D1">
      <w:pPr>
        <w:spacing w:line="480" w:lineRule="auto"/>
        <w:jc w:val="right"/>
        <w:rPr>
          <w:rFonts w:ascii="Times New Roman" w:hAnsi="Times New Roman" w:cs="Times New Roman"/>
        </w:rPr>
      </w:pPr>
      <w:r>
        <w:rPr>
          <w:rFonts w:ascii="Times New Roman" w:hAnsi="Times New Roman" w:cs="Times New Roman"/>
        </w:rPr>
        <w:t>Dr. Norman C.H. Wong</w:t>
      </w:r>
    </w:p>
    <w:p w14:paraId="5ADD8784" w14:textId="77777777" w:rsidR="002D29D1" w:rsidRDefault="002D29D1" w:rsidP="002D29D1">
      <w:pPr>
        <w:spacing w:line="480" w:lineRule="auto"/>
        <w:jc w:val="right"/>
        <w:rPr>
          <w:rFonts w:ascii="Times New Roman" w:hAnsi="Times New Roman" w:cs="Times New Roman"/>
        </w:rPr>
      </w:pPr>
      <w:r>
        <w:rPr>
          <w:rFonts w:ascii="Times New Roman" w:hAnsi="Times New Roman" w:cs="Times New Roman"/>
        </w:rPr>
        <w:t>Dr. Justin S. Reedy</w:t>
      </w:r>
    </w:p>
    <w:p w14:paraId="7FA4ABF7" w14:textId="77777777" w:rsidR="002D29D1" w:rsidRDefault="002D29D1" w:rsidP="002D29D1">
      <w:pPr>
        <w:spacing w:line="480" w:lineRule="auto"/>
        <w:jc w:val="right"/>
        <w:rPr>
          <w:rFonts w:ascii="Times New Roman" w:hAnsi="Times New Roman" w:cs="Times New Roman"/>
        </w:rPr>
      </w:pPr>
      <w:r>
        <w:rPr>
          <w:rFonts w:ascii="Times New Roman" w:hAnsi="Times New Roman" w:cs="Times New Roman"/>
        </w:rPr>
        <w:t>Dr. Ralph J. Beliveau</w:t>
      </w:r>
    </w:p>
    <w:p w14:paraId="6B661AD7" w14:textId="77777777" w:rsidR="002D29D1" w:rsidRDefault="002D29D1" w:rsidP="002D29D1">
      <w:pPr>
        <w:rPr>
          <w:rFonts w:ascii="Times New Roman" w:hAnsi="Times New Roman" w:cs="Times New Roman"/>
        </w:rPr>
      </w:pPr>
    </w:p>
    <w:p w14:paraId="47208A8A" w14:textId="77777777" w:rsidR="002D29D1" w:rsidRDefault="002D29D1" w:rsidP="002D29D1">
      <w:pPr>
        <w:rPr>
          <w:rFonts w:ascii="Times New Roman" w:hAnsi="Times New Roman" w:cs="Times New Roman"/>
        </w:rPr>
      </w:pPr>
      <w:r>
        <w:rPr>
          <w:rFonts w:ascii="Times New Roman" w:hAnsi="Times New Roman" w:cs="Times New Roman"/>
        </w:rPr>
        <w:br w:type="page"/>
      </w:r>
    </w:p>
    <w:p w14:paraId="466FA148" w14:textId="77777777" w:rsidR="002D29D1" w:rsidRDefault="002D29D1" w:rsidP="002D29D1">
      <w:pPr>
        <w:rPr>
          <w:rFonts w:ascii="Times New Roman" w:hAnsi="Times New Roman" w:cs="Times New Roman"/>
        </w:rPr>
      </w:pPr>
    </w:p>
    <w:p w14:paraId="438B1621" w14:textId="77777777" w:rsidR="002D29D1" w:rsidRDefault="002D29D1" w:rsidP="002D29D1">
      <w:pPr>
        <w:rPr>
          <w:rFonts w:ascii="Times New Roman" w:hAnsi="Times New Roman" w:cs="Times New Roman"/>
        </w:rPr>
      </w:pPr>
    </w:p>
    <w:p w14:paraId="49DCDB0F" w14:textId="77777777" w:rsidR="002D29D1" w:rsidRDefault="002D29D1" w:rsidP="002D29D1">
      <w:pPr>
        <w:rPr>
          <w:rFonts w:ascii="Times New Roman" w:hAnsi="Times New Roman" w:cs="Times New Roman"/>
        </w:rPr>
      </w:pPr>
    </w:p>
    <w:p w14:paraId="38CCBDF1" w14:textId="77777777" w:rsidR="002D29D1" w:rsidRDefault="002D29D1" w:rsidP="002D29D1">
      <w:pPr>
        <w:jc w:val="center"/>
        <w:rPr>
          <w:rFonts w:ascii="Times New Roman" w:hAnsi="Times New Roman" w:cs="Times New Roman"/>
        </w:rPr>
      </w:pPr>
    </w:p>
    <w:p w14:paraId="219FAB2F" w14:textId="77777777" w:rsidR="002D29D1" w:rsidRDefault="002D29D1" w:rsidP="002D29D1">
      <w:pPr>
        <w:jc w:val="center"/>
        <w:rPr>
          <w:rFonts w:ascii="Times New Roman" w:hAnsi="Times New Roman" w:cs="Times New Roman"/>
        </w:rPr>
      </w:pPr>
    </w:p>
    <w:p w14:paraId="0576DB62" w14:textId="77777777" w:rsidR="002D29D1" w:rsidRDefault="002D29D1" w:rsidP="002D29D1">
      <w:pPr>
        <w:jc w:val="center"/>
        <w:rPr>
          <w:rFonts w:ascii="Times New Roman" w:hAnsi="Times New Roman" w:cs="Times New Roman"/>
        </w:rPr>
      </w:pPr>
    </w:p>
    <w:p w14:paraId="3BCADFA5" w14:textId="77777777" w:rsidR="002D29D1" w:rsidRDefault="002D29D1" w:rsidP="002D29D1">
      <w:pPr>
        <w:jc w:val="center"/>
        <w:rPr>
          <w:rFonts w:ascii="Times New Roman" w:hAnsi="Times New Roman" w:cs="Times New Roman"/>
        </w:rPr>
      </w:pPr>
    </w:p>
    <w:p w14:paraId="70F29AC0" w14:textId="77777777" w:rsidR="002D29D1" w:rsidRDefault="002D29D1" w:rsidP="002D29D1">
      <w:pPr>
        <w:jc w:val="center"/>
        <w:rPr>
          <w:rFonts w:ascii="Times New Roman" w:hAnsi="Times New Roman" w:cs="Times New Roman"/>
        </w:rPr>
      </w:pPr>
    </w:p>
    <w:p w14:paraId="2627A17A" w14:textId="77777777" w:rsidR="002D29D1" w:rsidRDefault="002D29D1" w:rsidP="002D29D1">
      <w:pPr>
        <w:jc w:val="center"/>
        <w:rPr>
          <w:rFonts w:ascii="Times New Roman" w:hAnsi="Times New Roman" w:cs="Times New Roman"/>
        </w:rPr>
      </w:pPr>
    </w:p>
    <w:p w14:paraId="596A842F" w14:textId="77777777" w:rsidR="002D29D1" w:rsidRDefault="002D29D1" w:rsidP="002D29D1">
      <w:pPr>
        <w:jc w:val="center"/>
        <w:rPr>
          <w:rFonts w:ascii="Times New Roman" w:hAnsi="Times New Roman" w:cs="Times New Roman"/>
        </w:rPr>
      </w:pPr>
    </w:p>
    <w:p w14:paraId="665DE81F" w14:textId="77777777" w:rsidR="002D29D1" w:rsidRDefault="002D29D1" w:rsidP="002D29D1">
      <w:pPr>
        <w:jc w:val="center"/>
        <w:rPr>
          <w:rFonts w:ascii="Times New Roman" w:hAnsi="Times New Roman" w:cs="Times New Roman"/>
        </w:rPr>
      </w:pPr>
    </w:p>
    <w:p w14:paraId="3B9EE06D" w14:textId="77777777" w:rsidR="002D29D1" w:rsidRDefault="002D29D1" w:rsidP="002D29D1">
      <w:pPr>
        <w:jc w:val="center"/>
        <w:rPr>
          <w:rFonts w:ascii="Times New Roman" w:hAnsi="Times New Roman" w:cs="Times New Roman"/>
        </w:rPr>
      </w:pPr>
    </w:p>
    <w:p w14:paraId="59149667" w14:textId="77777777" w:rsidR="002D29D1" w:rsidRDefault="002D29D1" w:rsidP="002D29D1">
      <w:pPr>
        <w:jc w:val="center"/>
        <w:rPr>
          <w:rFonts w:ascii="Times New Roman" w:hAnsi="Times New Roman" w:cs="Times New Roman"/>
        </w:rPr>
      </w:pPr>
    </w:p>
    <w:p w14:paraId="05DAE156" w14:textId="77777777" w:rsidR="002D29D1" w:rsidRDefault="002D29D1" w:rsidP="002D29D1">
      <w:pPr>
        <w:jc w:val="center"/>
        <w:rPr>
          <w:rFonts w:ascii="Times New Roman" w:hAnsi="Times New Roman" w:cs="Times New Roman"/>
        </w:rPr>
      </w:pPr>
    </w:p>
    <w:p w14:paraId="390353A5" w14:textId="77777777" w:rsidR="002D29D1" w:rsidRDefault="002D29D1" w:rsidP="002D29D1">
      <w:pPr>
        <w:jc w:val="center"/>
        <w:rPr>
          <w:rFonts w:ascii="Times New Roman" w:hAnsi="Times New Roman" w:cs="Times New Roman"/>
        </w:rPr>
      </w:pPr>
    </w:p>
    <w:p w14:paraId="4FACABA5" w14:textId="77777777" w:rsidR="002D29D1" w:rsidRDefault="002D29D1" w:rsidP="002D29D1">
      <w:pPr>
        <w:jc w:val="center"/>
        <w:rPr>
          <w:rFonts w:ascii="Times New Roman" w:hAnsi="Times New Roman" w:cs="Times New Roman"/>
        </w:rPr>
      </w:pPr>
    </w:p>
    <w:p w14:paraId="2E41B674" w14:textId="77777777" w:rsidR="002D29D1" w:rsidRDefault="002D29D1" w:rsidP="002D29D1">
      <w:pPr>
        <w:jc w:val="center"/>
        <w:rPr>
          <w:rFonts w:ascii="Times New Roman" w:hAnsi="Times New Roman" w:cs="Times New Roman"/>
        </w:rPr>
      </w:pPr>
    </w:p>
    <w:p w14:paraId="2A014DFE" w14:textId="77777777" w:rsidR="002D29D1" w:rsidRDefault="002D29D1" w:rsidP="002D29D1">
      <w:pPr>
        <w:jc w:val="center"/>
        <w:rPr>
          <w:rFonts w:ascii="Times New Roman" w:hAnsi="Times New Roman" w:cs="Times New Roman"/>
        </w:rPr>
      </w:pPr>
    </w:p>
    <w:p w14:paraId="0F19D88D" w14:textId="77777777" w:rsidR="002D29D1" w:rsidRDefault="002D29D1" w:rsidP="002D29D1">
      <w:pPr>
        <w:jc w:val="center"/>
        <w:rPr>
          <w:rFonts w:ascii="Times New Roman" w:hAnsi="Times New Roman" w:cs="Times New Roman"/>
        </w:rPr>
      </w:pPr>
    </w:p>
    <w:p w14:paraId="6D955371" w14:textId="77777777" w:rsidR="002D29D1" w:rsidRDefault="002D29D1" w:rsidP="002D29D1">
      <w:pPr>
        <w:jc w:val="center"/>
        <w:rPr>
          <w:rFonts w:ascii="Times New Roman" w:hAnsi="Times New Roman" w:cs="Times New Roman"/>
        </w:rPr>
      </w:pPr>
    </w:p>
    <w:p w14:paraId="14AEF510" w14:textId="77777777" w:rsidR="002D29D1" w:rsidRDefault="002D29D1" w:rsidP="002D29D1">
      <w:pPr>
        <w:jc w:val="center"/>
        <w:rPr>
          <w:rFonts w:ascii="Times New Roman" w:hAnsi="Times New Roman" w:cs="Times New Roman"/>
        </w:rPr>
      </w:pPr>
    </w:p>
    <w:p w14:paraId="16FC2694" w14:textId="77777777" w:rsidR="002D29D1" w:rsidRDefault="002D29D1" w:rsidP="002D29D1">
      <w:pPr>
        <w:jc w:val="center"/>
        <w:rPr>
          <w:rFonts w:ascii="Times New Roman" w:hAnsi="Times New Roman" w:cs="Times New Roman"/>
        </w:rPr>
      </w:pPr>
    </w:p>
    <w:p w14:paraId="6260C558" w14:textId="77777777" w:rsidR="002D29D1" w:rsidRDefault="002D29D1" w:rsidP="002D29D1">
      <w:pPr>
        <w:jc w:val="center"/>
        <w:rPr>
          <w:rFonts w:ascii="Times New Roman" w:hAnsi="Times New Roman" w:cs="Times New Roman"/>
        </w:rPr>
      </w:pPr>
    </w:p>
    <w:p w14:paraId="357FA90C" w14:textId="77777777" w:rsidR="002D29D1" w:rsidRDefault="002D29D1" w:rsidP="002D29D1">
      <w:pPr>
        <w:jc w:val="center"/>
        <w:rPr>
          <w:rFonts w:ascii="Times New Roman" w:hAnsi="Times New Roman" w:cs="Times New Roman"/>
        </w:rPr>
      </w:pPr>
    </w:p>
    <w:p w14:paraId="7D84F04C" w14:textId="77777777" w:rsidR="002D29D1" w:rsidRDefault="002D29D1" w:rsidP="002D29D1">
      <w:pPr>
        <w:jc w:val="center"/>
        <w:rPr>
          <w:rFonts w:ascii="Times New Roman" w:hAnsi="Times New Roman" w:cs="Times New Roman"/>
        </w:rPr>
      </w:pPr>
    </w:p>
    <w:p w14:paraId="700383A0" w14:textId="77777777" w:rsidR="002D29D1" w:rsidRDefault="002D29D1" w:rsidP="002D29D1">
      <w:pPr>
        <w:jc w:val="center"/>
        <w:rPr>
          <w:rFonts w:ascii="Times New Roman" w:hAnsi="Times New Roman" w:cs="Times New Roman"/>
        </w:rPr>
      </w:pPr>
    </w:p>
    <w:p w14:paraId="51DD803E" w14:textId="77777777" w:rsidR="002D29D1" w:rsidRDefault="002D29D1" w:rsidP="002D29D1">
      <w:pPr>
        <w:jc w:val="center"/>
        <w:rPr>
          <w:rFonts w:ascii="Times New Roman" w:hAnsi="Times New Roman" w:cs="Times New Roman"/>
        </w:rPr>
      </w:pPr>
    </w:p>
    <w:p w14:paraId="398DB2C0" w14:textId="77777777" w:rsidR="002D29D1" w:rsidRDefault="002D29D1" w:rsidP="002D29D1">
      <w:pPr>
        <w:jc w:val="center"/>
        <w:rPr>
          <w:rFonts w:ascii="Times New Roman" w:hAnsi="Times New Roman" w:cs="Times New Roman"/>
        </w:rPr>
      </w:pPr>
    </w:p>
    <w:p w14:paraId="0C0F3CA1" w14:textId="77777777" w:rsidR="002D29D1" w:rsidRDefault="002D29D1" w:rsidP="002D29D1">
      <w:pPr>
        <w:jc w:val="center"/>
        <w:rPr>
          <w:rFonts w:ascii="Times New Roman" w:hAnsi="Times New Roman" w:cs="Times New Roman"/>
        </w:rPr>
      </w:pPr>
    </w:p>
    <w:p w14:paraId="3F95ADE7" w14:textId="77777777" w:rsidR="002D29D1" w:rsidRDefault="002D29D1" w:rsidP="002D29D1">
      <w:pPr>
        <w:jc w:val="center"/>
        <w:rPr>
          <w:rFonts w:ascii="Times New Roman" w:hAnsi="Times New Roman" w:cs="Times New Roman"/>
        </w:rPr>
      </w:pPr>
    </w:p>
    <w:p w14:paraId="6C3D4058" w14:textId="77777777" w:rsidR="002D29D1" w:rsidRDefault="002D29D1" w:rsidP="002D29D1">
      <w:pPr>
        <w:jc w:val="center"/>
        <w:rPr>
          <w:rFonts w:ascii="Times New Roman" w:hAnsi="Times New Roman" w:cs="Times New Roman"/>
        </w:rPr>
      </w:pPr>
    </w:p>
    <w:p w14:paraId="04DA707A" w14:textId="77777777" w:rsidR="002D29D1" w:rsidRDefault="002D29D1" w:rsidP="002D29D1">
      <w:pPr>
        <w:jc w:val="center"/>
        <w:rPr>
          <w:rFonts w:ascii="Times New Roman" w:hAnsi="Times New Roman" w:cs="Times New Roman"/>
        </w:rPr>
      </w:pPr>
    </w:p>
    <w:p w14:paraId="4B199937" w14:textId="77777777" w:rsidR="002D29D1" w:rsidRDefault="002D29D1" w:rsidP="002D29D1">
      <w:pPr>
        <w:jc w:val="center"/>
        <w:rPr>
          <w:rFonts w:ascii="Times New Roman" w:hAnsi="Times New Roman" w:cs="Times New Roman"/>
        </w:rPr>
      </w:pPr>
    </w:p>
    <w:p w14:paraId="3017A2DB" w14:textId="77777777" w:rsidR="002D29D1" w:rsidRDefault="002D29D1" w:rsidP="002D29D1">
      <w:pPr>
        <w:jc w:val="center"/>
        <w:rPr>
          <w:rFonts w:ascii="Times New Roman" w:hAnsi="Times New Roman" w:cs="Times New Roman"/>
        </w:rPr>
      </w:pPr>
    </w:p>
    <w:p w14:paraId="15CF772A" w14:textId="77777777" w:rsidR="002D29D1" w:rsidRDefault="002D29D1" w:rsidP="002D29D1">
      <w:pPr>
        <w:jc w:val="center"/>
        <w:rPr>
          <w:rFonts w:ascii="Times New Roman" w:hAnsi="Times New Roman" w:cs="Times New Roman"/>
        </w:rPr>
      </w:pPr>
    </w:p>
    <w:p w14:paraId="531B444C" w14:textId="77777777" w:rsidR="002D29D1" w:rsidRDefault="002D29D1" w:rsidP="002D29D1">
      <w:pPr>
        <w:jc w:val="center"/>
        <w:rPr>
          <w:rFonts w:ascii="Times New Roman" w:hAnsi="Times New Roman" w:cs="Times New Roman"/>
        </w:rPr>
      </w:pPr>
    </w:p>
    <w:p w14:paraId="581800BC" w14:textId="77777777" w:rsidR="002D29D1" w:rsidRDefault="002D29D1" w:rsidP="002D29D1">
      <w:pPr>
        <w:jc w:val="center"/>
        <w:rPr>
          <w:rFonts w:ascii="Times New Roman" w:hAnsi="Times New Roman" w:cs="Times New Roman"/>
        </w:rPr>
      </w:pPr>
    </w:p>
    <w:p w14:paraId="2BE10011" w14:textId="77777777" w:rsidR="002D29D1" w:rsidRDefault="002D29D1" w:rsidP="002D29D1">
      <w:pPr>
        <w:jc w:val="center"/>
        <w:rPr>
          <w:rFonts w:ascii="Times New Roman" w:hAnsi="Times New Roman" w:cs="Times New Roman"/>
        </w:rPr>
      </w:pPr>
    </w:p>
    <w:p w14:paraId="71CC68DC" w14:textId="77777777" w:rsidR="002D29D1" w:rsidRDefault="002D29D1" w:rsidP="002D29D1">
      <w:pPr>
        <w:jc w:val="center"/>
        <w:rPr>
          <w:rFonts w:ascii="Times New Roman" w:hAnsi="Times New Roman" w:cs="Times New Roman"/>
        </w:rPr>
      </w:pPr>
    </w:p>
    <w:p w14:paraId="49DFB436" w14:textId="77777777" w:rsidR="002D29D1" w:rsidRDefault="002D29D1" w:rsidP="002D29D1">
      <w:pPr>
        <w:jc w:val="center"/>
        <w:rPr>
          <w:rFonts w:ascii="Times New Roman" w:hAnsi="Times New Roman" w:cs="Times New Roman"/>
        </w:rPr>
      </w:pPr>
    </w:p>
    <w:p w14:paraId="261151DD" w14:textId="77777777" w:rsidR="002D29D1" w:rsidRDefault="002D29D1" w:rsidP="002D29D1">
      <w:pPr>
        <w:jc w:val="center"/>
        <w:rPr>
          <w:rFonts w:ascii="Times New Roman" w:hAnsi="Times New Roman" w:cs="Times New Roman"/>
        </w:rPr>
      </w:pPr>
    </w:p>
    <w:p w14:paraId="017E4163" w14:textId="77777777" w:rsidR="002D29D1" w:rsidRDefault="002D29D1" w:rsidP="002D29D1">
      <w:pPr>
        <w:jc w:val="center"/>
        <w:rPr>
          <w:rFonts w:ascii="Times New Roman" w:hAnsi="Times New Roman" w:cs="Times New Roman"/>
        </w:rPr>
      </w:pPr>
    </w:p>
    <w:p w14:paraId="639F2BFC" w14:textId="19ED7449" w:rsidR="002D29D1" w:rsidRDefault="002D29D1" w:rsidP="002D29D1">
      <w:pPr>
        <w:jc w:val="center"/>
        <w:rPr>
          <w:rFonts w:ascii="Times New Roman" w:hAnsi="Times New Roman" w:cs="Times New Roman"/>
        </w:rPr>
      </w:pPr>
      <w:r w:rsidRPr="00BE5BEB">
        <w:rPr>
          <w:rFonts w:ascii="Times New Roman" w:hAnsi="Times New Roman" w:cs="Times New Roman"/>
        </w:rPr>
        <w:t>© Copyright by</w:t>
      </w:r>
      <w:r>
        <w:rPr>
          <w:rFonts w:ascii="Times New Roman" w:hAnsi="Times New Roman" w:cs="Times New Roman"/>
        </w:rPr>
        <w:t xml:space="preserve"> Da Bi 202</w:t>
      </w:r>
      <w:r w:rsidR="004E520F">
        <w:rPr>
          <w:rFonts w:ascii="Times New Roman" w:hAnsi="Times New Roman" w:cs="Times New Roman"/>
        </w:rPr>
        <w:t>4</w:t>
      </w:r>
    </w:p>
    <w:p w14:paraId="6C674527" w14:textId="77777777" w:rsidR="002D29D1" w:rsidRDefault="002D29D1" w:rsidP="002D29D1">
      <w:pPr>
        <w:jc w:val="center"/>
        <w:rPr>
          <w:rFonts w:ascii="Times New Roman" w:hAnsi="Times New Roman" w:cs="Times New Roman"/>
        </w:rPr>
      </w:pPr>
      <w:r>
        <w:rPr>
          <w:rFonts w:ascii="Times New Roman" w:hAnsi="Times New Roman" w:cs="Times New Roman"/>
        </w:rPr>
        <w:t>All Rights Reserved.</w:t>
      </w:r>
    </w:p>
    <w:p w14:paraId="50D4CFF8" w14:textId="77777777" w:rsidR="002D29D1" w:rsidRDefault="002D29D1" w:rsidP="002D29D1">
      <w:pPr>
        <w:rPr>
          <w:rFonts w:ascii="Times New Roman" w:hAnsi="Times New Roman" w:cs="Times New Roman"/>
        </w:rPr>
      </w:pPr>
    </w:p>
    <w:p w14:paraId="684BDEA4" w14:textId="77777777" w:rsidR="00EC01CF" w:rsidRDefault="00EC01CF" w:rsidP="00AA4D33">
      <w:pPr>
        <w:spacing w:line="480" w:lineRule="auto"/>
        <w:rPr>
          <w:rFonts w:ascii="Times New Roman" w:hAnsi="Times New Roman" w:cs="Times New Roman"/>
        </w:rPr>
        <w:sectPr w:rsidR="00EC01CF" w:rsidSect="00EC01CF">
          <w:headerReference w:type="even" r:id="rId8"/>
          <w:headerReference w:type="default" r:id="rId9"/>
          <w:pgSz w:w="12240" w:h="15840"/>
          <w:pgMar w:top="1440" w:right="1440" w:bottom="1440" w:left="1440" w:header="720" w:footer="720" w:gutter="0"/>
          <w:pgNumType w:start="9"/>
          <w:cols w:space="720"/>
          <w:docGrid w:linePitch="360"/>
        </w:sectPr>
      </w:pPr>
    </w:p>
    <w:p w14:paraId="6EEDB287" w14:textId="413432D6" w:rsidR="002D29D1" w:rsidRDefault="002D29D1" w:rsidP="00AA4D33">
      <w:pPr>
        <w:spacing w:line="480" w:lineRule="auto"/>
        <w:jc w:val="center"/>
        <w:rPr>
          <w:rFonts w:ascii="Times New Roman" w:hAnsi="Times New Roman" w:cs="Times New Roman"/>
          <w:b/>
          <w:bCs/>
        </w:rPr>
      </w:pPr>
      <w:r>
        <w:rPr>
          <w:rFonts w:ascii="Times New Roman" w:hAnsi="Times New Roman" w:cs="Times New Roman"/>
          <w:b/>
          <w:bCs/>
        </w:rPr>
        <w:lastRenderedPageBreak/>
        <w:t>Acknowledgments</w:t>
      </w:r>
    </w:p>
    <w:p w14:paraId="1F3B874B" w14:textId="77777777" w:rsidR="00D86BB0" w:rsidRDefault="00D86BB0" w:rsidP="00D86BB0">
      <w:pPr>
        <w:spacing w:line="480" w:lineRule="auto"/>
        <w:ind w:firstLine="720"/>
        <w:rPr>
          <w:rFonts w:ascii="Times New Roman" w:hAnsi="Times New Roman" w:cs="Times New Roman"/>
        </w:rPr>
      </w:pPr>
      <w:r>
        <w:rPr>
          <w:rFonts w:ascii="Times New Roman" w:hAnsi="Times New Roman" w:cs="Times New Roman"/>
        </w:rPr>
        <w:t xml:space="preserve">This dissertation represents my graduate school journey at the University of Oklahoma. I am fortunate that I have an opportunity to explore the boundary of human knowledge in the field in which I have an interest. </w:t>
      </w:r>
    </w:p>
    <w:p w14:paraId="49C210ED" w14:textId="0C88D873" w:rsidR="00D86BB0" w:rsidRDefault="00D86BB0" w:rsidP="00D86BB0">
      <w:pPr>
        <w:spacing w:line="480" w:lineRule="auto"/>
        <w:ind w:firstLine="720"/>
        <w:rPr>
          <w:rFonts w:ascii="Times New Roman" w:hAnsi="Times New Roman" w:cs="Times New Roman"/>
        </w:rPr>
      </w:pPr>
      <w:r>
        <w:rPr>
          <w:rFonts w:ascii="Times New Roman" w:hAnsi="Times New Roman" w:cs="Times New Roman"/>
        </w:rPr>
        <w:t>I would like to begin by thanking my advisor and committer members. My Advisor, Dr. Ryan Bisel, is an outstanding mentor who has advised and encouraged my academic research. To my dissertation committee members, Drs. Ryan Bisel, Norman Wong, Justin Reedy, and Ralph Beliveau: Thanks for not restraining me from writing a dissertation related to the funeral industry. This dissertation is a direct result of insights gained from your suggestions. Thanks for your expertise and wisdom. I also want to acknowledge Dr. Elaine Hsieh, who brought me to the University of Oklahoma to pursue graduate school.</w:t>
      </w:r>
    </w:p>
    <w:p w14:paraId="35103548" w14:textId="77777777" w:rsidR="00D86BB0" w:rsidRDefault="00D86BB0" w:rsidP="00D86BB0">
      <w:pPr>
        <w:spacing w:line="480" w:lineRule="auto"/>
        <w:ind w:firstLine="720"/>
        <w:rPr>
          <w:rFonts w:ascii="Times New Roman" w:hAnsi="Times New Roman" w:cs="Times New Roman"/>
        </w:rPr>
      </w:pPr>
      <w:r>
        <w:rPr>
          <w:rFonts w:ascii="Times New Roman" w:hAnsi="Times New Roman" w:cs="Times New Roman"/>
        </w:rPr>
        <w:t xml:space="preserve">I would next like to thank my parents, Changchun Bi and Lihui Chen, for their unending love. I appreciate that you are always willing to take care of me, provide support, point out my disadvantages, and demonstrate the meaning of family. Your cultivation transforms me into a better person for contributing to our society. </w:t>
      </w:r>
    </w:p>
    <w:p w14:paraId="49D8D52F" w14:textId="4B180790" w:rsidR="00D86BB0" w:rsidRDefault="00D86BB0" w:rsidP="00D86BB0">
      <w:pPr>
        <w:spacing w:line="480" w:lineRule="auto"/>
        <w:ind w:firstLine="720"/>
        <w:rPr>
          <w:rFonts w:ascii="Times New Roman" w:hAnsi="Times New Roman" w:cs="Times New Roman"/>
        </w:rPr>
      </w:pPr>
      <w:r>
        <w:rPr>
          <w:rFonts w:ascii="Times New Roman" w:hAnsi="Times New Roman" w:cs="Times New Roman"/>
        </w:rPr>
        <w:t xml:space="preserve">There are a couple of groups who deserve my gratitude as well. To my middle school peers: Shengyu Hou and Bingnan Liu, you believe that I am doing something important. To my high school peers: Jialong Ma, Xuanting Li, Xin Su, Chali Wang, Yifan Jiang, and Heming Chen, I am gratefully thankful to have you believe that I am appropriate to pursue an academic career. To my college school peers, Xue Yifan, Bo Hu, Xinlei Lu, Zhanghan, Mao, Rongjun Fan, Xiang Li, and Peng Yan, I appreciate you coming into my mind </w:t>
      </w:r>
      <w:r w:rsidR="003C30AC">
        <w:rPr>
          <w:rFonts w:ascii="Times New Roman" w:hAnsi="Times New Roman" w:cs="Times New Roman"/>
        </w:rPr>
        <w:t xml:space="preserve">occasionally </w:t>
      </w:r>
      <w:r>
        <w:rPr>
          <w:rFonts w:ascii="Times New Roman" w:hAnsi="Times New Roman" w:cs="Times New Roman"/>
        </w:rPr>
        <w:t>and spurring me to move forward and onward.</w:t>
      </w:r>
    </w:p>
    <w:p w14:paraId="1E775799" w14:textId="15258482" w:rsidR="00D86BB0" w:rsidRDefault="00D86BB0" w:rsidP="006E2216">
      <w:pPr>
        <w:spacing w:line="480" w:lineRule="auto"/>
        <w:ind w:firstLine="720"/>
        <w:rPr>
          <w:rFonts w:ascii="Times New Roman" w:hAnsi="Times New Roman" w:cs="Times New Roman"/>
        </w:rPr>
      </w:pPr>
      <w:r>
        <w:rPr>
          <w:rFonts w:ascii="Times New Roman" w:hAnsi="Times New Roman" w:cs="Times New Roman"/>
        </w:rPr>
        <w:lastRenderedPageBreak/>
        <w:t xml:space="preserve">Lastly, </w:t>
      </w:r>
      <w:r w:rsidR="006E2216">
        <w:rPr>
          <w:rFonts w:ascii="Times New Roman" w:hAnsi="Times New Roman" w:cs="Times New Roman"/>
        </w:rPr>
        <w:t xml:space="preserve">I appreciate many funeral directors and funeral </w:t>
      </w:r>
      <w:proofErr w:type="gramStart"/>
      <w:r w:rsidR="006E2216">
        <w:rPr>
          <w:rFonts w:ascii="Times New Roman" w:hAnsi="Times New Roman" w:cs="Times New Roman"/>
        </w:rPr>
        <w:t>home owners</w:t>
      </w:r>
      <w:proofErr w:type="gramEnd"/>
      <w:r w:rsidR="006E2216">
        <w:rPr>
          <w:rFonts w:ascii="Times New Roman" w:hAnsi="Times New Roman" w:cs="Times New Roman"/>
        </w:rPr>
        <w:t xml:space="preserve"> who accept my interviewing requests and provide support for my research. Although I was naive to explore the funeral industry, </w:t>
      </w:r>
      <w:r>
        <w:rPr>
          <w:rFonts w:ascii="Times New Roman" w:hAnsi="Times New Roman" w:cs="Times New Roman"/>
        </w:rPr>
        <w:t xml:space="preserve">I appreciate that I am consistent with working on my research and standing up when I </w:t>
      </w:r>
      <w:proofErr w:type="gramStart"/>
      <w:r>
        <w:rPr>
          <w:rFonts w:ascii="Times New Roman" w:hAnsi="Times New Roman" w:cs="Times New Roman"/>
        </w:rPr>
        <w:t>fall down</w:t>
      </w:r>
      <w:proofErr w:type="gramEnd"/>
      <w:r>
        <w:rPr>
          <w:rFonts w:ascii="Times New Roman" w:hAnsi="Times New Roman" w:cs="Times New Roman"/>
        </w:rPr>
        <w:t xml:space="preserve"> somewhere. </w:t>
      </w:r>
    </w:p>
    <w:p w14:paraId="3375F68C" w14:textId="77777777" w:rsidR="002D29D1" w:rsidRDefault="002D29D1" w:rsidP="002D29D1">
      <w:pPr>
        <w:spacing w:line="480" w:lineRule="auto"/>
        <w:ind w:firstLine="720"/>
      </w:pPr>
    </w:p>
    <w:p w14:paraId="4F801B05" w14:textId="77777777" w:rsidR="002D29D1" w:rsidRDefault="002D29D1" w:rsidP="002D29D1">
      <w:pPr>
        <w:spacing w:line="480" w:lineRule="auto"/>
        <w:ind w:firstLine="720"/>
      </w:pPr>
    </w:p>
    <w:p w14:paraId="00997792" w14:textId="77777777" w:rsidR="002D29D1" w:rsidRDefault="002D29D1" w:rsidP="002D29D1">
      <w:pPr>
        <w:spacing w:line="480" w:lineRule="auto"/>
        <w:ind w:firstLine="720"/>
      </w:pPr>
    </w:p>
    <w:p w14:paraId="1A8CCCF8" w14:textId="77777777" w:rsidR="002D29D1" w:rsidRDefault="002D29D1" w:rsidP="002D29D1">
      <w:pPr>
        <w:spacing w:line="480" w:lineRule="auto"/>
        <w:ind w:firstLine="720"/>
      </w:pPr>
    </w:p>
    <w:p w14:paraId="26A01106" w14:textId="77777777" w:rsidR="002D29D1" w:rsidRDefault="002D29D1" w:rsidP="002D29D1">
      <w:pPr>
        <w:spacing w:line="480" w:lineRule="auto"/>
        <w:ind w:firstLine="720"/>
      </w:pPr>
    </w:p>
    <w:p w14:paraId="65B9EABB" w14:textId="77777777" w:rsidR="002D29D1" w:rsidRDefault="002D29D1" w:rsidP="002D29D1">
      <w:pPr>
        <w:spacing w:line="480" w:lineRule="auto"/>
        <w:ind w:firstLine="720"/>
      </w:pPr>
    </w:p>
    <w:p w14:paraId="286EFE6F" w14:textId="77777777" w:rsidR="002D29D1" w:rsidRDefault="002D29D1" w:rsidP="002D29D1">
      <w:pPr>
        <w:spacing w:line="480" w:lineRule="auto"/>
        <w:ind w:firstLine="720"/>
      </w:pPr>
    </w:p>
    <w:p w14:paraId="4523B919" w14:textId="77777777" w:rsidR="002D29D1" w:rsidRDefault="002D29D1" w:rsidP="002D29D1">
      <w:pPr>
        <w:spacing w:line="480" w:lineRule="auto"/>
        <w:ind w:firstLine="720"/>
      </w:pPr>
    </w:p>
    <w:p w14:paraId="0680C695" w14:textId="77777777" w:rsidR="002D29D1" w:rsidRDefault="002D29D1" w:rsidP="002D29D1">
      <w:pPr>
        <w:spacing w:line="480" w:lineRule="auto"/>
        <w:ind w:firstLine="720"/>
      </w:pPr>
    </w:p>
    <w:p w14:paraId="154EF515" w14:textId="77777777" w:rsidR="002D29D1" w:rsidRDefault="002D29D1" w:rsidP="002D29D1">
      <w:pPr>
        <w:spacing w:line="480" w:lineRule="auto"/>
        <w:ind w:firstLine="720"/>
      </w:pPr>
    </w:p>
    <w:p w14:paraId="111CEDE4" w14:textId="77777777" w:rsidR="002D29D1" w:rsidRDefault="002D29D1" w:rsidP="002D29D1">
      <w:pPr>
        <w:spacing w:line="480" w:lineRule="auto"/>
      </w:pPr>
    </w:p>
    <w:p w14:paraId="0C43EE36" w14:textId="121A88FE" w:rsidR="002D29D1" w:rsidRDefault="002D29D1" w:rsidP="006E2216">
      <w:pPr>
        <w:spacing w:line="480" w:lineRule="auto"/>
      </w:pPr>
    </w:p>
    <w:p w14:paraId="1F0640E2" w14:textId="77777777" w:rsidR="006E2216" w:rsidRDefault="006E2216" w:rsidP="006E2216">
      <w:pPr>
        <w:spacing w:line="480" w:lineRule="auto"/>
      </w:pPr>
    </w:p>
    <w:p w14:paraId="6C0C8949" w14:textId="37FBA0BE" w:rsidR="00D86BB0" w:rsidRDefault="00D86BB0" w:rsidP="002D29D1">
      <w:pPr>
        <w:spacing w:line="480" w:lineRule="auto"/>
        <w:ind w:firstLine="720"/>
      </w:pPr>
    </w:p>
    <w:p w14:paraId="4B52702A" w14:textId="34A5DE9D" w:rsidR="00D86BB0" w:rsidRDefault="00D86BB0" w:rsidP="002D29D1">
      <w:pPr>
        <w:spacing w:line="480" w:lineRule="auto"/>
        <w:ind w:firstLine="720"/>
      </w:pPr>
    </w:p>
    <w:p w14:paraId="5A5A0154" w14:textId="77777777" w:rsidR="00D86BB0" w:rsidRDefault="00D86BB0" w:rsidP="002D29D1">
      <w:pPr>
        <w:spacing w:line="480" w:lineRule="auto"/>
        <w:ind w:firstLine="720"/>
      </w:pPr>
    </w:p>
    <w:p w14:paraId="25164BA9" w14:textId="77777777" w:rsidR="002D29D1" w:rsidRPr="00A414E7" w:rsidRDefault="002D29D1" w:rsidP="002D29D1">
      <w:pPr>
        <w:spacing w:line="480" w:lineRule="auto"/>
        <w:rPr>
          <w:rFonts w:ascii="Times New Roman" w:hAnsi="Times New Roman" w:cs="Times New Roman"/>
        </w:rPr>
      </w:pPr>
      <w:r w:rsidRPr="00A414E7">
        <w:rPr>
          <w:rFonts w:ascii="Times New Roman" w:hAnsi="Times New Roman" w:cs="Times New Roman"/>
        </w:rPr>
        <w:t xml:space="preserve">Funding was provided by the University of Oklahoma Department of </w:t>
      </w:r>
      <w:r>
        <w:rPr>
          <w:rFonts w:ascii="Times New Roman" w:hAnsi="Times New Roman" w:cs="Times New Roman"/>
        </w:rPr>
        <w:t>Communication’s</w:t>
      </w:r>
      <w:r w:rsidRPr="00A414E7">
        <w:rPr>
          <w:rFonts w:ascii="Times New Roman" w:hAnsi="Times New Roman" w:cs="Times New Roman"/>
        </w:rPr>
        <w:t xml:space="preserve"> dissertation scholarship fund and research awards from the Graduate Student Senate.</w:t>
      </w:r>
    </w:p>
    <w:p w14:paraId="0FF40245" w14:textId="515C7420" w:rsidR="00841215" w:rsidRDefault="00841215" w:rsidP="0006335F">
      <w:pPr>
        <w:tabs>
          <w:tab w:val="left" w:pos="2422"/>
          <w:tab w:val="center" w:pos="4680"/>
        </w:tabs>
        <w:spacing w:line="480" w:lineRule="auto"/>
        <w:jc w:val="center"/>
        <w:rPr>
          <w:rFonts w:ascii="Times New Roman" w:hAnsi="Times New Roman" w:cs="Times New Roman"/>
          <w:b/>
          <w:bCs/>
        </w:rPr>
      </w:pPr>
      <w:r>
        <w:rPr>
          <w:rFonts w:ascii="Times New Roman" w:hAnsi="Times New Roman" w:cs="Times New Roman"/>
          <w:b/>
          <w:bCs/>
        </w:rPr>
        <w:lastRenderedPageBreak/>
        <w:t>Table of Contents</w:t>
      </w:r>
    </w:p>
    <w:p w14:paraId="1F07B9E8" w14:textId="76410942" w:rsidR="00841215" w:rsidRDefault="00841215" w:rsidP="000633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rPr>
      </w:pPr>
      <w:r>
        <w:rPr>
          <w:rFonts w:ascii="Times New Roman" w:hAnsi="Times New Roman" w:cs="Times New Roman"/>
          <w:color w:val="000000"/>
        </w:rPr>
        <w:t>Acknowledgements .......................................................................................................................</w:t>
      </w:r>
      <w:r w:rsidR="003248E9">
        <w:rPr>
          <w:rFonts w:ascii="Times New Roman" w:hAnsi="Times New Roman" w:cs="Times New Roman"/>
          <w:color w:val="000000"/>
        </w:rPr>
        <w:t xml:space="preserve"> iv</w:t>
      </w:r>
    </w:p>
    <w:p w14:paraId="0673AC89" w14:textId="759DA832" w:rsidR="00841215" w:rsidRDefault="00841215" w:rsidP="000633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rPr>
      </w:pPr>
      <w:r>
        <w:rPr>
          <w:rFonts w:ascii="Times New Roman" w:hAnsi="Times New Roman" w:cs="Times New Roman"/>
          <w:color w:val="000000"/>
        </w:rPr>
        <w:t>Abstract ........................................................................................................................................</w:t>
      </w:r>
      <w:r w:rsidR="003248E9">
        <w:rPr>
          <w:rFonts w:ascii="Times New Roman" w:hAnsi="Times New Roman" w:cs="Times New Roman"/>
          <w:color w:val="000000"/>
        </w:rPr>
        <w:t xml:space="preserve"> vii</w:t>
      </w:r>
    </w:p>
    <w:p w14:paraId="1EAEC08A" w14:textId="0F2BF744" w:rsidR="00841215" w:rsidRDefault="00841215" w:rsidP="000633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rPr>
      </w:pPr>
      <w:r>
        <w:rPr>
          <w:rFonts w:ascii="Times New Roman" w:hAnsi="Times New Roman" w:cs="Times New Roman"/>
          <w:color w:val="000000"/>
        </w:rPr>
        <w:t>Chapter 1: Rationale .....................................................................................................................</w:t>
      </w:r>
      <w:r w:rsidR="0006335F">
        <w:rPr>
          <w:rFonts w:ascii="Times New Roman" w:hAnsi="Times New Roman" w:cs="Times New Roman"/>
          <w:color w:val="000000"/>
        </w:rPr>
        <w:t>.</w:t>
      </w:r>
      <w:r w:rsidR="00244A88">
        <w:rPr>
          <w:rFonts w:ascii="Times New Roman" w:hAnsi="Times New Roman" w:cs="Times New Roman"/>
          <w:color w:val="000000"/>
        </w:rPr>
        <w:t>.</w:t>
      </w:r>
      <w:r w:rsidR="0006335F">
        <w:rPr>
          <w:rFonts w:ascii="Times New Roman" w:hAnsi="Times New Roman" w:cs="Times New Roman"/>
          <w:color w:val="000000"/>
        </w:rPr>
        <w:t>.</w:t>
      </w:r>
      <w:r w:rsidR="003248E9">
        <w:rPr>
          <w:rFonts w:ascii="Times New Roman" w:hAnsi="Times New Roman" w:cs="Times New Roman"/>
          <w:color w:val="000000"/>
        </w:rPr>
        <w:t>1</w:t>
      </w:r>
    </w:p>
    <w:p w14:paraId="311D2D86" w14:textId="3DD913D5" w:rsidR="00841215" w:rsidRDefault="00841215" w:rsidP="000633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rPr>
      </w:pPr>
      <w:r>
        <w:rPr>
          <w:rFonts w:ascii="Times New Roman" w:hAnsi="Times New Roman" w:cs="Times New Roman"/>
          <w:color w:val="000000"/>
        </w:rPr>
        <w:t>Chapter 2: Literature Review</w:t>
      </w:r>
      <w:r>
        <w:rPr>
          <w:rFonts w:ascii="Times New Roman" w:hAnsi="Times New Roman" w:cs="Times New Roman"/>
        </w:rPr>
        <w:t xml:space="preserve">: </w:t>
      </w:r>
      <w:r w:rsidRPr="002030FE">
        <w:rPr>
          <w:rFonts w:ascii="Times New Roman" w:hAnsi="Times New Roman" w:cs="Times New Roman"/>
        </w:rPr>
        <w:t>The Funeral Home History in the United States</w:t>
      </w:r>
      <w:r>
        <w:rPr>
          <w:rFonts w:ascii="Times New Roman" w:hAnsi="Times New Roman" w:cs="Times New Roman"/>
          <w:color w:val="000000"/>
        </w:rPr>
        <w:t xml:space="preserve"> ..........................</w:t>
      </w:r>
      <w:r w:rsidR="0006335F">
        <w:rPr>
          <w:rFonts w:ascii="Times New Roman" w:hAnsi="Times New Roman" w:cs="Times New Roman"/>
          <w:color w:val="000000"/>
        </w:rPr>
        <w:t>...</w:t>
      </w:r>
      <w:r w:rsidR="00244A88">
        <w:rPr>
          <w:rFonts w:ascii="Times New Roman" w:hAnsi="Times New Roman" w:cs="Times New Roman"/>
          <w:color w:val="000000"/>
        </w:rPr>
        <w:t>6</w:t>
      </w:r>
      <w:r>
        <w:rPr>
          <w:rFonts w:ascii="Times New Roman" w:hAnsi="Times New Roman" w:cs="Times New Roman"/>
          <w:color w:val="000000"/>
        </w:rPr>
        <w:t xml:space="preserve"> </w:t>
      </w:r>
    </w:p>
    <w:p w14:paraId="47683AC8" w14:textId="60FD7BD7" w:rsidR="00841215" w:rsidRDefault="00841215" w:rsidP="000633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rPr>
      </w:pPr>
      <w:r>
        <w:rPr>
          <w:rFonts w:ascii="Times New Roman" w:hAnsi="Times New Roman" w:cs="Times New Roman"/>
          <w:color w:val="000000"/>
        </w:rPr>
        <w:tab/>
        <w:t>T</w:t>
      </w:r>
      <w:r w:rsidRPr="002030FE">
        <w:rPr>
          <w:rFonts w:ascii="Times New Roman" w:hAnsi="Times New Roman" w:cs="Times New Roman"/>
          <w:color w:val="000000"/>
        </w:rPr>
        <w:t>he Emergence of Funeral Homes</w:t>
      </w:r>
      <w:r>
        <w:rPr>
          <w:rFonts w:ascii="Times New Roman" w:hAnsi="Times New Roman" w:cs="Times New Roman"/>
          <w:color w:val="000000"/>
        </w:rPr>
        <w:t>......................................................................................</w:t>
      </w:r>
      <w:r w:rsidR="00244A88">
        <w:rPr>
          <w:rFonts w:ascii="Times New Roman" w:hAnsi="Times New Roman" w:cs="Times New Roman"/>
          <w:color w:val="000000"/>
        </w:rPr>
        <w:t>.</w:t>
      </w:r>
      <w:r w:rsidR="0006335F">
        <w:rPr>
          <w:rFonts w:ascii="Times New Roman" w:hAnsi="Times New Roman" w:cs="Times New Roman"/>
          <w:color w:val="000000"/>
        </w:rPr>
        <w:t>...</w:t>
      </w:r>
      <w:r w:rsidR="00244A88">
        <w:rPr>
          <w:rFonts w:ascii="Times New Roman" w:hAnsi="Times New Roman" w:cs="Times New Roman"/>
          <w:color w:val="000000"/>
        </w:rPr>
        <w:t>6</w:t>
      </w:r>
    </w:p>
    <w:p w14:paraId="04A3E0FA" w14:textId="6A8086E1" w:rsidR="00841215" w:rsidRDefault="00841215" w:rsidP="000633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rPr>
      </w:pPr>
      <w:r>
        <w:rPr>
          <w:rFonts w:ascii="Times New Roman" w:hAnsi="Times New Roman" w:cs="Times New Roman"/>
          <w:color w:val="000000"/>
        </w:rPr>
        <w:tab/>
      </w:r>
      <w:r w:rsidRPr="002030FE">
        <w:rPr>
          <w:rFonts w:ascii="Times New Roman" w:hAnsi="Times New Roman" w:cs="Times New Roman"/>
          <w:color w:val="000000"/>
        </w:rPr>
        <w:t>Earning its Industria</w:t>
      </w:r>
      <w:r>
        <w:rPr>
          <w:rFonts w:ascii="Times New Roman" w:hAnsi="Times New Roman" w:cs="Times New Roman"/>
          <w:color w:val="000000"/>
        </w:rPr>
        <w:t xml:space="preserve">l </w:t>
      </w:r>
      <w:r w:rsidRPr="002030FE">
        <w:rPr>
          <w:rFonts w:ascii="Times New Roman" w:hAnsi="Times New Roman" w:cs="Times New Roman"/>
          <w:color w:val="000000"/>
        </w:rPr>
        <w:t>Legitimacy</w:t>
      </w:r>
      <w:r>
        <w:rPr>
          <w:rFonts w:ascii="Times New Roman" w:hAnsi="Times New Roman" w:cs="Times New Roman"/>
          <w:color w:val="000000"/>
        </w:rPr>
        <w:t>.........................................................................................</w:t>
      </w:r>
      <w:r w:rsidR="0006335F">
        <w:rPr>
          <w:rFonts w:ascii="Times New Roman" w:hAnsi="Times New Roman" w:cs="Times New Roman"/>
          <w:color w:val="000000"/>
        </w:rPr>
        <w:t>...</w:t>
      </w:r>
      <w:r w:rsidR="00244A88">
        <w:rPr>
          <w:rFonts w:ascii="Times New Roman" w:hAnsi="Times New Roman" w:cs="Times New Roman"/>
          <w:color w:val="000000"/>
        </w:rPr>
        <w:t>9</w:t>
      </w:r>
    </w:p>
    <w:p w14:paraId="1DFA93E4" w14:textId="0C8CD558" w:rsidR="00841215" w:rsidRDefault="00841215" w:rsidP="000633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rPr>
      </w:pPr>
      <w:r>
        <w:rPr>
          <w:rFonts w:ascii="Times New Roman" w:hAnsi="Times New Roman" w:cs="Times New Roman"/>
          <w:color w:val="000000"/>
        </w:rPr>
        <w:tab/>
      </w:r>
      <w:r w:rsidRPr="002030FE">
        <w:rPr>
          <w:rFonts w:ascii="Times New Roman" w:hAnsi="Times New Roman" w:cs="Times New Roman"/>
          <w:color w:val="000000"/>
        </w:rPr>
        <w:t>Battling against Industrial Stereotypes</w:t>
      </w:r>
      <w:r>
        <w:rPr>
          <w:rFonts w:ascii="Times New Roman" w:hAnsi="Times New Roman" w:cs="Times New Roman"/>
          <w:color w:val="000000"/>
        </w:rPr>
        <w:t>................................................................................</w:t>
      </w:r>
      <w:r w:rsidR="0006335F">
        <w:rPr>
          <w:rFonts w:ascii="Times New Roman" w:hAnsi="Times New Roman" w:cs="Times New Roman"/>
          <w:color w:val="000000"/>
        </w:rPr>
        <w:t>.</w:t>
      </w:r>
      <w:r>
        <w:rPr>
          <w:rFonts w:ascii="Times New Roman" w:hAnsi="Times New Roman" w:cs="Times New Roman"/>
          <w:color w:val="000000"/>
        </w:rPr>
        <w:t>.1</w:t>
      </w:r>
      <w:r w:rsidR="00244A88">
        <w:rPr>
          <w:rFonts w:ascii="Times New Roman" w:hAnsi="Times New Roman" w:cs="Times New Roman"/>
          <w:color w:val="000000"/>
        </w:rPr>
        <w:t>2</w:t>
      </w:r>
    </w:p>
    <w:p w14:paraId="310846BB" w14:textId="1AF7EB9E" w:rsidR="00841215" w:rsidRDefault="00841215" w:rsidP="000633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rPr>
      </w:pPr>
      <w:r>
        <w:rPr>
          <w:rFonts w:ascii="Times New Roman" w:hAnsi="Times New Roman" w:cs="Times New Roman"/>
          <w:color w:val="000000"/>
        </w:rPr>
        <w:tab/>
      </w:r>
      <w:r w:rsidRPr="002030FE">
        <w:rPr>
          <w:rFonts w:ascii="Times New Roman" w:hAnsi="Times New Roman" w:cs="Times New Roman"/>
          <w:color w:val="000000"/>
        </w:rPr>
        <w:t>Transformation of the Funeral</w:t>
      </w:r>
      <w:r w:rsidR="00CC1D45">
        <w:rPr>
          <w:rFonts w:ascii="Times New Roman" w:hAnsi="Times New Roman" w:cs="Times New Roman"/>
          <w:color w:val="000000"/>
        </w:rPr>
        <w:t xml:space="preserve"> Industry</w:t>
      </w:r>
      <w:r>
        <w:rPr>
          <w:rFonts w:ascii="Times New Roman" w:hAnsi="Times New Roman" w:cs="Times New Roman"/>
          <w:color w:val="000000"/>
        </w:rPr>
        <w:t>..............................................................................</w:t>
      </w:r>
      <w:r w:rsidR="00CC1D45">
        <w:rPr>
          <w:rFonts w:ascii="Times New Roman" w:hAnsi="Times New Roman" w:cs="Times New Roman"/>
          <w:color w:val="000000"/>
        </w:rPr>
        <w:t>.</w:t>
      </w:r>
      <w:r w:rsidR="0006335F">
        <w:rPr>
          <w:rFonts w:ascii="Times New Roman" w:hAnsi="Times New Roman" w:cs="Times New Roman"/>
          <w:color w:val="000000"/>
        </w:rPr>
        <w:t>.</w:t>
      </w:r>
      <w:r w:rsidR="00244A88">
        <w:rPr>
          <w:rFonts w:ascii="Times New Roman" w:hAnsi="Times New Roman" w:cs="Times New Roman"/>
          <w:color w:val="000000"/>
        </w:rPr>
        <w:t>16</w:t>
      </w:r>
    </w:p>
    <w:p w14:paraId="258E308D" w14:textId="6DFA3DB5" w:rsidR="00841215" w:rsidRDefault="00841215" w:rsidP="000633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rPr>
      </w:pPr>
      <w:r>
        <w:rPr>
          <w:rFonts w:ascii="Times New Roman" w:hAnsi="Times New Roman" w:cs="Times New Roman"/>
          <w:color w:val="000000"/>
        </w:rPr>
        <w:tab/>
      </w:r>
      <w:r w:rsidRPr="002030FE">
        <w:rPr>
          <w:rFonts w:ascii="Times New Roman" w:hAnsi="Times New Roman" w:cs="Times New Roman"/>
          <w:color w:val="000000"/>
        </w:rPr>
        <w:t>Moving into the 21st-Century Frontier</w:t>
      </w:r>
      <w:r>
        <w:rPr>
          <w:rFonts w:ascii="Times New Roman" w:hAnsi="Times New Roman" w:cs="Times New Roman"/>
          <w:color w:val="000000"/>
        </w:rPr>
        <w:t>................................................................................</w:t>
      </w:r>
      <w:r w:rsidR="0006335F">
        <w:rPr>
          <w:rFonts w:ascii="Times New Roman" w:hAnsi="Times New Roman" w:cs="Times New Roman"/>
          <w:color w:val="000000"/>
        </w:rPr>
        <w:t>..</w:t>
      </w:r>
      <w:r>
        <w:rPr>
          <w:rFonts w:ascii="Times New Roman" w:hAnsi="Times New Roman" w:cs="Times New Roman"/>
          <w:color w:val="000000"/>
        </w:rPr>
        <w:t>2</w:t>
      </w:r>
      <w:r w:rsidR="00244A88">
        <w:rPr>
          <w:rFonts w:ascii="Times New Roman" w:hAnsi="Times New Roman" w:cs="Times New Roman"/>
          <w:color w:val="000000"/>
        </w:rPr>
        <w:t>2</w:t>
      </w:r>
    </w:p>
    <w:p w14:paraId="5AE9690A" w14:textId="341E31A8" w:rsidR="00841215" w:rsidRDefault="00841215" w:rsidP="000633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rPr>
      </w:pPr>
      <w:r>
        <w:rPr>
          <w:rFonts w:ascii="Times New Roman" w:hAnsi="Times New Roman" w:cs="Times New Roman"/>
          <w:color w:val="000000"/>
        </w:rPr>
        <w:t>Chapter 3: Literature Review</w:t>
      </w:r>
      <w:r>
        <w:rPr>
          <w:rFonts w:ascii="Times New Roman" w:hAnsi="Times New Roman" w:cs="Times New Roman"/>
        </w:rPr>
        <w:t>: Relational Dialectics Theory 2.0</w:t>
      </w:r>
      <w:r>
        <w:rPr>
          <w:rFonts w:ascii="Times New Roman" w:hAnsi="Times New Roman" w:cs="Times New Roman"/>
          <w:color w:val="000000"/>
        </w:rPr>
        <w:t>..................................................</w:t>
      </w:r>
      <w:r w:rsidR="0006335F">
        <w:rPr>
          <w:rFonts w:ascii="Times New Roman" w:hAnsi="Times New Roman" w:cs="Times New Roman"/>
          <w:color w:val="000000"/>
        </w:rPr>
        <w:t>..</w:t>
      </w:r>
      <w:r w:rsidR="00244A88">
        <w:rPr>
          <w:rFonts w:ascii="Times New Roman" w:hAnsi="Times New Roman" w:cs="Times New Roman"/>
          <w:color w:val="000000"/>
        </w:rPr>
        <w:t>25</w:t>
      </w:r>
    </w:p>
    <w:p w14:paraId="476F79FA" w14:textId="6FA30090" w:rsidR="00841215" w:rsidRDefault="00841215" w:rsidP="000633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rPr>
      </w:pPr>
      <w:r>
        <w:rPr>
          <w:rFonts w:ascii="Times New Roman" w:hAnsi="Times New Roman" w:cs="Times New Roman"/>
          <w:color w:val="000000"/>
        </w:rPr>
        <w:tab/>
      </w:r>
      <w:r w:rsidRPr="003C3183">
        <w:rPr>
          <w:rFonts w:ascii="Times New Roman" w:hAnsi="Times New Roman" w:cs="Times New Roman"/>
          <w:color w:val="000000"/>
        </w:rPr>
        <w:t>RDT</w:t>
      </w:r>
      <w:r>
        <w:rPr>
          <w:rFonts w:ascii="Times New Roman" w:hAnsi="Times New Roman" w:cs="Times New Roman"/>
          <w:color w:val="000000"/>
        </w:rPr>
        <w:t xml:space="preserve"> </w:t>
      </w:r>
      <w:r w:rsidRPr="003C3183">
        <w:rPr>
          <w:rFonts w:ascii="Times New Roman" w:hAnsi="Times New Roman" w:cs="Times New Roman"/>
          <w:color w:val="000000"/>
        </w:rPr>
        <w:t>Assumption</w:t>
      </w:r>
      <w:r w:rsidR="00244A88">
        <w:rPr>
          <w:rFonts w:ascii="Times New Roman" w:hAnsi="Times New Roman" w:cs="Times New Roman"/>
          <w:color w:val="000000"/>
        </w:rPr>
        <w:t>s</w:t>
      </w:r>
      <w:r>
        <w:rPr>
          <w:rFonts w:ascii="Times New Roman" w:hAnsi="Times New Roman" w:cs="Times New Roman"/>
          <w:color w:val="000000"/>
        </w:rPr>
        <w:t>.......................................................................................................</w:t>
      </w:r>
      <w:r w:rsidR="00244A88">
        <w:rPr>
          <w:rFonts w:ascii="Times New Roman" w:hAnsi="Times New Roman" w:cs="Times New Roman"/>
          <w:color w:val="000000"/>
        </w:rPr>
        <w:t>..</w:t>
      </w:r>
      <w:r>
        <w:rPr>
          <w:rFonts w:ascii="Times New Roman" w:hAnsi="Times New Roman" w:cs="Times New Roman"/>
          <w:color w:val="000000"/>
        </w:rPr>
        <w:t>......</w:t>
      </w:r>
      <w:r w:rsidR="0006335F">
        <w:rPr>
          <w:rFonts w:ascii="Times New Roman" w:hAnsi="Times New Roman" w:cs="Times New Roman"/>
          <w:color w:val="000000"/>
        </w:rPr>
        <w:t>..</w:t>
      </w:r>
      <w:r w:rsidR="00244A88">
        <w:rPr>
          <w:rFonts w:ascii="Times New Roman" w:hAnsi="Times New Roman" w:cs="Times New Roman"/>
          <w:color w:val="000000"/>
        </w:rPr>
        <w:t>25</w:t>
      </w:r>
    </w:p>
    <w:p w14:paraId="1AA74164" w14:textId="1A58D483" w:rsidR="00841215" w:rsidRDefault="00841215" w:rsidP="000633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rPr>
      </w:pPr>
      <w:r>
        <w:rPr>
          <w:rFonts w:ascii="Times New Roman" w:hAnsi="Times New Roman" w:cs="Times New Roman"/>
          <w:color w:val="000000"/>
        </w:rPr>
        <w:tab/>
      </w:r>
      <w:r w:rsidRPr="003C3183">
        <w:rPr>
          <w:rFonts w:ascii="Times New Roman" w:hAnsi="Times New Roman" w:cs="Times New Roman"/>
          <w:color w:val="000000"/>
        </w:rPr>
        <w:t>Bakhtin’s Dialogism</w:t>
      </w:r>
      <w:r>
        <w:rPr>
          <w:rFonts w:ascii="Times New Roman" w:hAnsi="Times New Roman" w:cs="Times New Roman"/>
          <w:color w:val="000000"/>
        </w:rPr>
        <w:t>............................................................................................................</w:t>
      </w:r>
      <w:r w:rsidR="0006335F">
        <w:rPr>
          <w:rFonts w:ascii="Times New Roman" w:hAnsi="Times New Roman" w:cs="Times New Roman"/>
          <w:color w:val="000000"/>
        </w:rPr>
        <w:t>.</w:t>
      </w:r>
      <w:r w:rsidR="00244A88">
        <w:rPr>
          <w:rFonts w:ascii="Times New Roman" w:hAnsi="Times New Roman" w:cs="Times New Roman"/>
          <w:color w:val="000000"/>
        </w:rPr>
        <w:t>28</w:t>
      </w:r>
    </w:p>
    <w:p w14:paraId="1D845D71" w14:textId="076BC376" w:rsidR="00841215" w:rsidRDefault="00841215" w:rsidP="000633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rPr>
      </w:pPr>
      <w:r>
        <w:rPr>
          <w:rFonts w:ascii="Times New Roman" w:hAnsi="Times New Roman" w:cs="Times New Roman"/>
          <w:color w:val="000000"/>
        </w:rPr>
        <w:tab/>
      </w:r>
      <w:r w:rsidRPr="003C3183">
        <w:rPr>
          <w:rFonts w:ascii="Times New Roman" w:hAnsi="Times New Roman" w:cs="Times New Roman"/>
          <w:color w:val="000000"/>
        </w:rPr>
        <w:t>Discursive Struggles</w:t>
      </w:r>
      <w:r w:rsidR="00244A88">
        <w:rPr>
          <w:rFonts w:ascii="Times New Roman" w:hAnsi="Times New Roman" w:cs="Times New Roman"/>
          <w:color w:val="000000"/>
        </w:rPr>
        <w:t>.</w:t>
      </w:r>
      <w:r>
        <w:rPr>
          <w:rFonts w:ascii="Times New Roman" w:hAnsi="Times New Roman" w:cs="Times New Roman"/>
          <w:color w:val="000000"/>
        </w:rPr>
        <w:t>...........................................................................................................</w:t>
      </w:r>
      <w:r w:rsidR="0006335F">
        <w:rPr>
          <w:rFonts w:ascii="Times New Roman" w:hAnsi="Times New Roman" w:cs="Times New Roman"/>
          <w:color w:val="000000"/>
        </w:rPr>
        <w:t>.</w:t>
      </w:r>
      <w:r>
        <w:rPr>
          <w:rFonts w:ascii="Times New Roman" w:hAnsi="Times New Roman" w:cs="Times New Roman"/>
          <w:color w:val="000000"/>
        </w:rPr>
        <w:t>3</w:t>
      </w:r>
      <w:r w:rsidR="00244A88">
        <w:rPr>
          <w:rFonts w:ascii="Times New Roman" w:hAnsi="Times New Roman" w:cs="Times New Roman"/>
          <w:color w:val="000000"/>
        </w:rPr>
        <w:t>3</w:t>
      </w:r>
    </w:p>
    <w:p w14:paraId="7A016FCB" w14:textId="5470ABDC" w:rsidR="00841215" w:rsidRDefault="00841215" w:rsidP="000633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rPr>
      </w:pPr>
      <w:r>
        <w:rPr>
          <w:rFonts w:ascii="Times New Roman" w:hAnsi="Times New Roman" w:cs="Times New Roman"/>
          <w:color w:val="000000"/>
        </w:rPr>
        <w:tab/>
      </w:r>
      <w:r w:rsidRPr="003C3183">
        <w:rPr>
          <w:rFonts w:ascii="Times New Roman" w:hAnsi="Times New Roman" w:cs="Times New Roman"/>
          <w:color w:val="000000"/>
        </w:rPr>
        <w:t>Centripetal-centrifugal Struggle</w:t>
      </w:r>
      <w:r>
        <w:rPr>
          <w:rFonts w:ascii="Times New Roman" w:hAnsi="Times New Roman" w:cs="Times New Roman"/>
          <w:color w:val="000000"/>
        </w:rPr>
        <w:t>.........................................................................................</w:t>
      </w:r>
      <w:r w:rsidR="0006335F">
        <w:rPr>
          <w:rFonts w:ascii="Times New Roman" w:hAnsi="Times New Roman" w:cs="Times New Roman"/>
          <w:color w:val="000000"/>
        </w:rPr>
        <w:t>..</w:t>
      </w:r>
      <w:r w:rsidR="00244A88">
        <w:rPr>
          <w:rFonts w:ascii="Times New Roman" w:hAnsi="Times New Roman" w:cs="Times New Roman"/>
          <w:color w:val="000000"/>
        </w:rPr>
        <w:t>39</w:t>
      </w:r>
    </w:p>
    <w:p w14:paraId="242AC458" w14:textId="24367BC0" w:rsidR="00841215" w:rsidRDefault="00841215" w:rsidP="000633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rPr>
      </w:pPr>
      <w:r>
        <w:rPr>
          <w:rFonts w:ascii="Times New Roman" w:hAnsi="Times New Roman" w:cs="Times New Roman"/>
          <w:color w:val="000000"/>
        </w:rPr>
        <w:tab/>
      </w:r>
      <w:r w:rsidRPr="003C3183">
        <w:rPr>
          <w:rFonts w:ascii="Times New Roman" w:hAnsi="Times New Roman" w:cs="Times New Roman"/>
          <w:color w:val="000000"/>
        </w:rPr>
        <w:t>Recent RDT Studies</w:t>
      </w:r>
      <w:r>
        <w:rPr>
          <w:rFonts w:ascii="Times New Roman" w:hAnsi="Times New Roman" w:cs="Times New Roman"/>
          <w:color w:val="000000"/>
        </w:rPr>
        <w:t>.....</w:t>
      </w:r>
      <w:r w:rsidR="00F421C9">
        <w:rPr>
          <w:rFonts w:ascii="Times New Roman" w:hAnsi="Times New Roman" w:cs="Times New Roman"/>
          <w:color w:val="000000"/>
        </w:rPr>
        <w:t>......................................................</w:t>
      </w:r>
      <w:r>
        <w:rPr>
          <w:rFonts w:ascii="Times New Roman" w:hAnsi="Times New Roman" w:cs="Times New Roman"/>
          <w:color w:val="000000"/>
        </w:rPr>
        <w:t>..................................................</w:t>
      </w:r>
      <w:r w:rsidR="0006335F">
        <w:rPr>
          <w:rFonts w:ascii="Times New Roman" w:hAnsi="Times New Roman" w:cs="Times New Roman"/>
          <w:color w:val="000000"/>
        </w:rPr>
        <w:t>.</w:t>
      </w:r>
      <w:r w:rsidR="00244A88">
        <w:rPr>
          <w:rFonts w:ascii="Times New Roman" w:hAnsi="Times New Roman" w:cs="Times New Roman"/>
          <w:color w:val="000000"/>
        </w:rPr>
        <w:t>46</w:t>
      </w:r>
      <w:r>
        <w:rPr>
          <w:rFonts w:ascii="Times New Roman" w:hAnsi="Times New Roman" w:cs="Times New Roman"/>
          <w:color w:val="000000"/>
        </w:rPr>
        <w:t xml:space="preserve"> </w:t>
      </w:r>
    </w:p>
    <w:p w14:paraId="17BB38B7" w14:textId="5DB9123D" w:rsidR="00841215" w:rsidRDefault="00841215" w:rsidP="000633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rPr>
      </w:pPr>
      <w:r>
        <w:rPr>
          <w:rFonts w:ascii="Times New Roman" w:hAnsi="Times New Roman" w:cs="Times New Roman"/>
          <w:color w:val="000000"/>
        </w:rPr>
        <w:t>Chapter 4: Literature Review</w:t>
      </w:r>
      <w:r>
        <w:rPr>
          <w:rFonts w:ascii="Times New Roman" w:hAnsi="Times New Roman" w:cs="Times New Roman"/>
        </w:rPr>
        <w:t xml:space="preserve">: </w:t>
      </w:r>
      <w:r w:rsidRPr="003C3183">
        <w:rPr>
          <w:rFonts w:ascii="Times New Roman" w:hAnsi="Times New Roman" w:cs="Times New Roman"/>
        </w:rPr>
        <w:t>The Commerce-Care Dialectic in Funeral Planning</w:t>
      </w:r>
      <w:r>
        <w:rPr>
          <w:rFonts w:ascii="Times New Roman" w:hAnsi="Times New Roman" w:cs="Times New Roman"/>
          <w:color w:val="000000"/>
        </w:rPr>
        <w:t>....................</w:t>
      </w:r>
      <w:r w:rsidR="0006335F">
        <w:rPr>
          <w:rFonts w:ascii="Times New Roman" w:hAnsi="Times New Roman" w:cs="Times New Roman"/>
          <w:color w:val="000000"/>
        </w:rPr>
        <w:t>..</w:t>
      </w:r>
      <w:r w:rsidR="00244A88">
        <w:rPr>
          <w:rFonts w:ascii="Times New Roman" w:hAnsi="Times New Roman" w:cs="Times New Roman"/>
          <w:color w:val="000000"/>
        </w:rPr>
        <w:t>48</w:t>
      </w:r>
    </w:p>
    <w:p w14:paraId="047B88AB" w14:textId="4C8DA095" w:rsidR="00841215" w:rsidRDefault="00841215" w:rsidP="000633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rPr>
      </w:pPr>
      <w:r>
        <w:rPr>
          <w:rFonts w:ascii="Times New Roman" w:hAnsi="Times New Roman" w:cs="Times New Roman"/>
          <w:color w:val="000000"/>
        </w:rPr>
        <w:tab/>
        <w:t>Funeral Planning .................................................................................................................</w:t>
      </w:r>
      <w:r w:rsidR="0006335F">
        <w:rPr>
          <w:rFonts w:ascii="Times New Roman" w:hAnsi="Times New Roman" w:cs="Times New Roman"/>
          <w:color w:val="000000"/>
        </w:rPr>
        <w:t>.</w:t>
      </w:r>
      <w:r w:rsidR="00244A88">
        <w:rPr>
          <w:rFonts w:ascii="Times New Roman" w:hAnsi="Times New Roman" w:cs="Times New Roman"/>
          <w:color w:val="000000"/>
        </w:rPr>
        <w:t>4</w:t>
      </w:r>
      <w:r w:rsidR="001D610B">
        <w:rPr>
          <w:rFonts w:ascii="Times New Roman" w:hAnsi="Times New Roman" w:cs="Times New Roman"/>
          <w:color w:val="000000"/>
        </w:rPr>
        <w:t>9</w:t>
      </w:r>
    </w:p>
    <w:p w14:paraId="1236C6D7" w14:textId="2FC79B9D" w:rsidR="00841215" w:rsidRDefault="00841215" w:rsidP="000633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rPr>
      </w:pPr>
      <w:r>
        <w:rPr>
          <w:rFonts w:ascii="Times New Roman" w:hAnsi="Times New Roman" w:cs="Times New Roman"/>
          <w:color w:val="000000"/>
        </w:rPr>
        <w:tab/>
      </w:r>
      <w:r w:rsidRPr="003C3183">
        <w:rPr>
          <w:rFonts w:ascii="Times New Roman" w:hAnsi="Times New Roman" w:cs="Times New Roman"/>
          <w:color w:val="000000"/>
        </w:rPr>
        <w:t>Commodification and Decommodification</w:t>
      </w:r>
      <w:r>
        <w:rPr>
          <w:rFonts w:ascii="Times New Roman" w:hAnsi="Times New Roman" w:cs="Times New Roman"/>
          <w:color w:val="000000"/>
        </w:rPr>
        <w:t>.........................................................................</w:t>
      </w:r>
      <w:r w:rsidR="0006335F">
        <w:rPr>
          <w:rFonts w:ascii="Times New Roman" w:hAnsi="Times New Roman" w:cs="Times New Roman"/>
          <w:color w:val="000000"/>
        </w:rPr>
        <w:t>..</w:t>
      </w:r>
      <w:r w:rsidR="00244A88">
        <w:rPr>
          <w:rFonts w:ascii="Times New Roman" w:hAnsi="Times New Roman" w:cs="Times New Roman"/>
          <w:color w:val="000000"/>
        </w:rPr>
        <w:t>52</w:t>
      </w:r>
    </w:p>
    <w:p w14:paraId="5A76DADB" w14:textId="455958BA" w:rsidR="00841215" w:rsidRDefault="00841215" w:rsidP="000633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rPr>
      </w:pPr>
      <w:r>
        <w:rPr>
          <w:rFonts w:ascii="Times New Roman" w:hAnsi="Times New Roman" w:cs="Times New Roman"/>
          <w:color w:val="000000"/>
        </w:rPr>
        <w:tab/>
      </w:r>
      <w:r w:rsidRPr="003C3183">
        <w:rPr>
          <w:rFonts w:ascii="Times New Roman" w:hAnsi="Times New Roman" w:cs="Times New Roman"/>
          <w:color w:val="000000"/>
        </w:rPr>
        <w:t>Research on the Commerce-Care Dialectic in Funeral Services</w:t>
      </w:r>
      <w:r>
        <w:rPr>
          <w:rFonts w:ascii="Times New Roman" w:hAnsi="Times New Roman" w:cs="Times New Roman"/>
          <w:color w:val="000000"/>
        </w:rPr>
        <w:t>.........................................</w:t>
      </w:r>
      <w:r w:rsidR="0006335F">
        <w:rPr>
          <w:rFonts w:ascii="Times New Roman" w:hAnsi="Times New Roman" w:cs="Times New Roman"/>
          <w:color w:val="000000"/>
        </w:rPr>
        <w:t>..</w:t>
      </w:r>
      <w:r w:rsidR="00244A88">
        <w:rPr>
          <w:rFonts w:ascii="Times New Roman" w:hAnsi="Times New Roman" w:cs="Times New Roman"/>
          <w:color w:val="000000"/>
        </w:rPr>
        <w:t>54</w:t>
      </w:r>
    </w:p>
    <w:p w14:paraId="1CB6D89B" w14:textId="5B905FF5" w:rsidR="00841215" w:rsidRDefault="00841215" w:rsidP="000633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rPr>
      </w:pPr>
      <w:r>
        <w:rPr>
          <w:rFonts w:ascii="Times New Roman" w:hAnsi="Times New Roman" w:cs="Times New Roman"/>
          <w:color w:val="000000"/>
        </w:rPr>
        <w:tab/>
        <w:t>Section Conclusion …………….........................................................................................</w:t>
      </w:r>
      <w:r w:rsidR="0006335F">
        <w:rPr>
          <w:rFonts w:ascii="Times New Roman" w:hAnsi="Times New Roman" w:cs="Times New Roman"/>
          <w:color w:val="000000"/>
        </w:rPr>
        <w:t>.</w:t>
      </w:r>
      <w:r>
        <w:rPr>
          <w:rFonts w:ascii="Times New Roman" w:hAnsi="Times New Roman" w:cs="Times New Roman"/>
          <w:color w:val="000000"/>
        </w:rPr>
        <w:t>5</w:t>
      </w:r>
      <w:r w:rsidR="00244A88">
        <w:rPr>
          <w:rFonts w:ascii="Times New Roman" w:hAnsi="Times New Roman" w:cs="Times New Roman"/>
          <w:color w:val="000000"/>
        </w:rPr>
        <w:t>9</w:t>
      </w:r>
    </w:p>
    <w:p w14:paraId="2DA06C01" w14:textId="38ACE753" w:rsidR="00841215" w:rsidRDefault="00841215" w:rsidP="000633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rPr>
      </w:pPr>
      <w:r>
        <w:rPr>
          <w:rFonts w:ascii="Times New Roman" w:hAnsi="Times New Roman" w:cs="Times New Roman"/>
          <w:color w:val="000000"/>
        </w:rPr>
        <w:t>Chapter 5: Research Question.......................................................................................................</w:t>
      </w:r>
      <w:r w:rsidR="0006335F">
        <w:rPr>
          <w:rFonts w:ascii="Times New Roman" w:hAnsi="Times New Roman" w:cs="Times New Roman"/>
          <w:color w:val="000000"/>
        </w:rPr>
        <w:t>.</w:t>
      </w:r>
      <w:r w:rsidR="00244A88">
        <w:rPr>
          <w:rFonts w:ascii="Times New Roman" w:hAnsi="Times New Roman" w:cs="Times New Roman"/>
          <w:color w:val="000000"/>
        </w:rPr>
        <w:t>60</w:t>
      </w:r>
    </w:p>
    <w:p w14:paraId="7E5C36F4" w14:textId="31D2B97A" w:rsidR="00841215" w:rsidRDefault="00841215" w:rsidP="000633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rPr>
      </w:pPr>
      <w:r>
        <w:rPr>
          <w:rFonts w:ascii="Times New Roman" w:hAnsi="Times New Roman" w:cs="Times New Roman"/>
          <w:color w:val="000000"/>
        </w:rPr>
        <w:t>Chapter 6: Research Design and Method .....................................................................................</w:t>
      </w:r>
      <w:r w:rsidR="0006335F">
        <w:rPr>
          <w:rFonts w:ascii="Times New Roman" w:hAnsi="Times New Roman" w:cs="Times New Roman"/>
          <w:color w:val="000000"/>
        </w:rPr>
        <w:t>.</w:t>
      </w:r>
      <w:r w:rsidR="00244A88">
        <w:rPr>
          <w:rFonts w:ascii="Times New Roman" w:hAnsi="Times New Roman" w:cs="Times New Roman"/>
          <w:color w:val="000000"/>
        </w:rPr>
        <w:t>63</w:t>
      </w:r>
    </w:p>
    <w:p w14:paraId="556C6ACA" w14:textId="64F8DDC6" w:rsidR="0006335F" w:rsidRDefault="00841215" w:rsidP="000633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Times New Roman" w:hAnsi="Times New Roman" w:cs="Times New Roman"/>
          <w:color w:val="000000"/>
        </w:rPr>
      </w:pPr>
      <w:r>
        <w:rPr>
          <w:rFonts w:ascii="Times New Roman" w:hAnsi="Times New Roman" w:cs="Times New Roman"/>
          <w:color w:val="000000"/>
        </w:rPr>
        <w:t>Participants.....................................</w:t>
      </w:r>
      <w:r w:rsidR="0006335F">
        <w:rPr>
          <w:rFonts w:ascii="Times New Roman" w:hAnsi="Times New Roman" w:cs="Times New Roman"/>
          <w:color w:val="000000"/>
        </w:rPr>
        <w:t>.</w:t>
      </w:r>
      <w:r>
        <w:rPr>
          <w:rFonts w:ascii="Times New Roman" w:hAnsi="Times New Roman" w:cs="Times New Roman"/>
          <w:color w:val="000000"/>
        </w:rPr>
        <w:t>.....................................................................................</w:t>
      </w:r>
      <w:r w:rsidR="0006335F">
        <w:rPr>
          <w:rFonts w:ascii="Times New Roman" w:hAnsi="Times New Roman" w:cs="Times New Roman"/>
          <w:color w:val="000000"/>
        </w:rPr>
        <w:t>.63</w:t>
      </w:r>
    </w:p>
    <w:p w14:paraId="6C3D415A" w14:textId="31395299" w:rsidR="00841215" w:rsidRDefault="00841215" w:rsidP="000633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Times New Roman" w:hAnsi="Times New Roman" w:cs="Times New Roman"/>
          <w:color w:val="000000"/>
        </w:rPr>
      </w:pPr>
      <w:r>
        <w:rPr>
          <w:rFonts w:ascii="Times New Roman" w:hAnsi="Times New Roman" w:cs="Times New Roman"/>
          <w:color w:val="000000"/>
        </w:rPr>
        <w:t>Procedures...........</w:t>
      </w:r>
      <w:r w:rsidR="0006335F">
        <w:rPr>
          <w:rFonts w:ascii="Times New Roman" w:hAnsi="Times New Roman" w:cs="Times New Roman"/>
          <w:color w:val="000000"/>
        </w:rPr>
        <w:t>.</w:t>
      </w:r>
      <w:r>
        <w:rPr>
          <w:rFonts w:ascii="Times New Roman" w:hAnsi="Times New Roman" w:cs="Times New Roman"/>
          <w:color w:val="000000"/>
        </w:rPr>
        <w:t>...............................................................................................................</w:t>
      </w:r>
      <w:r w:rsidR="0006335F">
        <w:rPr>
          <w:rFonts w:ascii="Times New Roman" w:hAnsi="Times New Roman" w:cs="Times New Roman"/>
          <w:color w:val="000000"/>
        </w:rPr>
        <w:t>..</w:t>
      </w:r>
      <w:r w:rsidR="00244A88">
        <w:rPr>
          <w:rFonts w:ascii="Times New Roman" w:hAnsi="Times New Roman" w:cs="Times New Roman"/>
          <w:color w:val="000000"/>
        </w:rPr>
        <w:t>64</w:t>
      </w:r>
    </w:p>
    <w:p w14:paraId="05011A6D" w14:textId="05FFF403" w:rsidR="00841215" w:rsidRDefault="00841215" w:rsidP="000633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Times New Roman" w:hAnsi="Times New Roman" w:cs="Times New Roman"/>
          <w:color w:val="000000"/>
        </w:rPr>
      </w:pPr>
      <w:r>
        <w:rPr>
          <w:rFonts w:ascii="Times New Roman" w:hAnsi="Times New Roman" w:cs="Times New Roman"/>
          <w:color w:val="000000"/>
        </w:rPr>
        <w:t>Analysis........................</w:t>
      </w:r>
      <w:r w:rsidR="0006335F">
        <w:rPr>
          <w:rFonts w:ascii="Times New Roman" w:hAnsi="Times New Roman" w:cs="Times New Roman"/>
          <w:color w:val="000000"/>
        </w:rPr>
        <w:t>.</w:t>
      </w:r>
      <w:r>
        <w:rPr>
          <w:rFonts w:ascii="Times New Roman" w:hAnsi="Times New Roman" w:cs="Times New Roman"/>
          <w:color w:val="000000"/>
        </w:rPr>
        <w:t>.......................................................................................................</w:t>
      </w:r>
      <w:r w:rsidR="0006335F">
        <w:rPr>
          <w:rFonts w:ascii="Times New Roman" w:hAnsi="Times New Roman" w:cs="Times New Roman"/>
          <w:color w:val="000000"/>
        </w:rPr>
        <w:t>.</w:t>
      </w:r>
      <w:r w:rsidR="00244A88">
        <w:rPr>
          <w:rFonts w:ascii="Times New Roman" w:hAnsi="Times New Roman" w:cs="Times New Roman"/>
          <w:color w:val="000000"/>
        </w:rPr>
        <w:t>65</w:t>
      </w:r>
    </w:p>
    <w:p w14:paraId="165F7D79" w14:textId="1A299F8D" w:rsidR="00841215" w:rsidRDefault="00841215" w:rsidP="000633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Times New Roman" w:hAnsi="Times New Roman" w:cs="Times New Roman"/>
          <w:color w:val="000000"/>
        </w:rPr>
      </w:pPr>
      <w:r>
        <w:rPr>
          <w:rFonts w:ascii="Times New Roman" w:hAnsi="Times New Roman" w:cs="Times New Roman"/>
          <w:color w:val="000000"/>
        </w:rPr>
        <w:t>Validation.........................</w:t>
      </w:r>
      <w:r w:rsidR="0006335F">
        <w:rPr>
          <w:rFonts w:ascii="Times New Roman" w:hAnsi="Times New Roman" w:cs="Times New Roman"/>
          <w:color w:val="000000"/>
        </w:rPr>
        <w:t>.</w:t>
      </w:r>
      <w:r>
        <w:rPr>
          <w:rFonts w:ascii="Times New Roman" w:hAnsi="Times New Roman" w:cs="Times New Roman"/>
          <w:color w:val="000000"/>
        </w:rPr>
        <w:t>...................................................................................................</w:t>
      </w:r>
      <w:r w:rsidR="0006335F">
        <w:rPr>
          <w:rFonts w:ascii="Times New Roman" w:hAnsi="Times New Roman" w:cs="Times New Roman"/>
          <w:color w:val="000000"/>
        </w:rPr>
        <w:t>.</w:t>
      </w:r>
      <w:r w:rsidR="00244A88">
        <w:rPr>
          <w:rFonts w:ascii="Times New Roman" w:hAnsi="Times New Roman" w:cs="Times New Roman"/>
          <w:color w:val="000000"/>
        </w:rPr>
        <w:t>71</w:t>
      </w:r>
    </w:p>
    <w:p w14:paraId="685D556F" w14:textId="3AE38EED" w:rsidR="00841215" w:rsidRDefault="00841215" w:rsidP="000633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rPr>
      </w:pPr>
      <w:r>
        <w:rPr>
          <w:rFonts w:ascii="Times New Roman" w:hAnsi="Times New Roman" w:cs="Times New Roman"/>
          <w:color w:val="000000"/>
        </w:rPr>
        <w:t>Chapter 7: Findings.......................................................................................................................</w:t>
      </w:r>
      <w:r w:rsidR="0006335F">
        <w:rPr>
          <w:rFonts w:ascii="Times New Roman" w:hAnsi="Times New Roman" w:cs="Times New Roman"/>
          <w:color w:val="000000"/>
        </w:rPr>
        <w:t>.</w:t>
      </w:r>
      <w:r w:rsidR="00244A88">
        <w:rPr>
          <w:rFonts w:ascii="Times New Roman" w:hAnsi="Times New Roman" w:cs="Times New Roman"/>
          <w:color w:val="000000"/>
        </w:rPr>
        <w:t>72</w:t>
      </w:r>
    </w:p>
    <w:p w14:paraId="5FA3724B" w14:textId="15B8888E" w:rsidR="00841215" w:rsidRDefault="00841215" w:rsidP="000633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rPr>
      </w:pPr>
      <w:r>
        <w:rPr>
          <w:rFonts w:ascii="Times New Roman" w:hAnsi="Times New Roman" w:cs="Times New Roman"/>
          <w:color w:val="000000"/>
        </w:rPr>
        <w:tab/>
      </w:r>
      <w:r w:rsidRPr="003C3183">
        <w:rPr>
          <w:rFonts w:ascii="Times New Roman" w:hAnsi="Times New Roman" w:cs="Times New Roman"/>
          <w:color w:val="000000"/>
        </w:rPr>
        <w:t>RQ1: Discourse of Commerce</w:t>
      </w:r>
      <w:r>
        <w:rPr>
          <w:rFonts w:ascii="Times New Roman" w:hAnsi="Times New Roman" w:cs="Times New Roman"/>
          <w:color w:val="000000"/>
        </w:rPr>
        <w:t>..........</w:t>
      </w:r>
      <w:r w:rsidR="00A87523">
        <w:rPr>
          <w:rFonts w:ascii="Times New Roman" w:hAnsi="Times New Roman" w:cs="Times New Roman"/>
          <w:color w:val="000000"/>
        </w:rPr>
        <w:t>.</w:t>
      </w:r>
      <w:r>
        <w:rPr>
          <w:rFonts w:ascii="Times New Roman" w:hAnsi="Times New Roman" w:cs="Times New Roman"/>
          <w:color w:val="000000"/>
        </w:rPr>
        <w:t>...................................................................................</w:t>
      </w:r>
      <w:r w:rsidR="00244A88">
        <w:rPr>
          <w:rFonts w:ascii="Times New Roman" w:hAnsi="Times New Roman" w:cs="Times New Roman"/>
          <w:color w:val="000000"/>
        </w:rPr>
        <w:t>72</w:t>
      </w:r>
    </w:p>
    <w:p w14:paraId="1C648176" w14:textId="7DE8DDE0" w:rsidR="00841215" w:rsidRDefault="00841215" w:rsidP="000633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rPr>
      </w:pPr>
      <w:r>
        <w:rPr>
          <w:rFonts w:ascii="Times New Roman" w:hAnsi="Times New Roman" w:cs="Times New Roman"/>
          <w:color w:val="000000"/>
        </w:rPr>
        <w:tab/>
      </w:r>
      <w:r w:rsidRPr="003C3183">
        <w:rPr>
          <w:rFonts w:ascii="Times New Roman" w:hAnsi="Times New Roman" w:cs="Times New Roman"/>
          <w:color w:val="000000"/>
        </w:rPr>
        <w:t>RQ1: Discourse of C</w:t>
      </w:r>
      <w:r>
        <w:rPr>
          <w:rFonts w:ascii="Times New Roman" w:hAnsi="Times New Roman" w:cs="Times New Roman"/>
          <w:color w:val="000000"/>
        </w:rPr>
        <w:t>are.......................................................................................................</w:t>
      </w:r>
      <w:r w:rsidR="0006335F">
        <w:rPr>
          <w:rFonts w:ascii="Times New Roman" w:hAnsi="Times New Roman" w:cs="Times New Roman"/>
          <w:color w:val="000000"/>
        </w:rPr>
        <w:t>.</w:t>
      </w:r>
      <w:r w:rsidR="00244A88">
        <w:rPr>
          <w:rFonts w:ascii="Times New Roman" w:hAnsi="Times New Roman" w:cs="Times New Roman"/>
          <w:color w:val="000000"/>
        </w:rPr>
        <w:t>76</w:t>
      </w:r>
    </w:p>
    <w:p w14:paraId="56C75A04" w14:textId="364A29FF" w:rsidR="00841215" w:rsidRDefault="00841215" w:rsidP="000633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rPr>
      </w:pPr>
      <w:r>
        <w:rPr>
          <w:rFonts w:ascii="Times New Roman" w:hAnsi="Times New Roman" w:cs="Times New Roman"/>
          <w:color w:val="000000"/>
        </w:rPr>
        <w:tab/>
      </w:r>
      <w:r w:rsidRPr="003C3183">
        <w:rPr>
          <w:rFonts w:ascii="Times New Roman" w:hAnsi="Times New Roman" w:cs="Times New Roman"/>
          <w:color w:val="000000"/>
        </w:rPr>
        <w:t>RQ2: Discursive Diachronic Interplay</w:t>
      </w:r>
      <w:r>
        <w:rPr>
          <w:rFonts w:ascii="Times New Roman" w:hAnsi="Times New Roman" w:cs="Times New Roman"/>
          <w:color w:val="000000"/>
        </w:rPr>
        <w:t>................................................................................</w:t>
      </w:r>
      <w:r w:rsidR="0006335F">
        <w:rPr>
          <w:rFonts w:ascii="Times New Roman" w:hAnsi="Times New Roman" w:cs="Times New Roman"/>
          <w:color w:val="000000"/>
        </w:rPr>
        <w:t>..</w:t>
      </w:r>
      <w:r w:rsidR="001D610B">
        <w:rPr>
          <w:rFonts w:ascii="Times New Roman" w:hAnsi="Times New Roman" w:cs="Times New Roman"/>
          <w:color w:val="000000"/>
        </w:rPr>
        <w:t>80</w:t>
      </w:r>
    </w:p>
    <w:p w14:paraId="38D5369A" w14:textId="69672D85" w:rsidR="00841215" w:rsidRDefault="00841215" w:rsidP="000633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rPr>
      </w:pPr>
      <w:r>
        <w:rPr>
          <w:rFonts w:ascii="Times New Roman" w:hAnsi="Times New Roman" w:cs="Times New Roman"/>
          <w:color w:val="000000"/>
        </w:rPr>
        <w:tab/>
      </w:r>
      <w:r w:rsidRPr="003C3183">
        <w:rPr>
          <w:rFonts w:ascii="Times New Roman" w:hAnsi="Times New Roman" w:cs="Times New Roman"/>
          <w:color w:val="000000"/>
        </w:rPr>
        <w:t xml:space="preserve">RQ2: Discursive </w:t>
      </w:r>
      <w:r>
        <w:rPr>
          <w:rFonts w:ascii="Times New Roman" w:hAnsi="Times New Roman" w:cs="Times New Roman"/>
          <w:color w:val="000000"/>
        </w:rPr>
        <w:t>Syn</w:t>
      </w:r>
      <w:r w:rsidRPr="003C3183">
        <w:rPr>
          <w:rFonts w:ascii="Times New Roman" w:hAnsi="Times New Roman" w:cs="Times New Roman"/>
          <w:color w:val="000000"/>
        </w:rPr>
        <w:t>chronic Interplay</w:t>
      </w:r>
      <w:r>
        <w:rPr>
          <w:rFonts w:ascii="Times New Roman" w:hAnsi="Times New Roman" w:cs="Times New Roman"/>
          <w:color w:val="000000"/>
        </w:rPr>
        <w:t>................................................................................</w:t>
      </w:r>
      <w:r w:rsidR="0006335F">
        <w:rPr>
          <w:rFonts w:ascii="Times New Roman" w:hAnsi="Times New Roman" w:cs="Times New Roman"/>
          <w:color w:val="000000"/>
        </w:rPr>
        <w:t>.</w:t>
      </w:r>
      <w:r w:rsidR="00244A88">
        <w:rPr>
          <w:rFonts w:ascii="Times New Roman" w:hAnsi="Times New Roman" w:cs="Times New Roman"/>
          <w:color w:val="000000"/>
        </w:rPr>
        <w:t>83</w:t>
      </w:r>
    </w:p>
    <w:p w14:paraId="669C820B" w14:textId="69EE579C" w:rsidR="00841215" w:rsidRDefault="00841215" w:rsidP="000633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rPr>
      </w:pPr>
      <w:r>
        <w:rPr>
          <w:rFonts w:ascii="Times New Roman" w:hAnsi="Times New Roman" w:cs="Times New Roman"/>
          <w:color w:val="000000"/>
        </w:rPr>
        <w:tab/>
      </w:r>
      <w:r w:rsidRPr="003C3183">
        <w:rPr>
          <w:rFonts w:ascii="Times New Roman" w:hAnsi="Times New Roman" w:cs="Times New Roman"/>
          <w:color w:val="000000"/>
        </w:rPr>
        <w:t>RQ</w:t>
      </w:r>
      <w:r>
        <w:rPr>
          <w:rFonts w:ascii="Times New Roman" w:hAnsi="Times New Roman" w:cs="Times New Roman"/>
          <w:color w:val="000000"/>
        </w:rPr>
        <w:t>3</w:t>
      </w:r>
      <w:r w:rsidRPr="003C3183">
        <w:rPr>
          <w:rFonts w:ascii="Times New Roman" w:hAnsi="Times New Roman" w:cs="Times New Roman"/>
          <w:color w:val="000000"/>
        </w:rPr>
        <w:t xml:space="preserve">: Discursive </w:t>
      </w:r>
      <w:r>
        <w:rPr>
          <w:rFonts w:ascii="Times New Roman" w:hAnsi="Times New Roman" w:cs="Times New Roman"/>
          <w:color w:val="000000"/>
        </w:rPr>
        <w:t>Transformative</w:t>
      </w:r>
      <w:r w:rsidRPr="003C3183">
        <w:rPr>
          <w:rFonts w:ascii="Times New Roman" w:hAnsi="Times New Roman" w:cs="Times New Roman"/>
          <w:color w:val="000000"/>
        </w:rPr>
        <w:t xml:space="preserve"> Interplay</w:t>
      </w:r>
      <w:r>
        <w:rPr>
          <w:rFonts w:ascii="Times New Roman" w:hAnsi="Times New Roman" w:cs="Times New Roman"/>
          <w:color w:val="000000"/>
        </w:rPr>
        <w:t>.........................................................................</w:t>
      </w:r>
      <w:r w:rsidR="0006335F">
        <w:rPr>
          <w:rFonts w:ascii="Times New Roman" w:hAnsi="Times New Roman" w:cs="Times New Roman"/>
          <w:color w:val="000000"/>
        </w:rPr>
        <w:t>..</w:t>
      </w:r>
      <w:r w:rsidR="00244A88">
        <w:rPr>
          <w:rFonts w:ascii="Times New Roman" w:hAnsi="Times New Roman" w:cs="Times New Roman"/>
          <w:color w:val="000000"/>
        </w:rPr>
        <w:t>87</w:t>
      </w:r>
    </w:p>
    <w:p w14:paraId="1D35C082" w14:textId="7E30D4DB" w:rsidR="00841215" w:rsidRDefault="00841215" w:rsidP="000633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rPr>
      </w:pPr>
      <w:r>
        <w:rPr>
          <w:rFonts w:ascii="Times New Roman" w:hAnsi="Times New Roman" w:cs="Times New Roman"/>
          <w:color w:val="000000"/>
        </w:rPr>
        <w:t>Chapter 8: Discussion ..................................................................................................................</w:t>
      </w:r>
      <w:r w:rsidR="0006335F">
        <w:rPr>
          <w:rFonts w:ascii="Times New Roman" w:hAnsi="Times New Roman" w:cs="Times New Roman"/>
          <w:color w:val="000000"/>
        </w:rPr>
        <w:t>..</w:t>
      </w:r>
      <w:r w:rsidR="007D5F84">
        <w:rPr>
          <w:rFonts w:ascii="Times New Roman" w:hAnsi="Times New Roman" w:cs="Times New Roman"/>
          <w:color w:val="000000"/>
        </w:rPr>
        <w:t>91</w:t>
      </w:r>
      <w:r>
        <w:rPr>
          <w:rFonts w:ascii="Times New Roman" w:hAnsi="Times New Roman" w:cs="Times New Roman"/>
          <w:color w:val="000000"/>
        </w:rPr>
        <w:t xml:space="preserve"> </w:t>
      </w:r>
    </w:p>
    <w:p w14:paraId="0CA0A255" w14:textId="16C8F37B" w:rsidR="00A87523" w:rsidRDefault="00841215" w:rsidP="00A8752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rPr>
      </w:pPr>
      <w:r>
        <w:rPr>
          <w:rFonts w:ascii="Times New Roman" w:hAnsi="Times New Roman" w:cs="Times New Roman"/>
          <w:color w:val="000000"/>
        </w:rPr>
        <w:tab/>
        <w:t>Theoretical Contributions: Relational Dialectics Theory...............</w:t>
      </w:r>
      <w:r w:rsidR="00A87523">
        <w:rPr>
          <w:rFonts w:ascii="Times New Roman" w:hAnsi="Times New Roman" w:cs="Times New Roman"/>
          <w:color w:val="000000"/>
        </w:rPr>
        <w:t>.</w:t>
      </w:r>
      <w:r>
        <w:rPr>
          <w:rFonts w:ascii="Times New Roman" w:hAnsi="Times New Roman" w:cs="Times New Roman"/>
          <w:color w:val="000000"/>
        </w:rPr>
        <w:t>.....................................</w:t>
      </w:r>
      <w:r w:rsidR="0006335F">
        <w:rPr>
          <w:rFonts w:ascii="Times New Roman" w:hAnsi="Times New Roman" w:cs="Times New Roman"/>
          <w:color w:val="000000"/>
        </w:rPr>
        <w:t>.</w:t>
      </w:r>
      <w:r w:rsidR="00244A88">
        <w:rPr>
          <w:rFonts w:ascii="Times New Roman" w:hAnsi="Times New Roman" w:cs="Times New Roman"/>
          <w:color w:val="000000"/>
        </w:rPr>
        <w:t>9</w:t>
      </w:r>
      <w:r w:rsidR="007D5F84">
        <w:rPr>
          <w:rFonts w:ascii="Times New Roman" w:hAnsi="Times New Roman" w:cs="Times New Roman"/>
          <w:color w:val="000000"/>
        </w:rPr>
        <w:t>2</w:t>
      </w:r>
      <w:r w:rsidRPr="00BC4349">
        <w:rPr>
          <w:rFonts w:ascii="Times New Roman" w:hAnsi="Times New Roman" w:cs="Times New Roman"/>
          <w:color w:val="000000"/>
        </w:rPr>
        <w:t xml:space="preserve"> </w:t>
      </w:r>
      <w:r w:rsidR="00A87523">
        <w:rPr>
          <w:rFonts w:ascii="Times New Roman" w:hAnsi="Times New Roman" w:cs="Times New Roman"/>
          <w:color w:val="000000"/>
        </w:rPr>
        <w:t xml:space="preserve">     </w:t>
      </w:r>
    </w:p>
    <w:p w14:paraId="38CE78CC" w14:textId="22202A1C" w:rsidR="00A87523" w:rsidRDefault="00A87523" w:rsidP="00A8752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rPr>
      </w:pPr>
      <w:r>
        <w:rPr>
          <w:rFonts w:ascii="Times New Roman" w:hAnsi="Times New Roman" w:cs="Times New Roman"/>
          <w:color w:val="000000"/>
        </w:rPr>
        <w:t xml:space="preserve">         </w:t>
      </w:r>
      <w:r w:rsidR="00841215">
        <w:rPr>
          <w:rFonts w:ascii="Times New Roman" w:hAnsi="Times New Roman" w:cs="Times New Roman"/>
          <w:color w:val="000000"/>
        </w:rPr>
        <w:t>Theoretical Contributions: Control-Resistance Dialectic......................................</w:t>
      </w:r>
      <w:r>
        <w:rPr>
          <w:rFonts w:ascii="Times New Roman" w:hAnsi="Times New Roman" w:cs="Times New Roman"/>
          <w:color w:val="000000"/>
        </w:rPr>
        <w:t>.</w:t>
      </w:r>
      <w:r w:rsidR="00841215">
        <w:rPr>
          <w:rFonts w:ascii="Times New Roman" w:hAnsi="Times New Roman" w:cs="Times New Roman"/>
          <w:color w:val="000000"/>
        </w:rPr>
        <w:t>..............</w:t>
      </w:r>
      <w:r w:rsidR="0006335F">
        <w:rPr>
          <w:rFonts w:ascii="Times New Roman" w:hAnsi="Times New Roman" w:cs="Times New Roman"/>
          <w:color w:val="000000"/>
        </w:rPr>
        <w:t>.</w:t>
      </w:r>
      <w:r w:rsidR="00244A88">
        <w:rPr>
          <w:rFonts w:ascii="Times New Roman" w:hAnsi="Times New Roman" w:cs="Times New Roman"/>
          <w:color w:val="000000"/>
        </w:rPr>
        <w:t>9</w:t>
      </w:r>
      <w:r w:rsidR="007D5F84">
        <w:rPr>
          <w:rFonts w:ascii="Times New Roman" w:hAnsi="Times New Roman" w:cs="Times New Roman"/>
          <w:color w:val="000000"/>
        </w:rPr>
        <w:t>5</w:t>
      </w:r>
    </w:p>
    <w:p w14:paraId="1A5B442B" w14:textId="55559CC6" w:rsidR="00841215" w:rsidRDefault="00A87523" w:rsidP="00A8752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rPr>
      </w:pPr>
      <w:r>
        <w:rPr>
          <w:rFonts w:ascii="Times New Roman" w:hAnsi="Times New Roman" w:cs="Times New Roman"/>
          <w:color w:val="000000"/>
        </w:rPr>
        <w:t xml:space="preserve">         </w:t>
      </w:r>
      <w:r w:rsidR="00841215">
        <w:rPr>
          <w:rFonts w:ascii="Times New Roman" w:hAnsi="Times New Roman" w:cs="Times New Roman"/>
          <w:color w:val="000000"/>
        </w:rPr>
        <w:t>Theoretical Contributions: The Commerce-Care Dialectic Perspective.......</w:t>
      </w:r>
      <w:r>
        <w:rPr>
          <w:rFonts w:ascii="Times New Roman" w:hAnsi="Times New Roman" w:cs="Times New Roman"/>
          <w:color w:val="000000"/>
        </w:rPr>
        <w:t>.</w:t>
      </w:r>
      <w:r w:rsidR="00841215">
        <w:rPr>
          <w:rFonts w:ascii="Times New Roman" w:hAnsi="Times New Roman" w:cs="Times New Roman"/>
          <w:color w:val="000000"/>
        </w:rPr>
        <w:t>........</w:t>
      </w:r>
      <w:r>
        <w:rPr>
          <w:rFonts w:ascii="Times New Roman" w:hAnsi="Times New Roman" w:cs="Times New Roman"/>
          <w:color w:val="000000"/>
        </w:rPr>
        <w:t>.</w:t>
      </w:r>
      <w:r w:rsidR="00841215">
        <w:rPr>
          <w:rFonts w:ascii="Times New Roman" w:hAnsi="Times New Roman" w:cs="Times New Roman"/>
          <w:color w:val="000000"/>
        </w:rPr>
        <w:t>..</w:t>
      </w:r>
      <w:r>
        <w:rPr>
          <w:rFonts w:ascii="Times New Roman" w:hAnsi="Times New Roman" w:cs="Times New Roman"/>
          <w:color w:val="000000"/>
        </w:rPr>
        <w:t>.</w:t>
      </w:r>
      <w:r w:rsidR="00841215">
        <w:rPr>
          <w:rFonts w:ascii="Times New Roman" w:hAnsi="Times New Roman" w:cs="Times New Roman"/>
          <w:color w:val="000000"/>
        </w:rPr>
        <w:t>........</w:t>
      </w:r>
      <w:r w:rsidR="00244A88">
        <w:rPr>
          <w:rFonts w:ascii="Times New Roman" w:hAnsi="Times New Roman" w:cs="Times New Roman"/>
          <w:color w:val="000000"/>
        </w:rPr>
        <w:t>.</w:t>
      </w:r>
      <w:r w:rsidR="0006335F">
        <w:rPr>
          <w:rFonts w:ascii="Times New Roman" w:hAnsi="Times New Roman" w:cs="Times New Roman"/>
          <w:color w:val="000000"/>
        </w:rPr>
        <w:t>..</w:t>
      </w:r>
      <w:r>
        <w:rPr>
          <w:rFonts w:ascii="Times New Roman" w:hAnsi="Times New Roman" w:cs="Times New Roman"/>
          <w:color w:val="000000"/>
        </w:rPr>
        <w:t>.</w:t>
      </w:r>
      <w:r w:rsidR="00244A88">
        <w:rPr>
          <w:rFonts w:ascii="Times New Roman" w:hAnsi="Times New Roman" w:cs="Times New Roman"/>
          <w:color w:val="000000"/>
        </w:rPr>
        <w:t>9</w:t>
      </w:r>
      <w:r w:rsidR="007D5F84">
        <w:rPr>
          <w:rFonts w:ascii="Times New Roman" w:hAnsi="Times New Roman" w:cs="Times New Roman"/>
          <w:color w:val="000000"/>
        </w:rPr>
        <w:t>7</w:t>
      </w:r>
    </w:p>
    <w:p w14:paraId="3A52EED4" w14:textId="631FB454" w:rsidR="00841215" w:rsidRDefault="00841215" w:rsidP="00A8752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Times New Roman" w:hAnsi="Times New Roman" w:cs="Times New Roman"/>
          <w:color w:val="000000"/>
        </w:rPr>
      </w:pPr>
      <w:r>
        <w:rPr>
          <w:rFonts w:ascii="Times New Roman" w:hAnsi="Times New Roman" w:cs="Times New Roman"/>
          <w:color w:val="000000"/>
        </w:rPr>
        <w:t>Practical Implications...................</w:t>
      </w:r>
      <w:r w:rsidR="00A87523">
        <w:rPr>
          <w:rFonts w:ascii="Times New Roman" w:hAnsi="Times New Roman" w:cs="Times New Roman"/>
          <w:color w:val="000000"/>
        </w:rPr>
        <w:t>.</w:t>
      </w:r>
      <w:r>
        <w:rPr>
          <w:rFonts w:ascii="Times New Roman" w:hAnsi="Times New Roman" w:cs="Times New Roman"/>
          <w:color w:val="000000"/>
        </w:rPr>
        <w:t>......................................................................................</w:t>
      </w:r>
      <w:r w:rsidR="00244A88">
        <w:rPr>
          <w:rFonts w:ascii="Times New Roman" w:hAnsi="Times New Roman" w:cs="Times New Roman"/>
          <w:color w:val="000000"/>
        </w:rPr>
        <w:t>.</w:t>
      </w:r>
      <w:r w:rsidR="0006335F">
        <w:rPr>
          <w:rFonts w:ascii="Times New Roman" w:hAnsi="Times New Roman" w:cs="Times New Roman"/>
          <w:color w:val="000000"/>
        </w:rPr>
        <w:t>.</w:t>
      </w:r>
      <w:r w:rsidR="00244A88">
        <w:rPr>
          <w:rFonts w:ascii="Times New Roman" w:hAnsi="Times New Roman" w:cs="Times New Roman"/>
          <w:color w:val="000000"/>
        </w:rPr>
        <w:t>9</w:t>
      </w:r>
      <w:r w:rsidR="007D5F84">
        <w:rPr>
          <w:rFonts w:ascii="Times New Roman" w:hAnsi="Times New Roman" w:cs="Times New Roman"/>
          <w:color w:val="000000"/>
        </w:rPr>
        <w:t>9</w:t>
      </w:r>
    </w:p>
    <w:p w14:paraId="1AA10041" w14:textId="4635A563" w:rsidR="00841215" w:rsidRDefault="00841215" w:rsidP="000633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rPr>
      </w:pPr>
      <w:r>
        <w:rPr>
          <w:rFonts w:ascii="Times New Roman" w:hAnsi="Times New Roman" w:cs="Times New Roman"/>
          <w:color w:val="000000"/>
        </w:rPr>
        <w:tab/>
        <w:t>Limitations</w:t>
      </w:r>
      <w:r w:rsidR="00244A88">
        <w:rPr>
          <w:rFonts w:ascii="Times New Roman" w:hAnsi="Times New Roman" w:cs="Times New Roman"/>
          <w:color w:val="000000"/>
        </w:rPr>
        <w:t>.</w:t>
      </w:r>
      <w:r>
        <w:rPr>
          <w:rFonts w:ascii="Times New Roman" w:hAnsi="Times New Roman" w:cs="Times New Roman"/>
          <w:color w:val="000000"/>
        </w:rPr>
        <w:t>.........................................................................................................................</w:t>
      </w:r>
      <w:r w:rsidR="00244A88">
        <w:rPr>
          <w:rFonts w:ascii="Times New Roman" w:hAnsi="Times New Roman" w:cs="Times New Roman"/>
          <w:color w:val="000000"/>
        </w:rPr>
        <w:t>.</w:t>
      </w:r>
      <w:r w:rsidR="0006335F">
        <w:rPr>
          <w:rFonts w:ascii="Times New Roman" w:hAnsi="Times New Roman" w:cs="Times New Roman"/>
          <w:color w:val="000000"/>
        </w:rPr>
        <w:t>.</w:t>
      </w:r>
      <w:r w:rsidR="00244A88">
        <w:rPr>
          <w:rFonts w:ascii="Times New Roman" w:hAnsi="Times New Roman" w:cs="Times New Roman"/>
          <w:color w:val="000000"/>
        </w:rPr>
        <w:t>9</w:t>
      </w:r>
      <w:r w:rsidR="007D5F84">
        <w:rPr>
          <w:rFonts w:ascii="Times New Roman" w:hAnsi="Times New Roman" w:cs="Times New Roman"/>
          <w:color w:val="000000"/>
        </w:rPr>
        <w:t>9</w:t>
      </w:r>
    </w:p>
    <w:p w14:paraId="2D936ACC" w14:textId="0812CC9A" w:rsidR="00841215" w:rsidRDefault="00841215" w:rsidP="000633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rPr>
      </w:pPr>
      <w:r>
        <w:rPr>
          <w:rFonts w:ascii="Times New Roman" w:hAnsi="Times New Roman" w:cs="Times New Roman"/>
          <w:color w:val="000000"/>
        </w:rPr>
        <w:tab/>
        <w:t>Conclusion</w:t>
      </w:r>
      <w:r w:rsidR="00244A88">
        <w:rPr>
          <w:rFonts w:ascii="Times New Roman" w:hAnsi="Times New Roman" w:cs="Times New Roman"/>
          <w:color w:val="000000"/>
        </w:rPr>
        <w:t>..</w:t>
      </w:r>
      <w:r>
        <w:rPr>
          <w:rFonts w:ascii="Times New Roman" w:hAnsi="Times New Roman" w:cs="Times New Roman"/>
          <w:color w:val="000000"/>
        </w:rPr>
        <w:t>........................................................................................................................</w:t>
      </w:r>
      <w:r w:rsidR="007D5F84">
        <w:rPr>
          <w:rFonts w:ascii="Times New Roman" w:hAnsi="Times New Roman" w:cs="Times New Roman"/>
          <w:color w:val="000000"/>
        </w:rPr>
        <w:t>100</w:t>
      </w:r>
    </w:p>
    <w:p w14:paraId="0B74DBE5" w14:textId="2E0E98AB" w:rsidR="00841215" w:rsidRDefault="00841215" w:rsidP="000633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rPr>
      </w:pPr>
      <w:r>
        <w:rPr>
          <w:rFonts w:ascii="Times New Roman" w:hAnsi="Times New Roman" w:cs="Times New Roman"/>
          <w:color w:val="000000"/>
        </w:rPr>
        <w:t>References</w:t>
      </w:r>
      <w:r w:rsidR="00244A88">
        <w:rPr>
          <w:rFonts w:ascii="Times New Roman" w:hAnsi="Times New Roman" w:cs="Times New Roman"/>
          <w:color w:val="000000"/>
        </w:rPr>
        <w:t>.</w:t>
      </w:r>
      <w:r>
        <w:rPr>
          <w:rFonts w:ascii="Times New Roman" w:hAnsi="Times New Roman" w:cs="Times New Roman"/>
          <w:color w:val="000000"/>
        </w:rPr>
        <w:t>...................................................................................................................................</w:t>
      </w:r>
      <w:r w:rsidR="007D5F84">
        <w:rPr>
          <w:rFonts w:ascii="Times New Roman" w:hAnsi="Times New Roman" w:cs="Times New Roman"/>
          <w:color w:val="000000"/>
        </w:rPr>
        <w:t>102</w:t>
      </w:r>
    </w:p>
    <w:p w14:paraId="1D24941F" w14:textId="371B7C58" w:rsidR="00841215" w:rsidRDefault="00841215" w:rsidP="0006335F">
      <w:pPr>
        <w:spacing w:line="480" w:lineRule="auto"/>
        <w:jc w:val="both"/>
      </w:pPr>
      <w:r>
        <w:rPr>
          <w:rFonts w:ascii="Times New Roman" w:hAnsi="Times New Roman" w:cs="Times New Roman"/>
          <w:color w:val="000000"/>
        </w:rPr>
        <w:t xml:space="preserve">Appendix: </w:t>
      </w:r>
      <w:r w:rsidRPr="00BC4349">
        <w:rPr>
          <w:rFonts w:ascii="Times New Roman" w:hAnsi="Times New Roman" w:cs="Times New Roman"/>
          <w:color w:val="000000"/>
        </w:rPr>
        <w:t>Interviewing Protocols: Appreciating</w:t>
      </w:r>
      <w:r>
        <w:rPr>
          <w:rFonts w:ascii="Times New Roman" w:hAnsi="Times New Roman" w:cs="Times New Roman"/>
          <w:color w:val="000000"/>
        </w:rPr>
        <w:t xml:space="preserve"> </w:t>
      </w:r>
      <w:r w:rsidRPr="00BC4349">
        <w:rPr>
          <w:rFonts w:ascii="Times New Roman" w:hAnsi="Times New Roman" w:cs="Times New Roman"/>
          <w:color w:val="000000"/>
        </w:rPr>
        <w:t>Aesthetic</w:t>
      </w:r>
      <w:r>
        <w:rPr>
          <w:rFonts w:ascii="Times New Roman" w:hAnsi="Times New Roman" w:cs="Times New Roman"/>
          <w:color w:val="000000"/>
        </w:rPr>
        <w:t xml:space="preserve"> </w:t>
      </w:r>
      <w:r w:rsidRPr="00BC4349">
        <w:rPr>
          <w:rFonts w:ascii="Times New Roman" w:hAnsi="Times New Roman" w:cs="Times New Roman"/>
          <w:color w:val="000000"/>
        </w:rPr>
        <w:t>Compromise</w:t>
      </w:r>
      <w:r>
        <w:rPr>
          <w:rFonts w:ascii="Times New Roman" w:hAnsi="Times New Roman" w:cs="Times New Roman"/>
          <w:color w:val="000000"/>
        </w:rPr>
        <w:t>...........</w:t>
      </w:r>
      <w:r w:rsidR="001471AF">
        <w:rPr>
          <w:rFonts w:ascii="Times New Roman" w:hAnsi="Times New Roman" w:cs="Times New Roman"/>
          <w:color w:val="000000"/>
        </w:rPr>
        <w:t>....</w:t>
      </w:r>
      <w:r>
        <w:rPr>
          <w:rFonts w:ascii="Times New Roman" w:hAnsi="Times New Roman" w:cs="Times New Roman"/>
          <w:color w:val="000000"/>
        </w:rPr>
        <w:t>..................</w:t>
      </w:r>
      <w:r w:rsidR="00244A88">
        <w:rPr>
          <w:rFonts w:ascii="Times New Roman" w:hAnsi="Times New Roman" w:cs="Times New Roman"/>
          <w:color w:val="000000"/>
        </w:rPr>
        <w:t>.</w:t>
      </w:r>
      <w:r w:rsidR="007D5F84">
        <w:rPr>
          <w:rFonts w:ascii="Times New Roman" w:hAnsi="Times New Roman" w:cs="Times New Roman"/>
          <w:color w:val="000000"/>
        </w:rPr>
        <w:t>.</w:t>
      </w:r>
      <w:r w:rsidR="00244A88">
        <w:rPr>
          <w:rFonts w:ascii="Times New Roman" w:hAnsi="Times New Roman" w:cs="Times New Roman"/>
          <w:color w:val="000000"/>
        </w:rPr>
        <w:t>13</w:t>
      </w:r>
      <w:r w:rsidR="007D5F84">
        <w:rPr>
          <w:rFonts w:ascii="Times New Roman" w:hAnsi="Times New Roman" w:cs="Times New Roman"/>
          <w:color w:val="000000"/>
        </w:rPr>
        <w:t>8</w:t>
      </w:r>
    </w:p>
    <w:p w14:paraId="02F61176" w14:textId="77777777" w:rsidR="000241F2" w:rsidRDefault="000241F2" w:rsidP="00635C31">
      <w:pPr>
        <w:spacing w:line="480" w:lineRule="auto"/>
        <w:rPr>
          <w:rFonts w:ascii="Times New Roman" w:hAnsi="Times New Roman" w:cs="Times New Roman"/>
          <w:b/>
          <w:bCs/>
        </w:rPr>
      </w:pPr>
    </w:p>
    <w:p w14:paraId="3AAA5D0E" w14:textId="77777777" w:rsidR="00256B3D" w:rsidRDefault="00256B3D" w:rsidP="00256B3D">
      <w:pPr>
        <w:spacing w:line="480" w:lineRule="auto"/>
        <w:jc w:val="center"/>
        <w:rPr>
          <w:rFonts w:ascii="Times New Roman" w:hAnsi="Times New Roman" w:cs="Times New Roman"/>
          <w:b/>
          <w:bCs/>
        </w:rPr>
      </w:pPr>
      <w:r>
        <w:rPr>
          <w:rFonts w:ascii="Times New Roman" w:hAnsi="Times New Roman" w:cs="Times New Roman"/>
          <w:b/>
          <w:bCs/>
        </w:rPr>
        <w:lastRenderedPageBreak/>
        <w:t>Abstract</w:t>
      </w:r>
    </w:p>
    <w:p w14:paraId="34C0AAD8" w14:textId="5B4F2240" w:rsidR="00256B3D" w:rsidRPr="00F72D54" w:rsidRDefault="00256B3D" w:rsidP="00256B3D">
      <w:pPr>
        <w:spacing w:line="480" w:lineRule="auto"/>
        <w:ind w:firstLine="720"/>
        <w:rPr>
          <w:rFonts w:ascii="Times New Roman" w:hAnsi="Times New Roman" w:cs="Times New Roman"/>
        </w:rPr>
      </w:pPr>
      <w:r w:rsidRPr="00F72D54">
        <w:rPr>
          <w:rFonts w:ascii="Times New Roman" w:hAnsi="Times New Roman" w:cs="Times New Roman"/>
        </w:rPr>
        <w:t>This dissertation, grounded in relational dialectics theory 2.0</w:t>
      </w:r>
      <w:r>
        <w:rPr>
          <w:rFonts w:ascii="Times New Roman" w:hAnsi="Times New Roman" w:cs="Times New Roman"/>
        </w:rPr>
        <w:t xml:space="preserve"> </w:t>
      </w:r>
      <w:r w:rsidRPr="006D4280">
        <w:rPr>
          <w:rFonts w:ascii="Times New Roman" w:hAnsi="Times New Roman" w:cs="Times New Roman"/>
          <w:noProof/>
        </w:rPr>
        <w:fldChar w:fldCharType="begin"/>
      </w:r>
      <w:r>
        <w:rPr>
          <w:rFonts w:ascii="Times New Roman" w:hAnsi="Times New Roman" w:cs="Times New Roman"/>
          <w:noProof/>
        </w:rPr>
        <w:instrText xml:space="preserve"> ADDIN EN.CITE &lt;EndNote&gt;&lt;Cite&gt;&lt;Author&gt;Baxter&lt;/Author&gt;&lt;Year&gt;2011&lt;/Year&gt;&lt;RecNum&gt;1633&lt;/RecNum&gt;&lt;Prefix&gt;RDT`; &lt;/Prefix&gt;&lt;DisplayText&gt;(RDT; Baxter, 2011)&lt;/DisplayText&gt;&lt;record&gt;&lt;rec-number&gt;1633&lt;/rec-number&gt;&lt;foreign-keys&gt;&lt;key app="EN" db-id="2pe9e00ros0veneeptspa5vhz0pw2az52v20" timestamp="1651286064" guid="faff47c4-c762-4121-b9c8-9978bd77054b"&gt;1633&lt;/key&gt;&lt;/foreign-keys&gt;&lt;ref-type name="Book"&gt;6&lt;/ref-type&gt;&lt;contributors&gt;&lt;authors&gt;&lt;author&gt;Baxter, Leslie A.&lt;/author&gt;&lt;/authors&gt;&lt;/contributors&gt;&lt;titles&gt;&lt;title&gt;Voicing relationships: a dialogic perspective&lt;/title&gt;&lt;/titles&gt;&lt;keywords&gt;&lt;keyword&gt;Bakhtin, M. M. (Mikhail Mikhaĭlovich), 1895-1975&lt;/keyword&gt;&lt;keyword&gt;Interpersonal relations&lt;/keyword&gt;&lt;keyword&gt;Dialogue analysis&lt;/keyword&gt;&lt;/keywords&gt;&lt;dates&gt;&lt;year&gt;2011&lt;/year&gt;&lt;/dates&gt;&lt;pub-location&gt;Thousand Oaks, Calif.&lt;/pub-location&gt;&lt;publisher&gt;SAGE Publications, Inc&lt;/publisher&gt;&lt;urls&gt;&lt;/urls&gt;&lt;/record&gt;&lt;/Cite&gt;&lt;/EndNote&gt;</w:instrText>
      </w:r>
      <w:r w:rsidRPr="006D4280">
        <w:rPr>
          <w:rFonts w:ascii="Times New Roman" w:hAnsi="Times New Roman" w:cs="Times New Roman"/>
          <w:noProof/>
        </w:rPr>
        <w:fldChar w:fldCharType="separate"/>
      </w:r>
      <w:r>
        <w:rPr>
          <w:rFonts w:ascii="Times New Roman" w:hAnsi="Times New Roman" w:cs="Times New Roman"/>
          <w:noProof/>
        </w:rPr>
        <w:t>(RDT; Baxter, 2011)</w:t>
      </w:r>
      <w:r w:rsidRPr="006D4280">
        <w:rPr>
          <w:rFonts w:ascii="Times New Roman" w:hAnsi="Times New Roman" w:cs="Times New Roman"/>
          <w:noProof/>
        </w:rPr>
        <w:fldChar w:fldCharType="end"/>
      </w:r>
      <w:r w:rsidRPr="00F72D54">
        <w:rPr>
          <w:rFonts w:ascii="Times New Roman" w:hAnsi="Times New Roman" w:cs="Times New Roman"/>
        </w:rPr>
        <w:t xml:space="preserve">, aims to illustrate what meanings emerge from the commerce-care dialectic when engaging in funeral planning. The contrapuntal analysis of interviews </w:t>
      </w:r>
      <w:r>
        <w:rPr>
          <w:rFonts w:ascii="Times New Roman" w:hAnsi="Times New Roman" w:cs="Times New Roman"/>
        </w:rPr>
        <w:t xml:space="preserve">with funeral directors </w:t>
      </w:r>
      <w:r w:rsidRPr="00F72D54">
        <w:rPr>
          <w:rFonts w:ascii="Times New Roman" w:hAnsi="Times New Roman" w:cs="Times New Roman"/>
        </w:rPr>
        <w:t xml:space="preserve">reveals that the </w:t>
      </w:r>
      <w:r w:rsidRPr="00F72D54">
        <w:rPr>
          <w:rFonts w:ascii="Times New Roman" w:hAnsi="Times New Roman" w:cs="Times New Roman"/>
          <w:i/>
          <w:iCs/>
        </w:rPr>
        <w:t>discourse of commerce</w:t>
      </w:r>
      <w:r w:rsidRPr="00F72D54">
        <w:rPr>
          <w:rFonts w:ascii="Times New Roman" w:hAnsi="Times New Roman" w:cs="Times New Roman"/>
        </w:rPr>
        <w:t xml:space="preserve"> and the </w:t>
      </w:r>
      <w:r w:rsidRPr="00F72D54">
        <w:rPr>
          <w:rFonts w:ascii="Times New Roman" w:hAnsi="Times New Roman" w:cs="Times New Roman"/>
          <w:i/>
          <w:iCs/>
        </w:rPr>
        <w:t>discourse of care</w:t>
      </w:r>
      <w:r w:rsidRPr="00F72D54">
        <w:rPr>
          <w:rFonts w:ascii="Times New Roman" w:hAnsi="Times New Roman" w:cs="Times New Roman"/>
        </w:rPr>
        <w:t xml:space="preserve"> are central to the meaning-making of the commerce-care dialectic when engaging in funeral planning</w:t>
      </w:r>
      <w:r>
        <w:rPr>
          <w:rFonts w:ascii="Times New Roman" w:hAnsi="Times New Roman" w:cs="Times New Roman"/>
        </w:rPr>
        <w:t xml:space="preserve">. </w:t>
      </w:r>
      <w:r w:rsidRPr="00F72D54">
        <w:rPr>
          <w:rFonts w:ascii="Times New Roman" w:hAnsi="Times New Roman" w:cs="Times New Roman"/>
        </w:rPr>
        <w:t xml:space="preserve">Also, </w:t>
      </w:r>
      <w:r w:rsidRPr="004B2258">
        <w:rPr>
          <w:rFonts w:ascii="Times New Roman" w:hAnsi="Times New Roman" w:cs="Times New Roman"/>
        </w:rPr>
        <w:t>the two discourses interpenetrate synchronically and diachronically. The diachronic interplay manifest</w:t>
      </w:r>
      <w:r>
        <w:rPr>
          <w:rFonts w:ascii="Times New Roman" w:hAnsi="Times New Roman" w:cs="Times New Roman"/>
        </w:rPr>
        <w:t>s</w:t>
      </w:r>
      <w:r w:rsidRPr="004B2258">
        <w:rPr>
          <w:rFonts w:ascii="Times New Roman" w:hAnsi="Times New Roman" w:cs="Times New Roman"/>
        </w:rPr>
        <w:t xml:space="preserve"> in </w:t>
      </w:r>
      <w:r w:rsidRPr="004B2258">
        <w:rPr>
          <w:rFonts w:ascii="Times New Roman" w:hAnsi="Times New Roman" w:cs="Times New Roman"/>
          <w:i/>
          <w:iCs/>
        </w:rPr>
        <w:t>spiraling inversion</w:t>
      </w:r>
      <w:r w:rsidRPr="004B2258">
        <w:rPr>
          <w:rFonts w:ascii="Times New Roman" w:hAnsi="Times New Roman" w:cs="Times New Roman"/>
        </w:rPr>
        <w:t xml:space="preserve"> and </w:t>
      </w:r>
      <w:r w:rsidRPr="004B2258">
        <w:rPr>
          <w:rFonts w:ascii="Times New Roman" w:hAnsi="Times New Roman" w:cs="Times New Roman"/>
          <w:i/>
          <w:iCs/>
        </w:rPr>
        <w:t>segmentation</w:t>
      </w:r>
      <w:r w:rsidRPr="004B2258">
        <w:rPr>
          <w:rFonts w:ascii="Times New Roman" w:hAnsi="Times New Roman" w:cs="Times New Roman"/>
        </w:rPr>
        <w:t xml:space="preserve">. The synchronic interplay </w:t>
      </w:r>
      <w:r>
        <w:rPr>
          <w:rFonts w:ascii="Times New Roman" w:hAnsi="Times New Roman" w:cs="Times New Roman"/>
        </w:rPr>
        <w:t>is</w:t>
      </w:r>
      <w:r w:rsidRPr="004B2258">
        <w:rPr>
          <w:rFonts w:ascii="Times New Roman" w:hAnsi="Times New Roman" w:cs="Times New Roman"/>
        </w:rPr>
        <w:t xml:space="preserve"> shown in </w:t>
      </w:r>
      <w:r w:rsidRPr="004B2258">
        <w:rPr>
          <w:rFonts w:ascii="Times New Roman" w:hAnsi="Times New Roman" w:cs="Times New Roman"/>
          <w:i/>
          <w:iCs/>
        </w:rPr>
        <w:t>negating and countering</w:t>
      </w:r>
      <w:r w:rsidRPr="004B2258">
        <w:rPr>
          <w:rFonts w:ascii="Times New Roman" w:hAnsi="Times New Roman" w:cs="Times New Roman"/>
        </w:rPr>
        <w:t xml:space="preserve">, </w:t>
      </w:r>
      <w:r w:rsidRPr="004B2258">
        <w:rPr>
          <w:rFonts w:ascii="Times New Roman" w:hAnsi="Times New Roman" w:cs="Times New Roman"/>
          <w:i/>
          <w:iCs/>
        </w:rPr>
        <w:t xml:space="preserve">ambiguating </w:t>
      </w:r>
      <w:r w:rsidRPr="004B2258">
        <w:rPr>
          <w:rFonts w:ascii="Times New Roman" w:hAnsi="Times New Roman" w:cs="Times New Roman"/>
        </w:rPr>
        <w:t>(a new form of synchronic interplay), and</w:t>
      </w:r>
      <w:r w:rsidRPr="004B2258">
        <w:rPr>
          <w:rFonts w:ascii="Times New Roman" w:hAnsi="Times New Roman" w:cs="Times New Roman"/>
          <w:i/>
          <w:iCs/>
        </w:rPr>
        <w:t xml:space="preserve"> entertaining</w:t>
      </w:r>
      <w:r w:rsidRPr="004B2258">
        <w:rPr>
          <w:rFonts w:ascii="Times New Roman" w:hAnsi="Times New Roman" w:cs="Times New Roman"/>
        </w:rPr>
        <w:t xml:space="preserve">. </w:t>
      </w:r>
      <w:r>
        <w:rPr>
          <w:rFonts w:ascii="Times New Roman" w:hAnsi="Times New Roman" w:cs="Times New Roman"/>
        </w:rPr>
        <w:t>Moreover</w:t>
      </w:r>
      <w:r w:rsidRPr="004B2258">
        <w:rPr>
          <w:rFonts w:ascii="Times New Roman" w:hAnsi="Times New Roman" w:cs="Times New Roman"/>
        </w:rPr>
        <w:t xml:space="preserve">, </w:t>
      </w:r>
      <w:r w:rsidRPr="004B2258">
        <w:rPr>
          <w:rFonts w:ascii="Times New Roman" w:hAnsi="Times New Roman" w:cs="Times New Roman"/>
          <w:i/>
          <w:iCs/>
        </w:rPr>
        <w:t xml:space="preserve">hybridization </w:t>
      </w:r>
      <w:r w:rsidRPr="004B2258">
        <w:rPr>
          <w:rFonts w:ascii="Times New Roman" w:hAnsi="Times New Roman" w:cs="Times New Roman"/>
        </w:rPr>
        <w:t xml:space="preserve">and </w:t>
      </w:r>
      <w:r w:rsidRPr="004B2258">
        <w:rPr>
          <w:rFonts w:ascii="Times New Roman" w:hAnsi="Times New Roman" w:cs="Times New Roman"/>
          <w:i/>
          <w:iCs/>
        </w:rPr>
        <w:t>aesthetic moment</w:t>
      </w:r>
      <w:r w:rsidRPr="004B2258">
        <w:rPr>
          <w:rFonts w:ascii="Times New Roman" w:hAnsi="Times New Roman" w:cs="Times New Roman"/>
        </w:rPr>
        <w:t xml:space="preserve"> </w:t>
      </w:r>
      <w:r>
        <w:rPr>
          <w:rFonts w:ascii="Times New Roman" w:hAnsi="Times New Roman" w:cs="Times New Roman"/>
        </w:rPr>
        <w:t>are</w:t>
      </w:r>
      <w:r w:rsidRPr="004B2258">
        <w:rPr>
          <w:rFonts w:ascii="Times New Roman" w:hAnsi="Times New Roman" w:cs="Times New Roman"/>
        </w:rPr>
        <w:t xml:space="preserve"> identified for discursive transformative interplay.</w:t>
      </w:r>
      <w:r>
        <w:rPr>
          <w:rFonts w:ascii="Times New Roman" w:hAnsi="Times New Roman" w:cs="Times New Roman"/>
        </w:rPr>
        <w:t xml:space="preserve"> </w:t>
      </w:r>
      <w:r w:rsidRPr="00F72D54">
        <w:rPr>
          <w:rFonts w:ascii="Times New Roman" w:hAnsi="Times New Roman" w:cs="Times New Roman"/>
        </w:rPr>
        <w:t xml:space="preserve">This dissertation </w:t>
      </w:r>
      <w:r>
        <w:rPr>
          <w:rFonts w:ascii="Times New Roman" w:hAnsi="Times New Roman" w:cs="Times New Roman"/>
        </w:rPr>
        <w:t xml:space="preserve">contributes to RDT by </w:t>
      </w:r>
      <w:r w:rsidRPr="00F72D54">
        <w:rPr>
          <w:rFonts w:ascii="Times New Roman" w:hAnsi="Times New Roman" w:cs="Times New Roman"/>
        </w:rPr>
        <w:t>align</w:t>
      </w:r>
      <w:r>
        <w:rPr>
          <w:rFonts w:ascii="Times New Roman" w:hAnsi="Times New Roman" w:cs="Times New Roman"/>
        </w:rPr>
        <w:t>ing</w:t>
      </w:r>
      <w:r w:rsidRPr="00F72D54">
        <w:rPr>
          <w:rFonts w:ascii="Times New Roman" w:hAnsi="Times New Roman" w:cs="Times New Roman"/>
        </w:rPr>
        <w:t xml:space="preserve"> the discursive synchronic markers, including negating, countering, ambiguating (a new marker proposed), and entertaining, with four features of utterance chains. The alignment provid</w:t>
      </w:r>
      <w:r>
        <w:rPr>
          <w:rFonts w:ascii="Times New Roman" w:hAnsi="Times New Roman" w:cs="Times New Roman"/>
        </w:rPr>
        <w:t>es</w:t>
      </w:r>
      <w:r w:rsidRPr="00F72D54">
        <w:rPr>
          <w:rFonts w:ascii="Times New Roman" w:hAnsi="Times New Roman" w:cs="Times New Roman"/>
        </w:rPr>
        <w:t xml:space="preserve"> an additional guideline to </w:t>
      </w:r>
      <w:r>
        <w:rPr>
          <w:rFonts w:ascii="Times New Roman" w:hAnsi="Times New Roman" w:cs="Times New Roman"/>
        </w:rPr>
        <w:t>help</w:t>
      </w:r>
      <w:r w:rsidRPr="00F72D54">
        <w:rPr>
          <w:rFonts w:ascii="Times New Roman" w:hAnsi="Times New Roman" w:cs="Times New Roman"/>
        </w:rPr>
        <w:t xml:space="preserve"> researchers identify discursive synchronic interplay. Additionally, the dissertation provides empirical evidence for </w:t>
      </w:r>
      <w:r>
        <w:rPr>
          <w:rFonts w:ascii="Times New Roman" w:hAnsi="Times New Roman" w:cs="Times New Roman"/>
        </w:rPr>
        <w:t xml:space="preserve">Mumby’s </w:t>
      </w:r>
      <w:r>
        <w:rPr>
          <w:rFonts w:ascii="Times New Roman" w:hAnsi="Times New Roman" w:cs="Times New Roman"/>
        </w:rPr>
        <w:fldChar w:fldCharType="begin"/>
      </w:r>
      <w:r>
        <w:rPr>
          <w:rFonts w:ascii="Times New Roman" w:hAnsi="Times New Roman" w:cs="Times New Roman"/>
        </w:rPr>
        <w:instrText xml:space="preserve"> ADDIN EN.CITE &lt;EndNote&gt;&lt;Cite ExcludeAuth="1"&gt;&lt;Author&gt;Mumby&lt;/Author&gt;&lt;Year&gt;2005&lt;/Year&gt;&lt;RecNum&gt;2287&lt;/RecNum&gt;&lt;DisplayText&gt;(2005)&lt;/DisplayText&gt;&lt;record&gt;&lt;rec-number&gt;2287&lt;/rec-number&gt;&lt;foreign-keys&gt;&lt;key app="EN" db-id="2pe9e00ros0veneeptspa5vhz0pw2az52v20" timestamp="1709784889" guid="8b5596a4-bc6d-4344-af19-c70683b3ec46"&gt;2287&lt;/key&gt;&lt;/foreign-keys&gt;&lt;ref-type name="Journal Article"&gt;17&lt;/ref-type&gt;&lt;contributors&gt;&lt;authors&gt;&lt;author&gt;Mumby, Dennis K.&lt;/author&gt;&lt;/authors&gt;&lt;/contributors&gt;&lt;titles&gt;&lt;title&gt;Theorizing resistance in organization studies:A dialectical approach&lt;/title&gt;&lt;secondary-title&gt;Management Communication Quarterly&lt;/secondary-title&gt;&lt;/titles&gt;&lt;periodical&gt;&lt;full-title&gt;Management Communication Quarterly&lt;/full-title&gt;&lt;/periodical&gt;&lt;pages&gt;19-44&lt;/pages&gt;&lt;volume&gt;19&lt;/volume&gt;&lt;number&gt;1&lt;/number&gt;&lt;keywords&gt;&lt;keyword&gt;resistance,control,dialectics,discourse,Marxism,Foucault,poststructuralism&lt;/keyword&gt;&lt;/keywords&gt;&lt;dates&gt;&lt;year&gt;2005&lt;/year&gt;&lt;/dates&gt;&lt;urls&gt;&lt;related-urls&gt;&lt;url&gt;https://journals.sagepub.com/doi/abs/10.1177/0893318905276558&lt;/url&gt;&lt;/related-urls&gt;&lt;/urls&gt;&lt;electronic-resource-num&gt;10.1177/0893318905276558&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(2005)</w:t>
      </w:r>
      <w:r>
        <w:rPr>
          <w:rFonts w:ascii="Times New Roman" w:hAnsi="Times New Roman" w:cs="Times New Roman"/>
        </w:rPr>
        <w:fldChar w:fldCharType="end"/>
      </w:r>
      <w:r>
        <w:rPr>
          <w:rFonts w:ascii="Times New Roman" w:hAnsi="Times New Roman" w:cs="Times New Roman"/>
        </w:rPr>
        <w:t xml:space="preserve"> theorizing regarding (a) </w:t>
      </w:r>
      <w:r w:rsidRPr="00F72D54">
        <w:rPr>
          <w:rFonts w:ascii="Times New Roman" w:hAnsi="Times New Roman" w:cs="Times New Roman"/>
        </w:rPr>
        <w:t>the mutual constituti</w:t>
      </w:r>
      <w:r>
        <w:rPr>
          <w:rFonts w:ascii="Times New Roman" w:hAnsi="Times New Roman" w:cs="Times New Roman"/>
        </w:rPr>
        <w:t>on</w:t>
      </w:r>
      <w:r w:rsidRPr="00F72D54">
        <w:rPr>
          <w:rFonts w:ascii="Times New Roman" w:hAnsi="Times New Roman" w:cs="Times New Roman"/>
        </w:rPr>
        <w:t xml:space="preserve"> of </w:t>
      </w:r>
      <w:r>
        <w:rPr>
          <w:rFonts w:ascii="Times New Roman" w:hAnsi="Times New Roman" w:cs="Times New Roman"/>
        </w:rPr>
        <w:t>control and resistance</w:t>
      </w:r>
      <w:r w:rsidRPr="00F72D54">
        <w:rPr>
          <w:rFonts w:ascii="Times New Roman" w:hAnsi="Times New Roman" w:cs="Times New Roman"/>
        </w:rPr>
        <w:t xml:space="preserve"> by identifying the</w:t>
      </w:r>
      <w:r>
        <w:rPr>
          <w:rFonts w:ascii="Times New Roman" w:hAnsi="Times New Roman" w:cs="Times New Roman"/>
        </w:rPr>
        <w:t xml:space="preserve"> hybridization of the</w:t>
      </w:r>
      <w:r w:rsidRPr="00F72D54">
        <w:rPr>
          <w:rFonts w:ascii="Times New Roman" w:hAnsi="Times New Roman" w:cs="Times New Roman"/>
        </w:rPr>
        <w:t xml:space="preserve"> </w:t>
      </w:r>
      <w:r w:rsidRPr="00F72D54">
        <w:rPr>
          <w:rFonts w:ascii="Times New Roman" w:hAnsi="Times New Roman" w:cs="Times New Roman"/>
          <w:i/>
          <w:iCs/>
        </w:rPr>
        <w:t>discourse of commerce</w:t>
      </w:r>
      <w:r w:rsidRPr="00F72D54">
        <w:rPr>
          <w:rFonts w:ascii="Times New Roman" w:hAnsi="Times New Roman" w:cs="Times New Roman"/>
        </w:rPr>
        <w:t xml:space="preserve"> and the </w:t>
      </w:r>
      <w:r w:rsidRPr="00F72D54">
        <w:rPr>
          <w:rFonts w:ascii="Times New Roman" w:hAnsi="Times New Roman" w:cs="Times New Roman"/>
          <w:i/>
          <w:iCs/>
        </w:rPr>
        <w:t>discourse of care</w:t>
      </w:r>
      <w:r w:rsidRPr="00F72D54">
        <w:rPr>
          <w:rFonts w:ascii="Times New Roman" w:hAnsi="Times New Roman" w:cs="Times New Roman"/>
        </w:rPr>
        <w:t xml:space="preserve"> </w:t>
      </w:r>
      <w:r>
        <w:rPr>
          <w:rFonts w:ascii="Times New Roman" w:hAnsi="Times New Roman" w:cs="Times New Roman"/>
        </w:rPr>
        <w:t xml:space="preserve">as </w:t>
      </w:r>
      <w:r w:rsidRPr="00F72D54">
        <w:rPr>
          <w:rFonts w:ascii="Times New Roman" w:hAnsi="Times New Roman" w:cs="Times New Roman"/>
        </w:rPr>
        <w:t>the double nature</w:t>
      </w:r>
      <w:r>
        <w:rPr>
          <w:rFonts w:ascii="Times New Roman" w:hAnsi="Times New Roman" w:cs="Times New Roman"/>
        </w:rPr>
        <w:t xml:space="preserve"> (i.e., commerce and care)</w:t>
      </w:r>
      <w:r w:rsidRPr="00F72D54">
        <w:rPr>
          <w:rFonts w:ascii="Times New Roman" w:hAnsi="Times New Roman" w:cs="Times New Roman"/>
        </w:rPr>
        <w:t xml:space="preserve"> of funeral services</w:t>
      </w:r>
      <w:r>
        <w:rPr>
          <w:rFonts w:ascii="Times New Roman" w:hAnsi="Times New Roman" w:cs="Times New Roman"/>
        </w:rPr>
        <w:t xml:space="preserve"> and (b) the control-resistance dialectic transformation as </w:t>
      </w:r>
      <w:r w:rsidRPr="00F72D54">
        <w:rPr>
          <w:rFonts w:ascii="Times New Roman" w:hAnsi="Times New Roman" w:cs="Times New Roman"/>
        </w:rPr>
        <w:t>a routine social production of daily organizational life</w:t>
      </w:r>
      <w:r>
        <w:rPr>
          <w:rFonts w:ascii="Times New Roman" w:hAnsi="Times New Roman" w:cs="Times New Roman"/>
        </w:rPr>
        <w:t xml:space="preserve"> by </w:t>
      </w:r>
      <w:r w:rsidRPr="00F72D54">
        <w:rPr>
          <w:rFonts w:ascii="Times New Roman" w:hAnsi="Times New Roman" w:cs="Times New Roman"/>
        </w:rPr>
        <w:t xml:space="preserve">proposing the </w:t>
      </w:r>
      <w:r w:rsidRPr="00F72D54">
        <w:rPr>
          <w:rFonts w:ascii="Times New Roman" w:hAnsi="Times New Roman" w:cs="Times New Roman"/>
          <w:i/>
          <w:iCs/>
        </w:rPr>
        <w:t xml:space="preserve">discourse of </w:t>
      </w:r>
      <w:r>
        <w:rPr>
          <w:rFonts w:ascii="Times New Roman" w:hAnsi="Times New Roman" w:cs="Times New Roman"/>
          <w:i/>
          <w:iCs/>
        </w:rPr>
        <w:t>mundanity</w:t>
      </w:r>
      <w:r>
        <w:rPr>
          <w:rFonts w:ascii="Times New Roman" w:hAnsi="Times New Roman" w:cs="Times New Roman"/>
        </w:rPr>
        <w:t>, which is “</w:t>
      </w:r>
      <w:r w:rsidRPr="00F72D54">
        <w:rPr>
          <w:rFonts w:ascii="Times New Roman" w:hAnsi="Times New Roman" w:cs="Times New Roman"/>
          <w:i/>
          <w:iCs/>
        </w:rPr>
        <w:t>a system of meaning in which</w:t>
      </w:r>
      <w:r w:rsidRPr="00F72D54">
        <w:rPr>
          <w:rFonts w:ascii="Times New Roman" w:hAnsi="Times New Roman" w:cs="Times New Roman"/>
        </w:rPr>
        <w:t xml:space="preserve"> </w:t>
      </w:r>
      <w:r w:rsidRPr="00F72D54">
        <w:rPr>
          <w:rFonts w:ascii="Times New Roman" w:hAnsi="Times New Roman" w:cs="Times New Roman"/>
          <w:i/>
          <w:iCs/>
        </w:rPr>
        <w:t xml:space="preserve">the gravity of life and death is made to be experienced as ordinary and </w:t>
      </w:r>
      <w:r w:rsidR="00C716D6">
        <w:rPr>
          <w:rFonts w:ascii="Times New Roman" w:hAnsi="Times New Roman" w:cs="Times New Roman"/>
          <w:i/>
          <w:iCs/>
        </w:rPr>
        <w:t>beautiful</w:t>
      </w:r>
      <w:r w:rsidRPr="00F72D54">
        <w:rPr>
          <w:rFonts w:ascii="Times New Roman" w:hAnsi="Times New Roman" w:cs="Times New Roman"/>
        </w:rPr>
        <w:t xml:space="preserve">.” Moreover, the dissertation proposes a perspective of acknowledging human life, which is the complex interpenetration and constitutive process of the costed life and/or the sacred life, labeled as the </w:t>
      </w:r>
      <w:r w:rsidRPr="00F72D54">
        <w:rPr>
          <w:rFonts w:ascii="Times New Roman" w:hAnsi="Times New Roman" w:cs="Times New Roman"/>
          <w:i/>
          <w:iCs/>
        </w:rPr>
        <w:t>commerce-care dialectic perspective</w:t>
      </w:r>
      <w:r w:rsidRPr="00F72D54">
        <w:rPr>
          <w:rFonts w:ascii="Times New Roman" w:hAnsi="Times New Roman" w:cs="Times New Roman"/>
        </w:rPr>
        <w:t>, defined as:</w:t>
      </w:r>
    </w:p>
    <w:p w14:paraId="5E66E241" w14:textId="77777777" w:rsidR="00256B3D" w:rsidRPr="00F72D54" w:rsidRDefault="00256B3D" w:rsidP="00256B3D">
      <w:pPr>
        <w:spacing w:line="480" w:lineRule="auto"/>
        <w:ind w:left="720"/>
        <w:rPr>
          <w:rFonts w:ascii="Times New Roman" w:hAnsi="Times New Roman" w:cs="Times New Roman"/>
          <w:i/>
          <w:iCs/>
        </w:rPr>
      </w:pPr>
      <w:r w:rsidRPr="00F72D54">
        <w:rPr>
          <w:rFonts w:ascii="Times New Roman" w:hAnsi="Times New Roman" w:cs="Times New Roman"/>
          <w:i/>
          <w:iCs/>
        </w:rPr>
        <w:lastRenderedPageBreak/>
        <w:t>Humans make meanings of unresolvable life events or struggles, which have two core attributes of money and humanity, and transform those struggles into</w:t>
      </w:r>
      <w:r>
        <w:rPr>
          <w:rFonts w:ascii="Times New Roman" w:hAnsi="Times New Roman" w:cs="Times New Roman"/>
          <w:i/>
          <w:iCs/>
        </w:rPr>
        <w:t xml:space="preserve"> mundane</w:t>
      </w:r>
      <w:r w:rsidRPr="00F72D54">
        <w:rPr>
          <w:rFonts w:ascii="Times New Roman" w:hAnsi="Times New Roman" w:cs="Times New Roman"/>
          <w:i/>
          <w:iCs/>
        </w:rPr>
        <w:t xml:space="preserve"> aesthetic moments by enact</w:t>
      </w:r>
      <w:r>
        <w:rPr>
          <w:rFonts w:ascii="Times New Roman" w:hAnsi="Times New Roman" w:cs="Times New Roman"/>
          <w:i/>
          <w:iCs/>
        </w:rPr>
        <w:t>ing</w:t>
      </w:r>
      <w:r w:rsidRPr="00F72D54">
        <w:rPr>
          <w:rFonts w:ascii="Times New Roman" w:hAnsi="Times New Roman" w:cs="Times New Roman"/>
          <w:i/>
          <w:iCs/>
        </w:rPr>
        <w:t xml:space="preserve"> behaviors and actions. </w:t>
      </w:r>
    </w:p>
    <w:p w14:paraId="2C02C3E3" w14:textId="43562151" w:rsidR="00256B3D" w:rsidRDefault="00256B3D" w:rsidP="00256B3D">
      <w:pPr>
        <w:spacing w:line="480" w:lineRule="auto"/>
        <w:rPr>
          <w:rFonts w:ascii="Times New Roman" w:hAnsi="Times New Roman" w:cs="Times New Roman"/>
        </w:rPr>
      </w:pPr>
      <w:r>
        <w:rPr>
          <w:rFonts w:ascii="Times New Roman" w:hAnsi="Times New Roman" w:cs="Times New Roman"/>
        </w:rPr>
        <w:t>This</w:t>
      </w:r>
      <w:r w:rsidR="00274896" w:rsidRPr="00F72D54">
        <w:rPr>
          <w:rFonts w:ascii="Times New Roman" w:hAnsi="Times New Roman" w:cs="Times New Roman"/>
        </w:rPr>
        <w:t xml:space="preserve"> </w:t>
      </w:r>
      <w:r w:rsidR="00274896" w:rsidRPr="00F72D54">
        <w:rPr>
          <w:rFonts w:ascii="Times New Roman" w:hAnsi="Times New Roman" w:cs="Times New Roman"/>
          <w:i/>
          <w:iCs/>
        </w:rPr>
        <w:t>commerce-care dialectic perspective</w:t>
      </w:r>
      <w:r w:rsidR="00274896">
        <w:rPr>
          <w:rFonts w:ascii="Times New Roman" w:hAnsi="Times New Roman" w:cs="Times New Roman"/>
        </w:rPr>
        <w:t xml:space="preserve"> requires further validation across other occupational interaction types to understand the concept’s degree of transferability. L</w:t>
      </w:r>
      <w:r w:rsidRPr="00F72D54">
        <w:rPr>
          <w:rFonts w:ascii="Times New Roman" w:hAnsi="Times New Roman" w:cs="Times New Roman"/>
        </w:rPr>
        <w:t>astly, the dissertation offers practical implications for facilitating future funeral planning for funeral professionals, clients, and governmental agencies.</w:t>
      </w:r>
    </w:p>
    <w:p w14:paraId="4402BEAC" w14:textId="621E0960" w:rsidR="000241F2" w:rsidRDefault="000241F2" w:rsidP="002D29D1">
      <w:pPr>
        <w:spacing w:line="480" w:lineRule="auto"/>
        <w:ind w:firstLine="720"/>
        <w:jc w:val="center"/>
        <w:rPr>
          <w:rFonts w:ascii="Times New Roman" w:hAnsi="Times New Roman" w:cs="Times New Roman"/>
          <w:b/>
          <w:bCs/>
        </w:rPr>
      </w:pPr>
    </w:p>
    <w:p w14:paraId="355A7FE1" w14:textId="6BE8AE5B" w:rsidR="000241F2" w:rsidRDefault="000241F2" w:rsidP="002D29D1">
      <w:pPr>
        <w:spacing w:line="480" w:lineRule="auto"/>
        <w:ind w:firstLine="720"/>
        <w:jc w:val="center"/>
        <w:rPr>
          <w:rFonts w:ascii="Times New Roman" w:hAnsi="Times New Roman" w:cs="Times New Roman"/>
          <w:b/>
          <w:bCs/>
        </w:rPr>
      </w:pPr>
    </w:p>
    <w:p w14:paraId="5875CE2C" w14:textId="3A73443A" w:rsidR="000241F2" w:rsidRDefault="000241F2" w:rsidP="002D29D1">
      <w:pPr>
        <w:spacing w:line="480" w:lineRule="auto"/>
        <w:ind w:firstLine="720"/>
        <w:jc w:val="center"/>
        <w:rPr>
          <w:rFonts w:ascii="Times New Roman" w:hAnsi="Times New Roman" w:cs="Times New Roman"/>
          <w:b/>
          <w:bCs/>
        </w:rPr>
      </w:pPr>
    </w:p>
    <w:p w14:paraId="730D4187" w14:textId="5E97DDCA" w:rsidR="000241F2" w:rsidRDefault="000241F2" w:rsidP="002D29D1">
      <w:pPr>
        <w:spacing w:line="480" w:lineRule="auto"/>
        <w:ind w:firstLine="720"/>
        <w:jc w:val="center"/>
        <w:rPr>
          <w:rFonts w:ascii="Times New Roman" w:hAnsi="Times New Roman" w:cs="Times New Roman"/>
          <w:b/>
          <w:bCs/>
        </w:rPr>
      </w:pPr>
    </w:p>
    <w:p w14:paraId="03247111" w14:textId="2812551F" w:rsidR="000241F2" w:rsidRDefault="000241F2" w:rsidP="002D29D1">
      <w:pPr>
        <w:spacing w:line="480" w:lineRule="auto"/>
        <w:ind w:firstLine="720"/>
        <w:jc w:val="center"/>
        <w:rPr>
          <w:rFonts w:ascii="Times New Roman" w:hAnsi="Times New Roman" w:cs="Times New Roman"/>
          <w:b/>
          <w:bCs/>
        </w:rPr>
      </w:pPr>
    </w:p>
    <w:p w14:paraId="625845BA" w14:textId="6F77DBA4" w:rsidR="000241F2" w:rsidRDefault="000241F2" w:rsidP="002D29D1">
      <w:pPr>
        <w:spacing w:line="480" w:lineRule="auto"/>
        <w:ind w:firstLine="720"/>
        <w:jc w:val="center"/>
        <w:rPr>
          <w:rFonts w:ascii="Times New Roman" w:hAnsi="Times New Roman" w:cs="Times New Roman"/>
          <w:b/>
          <w:bCs/>
        </w:rPr>
      </w:pPr>
    </w:p>
    <w:p w14:paraId="64321212" w14:textId="6FEC212A" w:rsidR="000241F2" w:rsidRDefault="000241F2" w:rsidP="002D29D1">
      <w:pPr>
        <w:spacing w:line="480" w:lineRule="auto"/>
        <w:ind w:firstLine="720"/>
        <w:jc w:val="center"/>
        <w:rPr>
          <w:rFonts w:ascii="Times New Roman" w:hAnsi="Times New Roman" w:cs="Times New Roman"/>
          <w:b/>
          <w:bCs/>
        </w:rPr>
      </w:pPr>
    </w:p>
    <w:p w14:paraId="50C14649" w14:textId="21B24C71" w:rsidR="000241F2" w:rsidRDefault="000241F2" w:rsidP="002D29D1">
      <w:pPr>
        <w:spacing w:line="480" w:lineRule="auto"/>
        <w:ind w:firstLine="720"/>
        <w:jc w:val="center"/>
        <w:rPr>
          <w:rFonts w:ascii="Times New Roman" w:hAnsi="Times New Roman" w:cs="Times New Roman"/>
          <w:b/>
          <w:bCs/>
        </w:rPr>
      </w:pPr>
    </w:p>
    <w:p w14:paraId="502B506F" w14:textId="28B993CF" w:rsidR="000241F2" w:rsidRDefault="000241F2" w:rsidP="002D29D1">
      <w:pPr>
        <w:spacing w:line="480" w:lineRule="auto"/>
        <w:ind w:firstLine="720"/>
        <w:jc w:val="center"/>
        <w:rPr>
          <w:rFonts w:ascii="Times New Roman" w:hAnsi="Times New Roman" w:cs="Times New Roman"/>
          <w:b/>
          <w:bCs/>
        </w:rPr>
      </w:pPr>
    </w:p>
    <w:p w14:paraId="72682BBC" w14:textId="2162CCB3" w:rsidR="000241F2" w:rsidRDefault="000241F2" w:rsidP="002D29D1">
      <w:pPr>
        <w:spacing w:line="480" w:lineRule="auto"/>
        <w:ind w:firstLine="720"/>
        <w:jc w:val="center"/>
        <w:rPr>
          <w:rFonts w:ascii="Times New Roman" w:hAnsi="Times New Roman" w:cs="Times New Roman"/>
          <w:b/>
          <w:bCs/>
        </w:rPr>
      </w:pPr>
    </w:p>
    <w:p w14:paraId="6653BD2D" w14:textId="358D527F" w:rsidR="000241F2" w:rsidRDefault="000241F2" w:rsidP="002D29D1">
      <w:pPr>
        <w:spacing w:line="480" w:lineRule="auto"/>
        <w:ind w:firstLine="720"/>
        <w:jc w:val="center"/>
        <w:rPr>
          <w:rFonts w:ascii="Times New Roman" w:hAnsi="Times New Roman" w:cs="Times New Roman"/>
          <w:b/>
          <w:bCs/>
        </w:rPr>
      </w:pPr>
    </w:p>
    <w:p w14:paraId="09A2A23D" w14:textId="3F36B84E" w:rsidR="000241F2" w:rsidRDefault="000241F2" w:rsidP="002D29D1">
      <w:pPr>
        <w:spacing w:line="480" w:lineRule="auto"/>
        <w:ind w:firstLine="720"/>
        <w:jc w:val="center"/>
        <w:rPr>
          <w:rFonts w:ascii="Times New Roman" w:hAnsi="Times New Roman" w:cs="Times New Roman"/>
          <w:b/>
          <w:bCs/>
        </w:rPr>
      </w:pPr>
    </w:p>
    <w:p w14:paraId="31496061" w14:textId="67032D1F" w:rsidR="000241F2" w:rsidRDefault="000241F2" w:rsidP="002D29D1">
      <w:pPr>
        <w:spacing w:line="480" w:lineRule="auto"/>
        <w:ind w:firstLine="720"/>
        <w:jc w:val="center"/>
        <w:rPr>
          <w:rFonts w:ascii="Times New Roman" w:hAnsi="Times New Roman" w:cs="Times New Roman"/>
          <w:b/>
          <w:bCs/>
        </w:rPr>
      </w:pPr>
    </w:p>
    <w:p w14:paraId="7FE6EDD4" w14:textId="593EC99D" w:rsidR="000241F2" w:rsidRDefault="000241F2" w:rsidP="002D29D1">
      <w:pPr>
        <w:spacing w:line="480" w:lineRule="auto"/>
        <w:ind w:firstLine="720"/>
        <w:jc w:val="center"/>
        <w:rPr>
          <w:rFonts w:ascii="Times New Roman" w:hAnsi="Times New Roman" w:cs="Times New Roman"/>
          <w:b/>
          <w:bCs/>
        </w:rPr>
      </w:pPr>
    </w:p>
    <w:p w14:paraId="58C95F94" w14:textId="40649EE9" w:rsidR="000241F2" w:rsidRDefault="000241F2" w:rsidP="002D29D1">
      <w:pPr>
        <w:spacing w:line="480" w:lineRule="auto"/>
        <w:ind w:firstLine="720"/>
        <w:jc w:val="center"/>
        <w:rPr>
          <w:rFonts w:ascii="Times New Roman" w:hAnsi="Times New Roman" w:cs="Times New Roman"/>
          <w:b/>
          <w:bCs/>
        </w:rPr>
      </w:pPr>
    </w:p>
    <w:p w14:paraId="6F312AEE" w14:textId="4C48E7F1" w:rsidR="000241F2" w:rsidRDefault="000241F2" w:rsidP="002D29D1">
      <w:pPr>
        <w:spacing w:line="480" w:lineRule="auto"/>
        <w:ind w:firstLine="720"/>
        <w:jc w:val="center"/>
        <w:rPr>
          <w:rFonts w:ascii="Times New Roman" w:hAnsi="Times New Roman" w:cs="Times New Roman"/>
          <w:b/>
          <w:bCs/>
        </w:rPr>
      </w:pPr>
    </w:p>
    <w:p w14:paraId="5E02EDBD" w14:textId="181155E0" w:rsidR="00EC01CF" w:rsidRDefault="00EC01CF" w:rsidP="00EC01CF">
      <w:pPr>
        <w:rPr>
          <w:rFonts w:ascii="Times New Roman" w:hAnsi="Times New Roman" w:cs="Times New Roman"/>
          <w:b/>
          <w:bCs/>
        </w:rPr>
        <w:sectPr w:rsidR="00EC01CF" w:rsidSect="003248E9">
          <w:headerReference w:type="default" r:id="rId10"/>
          <w:pgSz w:w="12240" w:h="15840"/>
          <w:pgMar w:top="1440" w:right="1440" w:bottom="1440" w:left="1440" w:header="720" w:footer="720" w:gutter="0"/>
          <w:pgNumType w:fmt="lowerRoman" w:start="4"/>
          <w:cols w:space="720"/>
          <w:docGrid w:linePitch="360"/>
        </w:sectPr>
      </w:pPr>
    </w:p>
    <w:p w14:paraId="3A0A81D8" w14:textId="79B720F5" w:rsidR="001D6603" w:rsidRDefault="00AF2284" w:rsidP="00EC01CF">
      <w:pPr>
        <w:spacing w:line="480" w:lineRule="auto"/>
        <w:jc w:val="center"/>
        <w:rPr>
          <w:rFonts w:ascii="Times New Roman" w:eastAsia="Times New Roman" w:hAnsi="Times New Roman" w:cs="Times New Roman"/>
          <w:b/>
          <w:bCs/>
          <w:color w:val="000000"/>
          <w:bdr w:val="none" w:sz="0" w:space="0" w:color="auto" w:frame="1"/>
        </w:rPr>
      </w:pPr>
      <w:r>
        <w:rPr>
          <w:rFonts w:ascii="Times New Roman" w:eastAsia="Times New Roman" w:hAnsi="Times New Roman" w:cs="Times New Roman"/>
          <w:b/>
          <w:bCs/>
          <w:color w:val="000000"/>
          <w:bdr w:val="none" w:sz="0" w:space="0" w:color="auto" w:frame="1"/>
        </w:rPr>
        <w:lastRenderedPageBreak/>
        <w:t>Making the Business of Death, Business-As-Usual</w:t>
      </w:r>
      <w:r w:rsidR="001D6603">
        <w:rPr>
          <w:rFonts w:ascii="Times New Roman" w:eastAsia="Times New Roman" w:hAnsi="Times New Roman" w:cs="Times New Roman"/>
          <w:b/>
          <w:bCs/>
          <w:color w:val="000000"/>
          <w:bdr w:val="none" w:sz="0" w:space="0" w:color="auto" w:frame="1"/>
        </w:rPr>
        <w:t>: The Commerce-</w:t>
      </w:r>
      <w:r w:rsidR="002373EB">
        <w:rPr>
          <w:rFonts w:ascii="Times New Roman" w:eastAsia="Times New Roman" w:hAnsi="Times New Roman" w:cs="Times New Roman"/>
          <w:b/>
          <w:bCs/>
          <w:color w:val="000000"/>
          <w:bdr w:val="none" w:sz="0" w:space="0" w:color="auto" w:frame="1"/>
        </w:rPr>
        <w:t>C</w:t>
      </w:r>
      <w:r w:rsidR="001D6603">
        <w:rPr>
          <w:rFonts w:ascii="Times New Roman" w:eastAsia="Times New Roman" w:hAnsi="Times New Roman" w:cs="Times New Roman"/>
          <w:b/>
          <w:bCs/>
          <w:color w:val="000000"/>
          <w:bdr w:val="none" w:sz="0" w:space="0" w:color="auto" w:frame="1"/>
        </w:rPr>
        <w:t>are Dialectic in Funeral Planning</w:t>
      </w:r>
    </w:p>
    <w:p w14:paraId="465C5903" w14:textId="77777777" w:rsidR="00256B3D" w:rsidRPr="006D4280" w:rsidRDefault="00256B3D" w:rsidP="00256B3D">
      <w:pPr>
        <w:spacing w:line="480" w:lineRule="auto"/>
        <w:jc w:val="center"/>
        <w:rPr>
          <w:rFonts w:ascii="Times New Roman" w:hAnsi="Times New Roman" w:cs="Times New Roman"/>
          <w:b/>
          <w:bCs/>
        </w:rPr>
      </w:pPr>
      <w:r>
        <w:rPr>
          <w:rFonts w:ascii="Times New Roman" w:eastAsia="Times New Roman" w:hAnsi="Times New Roman" w:cs="Times New Roman"/>
          <w:b/>
          <w:bCs/>
          <w:color w:val="000000"/>
          <w:bdr w:val="none" w:sz="0" w:space="0" w:color="auto" w:frame="1"/>
        </w:rPr>
        <w:t>Chapter 1: Rationale</w:t>
      </w:r>
    </w:p>
    <w:p w14:paraId="5FCF9AE2" w14:textId="77777777" w:rsidR="00256B3D" w:rsidRPr="00A530E6" w:rsidRDefault="00256B3D" w:rsidP="00256B3D">
      <w:pPr>
        <w:pStyle w:val="BodyText"/>
        <w:rPr>
          <w:lang w:val="en-US"/>
        </w:rPr>
      </w:pPr>
      <w:r>
        <w:rPr>
          <w:lang w:val="en-US"/>
        </w:rPr>
        <w:t xml:space="preserve">Modernity has created competing features of human life – costed and sacred </w:t>
      </w:r>
      <w:r>
        <w:rPr>
          <w:lang w:val="en-US"/>
        </w:rPr>
        <w:fldChar w:fldCharType="begin"/>
      </w:r>
      <w:r>
        <w:rPr>
          <w:lang w:val="en-US"/>
        </w:rPr>
        <w:instrText xml:space="preserve"> ADDIN EN.CITE &lt;EndNote&gt;&lt;Cite&gt;&lt;Author&gt;Walter&lt;/Author&gt;&lt;Year&gt;2020&lt;/Year&gt;&lt;RecNum&gt;1914&lt;/RecNum&gt;&lt;DisplayText&gt;(Walter, 2020)&lt;/DisplayText&gt;&lt;record&gt;&lt;rec-number&gt;1914&lt;/rec-number&gt;&lt;foreign-keys&gt;&lt;key app="EN" db-id="2pe9e00ros0veneeptspa5vhz0pw2az52v20" timestamp="1691085164" guid="e4f6d237-5454-410f-9d65-dd5a270d3192"&gt;1914&lt;/key&gt;&lt;/foreign-keys&gt;&lt;ref-type name="Book"&gt;6&lt;/ref-type&gt;&lt;contributors&gt;&lt;authors&gt;&lt;author&gt;Walter, Tony&lt;/author&gt;&lt;/authors&gt;&lt;/contributors&gt;&lt;titles&gt;&lt;title&gt;Death in the modern world&lt;/title&gt;&lt;secondary-title&gt;Death in the Modern World&lt;/secondary-title&gt;&lt;/titles&gt;&lt;periodical&gt;&lt;full-title&gt;Death in the Modern World&lt;/full-title&gt;&lt;/periodical&gt;&lt;pages&gt;1-312&lt;/pages&gt;&lt;dates&gt;&lt;year&gt;2020&lt;/year&gt;&lt;/dates&gt;&lt;publisher&gt;Sage&lt;/publisher&gt;&lt;urls&gt;&lt;/urls&gt;&lt;/record&gt;&lt;/Cite&gt;&lt;/EndNote&gt;</w:instrText>
      </w:r>
      <w:r>
        <w:rPr>
          <w:lang w:val="en-US"/>
        </w:rPr>
        <w:fldChar w:fldCharType="separate"/>
      </w:r>
      <w:r>
        <w:rPr>
          <w:noProof/>
          <w:lang w:val="en-US"/>
        </w:rPr>
        <w:t>(Walter, 2020)</w:t>
      </w:r>
      <w:r>
        <w:rPr>
          <w:lang w:val="en-US"/>
        </w:rPr>
        <w:fldChar w:fldCharType="end"/>
      </w:r>
      <w:r>
        <w:rPr>
          <w:lang w:val="en-US"/>
        </w:rPr>
        <w:t>. As Walter summarized, the “costed life” is fostered by capitalism, and it is economically calculated in business use</w:t>
      </w:r>
      <w:r w:rsidRPr="00303575">
        <w:t xml:space="preserve"> </w:t>
      </w:r>
      <w:r w:rsidRPr="00303575">
        <w:rPr>
          <w:lang w:val="en-US"/>
        </w:rPr>
        <w:t xml:space="preserve">or </w:t>
      </w:r>
      <w:r>
        <w:rPr>
          <w:lang w:val="en-US"/>
        </w:rPr>
        <w:t xml:space="preserve">the </w:t>
      </w:r>
      <w:r w:rsidRPr="00303575">
        <w:rPr>
          <w:lang w:val="en-US"/>
        </w:rPr>
        <w:t>state of costing</w:t>
      </w:r>
      <w:r>
        <w:rPr>
          <w:lang w:val="en-US"/>
        </w:rPr>
        <w:t xml:space="preserve">; the “sacred life” is fostered by the revolutionary idea of the Protestant Reformation and Enlightenment, and it highlights the values of priceless, civic-right-centered, liberated, anti-slavery, and dignified. Overlapping and competing social forces that remind us of the costed </w:t>
      </w:r>
      <w:r w:rsidRPr="00B965DE">
        <w:rPr>
          <w:i/>
          <w:iCs/>
          <w:lang w:val="en-US"/>
        </w:rPr>
        <w:t>and</w:t>
      </w:r>
      <w:r>
        <w:rPr>
          <w:lang w:val="en-US"/>
        </w:rPr>
        <w:t xml:space="preserve"> sacred elements of human life interpenetrate into and are constitutive of individuals’ life events and experiences. This dissertation uses the term “</w:t>
      </w:r>
      <w:r w:rsidRPr="00EB610F">
        <w:rPr>
          <w:rFonts w:eastAsia="Times New Roman"/>
          <w:i/>
          <w:iCs/>
          <w:color w:val="000000"/>
          <w:bdr w:val="none" w:sz="0" w:space="0" w:color="auto" w:frame="1"/>
        </w:rPr>
        <w:t>commerce-care</w:t>
      </w:r>
      <w:r w:rsidRPr="00EB610F">
        <w:rPr>
          <w:rFonts w:eastAsia="Times New Roman"/>
          <w:i/>
          <w:iCs/>
          <w:color w:val="000000"/>
          <w:bdr w:val="none" w:sz="0" w:space="0" w:color="auto" w:frame="1"/>
          <w:lang w:val="en-US"/>
        </w:rPr>
        <w:t xml:space="preserve"> dialectic</w:t>
      </w:r>
      <w:r>
        <w:rPr>
          <w:rFonts w:eastAsia="Times New Roman"/>
          <w:color w:val="000000"/>
          <w:bdr w:val="none" w:sz="0" w:space="0" w:color="auto" w:frame="1"/>
          <w:lang w:val="en-US"/>
        </w:rPr>
        <w:t>” to describe</w:t>
      </w:r>
      <w:r w:rsidRPr="00762A69">
        <w:rPr>
          <w:lang w:val="en-US"/>
        </w:rPr>
        <w:t xml:space="preserve"> </w:t>
      </w:r>
      <w:r>
        <w:rPr>
          <w:lang w:val="en-US"/>
        </w:rPr>
        <w:t xml:space="preserve">this complex interpenetration and constitutive process of the costed life and the sacred life. Three propositions help explain this term, </w:t>
      </w:r>
      <w:r w:rsidRPr="00EB610F">
        <w:rPr>
          <w:rFonts w:eastAsia="Times New Roman"/>
          <w:i/>
          <w:iCs/>
          <w:color w:val="000000"/>
          <w:bdr w:val="none" w:sz="0" w:space="0" w:color="auto" w:frame="1"/>
        </w:rPr>
        <w:t>commerce-care</w:t>
      </w:r>
      <w:r w:rsidRPr="00EB610F">
        <w:rPr>
          <w:rFonts w:eastAsia="Times New Roman"/>
          <w:i/>
          <w:iCs/>
          <w:color w:val="000000"/>
          <w:bdr w:val="none" w:sz="0" w:space="0" w:color="auto" w:frame="1"/>
          <w:lang w:val="en-US"/>
        </w:rPr>
        <w:t xml:space="preserve"> dialectic</w:t>
      </w:r>
      <w:r>
        <w:rPr>
          <w:rFonts w:eastAsia="Times New Roman"/>
          <w:color w:val="000000"/>
          <w:bdr w:val="none" w:sz="0" w:space="0" w:color="auto" w:frame="1"/>
          <w:lang w:val="en-US"/>
        </w:rPr>
        <w:t>: (a) t</w:t>
      </w:r>
      <w:r>
        <w:rPr>
          <w:lang w:val="en-US"/>
        </w:rPr>
        <w:t xml:space="preserve">his term </w:t>
      </w:r>
      <w:r>
        <w:rPr>
          <w:i/>
          <w:iCs/>
          <w:lang w:val="en-US"/>
        </w:rPr>
        <w:t>commerce-care d</w:t>
      </w:r>
      <w:r w:rsidRPr="00415ACA">
        <w:rPr>
          <w:i/>
          <w:iCs/>
          <w:lang w:val="en-US"/>
        </w:rPr>
        <w:t xml:space="preserve">ialectic </w:t>
      </w:r>
      <w:r>
        <w:rPr>
          <w:lang w:val="en-US"/>
        </w:rPr>
        <w:t>adopts the worldview, which is</w:t>
      </w:r>
      <w:r w:rsidRPr="00044165">
        <w:t xml:space="preserve"> “destructive of neat systems and ordered structures and compatible with the notion of a social universe that has neither fixity nor solid boundaries” </w:t>
      </w:r>
      <w:r w:rsidRPr="00044165">
        <w:fldChar w:fldCharType="begin"/>
      </w:r>
      <w:r w:rsidRPr="00044165">
        <w:instrText xml:space="preserve"> ADDIN EN.CITE &lt;EndNote&gt;&lt;Cite&gt;&lt;Author&gt;Murphy&lt;/Author&gt;&lt;Year&gt;1971&lt;/Year&gt;&lt;RecNum&gt;2138&lt;/RecNum&gt;&lt;Pages&gt;90&lt;/Pages&gt;&lt;DisplayText&gt;(Murphy, 1971, p. 90)&lt;/DisplayText&gt;&lt;record&gt;&lt;rec-number&gt;2138&lt;/rec-number&gt;&lt;foreign-keys&gt;&lt;key app="EN" db-id="2pe9e00ros0veneeptspa5vhz0pw2az52v20" timestamp="1697774845" guid="ffd70941-bb9c-425e-a22b-88be9d42931e"&gt;2138&lt;/key&gt;&lt;/foreign-keys&gt;&lt;ref-type name="Book"&gt;6&lt;/ref-type&gt;&lt;contributors&gt;&lt;authors&gt;&lt;author&gt;Robert Francis Murphy&lt;/author&gt;&lt;/authors&gt;&lt;/contributors&gt;&lt;titles&gt;&lt;title&gt;The dialectics of social life: Alarms and excursions in anthropological theory&lt;/title&gt;&lt;/titles&gt;&lt;dates&gt;&lt;year&gt;1971&lt;/year&gt;&lt;/dates&gt;&lt;publisher&gt;Basic Books&lt;/publisher&gt;&lt;urls&gt;&lt;/urls&gt;&lt;/record&gt;&lt;/Cite&gt;&lt;/EndNote&gt;</w:instrText>
      </w:r>
      <w:r w:rsidRPr="00044165">
        <w:fldChar w:fldCharType="separate"/>
      </w:r>
      <w:r w:rsidRPr="00044165">
        <w:rPr>
          <w:noProof/>
        </w:rPr>
        <w:t>(Murphy, 1971, p. 90)</w:t>
      </w:r>
      <w:r w:rsidRPr="00044165">
        <w:fldChar w:fldCharType="end"/>
      </w:r>
      <w:r>
        <w:rPr>
          <w:lang w:val="en-US"/>
        </w:rPr>
        <w:t xml:space="preserve">; (b) </w:t>
      </w:r>
      <w:r>
        <w:rPr>
          <w:i/>
          <w:iCs/>
          <w:lang w:val="en-US"/>
        </w:rPr>
        <w:t>commerce-care d</w:t>
      </w:r>
      <w:r w:rsidRPr="00415ACA">
        <w:rPr>
          <w:i/>
          <w:iCs/>
          <w:lang w:val="en-US"/>
        </w:rPr>
        <w:t xml:space="preserve">ialectic </w:t>
      </w:r>
      <w:r>
        <w:rPr>
          <w:lang w:val="en-US"/>
        </w:rPr>
        <w:t>adopts the local/emergent endpoint dimension of contrast, which favors “</w:t>
      </w:r>
      <w:r w:rsidRPr="00811D71">
        <w:rPr>
          <w:lang w:val="en-US"/>
        </w:rPr>
        <w:t>situated knowledge claims</w:t>
      </w:r>
      <w:r>
        <w:rPr>
          <w:lang w:val="en-US"/>
        </w:rPr>
        <w:t xml:space="preserve">, </w:t>
      </w:r>
      <w:r w:rsidRPr="00811D71">
        <w:rPr>
          <w:lang w:val="en-US"/>
        </w:rPr>
        <w:t>in contrast to the search for large-scale empirical generalization</w:t>
      </w:r>
      <w:r>
        <w:rPr>
          <w:lang w:val="en-US"/>
        </w:rPr>
        <w:t xml:space="preserve">” </w:t>
      </w:r>
      <w:r>
        <w:rPr>
          <w:lang w:val="en-US"/>
        </w:rPr>
        <w:fldChar w:fldCharType="begin"/>
      </w:r>
      <w:r>
        <w:rPr>
          <w:lang w:val="en-US"/>
        </w:rPr>
        <w:instrText xml:space="preserve"> ADDIN EN.CITE &lt;EndNote&gt;&lt;Cite&gt;&lt;Author&gt;Deetz&lt;/Author&gt;&lt;Year&gt;2001&lt;/Year&gt;&lt;RecNum&gt;1918&lt;/RecNum&gt;&lt;Pages&gt;13&lt;/Pages&gt;&lt;DisplayText&gt;(Deetz, 2001, p. 13)&lt;/DisplayText&gt;&lt;record&gt;&lt;rec-number&gt;1918&lt;/rec-number&gt;&lt;foreign-keys&gt;&lt;key app="EN" db-id="2pe9e00ros0veneeptspa5vhz0pw2az52v20" timestamp="1691120195" guid="0da33f21-aed8-41f3-8ad9-be03ea9adaf5"&gt;1918&lt;/key&gt;&lt;/foreign-keys&gt;&lt;ref-type name="Electronic Book Section"&gt;60&lt;/ref-type&gt;&lt;contributors&gt;&lt;authors&gt;&lt;author&gt;Deetz, Stanley&lt;/author&gt;&lt;/authors&gt;&lt;secondary-authors&gt;&lt;author&gt;Jablin, F.M.&lt;/author&gt;&lt;author&gt;Putnam, L.L.&lt;/author&gt;&lt;/secondary-authors&gt;&lt;/contributors&gt;&lt;titles&gt;&lt;title&gt;Conceptual foundations&lt;/title&gt;&lt;secondary-title&gt;The new handbook of organizational communication: Advances in theory, research and methods&lt;/secondary-title&gt;&lt;/titles&gt;&lt;dates&gt;&lt;year&gt;2001&lt;/year&gt;&lt;/dates&gt;&lt;pub-location&gt;Thousand Oaks&lt;/pub-location&gt;&lt;publisher&gt;Sage&lt;/publisher&gt;&lt;urls&gt;&lt;/urls&gt;&lt;/record&gt;&lt;/Cite&gt;&lt;/EndNote&gt;</w:instrText>
      </w:r>
      <w:r>
        <w:rPr>
          <w:lang w:val="en-US"/>
        </w:rPr>
        <w:fldChar w:fldCharType="separate"/>
      </w:r>
      <w:r>
        <w:rPr>
          <w:noProof/>
          <w:lang w:val="en-US"/>
        </w:rPr>
        <w:t>(Deetz, 2001, p. 13)</w:t>
      </w:r>
      <w:r>
        <w:rPr>
          <w:lang w:val="en-US"/>
        </w:rPr>
        <w:fldChar w:fldCharType="end"/>
      </w:r>
      <w:r>
        <w:rPr>
          <w:lang w:val="en-US"/>
        </w:rPr>
        <w:t xml:space="preserve">; (c) the term </w:t>
      </w:r>
      <w:r>
        <w:t xml:space="preserve">assumes the equivalence importance of emergent meanings and </w:t>
      </w:r>
      <w:r>
        <w:rPr>
          <w:lang w:val="en-US"/>
        </w:rPr>
        <w:t xml:space="preserve">the </w:t>
      </w:r>
      <w:r>
        <w:t>confirmed knowledge in constituting meaning</w:t>
      </w:r>
      <w:r>
        <w:rPr>
          <w:lang w:val="en-US"/>
        </w:rPr>
        <w:t>s.</w:t>
      </w:r>
    </w:p>
    <w:p w14:paraId="3A75C54A" w14:textId="77777777" w:rsidR="00256B3D" w:rsidRDefault="00256B3D" w:rsidP="00256B3D">
      <w:pPr>
        <w:pStyle w:val="BodyText"/>
        <w:rPr>
          <w:lang w:val="en-US"/>
        </w:rPr>
      </w:pPr>
      <w:r>
        <w:rPr>
          <w:lang w:val="en-US"/>
        </w:rPr>
        <w:t xml:space="preserve">Consider how the commerce-care dialectic can be seen in “deathcare” services. Corporations and their professionals provide deathcare services, including grief counseling, hospice service, and funeral service </w:t>
      </w:r>
      <w:r>
        <w:rPr>
          <w:lang w:val="en-US"/>
        </w:rPr>
        <w:fldChar w:fldCharType="begin">
          <w:fldData xml:space="preserve">PEVuZE5vdGU+PENpdGU+PEF1dGhvcj5Mb2ZsYW5kPC9BdXRob3I+PFllYXI+MjAxOTwvWWVhcj48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</w:fldData>
        </w:fldChar>
      </w:r>
      <w:r>
        <w:rPr>
          <w:lang w:val="en-US"/>
        </w:rPr>
        <w:instrText xml:space="preserve"> ADDIN EN.CITE </w:instrText>
      </w:r>
      <w:r>
        <w:rPr>
          <w:lang w:val="en-US"/>
        </w:rPr>
        <w:fldChar w:fldCharType="begin">
          <w:fldData xml:space="preserve">PEVuZE5vdGU+PENpdGU+PEF1dGhvcj5Mb2ZsYW5kPC9BdXRob3I+PFllYXI+MjAxOTwvWWVhcj48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</w:fldData>
        </w:fldChar>
      </w:r>
      <w:r>
        <w:rPr>
          <w:lang w:val="en-US"/>
        </w:rPr>
        <w:instrText xml:space="preserve"> ADDIN EN.CITE.DATA </w:instrText>
      </w:r>
      <w:r>
        <w:rPr>
          <w:lang w:val="en-US"/>
        </w:rPr>
      </w:r>
      <w:r>
        <w:rPr>
          <w:lang w:val="en-US"/>
        </w:rPr>
        <w:fldChar w:fldCharType="end"/>
      </w:r>
      <w:r>
        <w:rPr>
          <w:lang w:val="en-US"/>
        </w:rPr>
      </w:r>
      <w:r>
        <w:rPr>
          <w:lang w:val="en-US"/>
        </w:rPr>
        <w:fldChar w:fldCharType="separate"/>
      </w:r>
      <w:r>
        <w:rPr>
          <w:noProof/>
          <w:lang w:val="en-US"/>
        </w:rPr>
        <w:t>(e.g., Howarth, 1996; Lofland, 2019; Rando, 1984)</w:t>
      </w:r>
      <w:r>
        <w:rPr>
          <w:lang w:val="en-US"/>
        </w:rPr>
        <w:fldChar w:fldCharType="end"/>
      </w:r>
      <w:r>
        <w:rPr>
          <w:lang w:val="en-US"/>
        </w:rPr>
        <w:t xml:space="preserve">, to make a profit </w:t>
      </w:r>
      <w:r w:rsidRPr="008E08DE">
        <w:rPr>
          <w:i/>
          <w:iCs/>
          <w:lang w:val="en-US"/>
        </w:rPr>
        <w:t xml:space="preserve">and </w:t>
      </w:r>
      <w:r>
        <w:rPr>
          <w:lang w:val="en-US"/>
        </w:rPr>
        <w:t xml:space="preserve">care for their clients. Moreover, compared with other everyday services (e.g., </w:t>
      </w:r>
      <w:r w:rsidRPr="005D799E">
        <w:rPr>
          <w:lang w:val="en-US"/>
        </w:rPr>
        <w:lastRenderedPageBreak/>
        <w:t>traveling guides, entertainment activities, and wellness programs</w:t>
      </w:r>
      <w:r>
        <w:rPr>
          <w:lang w:val="en-US"/>
        </w:rPr>
        <w:t>), deathcare services manifest the commerce-care dialectic in the extreme because of the high stakes associated with death. Deathcare services</w:t>
      </w:r>
      <w:r w:rsidRPr="00651461">
        <w:rPr>
          <w:lang w:val="en-US"/>
        </w:rPr>
        <w:t xml:space="preserve"> </w:t>
      </w:r>
      <w:r>
        <w:rPr>
          <w:lang w:val="en-US"/>
        </w:rPr>
        <w:t xml:space="preserve">represent and embody an extreme manifestation of this dialectic. </w:t>
      </w:r>
      <w:r w:rsidRPr="002313B9">
        <w:t>Death</w:t>
      </w:r>
      <w:r>
        <w:rPr>
          <w:lang w:val="en-US"/>
        </w:rPr>
        <w:t xml:space="preserve"> is a pervasive social phenomenon and a biological reality, which is simply </w:t>
      </w:r>
      <w:r w:rsidRPr="002313B9">
        <w:t xml:space="preserve">known as “the end” </w:t>
      </w:r>
      <w:r w:rsidRPr="002313B9">
        <w:fldChar w:fldCharType="begin"/>
      </w:r>
      <w:r w:rsidRPr="002313B9">
        <w:instrText xml:space="preserve"> ADDIN EN.CITE &lt;EndNote&gt;&lt;Cite&gt;&lt;Author&gt;Jung&lt;/Author&gt;&lt;Year&gt;1959&lt;/Year&gt;&lt;RecNum&gt;1637&lt;/RecNum&gt;&lt;DisplayText&gt;(Jung, 1959)&lt;/DisplayText&gt;&lt;record&gt;&lt;rec-number&gt;1637&lt;/rec-number&gt;&lt;foreign-keys&gt;&lt;key app="EN" db-id="2pe9e00ros0veneeptspa5vhz0pw2az52v20" timestamp="1651464002" guid="15126ffe-788a-4712-b002-ec1682c4be88"&gt;1637&lt;/key&gt;&lt;/foreign-keys&gt;&lt;ref-type name="Book Section"&gt;5&lt;/ref-type&gt;&lt;contributors&gt;&lt;authors&gt;&lt;author&gt;Carl G. Jung&lt;/author&gt;&lt;/authors&gt;&lt;secondary-authors&gt;&lt;author&gt;Herman Feifel&lt;/author&gt;&lt;/secondary-authors&gt;&lt;/contributors&gt;&lt;titles&gt;&lt;title&gt;The soul and death&lt;/title&gt;&lt;secondary-title&gt;The meaning of death&lt;/secondary-title&gt;&lt;/titles&gt;&lt;pages&gt;3-15&lt;/pages&gt;&lt;dates&gt;&lt;year&gt;1959&lt;/year&gt;&lt;/dates&gt;&lt;publisher&gt;New York, McGraw-Hill&lt;/publisher&gt;&lt;urls&gt;&lt;/urls&gt;&lt;/record&gt;&lt;/Cite&gt;&lt;/EndNote&gt;</w:instrText>
      </w:r>
      <w:r w:rsidRPr="002313B9">
        <w:fldChar w:fldCharType="separate"/>
      </w:r>
      <w:r w:rsidRPr="002313B9">
        <w:rPr>
          <w:noProof/>
        </w:rPr>
        <w:t>(Jung, 1959)</w:t>
      </w:r>
      <w:r w:rsidRPr="002313B9">
        <w:fldChar w:fldCharType="end"/>
      </w:r>
      <w:r>
        <w:rPr>
          <w:lang w:val="en-US"/>
        </w:rPr>
        <w:t xml:space="preserve"> and is frequently seen as the ultimate manifestation of materiality </w:t>
      </w:r>
      <w:r>
        <w:rPr>
          <w:lang w:val="en-US"/>
        </w:rPr>
        <w:fldChar w:fldCharType="begin"/>
      </w:r>
      <w:r>
        <w:rPr>
          <w:lang w:val="en-US"/>
        </w:rPr>
        <w:instrText xml:space="preserve"> ADDIN EN.CITE &lt;EndNote&gt;&lt;Cite&gt;&lt;Author&gt;Fahlander&lt;/Author&gt;&lt;Year&gt;2008&lt;/Year&gt;&lt;RecNum&gt;2251&lt;/RecNum&gt;&lt;DisplayText&gt;(Fahlander &amp;amp; Oestigaard, 2008)&lt;/DisplayText&gt;&lt;record&gt;&lt;rec-number&gt;2251&lt;/rec-number&gt;&lt;foreign-keys&gt;&lt;key app="EN" db-id="2pe9e00ros0veneeptspa5vhz0pw2az52v20" timestamp="1701229586" guid="fb5ff607-ce3b-411a-847a-d25b17908dbb"&gt;2251&lt;/key&gt;&lt;/foreign-keys&gt;&lt;ref-type name="Book Section"&gt;5&lt;/ref-type&gt;&lt;contributors&gt;&lt;authors&gt;&lt;author&gt;Fredrik Fahlander &lt;/author&gt;&lt;author&gt;Terje Oestigaard&lt;/author&gt;&lt;/authors&gt;&lt;secondary-authors&gt;&lt;author&gt;Fredrik Fahlander &lt;/author&gt;&lt;author&gt;Terje Oestigaard&lt;/author&gt;&lt;/secondary-authors&gt;&lt;/contributors&gt;&lt;titles&gt;&lt;title&gt;The materiality of death: Bodies, burials, beliefs&lt;/title&gt;&lt;secondary-title&gt;The Materiality of Death: Bodies, Burials, Beliefs&lt;/secondary-title&gt;&lt;/titles&gt;&lt;pages&gt;1-16&lt;/pages&gt;&lt;dates&gt;&lt;year&gt;2008&lt;/year&gt;&lt;/dates&gt;&lt;pub-location&gt;Oxford&lt;/pub-location&gt;&lt;publisher&gt;Archeaopress&lt;/publisher&gt;&lt;urls&gt;&lt;/urls&gt;&lt;/record&gt;&lt;/Cite&gt;&lt;/EndNote&gt;</w:instrText>
      </w:r>
      <w:r>
        <w:rPr>
          <w:lang w:val="en-US"/>
        </w:rPr>
        <w:fldChar w:fldCharType="separate"/>
      </w:r>
      <w:r>
        <w:rPr>
          <w:noProof/>
          <w:lang w:val="en-US"/>
        </w:rPr>
        <w:t>(Fahlander &amp; Oestigaard, 2008)</w:t>
      </w:r>
      <w:r>
        <w:rPr>
          <w:lang w:val="en-US"/>
        </w:rPr>
        <w:fldChar w:fldCharType="end"/>
      </w:r>
      <w:r>
        <w:rPr>
          <w:lang w:val="en-US"/>
        </w:rPr>
        <w:t>.</w:t>
      </w:r>
      <w:r w:rsidRPr="00126471">
        <w:rPr>
          <w:lang w:val="en-US"/>
        </w:rPr>
        <w:t xml:space="preserve"> </w:t>
      </w:r>
      <w:r>
        <w:rPr>
          <w:lang w:val="en-US"/>
        </w:rPr>
        <w:t>Moreover,</w:t>
      </w:r>
      <w:r w:rsidRPr="00126471">
        <w:rPr>
          <w:lang w:val="en-US"/>
        </w:rPr>
        <w:t xml:space="preserve"> death </w:t>
      </w:r>
      <w:r>
        <w:rPr>
          <w:lang w:val="en-US"/>
        </w:rPr>
        <w:t>and its discourse</w:t>
      </w:r>
      <w:r w:rsidRPr="00126471">
        <w:rPr>
          <w:lang w:val="en-US"/>
        </w:rPr>
        <w:t xml:space="preserve"> </w:t>
      </w:r>
      <w:r>
        <w:rPr>
          <w:lang w:val="en-US"/>
        </w:rPr>
        <w:t>“</w:t>
      </w:r>
      <w:r w:rsidRPr="00126471">
        <w:rPr>
          <w:lang w:val="en-US"/>
        </w:rPr>
        <w:t>capture human decay, and its meaning consists of a series of often taken-for-granted elements, such as end/cessation/termination, negativity, irreversibility, inescapability, and undesirability</w:t>
      </w:r>
      <w:r>
        <w:rPr>
          <w:lang w:val="en-US"/>
        </w:rPr>
        <w:t xml:space="preserve">” </w:t>
      </w:r>
      <w:r>
        <w:rPr>
          <w:lang w:val="en-US" w:eastAsia="zh-CN"/>
        </w:rPr>
        <w:fldChar w:fldCharType="begin"/>
      </w:r>
      <w:r>
        <w:rPr>
          <w:lang w:val="en-US" w:eastAsia="zh-CN"/>
        </w:rPr>
        <w:instrText xml:space="preserve"> ADDIN EN.CITE &lt;EndNote&gt;&lt;Cite&gt;&lt;Author&gt;Carpentier&lt;/Author&gt;&lt;Year&gt;2012&lt;/Year&gt;&lt;RecNum&gt;1654&lt;/RecNum&gt;&lt;Pages&gt;100&lt;/Pages&gt;&lt;DisplayText&gt;(Carpentier &amp;amp; Van Brussel, 2012, p. 100)&lt;/DisplayText&gt;&lt;record&gt;&lt;rec-number&gt;1654&lt;/rec-number&gt;&lt;foreign-keys&gt;&lt;key app="EN" db-id="2pe9e00ros0veneeptspa5vhz0pw2az52v20" timestamp="1651698716" guid="b0810b2f-5fab-4164-be52-afcbae74a7df"&gt;1654&lt;/key&gt;&lt;/foreign-keys&gt;&lt;ref-type name="Journal Article"&gt;17&lt;/ref-type&gt;&lt;contributors&gt;&lt;authors&gt;&lt;author&gt;Carpentier, Nico&lt;/author&gt;&lt;author&gt;Van Brussel, Leen&lt;/author&gt;&lt;/authors&gt;&lt;/contributors&gt;&lt;titles&gt;&lt;title&gt;On the contingency of death: a discourse-theoretical perspective on the construction of death&lt;/title&gt;&lt;secondary-title&gt;Critical Discourse Studies&lt;/secondary-title&gt;&lt;/titles&gt;&lt;periodical&gt;&lt;full-title&gt;Critical Discourse Studies&lt;/full-title&gt;&lt;/periodical&gt;&lt;pages&gt;99-115&lt;/pages&gt;&lt;volume&gt;9&lt;/volume&gt;&lt;number&gt;2&lt;/number&gt;&lt;dates&gt;&lt;year&gt;2012&lt;/year&gt;&lt;/dates&gt;&lt;publisher&gt;Routledge&lt;/publisher&gt;&lt;isbn&gt;1740-5904&lt;/isbn&gt;&lt;urls&gt;&lt;related-urls&gt;&lt;url&gt;https://doi.org/10.1080/17405904.2012.656372&lt;/url&gt;&lt;/related-urls&gt;&lt;/urls&gt;&lt;electronic-resource-num&gt;10.1080/17405904.2012.656372&lt;/electronic-resource-num&gt;&lt;/record&gt;&lt;/Cite&gt;&lt;/EndNote&gt;</w:instrText>
      </w:r>
      <w:r>
        <w:rPr>
          <w:lang w:val="en-US" w:eastAsia="zh-CN"/>
        </w:rPr>
        <w:fldChar w:fldCharType="separate"/>
      </w:r>
      <w:r>
        <w:rPr>
          <w:noProof/>
          <w:lang w:val="en-US" w:eastAsia="zh-CN"/>
        </w:rPr>
        <w:t>(Carpentier &amp; Van Brussel, 2012, p. 100)</w:t>
      </w:r>
      <w:r>
        <w:rPr>
          <w:lang w:val="en-US" w:eastAsia="zh-CN"/>
        </w:rPr>
        <w:fldChar w:fldCharType="end"/>
      </w:r>
      <w:r>
        <w:rPr>
          <w:lang w:val="en-US" w:eastAsia="zh-CN"/>
        </w:rPr>
        <w:t xml:space="preserve">. </w:t>
      </w:r>
    </w:p>
    <w:p w14:paraId="531E8505" w14:textId="77777777" w:rsidR="00256B3D" w:rsidRDefault="00256B3D" w:rsidP="00256B3D">
      <w:pPr>
        <w:pStyle w:val="BodyText"/>
        <w:rPr>
          <w:lang w:val="en-US"/>
        </w:rPr>
      </w:pPr>
      <w:r w:rsidRPr="00C2055D">
        <w:rPr>
          <w:lang w:val="en-US"/>
        </w:rPr>
        <w:t xml:space="preserve">As one </w:t>
      </w:r>
      <w:r>
        <w:rPr>
          <w:lang w:val="en-US"/>
        </w:rPr>
        <w:t>type of</w:t>
      </w:r>
      <w:r w:rsidRPr="00C2055D">
        <w:rPr>
          <w:lang w:val="en-US"/>
        </w:rPr>
        <w:t xml:space="preserve"> deathcare service,</w:t>
      </w:r>
      <w:r>
        <w:rPr>
          <w:lang w:val="en-US"/>
        </w:rPr>
        <w:t xml:space="preserve"> a </w:t>
      </w:r>
      <w:r w:rsidRPr="00397A74">
        <w:rPr>
          <w:lang w:val="en-US"/>
        </w:rPr>
        <w:t>funeral service is a ceremony that commemorates the life of a deceased person</w:t>
      </w:r>
      <w:r>
        <w:rPr>
          <w:lang w:val="en-US"/>
        </w:rPr>
        <w:t xml:space="preserve"> </w:t>
      </w:r>
      <w:r>
        <w:rPr>
          <w:lang w:val="en-US"/>
        </w:rPr>
        <w:fldChar w:fldCharType="begin"/>
      </w:r>
      <w:r>
        <w:rPr>
          <w:lang w:val="en-US"/>
        </w:rPr>
        <w:instrText xml:space="preserve"> ADDIN EN.CITE &lt;EndNote&gt;&lt;Cite&gt;&lt;Author&gt;National Funeral Directors Association&lt;/Author&gt;&lt;Year&gt;n.d.&lt;/Year&gt;&lt;RecNum&gt;2285&lt;/RecNum&gt;&lt;DisplayText&gt;(National Funeral Directors Association, n.d.)&lt;/DisplayText&gt;&lt;record&gt;&lt;rec-number&gt;2285&lt;/rec-number&gt;&lt;foreign-keys&gt;&lt;key app="EN" db-id="2pe9e00ros0veneeptspa5vhz0pw2az52v20" timestamp="1707878397" guid="307241e3-3ebb-40de-b145-6efe2e87f6aa"&gt;2285&lt;/key&gt;&lt;/foreign-keys&gt;&lt;ref-type name="Web Page"&gt;12&lt;/ref-type&gt;&lt;contributors&gt;&lt;authors&gt;&lt;author&gt;National Funeral Directors Association,&lt;/author&gt;&lt;/authors&gt;&lt;/contributors&gt;&lt;titles&gt;&lt;title&gt;Funeral Service 101&lt;/title&gt;&lt;/titles&gt;&lt;volume&gt;2024&lt;/volume&gt;&lt;number&gt;Feb. 13&lt;/number&gt;&lt;dates&gt;&lt;year&gt;n.d.&lt;/year&gt;&lt;/dates&gt;&lt;pub-location&gt;National Funeral Directors Association&lt;/pub-location&gt;&lt;publisher&gt;National Funeral Directors Association&lt;/publisher&gt;&lt;urls&gt;&lt;related-urls&gt;&lt;url&gt;https://nfda.org/news/funeral-service-101&lt;/url&gt;&lt;/related-urls&gt;&lt;/urls&gt;&lt;/record&gt;&lt;/Cite&gt;&lt;/EndNote&gt;</w:instrText>
      </w:r>
      <w:r>
        <w:rPr>
          <w:lang w:val="en-US"/>
        </w:rPr>
        <w:fldChar w:fldCharType="separate"/>
      </w:r>
      <w:r>
        <w:rPr>
          <w:noProof/>
          <w:lang w:val="en-US"/>
        </w:rPr>
        <w:t>(National Funeral Directors Association, n.d.)</w:t>
      </w:r>
      <w:r>
        <w:rPr>
          <w:lang w:val="en-US"/>
        </w:rPr>
        <w:fldChar w:fldCharType="end"/>
      </w:r>
      <w:r>
        <w:rPr>
          <w:lang w:val="en-US"/>
        </w:rPr>
        <w:t xml:space="preserve">, and it is </w:t>
      </w:r>
      <w:r w:rsidRPr="00C2055D">
        <w:rPr>
          <w:lang w:val="en-US"/>
        </w:rPr>
        <w:t>deeply involved in the commerce-care dialectic</w:t>
      </w:r>
      <w:r>
        <w:rPr>
          <w:lang w:val="en-US"/>
        </w:rPr>
        <w:t xml:space="preserve"> provided by funeral homes. </w:t>
      </w:r>
      <w:r>
        <w:rPr>
          <w:lang w:val="en-US"/>
        </w:rPr>
        <w:fldChar w:fldCharType="begin"/>
      </w:r>
      <w:r>
        <w:rPr>
          <w:lang w:val="en-US"/>
        </w:rPr>
        <w:instrText xml:space="preserve"> ADDIN EN.CITE &lt;EndNote&gt;&lt;Cite AuthorYear="1"&gt;&lt;Author&gt;Korai&lt;/Author&gt;&lt;Year&gt;2017&lt;/Year&gt;&lt;RecNum&gt;1580&lt;/RecNum&gt;&lt;DisplayText&gt;Korai and Souiden (2017)&lt;/DisplayText&gt;&lt;record&gt;&lt;rec-number&gt;1580&lt;/rec-number&gt;&lt;foreign-keys&gt;&lt;key app="EN" db-id="2pe9e00ros0veneeptspa5vhz0pw2az52v20" timestamp="1647070679" guid="a0d28c82-ad72-41c5-86e7-f42fa9266578"&gt;1580&lt;/key&gt;&lt;/foreign-keys&gt;&lt;ref-type name="Journal Article"&gt;17&lt;/ref-type&gt;&lt;contributors&gt;&lt;authors&gt;&lt;author&gt;Korai, Bernard&lt;/author&gt;&lt;author&gt;Souiden, Nizar&lt;/author&gt;&lt;/authors&gt;&lt;/contributors&gt;&lt;titles&gt;&lt;title&gt;Rethinking functionality and emotions in the service consumption process: the case of funeral services&lt;/title&gt;&lt;secondary-title&gt;Journal of Services Marketing&lt;/secondary-title&gt;&lt;/titles&gt;&lt;periodical&gt;&lt;full-title&gt;Journal of Services Marketing&lt;/full-title&gt;&lt;/periodical&gt;&lt;volume&gt;31&lt;/volume&gt;&lt;number&gt;3&lt;/number&gt;&lt;dates&gt;&lt;year&gt;2017&lt;/year&gt;&lt;/dates&gt;&lt;isbn&gt;0887-6045&lt;/isbn&gt;&lt;urls&gt;&lt;/urls&gt;&lt;electronic-resource-num&gt;10.1108/JSM-03-2015-0132&lt;/electronic-resource-num&gt;&lt;/record&gt;&lt;/Cite&gt;&lt;/EndNote&gt;</w:instrText>
      </w:r>
      <w:r>
        <w:rPr>
          <w:lang w:val="en-US"/>
        </w:rPr>
        <w:fldChar w:fldCharType="separate"/>
      </w:r>
      <w:r>
        <w:rPr>
          <w:noProof/>
          <w:lang w:val="en-US"/>
        </w:rPr>
        <w:t>Korai and Souiden (2017)</w:t>
      </w:r>
      <w:r>
        <w:rPr>
          <w:lang w:val="en-US"/>
        </w:rPr>
        <w:fldChar w:fldCharType="end"/>
      </w:r>
      <w:r>
        <w:rPr>
          <w:lang w:val="en-US"/>
        </w:rPr>
        <w:t xml:space="preserve"> characterize funeral services as involving </w:t>
      </w:r>
      <w:r w:rsidRPr="000C3C9F">
        <w:rPr>
          <w:lang w:val="en-US"/>
        </w:rPr>
        <w:t>strong emotiveness, non-recurrence, irreversibility, uncommonness, symbolism</w:t>
      </w:r>
      <w:r>
        <w:rPr>
          <w:lang w:val="en-US"/>
        </w:rPr>
        <w:t xml:space="preserve">, and </w:t>
      </w:r>
      <w:r w:rsidRPr="000C3C9F">
        <w:rPr>
          <w:lang w:val="en-US"/>
        </w:rPr>
        <w:t>personalization</w:t>
      </w:r>
      <w:r>
        <w:rPr>
          <w:lang w:val="en-US"/>
        </w:rPr>
        <w:t>. Throughout the</w:t>
      </w:r>
      <w:r w:rsidRPr="005652EF">
        <w:rPr>
          <w:lang w:val="en-US"/>
        </w:rPr>
        <w:t xml:space="preserve"> </w:t>
      </w:r>
      <w:r>
        <w:rPr>
          <w:lang w:val="en-US"/>
        </w:rPr>
        <w:t xml:space="preserve">history of funeral homes in </w:t>
      </w:r>
      <w:r w:rsidRPr="006D4280">
        <w:rPr>
          <w:lang w:val="en-US"/>
        </w:rPr>
        <w:t>twentieth</w:t>
      </w:r>
      <w:r>
        <w:rPr>
          <w:lang w:val="en-US"/>
        </w:rPr>
        <w:t>-</w:t>
      </w:r>
      <w:r w:rsidRPr="006D4280">
        <w:rPr>
          <w:lang w:val="en-US"/>
        </w:rPr>
        <w:t>century</w:t>
      </w:r>
      <w:r>
        <w:rPr>
          <w:lang w:val="en-US"/>
        </w:rPr>
        <w:t xml:space="preserve"> America, the commerce-care dialectic has been dancing in the funeral industry </w:t>
      </w:r>
      <w:r w:rsidRPr="006D4280">
        <w:fldChar w:fldCharType="begin"/>
      </w:r>
      <w:r>
        <w:instrText xml:space="preserve"> ADDIN EN.CITE &lt;EndNote&gt;&lt;Cite&gt;&lt;Author&gt;Laderman&lt;/Author&gt;&lt;Year&gt;2003&lt;/Year&gt;&lt;RecNum&gt;1515&lt;/RecNum&gt;&lt;DisplayText&gt;(Laderman, 2003)&lt;/DisplayText&gt;&lt;record&gt;&lt;rec-number&gt;1515&lt;/rec-number&gt;&lt;foreign-keys&gt;&lt;key app="EN" db-id="2pe9e00ros0veneeptspa5vhz0pw2az52v20" timestamp="1643834392" guid="58d33cc6-f04e-42ae-bc63-91997b779f9c"&gt;1515&lt;/key&gt;&lt;/foreign-keys&gt;&lt;ref-type name="Book"&gt;6&lt;/ref-type&gt;&lt;contributors&gt;&lt;authors&gt;&lt;author&gt;Laderman, Gary&lt;/author&gt;&lt;/authors&gt;&lt;/contributors&gt;&lt;titles&gt;&lt;title&gt;Rest in peace: A cultural history of death and the funeral home in twentieth-century America&lt;/title&gt;&lt;/titles&gt;&lt;dates&gt;&lt;year&gt;2003&lt;/year&gt;&lt;/dates&gt;&lt;publisher&gt;Oxford University Press&lt;/publisher&gt;&lt;isbn&gt;019518355X&lt;/isbn&gt;&lt;urls&gt;&lt;/urls&gt;&lt;/record&gt;&lt;/Cite&gt;&lt;/EndNote&gt;</w:instrText>
      </w:r>
      <w:r w:rsidRPr="006D4280">
        <w:fldChar w:fldCharType="separate"/>
      </w:r>
      <w:r w:rsidRPr="006D4280">
        <w:rPr>
          <w:noProof/>
        </w:rPr>
        <w:t>(Laderman, 2003)</w:t>
      </w:r>
      <w:r w:rsidRPr="006D4280">
        <w:fldChar w:fldCharType="end"/>
      </w:r>
      <w:r>
        <w:rPr>
          <w:lang w:val="en-US"/>
        </w:rPr>
        <w:t>. In the early 20</w:t>
      </w:r>
      <w:r w:rsidRPr="00BE1F3F">
        <w:rPr>
          <w:vertAlign w:val="superscript"/>
          <w:lang w:val="en-US"/>
        </w:rPr>
        <w:t>th</w:t>
      </w:r>
      <w:r>
        <w:rPr>
          <w:lang w:val="en-US"/>
        </w:rPr>
        <w:t xml:space="preserve"> century, the commercial aspects of funeral services were, at times, criticized as paganism </w:t>
      </w:r>
      <w:r>
        <w:rPr>
          <w:lang w:val="en-US"/>
        </w:rPr>
        <w:fldChar w:fldCharType="begin"/>
      </w:r>
      <w:r>
        <w:rPr>
          <w:lang w:val="en-US"/>
        </w:rPr>
        <w:instrText xml:space="preserve"> ADDIN EN.CITE &lt;EndNote&gt;&lt;Cite&gt;&lt;Author&gt;Bowman&lt;/Author&gt;&lt;Year&gt;1975&lt;/Year&gt;&lt;RecNum&gt;1949&lt;/RecNum&gt;&lt;Prefix&gt;e.g.`, &lt;/Prefix&gt;&lt;DisplayText&gt;(e.g., Bowman, 1975)&lt;/DisplayText&gt;&lt;record&gt;&lt;rec-number&gt;1949&lt;/rec-number&gt;&lt;foreign-keys&gt;&lt;key app="EN" db-id="2pe9e00ros0veneeptspa5vhz0pw2az52v20" timestamp="1694056506" guid="7a64f84e-33e9-46cb-a98f-6b0a36f0bef2"&gt;1949&lt;/key&gt;&lt;/foreign-keys&gt;&lt;ref-type name="Book"&gt;6&lt;/ref-type&gt;&lt;contributors&gt;&lt;authors&gt;&lt;author&gt;Bowman, LeRoy&lt;/author&gt;&lt;/authors&gt;&lt;/contributors&gt;&lt;titles&gt;&lt;title&gt;American funeral: A study in guilt, extravagance, and sublimity&lt;/title&gt;&lt;/titles&gt;&lt;dates&gt;&lt;year&gt;1975&lt;/year&gt;&lt;/dates&gt;&lt;pub-location&gt;Westport, Conn.&lt;/pub-location&gt;&lt;publisher&gt;Greenwood Westport, Conn.&lt;/publisher&gt;&lt;isbn&gt;0837167493; 9780837167497&lt;/isbn&gt;&lt;urls&gt;&lt;/urls&gt;&lt;language&gt;eng&lt;/language&gt;&lt;/record&gt;&lt;/Cite&gt;&lt;/EndNote&gt;</w:instrText>
      </w:r>
      <w:r>
        <w:rPr>
          <w:lang w:val="en-US"/>
        </w:rPr>
        <w:fldChar w:fldCharType="separate"/>
      </w:r>
      <w:r>
        <w:rPr>
          <w:noProof/>
          <w:lang w:val="en-US"/>
        </w:rPr>
        <w:t>(e.g., Bowman, 1975)</w:t>
      </w:r>
      <w:r>
        <w:rPr>
          <w:lang w:val="en-US"/>
        </w:rPr>
        <w:fldChar w:fldCharType="end"/>
      </w:r>
      <w:r>
        <w:rPr>
          <w:lang w:val="en-US"/>
        </w:rPr>
        <w:t>—a practice that challenged religious authority as it pertains to death and dying. In the mid-20</w:t>
      </w:r>
      <w:r w:rsidRPr="00BE1F3F">
        <w:rPr>
          <w:vertAlign w:val="superscript"/>
          <w:lang w:val="en-US"/>
        </w:rPr>
        <w:t>th</w:t>
      </w:r>
      <w:r>
        <w:rPr>
          <w:lang w:val="en-US"/>
        </w:rPr>
        <w:t xml:space="preserve"> century, accompanied by commercialism, funeral services were </w:t>
      </w:r>
      <w:r w:rsidRPr="00F223BC">
        <w:t>criticized as deceitful rather than trustworthy and sincere in their funeral service businesses</w:t>
      </w:r>
      <w:r>
        <w:rPr>
          <w:lang w:val="en-US"/>
        </w:rPr>
        <w:t xml:space="preserve"> </w:t>
      </w:r>
      <w:r>
        <w:rPr>
          <w:lang w:val="en-US"/>
        </w:rPr>
        <w:fldChar w:fldCharType="begin"/>
      </w:r>
      <w:r>
        <w:rPr>
          <w:lang w:val="en-US"/>
        </w:rPr>
        <w:instrText xml:space="preserve"> ADDIN EN.CITE &lt;EndNote&gt;&lt;Cite&gt;&lt;Author&gt;Mitford&lt;/Author&gt;&lt;Year&gt;2000&lt;/Year&gt;&lt;RecNum&gt;1516&lt;/RecNum&gt;&lt;Prefix&gt;e.g.`, &lt;/Prefix&gt;&lt;DisplayText&gt;(e.g., Mitford, 2000)&lt;/DisplayText&gt;&lt;record&gt;&lt;rec-number&gt;1516&lt;/rec-number&gt;&lt;foreign-keys&gt;&lt;key app="EN" db-id="2pe9e00ros0veneeptspa5vhz0pw2az52v20" timestamp="1643841757" guid="c4a0500f-1f80-4d6c-ae96-152b9c1347ba"&gt;1516&lt;/key&gt;&lt;/foreign-keys&gt;&lt;ref-type name="Book"&gt;6&lt;/ref-type&gt;&lt;contributors&gt;&lt;authors&gt;&lt;author&gt;Mitford, Jessica&lt;/author&gt;&lt;/authors&gt;&lt;/contributors&gt;&lt;titles&gt;&lt;title&gt;The American way of death revisited&lt;/title&gt;&lt;/titles&gt;&lt;dates&gt;&lt;year&gt;2000&lt;/year&gt;&lt;/dates&gt;&lt;publisher&gt;Vintage&lt;/publisher&gt;&lt;isbn&gt;0679771867&lt;/isbn&gt;&lt;urls&gt;&lt;/urls&gt;&lt;/record&gt;&lt;/Cite&gt;&lt;/EndNote&gt;</w:instrText>
      </w:r>
      <w:r>
        <w:rPr>
          <w:lang w:val="en-US"/>
        </w:rPr>
        <w:fldChar w:fldCharType="separate"/>
      </w:r>
      <w:r>
        <w:rPr>
          <w:noProof/>
          <w:lang w:val="en-US"/>
        </w:rPr>
        <w:t>(e.g., Mitford, 2000)</w:t>
      </w:r>
      <w:r>
        <w:rPr>
          <w:lang w:val="en-US"/>
        </w:rPr>
        <w:fldChar w:fldCharType="end"/>
      </w:r>
      <w:r>
        <w:rPr>
          <w:lang w:val="en-US"/>
        </w:rPr>
        <w:t>. In the late 20</w:t>
      </w:r>
      <w:r w:rsidRPr="0010069B">
        <w:rPr>
          <w:vertAlign w:val="superscript"/>
          <w:lang w:val="en-US"/>
        </w:rPr>
        <w:t>th</w:t>
      </w:r>
      <w:r>
        <w:rPr>
          <w:lang w:val="en-US"/>
        </w:rPr>
        <w:t xml:space="preserve"> century, accompanied by McDonaldization (i.e., a</w:t>
      </w:r>
      <w:r w:rsidRPr="00A54EA5">
        <w:rPr>
          <w:lang w:val="en-US"/>
        </w:rPr>
        <w:t xml:space="preserve"> process by which work is overl</w:t>
      </w:r>
      <w:r>
        <w:rPr>
          <w:lang w:val="en-US"/>
        </w:rPr>
        <w:t xml:space="preserve">y </w:t>
      </w:r>
      <w:r w:rsidRPr="00A54EA5">
        <w:rPr>
          <w:lang w:val="en-US"/>
        </w:rPr>
        <w:t>routinized and therefore made to require less skill</w:t>
      </w:r>
      <w:r>
        <w:rPr>
          <w:lang w:val="en-US"/>
        </w:rPr>
        <w:t>s</w:t>
      </w:r>
      <w:r w:rsidRPr="00A54EA5">
        <w:rPr>
          <w:lang w:val="en-US"/>
        </w:rPr>
        <w:t xml:space="preserve"> in order to deliver cheaper and quicker</w:t>
      </w:r>
      <w:r>
        <w:rPr>
          <w:lang w:val="en-US"/>
        </w:rPr>
        <w:t xml:space="preserve"> products</w:t>
      </w:r>
      <w:r w:rsidRPr="00A54EA5">
        <w:rPr>
          <w:lang w:val="en-US"/>
        </w:rPr>
        <w:t xml:space="preserve"> to consumers</w:t>
      </w:r>
      <w:r>
        <w:rPr>
          <w:lang w:val="en-US"/>
        </w:rPr>
        <w:t xml:space="preserve">, Ritzer, 1983), funeral homes became corporations with complex bureaucratization, </w:t>
      </w:r>
      <w:r w:rsidRPr="00EE32C5">
        <w:rPr>
          <w:lang w:val="en-US"/>
        </w:rPr>
        <w:t xml:space="preserve">which deviated from care </w:t>
      </w:r>
      <w:r>
        <w:rPr>
          <w:lang w:val="en-US"/>
        </w:rPr>
        <w:t xml:space="preserve">in </w:t>
      </w:r>
      <w:r>
        <w:rPr>
          <w:lang w:val="en-US"/>
        </w:rPr>
        <w:lastRenderedPageBreak/>
        <w:t xml:space="preserve">funeral </w:t>
      </w:r>
      <w:r w:rsidRPr="00EE32C5">
        <w:rPr>
          <w:lang w:val="en-US"/>
        </w:rPr>
        <w:t>services</w:t>
      </w:r>
      <w:r>
        <w:rPr>
          <w:lang w:val="en-US"/>
        </w:rPr>
        <w:t xml:space="preserve"> </w:t>
      </w:r>
      <w:r>
        <w:rPr>
          <w:lang w:val="en-US"/>
        </w:rPr>
        <w:fldChar w:fldCharType="begin"/>
      </w:r>
      <w:r>
        <w:rPr>
          <w:lang w:val="en-US"/>
        </w:rPr>
        <w:instrText xml:space="preserve"> ADDIN EN.CITE &lt;EndNote&gt;&lt;Cite&gt;&lt;Author&gt;Lofland&lt;/Author&gt;&lt;Year&gt;2019&lt;/Year&gt;&lt;RecNum&gt;1609&lt;/RecNum&gt;&lt;Prefix&gt;e.g.`, &lt;/Prefix&gt;&lt;DisplayText&gt;(e.g., Lofland, 2019)&lt;/DisplayText&gt;&lt;record&gt;&lt;rec-number&gt;1609&lt;/rec-number&gt;&lt;foreign-keys&gt;&lt;key app="EN" db-id="2pe9e00ros0veneeptspa5vhz0pw2az52v20" timestamp="1647748384" guid="830871c4-3699-42e6-b0fd-f1f9cf75e4d6"&gt;1609&lt;/key&gt;&lt;/foreign-keys&gt;&lt;ref-type name="Book"&gt;6&lt;/ref-type&gt;&lt;contributors&gt;&lt;authors&gt;&lt;author&gt;Lofland, Lyn H&lt;/author&gt;&lt;/authors&gt;&lt;/contributors&gt;&lt;titles&gt;&lt;title&gt;The craft of dying: The modern face of death&lt;/title&gt;&lt;/titles&gt;&lt;dates&gt;&lt;year&gt;2019&lt;/year&gt;&lt;/dates&gt;&lt;publisher&gt;Sage Publications&lt;/publisher&gt;&lt;isbn&gt;0262537346&lt;/isbn&gt;&lt;urls&gt;&lt;/urls&gt;&lt;/record&gt;&lt;/Cite&gt;&lt;/EndNote&gt;</w:instrText>
      </w:r>
      <w:r>
        <w:rPr>
          <w:lang w:val="en-US"/>
        </w:rPr>
        <w:fldChar w:fldCharType="separate"/>
      </w:r>
      <w:r>
        <w:rPr>
          <w:noProof/>
          <w:lang w:val="en-US"/>
        </w:rPr>
        <w:t>(e.g., Lofland, 2019)</w:t>
      </w:r>
      <w:r>
        <w:rPr>
          <w:lang w:val="en-US"/>
        </w:rPr>
        <w:fldChar w:fldCharType="end"/>
      </w:r>
      <w:r>
        <w:rPr>
          <w:lang w:val="en-US"/>
        </w:rPr>
        <w:t xml:space="preserve">. At present, the </w:t>
      </w:r>
      <w:r w:rsidRPr="00C54929">
        <w:t xml:space="preserve">National Funeral Directors Association </w:t>
      </w:r>
      <w:r w:rsidRPr="00C54929">
        <w:rPr>
          <w:lang w:val="en-US"/>
        </w:rPr>
        <w:fldChar w:fldCharType="begin"/>
      </w:r>
      <w:r>
        <w:rPr>
          <w:lang w:val="en-US"/>
        </w:rPr>
        <w:instrText xml:space="preserve"> ADDIN EN.CITE &lt;EndNote&gt;&lt;Cite ExcludeAuth="1"&gt;&lt;Author&gt;National Funeral Directors Association&lt;/Author&gt;&lt;Year&gt;2023&lt;/Year&gt;&lt;RecNum&gt;1113&lt;/RecNum&gt;&lt;Prefix&gt;NFDA`, &lt;/Prefix&gt;&lt;DisplayText&gt;(NFDA, 2023)&lt;/DisplayText&gt;&lt;record&gt;&lt;rec-number&gt;1113&lt;/rec-number&gt;&lt;foreign-keys&gt;&lt;key app="EN" db-id="2pe9e00ros0veneeptspa5vhz0pw2az52v20" timestamp="1609653771" guid="84425635-4dd1-4892-b169-16e3e80f8048"&gt;1113&lt;/key&gt;&lt;/foreign-keys&gt;&lt;ref-type name="Web Page"&gt;12&lt;/ref-type&gt;&lt;contributors&gt;&lt;authors&gt;&lt;author&gt;National Funeral Directors Association,&lt;/author&gt;&lt;/authors&gt;&lt;/contributors&gt;&lt;titles&gt;&lt;title&gt;Statistics&lt;/title&gt;&lt;/titles&gt;&lt;volume&gt;2023&lt;/volume&gt;&lt;number&gt;Aug. 3&lt;/number&gt;&lt;dates&gt;&lt;year&gt;2023&lt;/year&gt;&lt;/dates&gt;&lt;pub-location&gt;National Funeral Directors Association&lt;/pub-location&gt;&lt;publisher&gt;National Funeral Directors Association&lt;/publisher&gt;&lt;urls&gt;&lt;related-urls&gt;&lt;url&gt;https://nfda.org/news/statistics&lt;/url&gt;&lt;/related-urls&gt;&lt;/urls&gt;&lt;/record&gt;&lt;/Cite&gt;&lt;/EndNote&gt;</w:instrText>
      </w:r>
      <w:r w:rsidRPr="00C54929">
        <w:rPr>
          <w:lang w:val="en-US"/>
        </w:rPr>
        <w:fldChar w:fldCharType="separate"/>
      </w:r>
      <w:r>
        <w:rPr>
          <w:noProof/>
          <w:lang w:val="en-US"/>
        </w:rPr>
        <w:t>(NFDA, 2023)</w:t>
      </w:r>
      <w:r w:rsidRPr="00C54929">
        <w:rPr>
          <w:lang w:val="en-US"/>
        </w:rPr>
        <w:fldChar w:fldCharType="end"/>
      </w:r>
      <w:r w:rsidRPr="00C54929">
        <w:rPr>
          <w:lang w:val="en-US"/>
        </w:rPr>
        <w:t xml:space="preserve"> reported more than </w:t>
      </w:r>
      <w:r w:rsidRPr="00C54929">
        <w:t>1</w:t>
      </w:r>
      <w:r w:rsidRPr="00C54929">
        <w:rPr>
          <w:lang w:val="en-US"/>
        </w:rPr>
        <w:t>8,800</w:t>
      </w:r>
      <w:r w:rsidRPr="00C54929">
        <w:t xml:space="preserve"> funeral homes throughout the United States in 20</w:t>
      </w:r>
      <w:r w:rsidRPr="00C54929">
        <w:rPr>
          <w:lang w:val="en-US"/>
        </w:rPr>
        <w:t>21</w:t>
      </w:r>
      <w:r>
        <w:rPr>
          <w:lang w:val="en-US"/>
        </w:rPr>
        <w:t xml:space="preserve">; the funeral industry generated $16.323 billion in revenue and employed about 141,000 people; the national medium cost of a funeral with a viewing and burial was $7,848 while a funeral with cremation was $6,971. Except for business requirements, professional funeral directors are expected and motivated to provide support and care to the bereaved, such as allowing personalized funerals </w:t>
      </w:r>
      <w:r>
        <w:rPr>
          <w:lang w:val="en-US"/>
        </w:rPr>
        <w:fldChar w:fldCharType="begin"/>
      </w:r>
      <w:r>
        <w:rPr>
          <w:lang w:val="en-US"/>
        </w:rPr>
        <w:instrText xml:space="preserve"> ADDIN EN.CITE &lt;EndNote&gt;&lt;Cite&gt;&lt;Author&gt;Schafer&lt;/Author&gt;&lt;Year&gt;2012&lt;/Year&gt;&lt;RecNum&gt;1132&lt;/RecNum&gt;&lt;DisplayText&gt;(Schafer, 2012)&lt;/DisplayText&gt;&lt;record&gt;&lt;rec-number&gt;1132&lt;/rec-number&gt;&lt;foreign-keys&gt;&lt;key app="EN" db-id="2pe9e00ros0veneeptspa5vhz0pw2az52v20" timestamp="1609653874" guid="91f76886-d4e3-4389-8543-9160bc401817"&gt;1132&lt;/key&gt;&lt;/foreign-keys&gt;&lt;ref-type name="Journal Article"&gt;17&lt;/ref-type&gt;&lt;contributors&gt;&lt;authors&gt;&lt;author&gt;Schafer, Cyril&lt;/author&gt;&lt;/authors&gt;&lt;/contributors&gt;&lt;titles&gt;&lt;title&gt;Corpses, conflict and insignificance? A critical analysis of post-mortem practices&lt;/title&gt;&lt;secondary-title&gt;Mortality&lt;/secondary-title&gt;&lt;/titles&gt;&lt;periodical&gt;&lt;full-title&gt;Mortality&lt;/full-title&gt;&lt;/periodical&gt;&lt;pages&gt;305-321&lt;/pages&gt;&lt;volume&gt;17&lt;/volume&gt;&lt;number&gt;4&lt;/number&gt;&lt;dates&gt;&lt;year&gt;2012&lt;/year&gt;&lt;/dates&gt;&lt;isbn&gt;1357-6275&lt;/isbn&gt;&lt;urls&gt;&lt;/urls&gt;&lt;electronic-resource-num&gt;10.1080/13576275.2012.731724&lt;/electronic-resource-num&gt;&lt;/record&gt;&lt;/Cite&gt;&lt;/EndNote&gt;</w:instrText>
      </w:r>
      <w:r>
        <w:rPr>
          <w:lang w:val="en-US"/>
        </w:rPr>
        <w:fldChar w:fldCharType="separate"/>
      </w:r>
      <w:r>
        <w:rPr>
          <w:noProof/>
          <w:lang w:val="en-US"/>
        </w:rPr>
        <w:t>(Schafer, 2012)</w:t>
      </w:r>
      <w:r>
        <w:rPr>
          <w:lang w:val="en-US"/>
        </w:rPr>
        <w:fldChar w:fldCharType="end"/>
      </w:r>
      <w:r>
        <w:rPr>
          <w:lang w:val="en-US"/>
        </w:rPr>
        <w:t xml:space="preserve">, comforting the bereaved in funeral planning </w:t>
      </w:r>
      <w:r>
        <w:rPr>
          <w:lang w:val="en-US"/>
        </w:rPr>
        <w:fldChar w:fldCharType="begin"/>
      </w:r>
      <w:r>
        <w:rPr>
          <w:lang w:val="en-US"/>
        </w:rPr>
        <w:instrText xml:space="preserve"> ADDIN EN.CITE &lt;EndNote&gt;&lt;Cite&gt;&lt;Author&gt;Hyland&lt;/Author&gt;&lt;Year&gt;1995&lt;/Year&gt;&lt;RecNum&gt;1172&lt;/RecNum&gt;&lt;DisplayText&gt;(Hyland &amp;amp; Morse, 1995)&lt;/DisplayText&gt;&lt;record&gt;&lt;rec-number&gt;1172&lt;/rec-number&gt;&lt;foreign-keys&gt;&lt;key app="EN" db-id="2pe9e00ros0veneeptspa5vhz0pw2az52v20" timestamp="1609653957" guid="dbcad98b-5494-4c16-a191-142e82a1af72"&gt;1172&lt;/key&gt;&lt;/foreign-keys&gt;&lt;ref-type name="Journal Article"&gt;17&lt;/ref-type&gt;&lt;contributors&gt;&lt;authors&gt;&lt;author&gt;Hyland, L.&lt;/author&gt;&lt;author&gt;Morse, J. M.&lt;/author&gt;&lt;/authors&gt;&lt;/contributors&gt;&lt;auth-address&gt;Penn State Univ,Coll Dev,Sch Nursing,University Pk,Pa 16802&amp;#xD;Strathcona Cty Family &amp;amp; Community Serv,Edmonton,Ab,Canada&lt;/auth-address&gt;&lt;titles&gt;&lt;title&gt;Orchestrating Comfort - the Role of funeral directors&lt;/title&gt;&lt;secondary-title&gt;Death Studies&lt;/secondary-title&gt;&lt;alt-title&gt;Death Stud&lt;/alt-title&gt;&lt;/titles&gt;&lt;periodical&gt;&lt;full-title&gt;Death Studies&lt;/full-title&gt;&lt;/periodical&gt;&lt;pages&gt;453-474&lt;/pages&gt;&lt;volume&gt;19&lt;/volume&gt;&lt;number&gt;5&lt;/number&gt;&lt;dates&gt;&lt;year&gt;1995&lt;/year&gt;&lt;/dates&gt;&lt;isbn&gt;0748-1187&lt;/isbn&gt;&lt;accession-num&gt;WOS:A1995RU51700003&lt;/accession-num&gt;&lt;urls&gt;&lt;related-urls&gt;&lt;url&gt;&amp;lt;Go to ISI&amp;gt;://WOS:A1995RU51700003&lt;/url&gt;&lt;/related-urls&gt;&lt;/urls&gt;&lt;electronic-resource-num&gt;10.1080/07481189508253393&lt;/electronic-resource-num&gt;&lt;language&gt;English&lt;/language&gt;&lt;/record&gt;&lt;/Cite&gt;&lt;/EndNote&gt;</w:instrText>
      </w:r>
      <w:r>
        <w:rPr>
          <w:lang w:val="en-US"/>
        </w:rPr>
        <w:fldChar w:fldCharType="separate"/>
      </w:r>
      <w:r>
        <w:rPr>
          <w:noProof/>
          <w:lang w:val="en-US"/>
        </w:rPr>
        <w:t>(Hyland &amp; Morse, 1995)</w:t>
      </w:r>
      <w:r>
        <w:rPr>
          <w:lang w:val="en-US"/>
        </w:rPr>
        <w:fldChar w:fldCharType="end"/>
      </w:r>
      <w:r>
        <w:rPr>
          <w:lang w:val="en-US"/>
        </w:rPr>
        <w:t xml:space="preserve">, and emotional cultivation in mortuary education </w:t>
      </w:r>
      <w:r>
        <w:rPr>
          <w:lang w:val="en-US"/>
        </w:rPr>
        <w:fldChar w:fldCharType="begin"/>
      </w:r>
      <w:r>
        <w:rPr>
          <w:lang w:val="en-US"/>
        </w:rPr>
        <w:instrText xml:space="preserve"> ADDIN EN.CITE &lt;EndNote&gt;&lt;Cite&gt;&lt;Author&gt;Cahill&lt;/Author&gt;&lt;Year&gt;1999&lt;/Year&gt;&lt;RecNum&gt;938&lt;/RecNum&gt;&lt;DisplayText&gt;(Cahill, 1999a)&lt;/DisplayText&gt;&lt;record&gt;&lt;rec-number&gt;938&lt;/rec-number&gt;&lt;foreign-keys&gt;&lt;key app="EN" db-id="2pe9e00ros0veneeptspa5vhz0pw2az52v20" timestamp="1602206124" guid="3b0361de-ca24-481c-a0fc-5b9b9e2ec937"&gt;938&lt;/key&gt;&lt;/foreign-keys&gt;&lt;ref-type name="Journal Article"&gt;17&lt;/ref-type&gt;&lt;contributors&gt;&lt;authors&gt;&lt;author&gt;Cahill, S. E.&lt;/author&gt;&lt;/authors&gt;&lt;/contributors&gt;&lt;auth-address&gt;Univ S Florida, Tampa, FL 33620 USA&lt;/auth-address&gt;&lt;titles&gt;&lt;title&gt;The boundaries of professionalization: The case of North American funeral direction&lt;/title&gt;&lt;secondary-title&gt;Symbolic Interaction&lt;/secondary-title&gt;&lt;alt-title&gt;Symb Interact&lt;/alt-title&gt;&lt;/titles&gt;&lt;periodical&gt;&lt;full-title&gt;Symbolic interaction&lt;/full-title&gt;&lt;/periodical&gt;&lt;pages&gt;105-119&lt;/pages&gt;&lt;volume&gt;22&lt;/volume&gt;&lt;number&gt;2&lt;/number&gt;&lt;dates&gt;&lt;year&gt;1999&lt;/year&gt;&lt;/dates&gt;&lt;isbn&gt;0195-6086&lt;/isbn&gt;&lt;accession-num&gt;WOS:000080740500001&lt;/accession-num&gt;&lt;urls&gt;&lt;related-urls&gt;&lt;url&gt;&amp;lt;Go to ISI&amp;gt;://WOS:000080740500001&lt;/url&gt;&lt;/related-urls&gt;&lt;/urls&gt;&lt;electronic-resource-num&gt;10.1525/si.1999.22.2.105&lt;/electronic-resource-num&gt;&lt;language&gt;English&lt;/language&gt;&lt;/record&gt;&lt;/Cite&gt;&lt;/EndNote&gt;</w:instrText>
      </w:r>
      <w:r>
        <w:rPr>
          <w:lang w:val="en-US"/>
        </w:rPr>
        <w:fldChar w:fldCharType="separate"/>
      </w:r>
      <w:r>
        <w:rPr>
          <w:noProof/>
          <w:lang w:val="en-US"/>
        </w:rPr>
        <w:t>(Cahill, 1999a)</w:t>
      </w:r>
      <w:r>
        <w:rPr>
          <w:lang w:val="en-US"/>
        </w:rPr>
        <w:fldChar w:fldCharType="end"/>
      </w:r>
      <w:r>
        <w:rPr>
          <w:lang w:val="en-US"/>
        </w:rPr>
        <w:t xml:space="preserve"> and in professional socialization </w:t>
      </w:r>
      <w:r>
        <w:rPr>
          <w:lang w:val="en-US"/>
        </w:rPr>
        <w:fldChar w:fldCharType="begin"/>
      </w:r>
      <w:r>
        <w:rPr>
          <w:lang w:val="en-US"/>
        </w:rPr>
        <w:instrText xml:space="preserve"> ADDIN EN.CITE &lt;EndNote&gt;&lt;Cite&gt;&lt;Author&gt;Cahill&lt;/Author&gt;&lt;Year&gt;1999&lt;/Year&gt;&lt;RecNum&gt;964&lt;/RecNum&gt;&lt;DisplayText&gt;(Cahill, 1999b)&lt;/DisplayText&gt;&lt;record&gt;&lt;rec-number&gt;964&lt;/rec-number&gt;&lt;foreign-keys&gt;&lt;key app="EN" db-id="2pe9e00ros0veneeptspa5vhz0pw2az52v20" timestamp="1607467809" guid="eee15296-36b5-4abd-be1f-d0608305e61e"&gt;964&lt;/key&gt;&lt;/foreign-keys&gt;&lt;ref-type name="Journal Article"&gt;17&lt;/ref-type&gt;&lt;contributors&gt;&lt;authors&gt;&lt;author&gt;Cahill, S. E.&lt;/author&gt;&lt;/authors&gt;&lt;/contributors&gt;&lt;titles&gt;&lt;title&gt;Emotional capital and professional socialization: The case of mortuary science students (and me)&lt;/title&gt;&lt;secondary-title&gt;Social Psychology Quarterly&lt;/secondary-title&gt;&lt;/titles&gt;&lt;periodical&gt;&lt;full-title&gt;Social psychology quarterly&lt;/full-title&gt;&lt;/periodical&gt;&lt;pages&gt;101-116&lt;/pages&gt;&lt;dates&gt;&lt;year&gt;1999&lt;/year&gt;&lt;/dates&gt;&lt;isbn&gt;0190-2725&lt;/isbn&gt;&lt;urls&gt;&lt;/urls&gt;&lt;electronic-resource-num&gt;10.2307/2695852&lt;/electronic-resource-num&gt;&lt;/record&gt;&lt;/Cite&gt;&lt;/EndNote&gt;</w:instrText>
      </w:r>
      <w:r>
        <w:rPr>
          <w:lang w:val="en-US"/>
        </w:rPr>
        <w:fldChar w:fldCharType="separate"/>
      </w:r>
      <w:r>
        <w:rPr>
          <w:noProof/>
          <w:lang w:val="en-US"/>
        </w:rPr>
        <w:t>(Cahill, 1999b)</w:t>
      </w:r>
      <w:r>
        <w:rPr>
          <w:lang w:val="en-US"/>
        </w:rPr>
        <w:fldChar w:fldCharType="end"/>
      </w:r>
      <w:r>
        <w:rPr>
          <w:lang w:val="en-US"/>
        </w:rPr>
        <w:t xml:space="preserve">. As mentioned above, the commerce-care dialectic in the funeral industry exists across its past, present, and it is highly likely that the dialectic will be involved in its future. Therefore, the commerce-care dialectic seems to be a perennial and unresolvable aspect of American funeral services. </w:t>
      </w:r>
    </w:p>
    <w:p w14:paraId="54E1E230" w14:textId="77777777" w:rsidR="00256B3D" w:rsidRPr="00D536DD" w:rsidRDefault="00256B3D" w:rsidP="00256B3D">
      <w:pPr>
        <w:pStyle w:val="BodyText"/>
        <w:rPr>
          <w:lang w:val="en-US"/>
        </w:rPr>
      </w:pPr>
      <w:r>
        <w:rPr>
          <w:lang w:val="en-US"/>
        </w:rPr>
        <w:t xml:space="preserve">Although conceivably unresolvable, funeral professionals </w:t>
      </w:r>
      <w:r>
        <w:rPr>
          <w:lang w:val="en-US"/>
        </w:rPr>
        <w:fldChar w:fldCharType="begin"/>
      </w:r>
      <w:r>
        <w:rPr>
          <w:lang w:val="en-US"/>
        </w:rPr>
        <w:instrText xml:space="preserve"> ADDIN EN.CITE &lt;EndNote&gt;&lt;Cite&gt;&lt;Author&gt;Bi&lt;/Author&gt;&lt;Year&gt;2021&lt;/Year&gt;&lt;RecNum&gt;1518&lt;/RecNum&gt;&lt;Prefix&gt;e.g.`, &lt;/Prefix&gt;&lt;DisplayText&gt;(e.g., Bi &amp;amp; Hammonds, 2021)&lt;/DisplayText&gt;&lt;record&gt;&lt;rec-number&gt;1518&lt;/rec-number&gt;&lt;foreign-keys&gt;&lt;key app="EN" db-id="2pe9e00ros0veneeptspa5vhz0pw2az52v20" timestamp="1643844074" guid="cf3fbb1c-d9d2-49fc-af1e-2a8d06f0e4cc"&gt;1518&lt;/key&gt;&lt;/foreign-keys&gt;&lt;ref-type name="Journal Article"&gt;17&lt;/ref-type&gt;&lt;contributors&gt;&lt;authors&gt;&lt;author&gt;Bi, Da&lt;/author&gt;&lt;author&gt;Hammonds, Kyle A&lt;/author&gt;&lt;/authors&gt;&lt;/contributors&gt;&lt;titles&gt;&lt;title&gt;Listening to funeral directors in rural Oklahoma funeral homes: Social construction of roles, goals, and strategies&lt;/title&gt;&lt;secondary-title&gt;Southern Communication Journal&lt;/secondary-title&gt;&lt;/titles&gt;&lt;periodical&gt;&lt;full-title&gt;Southern Communication Journal&lt;/full-title&gt;&lt;/periodical&gt;&lt;pages&gt;375-386&lt;/pages&gt;&lt;volume&gt;86&lt;/volume&gt;&lt;number&gt;4&lt;/number&gt;&lt;dates&gt;&lt;year&gt;2021&lt;/year&gt;&lt;/dates&gt;&lt;isbn&gt;1041-794X&lt;/isbn&gt;&lt;urls&gt;&lt;/urls&gt;&lt;electronic-resource-num&gt;10.1080/1041794X.2021.1941222&lt;/electronic-resource-num&gt;&lt;/record&gt;&lt;/Cite&gt;&lt;/EndNote&gt;</w:instrText>
      </w:r>
      <w:r>
        <w:rPr>
          <w:lang w:val="en-US"/>
        </w:rPr>
        <w:fldChar w:fldCharType="separate"/>
      </w:r>
      <w:r>
        <w:rPr>
          <w:noProof/>
          <w:lang w:val="en-US"/>
        </w:rPr>
        <w:t>(e.g., Bi &amp; Hammonds, 2021)</w:t>
      </w:r>
      <w:r>
        <w:rPr>
          <w:lang w:val="en-US"/>
        </w:rPr>
        <w:fldChar w:fldCharType="end"/>
      </w:r>
      <w:r>
        <w:rPr>
          <w:lang w:val="en-US"/>
        </w:rPr>
        <w:t xml:space="preserve">, clients </w:t>
      </w:r>
      <w:r>
        <w:rPr>
          <w:lang w:val="en-US"/>
        </w:rPr>
        <w:fldChar w:fldCharType="begin"/>
      </w:r>
      <w:r>
        <w:rPr>
          <w:lang w:val="en-US"/>
        </w:rPr>
        <w:instrText xml:space="preserve"> ADDIN EN.CITE &lt;EndNote&gt;&lt;Cite&gt;&lt;Author&gt;Kopp&lt;/Author&gt;&lt;Year&gt;2007&lt;/Year&gt;&lt;RecNum&gt;1544&lt;/RecNum&gt;&lt;Prefix&gt;e.g.`, &lt;/Prefix&gt;&lt;DisplayText&gt;(e.g., Kopp &amp;amp; Kemp, 2007a)&lt;/DisplayText&gt;&lt;record&gt;&lt;rec-number&gt;1544&lt;/rec-number&gt;&lt;foreign-keys&gt;&lt;key app="EN" db-id="2pe9e00ros0veneeptspa5vhz0pw2az52v20" timestamp="1646772462" guid="ffe71bd9-dcdb-4f49-966e-46880d1fd8a3"&gt;1544&lt;/key&gt;&lt;/foreign-keys&gt;&lt;ref-type name="Journal Article"&gt;17&lt;/ref-type&gt;&lt;contributors&gt;&lt;authors&gt;&lt;author&gt;Kopp, S. W.&lt;/author&gt;&lt;author&gt;Kemp, E.&lt;/author&gt;&lt;/authors&gt;&lt;/contributors&gt;&lt;auth-address&gt;Univ Arkansas, Walton Coll Business, Fayetteville, AR 72701 USA&lt;/auth-address&gt;&lt;titles&gt;&lt;title&gt;Consumer awareness of the legal obligations of funeral providers&lt;/title&gt;&lt;secondary-title&gt;Journal of Consumer Affairs&lt;/secondary-title&gt;&lt;alt-title&gt;J Consum Aff&lt;/alt-title&gt;&lt;/titles&gt;&lt;periodical&gt;&lt;full-title&gt;Journal of Consumer Affairs&lt;/full-title&gt;&lt;/periodical&gt;&lt;pages&gt;326-340&lt;/pages&gt;&lt;volume&gt;41&lt;/volume&gt;&lt;number&gt;2&lt;/number&gt;&lt;keywords&gt;&lt;keyword&gt;information&lt;/keyword&gt;&lt;keyword&gt;disclosure&lt;/keyword&gt;&lt;keyword&gt;knowledge&lt;/keyword&gt;&lt;/keywords&gt;&lt;dates&gt;&lt;year&gt;2007&lt;/year&gt;&lt;/dates&gt;&lt;isbn&gt;0022-0078&lt;/isbn&gt;&lt;urls&gt;&lt;/urls&gt;&lt;electronic-resource-num&gt;10.1111/j.1745-6606.2007.00083.x&lt;/electronic-resource-num&gt;&lt;language&gt;English&lt;/language&gt;&lt;/record&gt;&lt;/Cite&gt;&lt;/EndNote&gt;</w:instrText>
      </w:r>
      <w:r>
        <w:rPr>
          <w:lang w:val="en-US"/>
        </w:rPr>
        <w:fldChar w:fldCharType="separate"/>
      </w:r>
      <w:r>
        <w:rPr>
          <w:noProof/>
          <w:lang w:val="en-US"/>
        </w:rPr>
        <w:t>(e.g., Kopp &amp; Kemp, 2007a)</w:t>
      </w:r>
      <w:r>
        <w:rPr>
          <w:lang w:val="en-US"/>
        </w:rPr>
        <w:fldChar w:fldCharType="end"/>
      </w:r>
      <w:r>
        <w:rPr>
          <w:lang w:val="en-US"/>
        </w:rPr>
        <w:t xml:space="preserve">, and governmental agencies </w:t>
      </w:r>
      <w:r>
        <w:rPr>
          <w:lang w:val="en-US"/>
        </w:rPr>
        <w:fldChar w:fldCharType="begin"/>
      </w:r>
      <w:r>
        <w:rPr>
          <w:lang w:val="en-US"/>
        </w:rPr>
        <w:instrText xml:space="preserve"> ADDIN EN.CITE &lt;EndNote&gt;&lt;Cite&gt;&lt;Author&gt;Kopp&lt;/Author&gt;&lt;Year&gt;2007&lt;/Year&gt;&lt;RecNum&gt;1613&lt;/RecNum&gt;&lt;Prefix&gt;e.g.`, &lt;/Prefix&gt;&lt;DisplayText&gt;(e.g., Kopp &amp;amp; Kemp, 2007b)&lt;/DisplayText&gt;&lt;record&gt;&lt;rec-number&gt;1613&lt;/rec-number&gt;&lt;foreign-keys&gt;&lt;key app="EN" db-id="2pe9e00ros0veneeptspa5vhz0pw2az52v20" timestamp="1648258390" guid="a67f1b3a-acab-4ca8-9e58-a38ac5b53a23"&gt;1613&lt;/key&gt;&lt;/foreign-keys&gt;&lt;ref-type name="Journal Article"&gt;17&lt;/ref-type&gt;&lt;contributors&gt;&lt;authors&gt;&lt;author&gt;Kopp, S. W.&lt;/author&gt;&lt;author&gt;Kemp, E.&lt;/author&gt;&lt;/authors&gt;&lt;/contributors&gt;&lt;titles&gt;&lt;title&gt;The death care industry: A review of regulatory and consumer issues&lt;/title&gt;&lt;secondary-title&gt;Journal of Consumer Affairs&lt;/secondary-title&gt;&lt;/titles&gt;&lt;periodical&gt;&lt;full-title&gt;Journal of Consumer Affairs&lt;/full-title&gt;&lt;/periodical&gt;&lt;pages&gt;150-173&lt;/pages&gt;&lt;volume&gt;41&lt;/volume&gt;&lt;number&gt;1&lt;/number&gt;&lt;dates&gt;&lt;year&gt;2007&lt;/year&gt;&lt;/dates&gt;&lt;isbn&gt;0022-0078&lt;/isbn&gt;&lt;urls&gt;&lt;/urls&gt;&lt;electronic-resource-num&gt;10.1111/j.1745-6606.2006.00072.x&lt;/electronic-resource-num&gt;&lt;/record&gt;&lt;/Cite&gt;&lt;/EndNote&gt;</w:instrText>
      </w:r>
      <w:r>
        <w:rPr>
          <w:lang w:val="en-US"/>
        </w:rPr>
        <w:fldChar w:fldCharType="separate"/>
      </w:r>
      <w:r>
        <w:rPr>
          <w:noProof/>
          <w:lang w:val="en-US"/>
        </w:rPr>
        <w:t>(e.g., Kopp &amp; Kemp, 2007b)</w:t>
      </w:r>
      <w:r>
        <w:rPr>
          <w:lang w:val="en-US"/>
        </w:rPr>
        <w:fldChar w:fldCharType="end"/>
      </w:r>
      <w:r>
        <w:rPr>
          <w:lang w:val="en-US"/>
        </w:rPr>
        <w:t xml:space="preserve"> need to face and manage the commerce-care dialectic in funeral services </w:t>
      </w:r>
      <w:r>
        <w:rPr>
          <w:lang w:val="en-US"/>
        </w:rPr>
        <w:fldChar w:fldCharType="begin">
          <w:fldData xml:space="preserve">PEVuZE5vdGU+PENpdGU+PEF1dGhvcj5CYWlsZXk8L0F1dGhvcj48WWVhcj4yMDEwPC9ZZWFyPjxS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</w:fldData>
        </w:fldChar>
      </w:r>
      <w:r>
        <w:rPr>
          <w:lang w:val="en-US"/>
        </w:rPr>
        <w:instrText xml:space="preserve"> ADDIN EN.CITE </w:instrText>
      </w:r>
      <w:r>
        <w:rPr>
          <w:lang w:val="en-US"/>
        </w:rPr>
        <w:fldChar w:fldCharType="begin">
          <w:fldData xml:space="preserve">PEVuZE5vdGU+PENpdGU+PEF1dGhvcj5CYWlsZXk8L0F1dGhvcj48WWVhcj4yMDEwPC9ZZWFyPjxS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</w:fldData>
        </w:fldChar>
      </w:r>
      <w:r>
        <w:rPr>
          <w:lang w:val="en-US"/>
        </w:rPr>
        <w:instrText xml:space="preserve"> ADDIN EN.CITE.DATA </w:instrText>
      </w:r>
      <w:r>
        <w:rPr>
          <w:lang w:val="en-US"/>
        </w:rPr>
      </w:r>
      <w:r>
        <w:rPr>
          <w:lang w:val="en-US"/>
        </w:rPr>
        <w:fldChar w:fldCharType="end"/>
      </w:r>
      <w:r>
        <w:rPr>
          <w:lang w:val="en-US"/>
        </w:rPr>
      </w:r>
      <w:r>
        <w:rPr>
          <w:lang w:val="en-US"/>
        </w:rPr>
        <w:fldChar w:fldCharType="separate"/>
      </w:r>
      <w:r>
        <w:rPr>
          <w:noProof/>
          <w:lang w:val="en-US"/>
        </w:rPr>
        <w:t>(e.g., Bailey, 2010; Korai et al., 2022; Parsons, 2003)</w:t>
      </w:r>
      <w:r>
        <w:rPr>
          <w:lang w:val="en-US"/>
        </w:rPr>
        <w:fldChar w:fldCharType="end"/>
      </w:r>
      <w:r>
        <w:rPr>
          <w:lang w:val="en-US"/>
        </w:rPr>
        <w:t xml:space="preserve">, in part, because death and dying are inevitable. </w:t>
      </w:r>
      <w:r>
        <w:rPr>
          <w:lang w:val="en-US"/>
        </w:rPr>
        <w:fldChar w:fldCharType="begin"/>
      </w:r>
      <w:r>
        <w:rPr>
          <w:lang w:val="en-US"/>
        </w:rPr>
        <w:instrText xml:space="preserve"> ADDIN EN.CITE &lt;EndNote&gt;&lt;Cite AuthorYear="1"&gt;&lt;Author&gt;U.S. Department of Labor Bureau of Labor Statistics&lt;/Author&gt;&lt;Year&gt;2023&lt;/Year&gt;&lt;RecNum&gt;2253&lt;/RecNum&gt;&lt;DisplayText&gt;U.S. Department of Labor Bureau of Labor Statistics (2023)&lt;/DisplayText&gt;&lt;record&gt;&lt;rec-number&gt;2253&lt;/rec-number&gt;&lt;foreign-keys&gt;&lt;key app="EN" db-id="2pe9e00ros0veneeptspa5vhz0pw2az52v20" timestamp="1704345434" guid="3e116af9-391d-4b47-8906-e7d212beb9c9"&gt;2253&lt;/key&gt;&lt;/foreign-keys&gt;&lt;ref-type name="Web Page"&gt;12&lt;/ref-type&gt;&lt;contributors&gt;&lt;authors&gt;&lt;author&gt;U.S. Department of Labor Bureau of Labor Statistics,&lt;/author&gt;&lt;/authors&gt;&lt;/contributors&gt;&lt;titles&gt;&lt;title&gt;Occupational outlook handbook&lt;/title&gt;&lt;/titles&gt;&lt;dates&gt;&lt;year&gt;2023&lt;/year&gt;&lt;/dates&gt;&lt;urls&gt;&lt;related-urls&gt;&lt;url&gt;https://www.bls.gov/ooh/personal-care-and-service/funeral-service-occupations.htm&lt;/url&gt;&lt;/related-urls&gt;&lt;/urls&gt;&lt;/record&gt;&lt;/Cite&gt;&lt;/EndNote&gt;</w:instrText>
      </w:r>
      <w:r>
        <w:rPr>
          <w:lang w:val="en-US"/>
        </w:rPr>
        <w:fldChar w:fldCharType="separate"/>
      </w:r>
      <w:r>
        <w:rPr>
          <w:noProof/>
          <w:lang w:val="en-US"/>
        </w:rPr>
        <w:t>U.S. Department of Labor Bureau of Labor Statistics (2023)</w:t>
      </w:r>
      <w:r>
        <w:rPr>
          <w:lang w:val="en-US"/>
        </w:rPr>
        <w:fldChar w:fldCharType="end"/>
      </w:r>
      <w:r>
        <w:rPr>
          <w:lang w:val="en-US"/>
        </w:rPr>
        <w:t xml:space="preserve"> reported that funeral planning is one of the few key duties of f</w:t>
      </w:r>
      <w:r w:rsidRPr="00591F3C">
        <w:rPr>
          <w:lang w:val="en-US"/>
        </w:rPr>
        <w:t>uneral service workers</w:t>
      </w:r>
      <w:r>
        <w:rPr>
          <w:lang w:val="en-US"/>
        </w:rPr>
        <w:t>, who</w:t>
      </w:r>
      <w:r w:rsidRPr="00591F3C">
        <w:rPr>
          <w:lang w:val="en-US"/>
        </w:rPr>
        <w:t xml:space="preserve"> help to determine the locations, dates, and times of visitations, funerals </w:t>
      </w:r>
      <w:r>
        <w:rPr>
          <w:lang w:val="en-US"/>
        </w:rPr>
        <w:t>(</w:t>
      </w:r>
      <w:r w:rsidRPr="00591F3C">
        <w:rPr>
          <w:lang w:val="en-US"/>
        </w:rPr>
        <w:t>or memorial services</w:t>
      </w:r>
      <w:r>
        <w:rPr>
          <w:lang w:val="en-US"/>
        </w:rPr>
        <w:t>)</w:t>
      </w:r>
      <w:r w:rsidRPr="00591F3C">
        <w:rPr>
          <w:lang w:val="en-US"/>
        </w:rPr>
        <w:t>, burials, and cremation</w:t>
      </w:r>
      <w:r>
        <w:rPr>
          <w:lang w:val="en-US"/>
        </w:rPr>
        <w:t xml:space="preserve">s. To arrange funerals, funeral directors and clients are involved in contextual conversations about funeral planning </w:t>
      </w:r>
      <w:r w:rsidRPr="00F223BC">
        <w:fldChar w:fldCharType="begin">
          <w:fldData xml:space="preserve">PEVuZE5vdGU+PENpdGU+PEF1dGhvcj5UdXJuZXI8L0F1dGhvcj48WWVhcj4xOTkwPC9ZZWFyPjxS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</w:fldData>
        </w:fldChar>
      </w:r>
      <w:r>
        <w:instrText xml:space="preserve"> ADDIN EN.CITE </w:instrText>
      </w:r>
      <w:r>
        <w:fldChar w:fldCharType="begin">
          <w:fldData xml:space="preserve">PEVuZE5vdGU+PENpdGU+PEF1dGhvcj5UdXJuZXI8L0F1dGhvcj48WWVhcj4xOTkwPC9ZZWFyPjxS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</w:fldData>
        </w:fldChar>
      </w:r>
      <w:r>
        <w:instrText xml:space="preserve"> ADDIN EN.CITE.DATA </w:instrText>
      </w:r>
      <w:r>
        <w:fldChar w:fldCharType="end"/>
      </w:r>
      <w:r w:rsidRPr="00F223BC">
        <w:fldChar w:fldCharType="separate"/>
      </w:r>
      <w:r>
        <w:rPr>
          <w:noProof/>
        </w:rPr>
        <w:t>(e.g., Barley, 1983; Turner &amp; Edgley, 1990)</w:t>
      </w:r>
      <w:r w:rsidRPr="00F223BC">
        <w:fldChar w:fldCharType="end"/>
      </w:r>
      <w:r>
        <w:rPr>
          <w:lang w:val="en-US"/>
        </w:rPr>
        <w:t>. From a communication perspective, funeral planning can be understood as “a</w:t>
      </w:r>
      <w:r w:rsidRPr="00F4205D">
        <w:rPr>
          <w:lang w:val="en-US"/>
        </w:rPr>
        <w:t xml:space="preserve"> distinctive mix of strategic and supportive interaction, enacted between funeral home staff members and their customers, which accomplishes their joint </w:t>
      </w:r>
      <w:r w:rsidRPr="00F4205D">
        <w:rPr>
          <w:lang w:val="en-US"/>
        </w:rPr>
        <w:lastRenderedPageBreak/>
        <w:t>planning of deathcare, and their co-facilitation of funeral services</w:t>
      </w:r>
      <w:r>
        <w:rPr>
          <w:lang w:val="en-US"/>
        </w:rPr>
        <w:t xml:space="preserve">” </w:t>
      </w:r>
      <w:r w:rsidRPr="00C03997">
        <w:fldChar w:fldCharType="begin"/>
      </w:r>
      <w:r>
        <w:instrText xml:space="preserve"> ADDIN EN.CITE &lt;EndNote&gt;&lt;Cite&gt;&lt;Author&gt;Campbell&lt;/Author&gt;&lt;Year&gt;2021&lt;/Year&gt;&lt;RecNum&gt;1632&lt;/RecNum&gt;&lt;Pages&gt;6&lt;/Pages&gt;&lt;DisplayText&gt;(Campbell, 2021, p. 6)&lt;/DisplayText&gt;&lt;record&gt;&lt;rec-number&gt;1632&lt;/rec-number&gt;&lt;foreign-keys&gt;&lt;key app="EN" db-id="2pe9e00ros0veneeptspa5vhz0pw2az52v20" timestamp="1651263016" guid="4a468982-fb4b-44c5-a971-87df8f887cf4"&gt;1632&lt;/key&gt;&lt;/foreign-keys&gt;&lt;ref-type name="Thesis"&gt;32&lt;/ref-type&gt;&lt;contributors&gt;&lt;authors&gt;&lt;author&gt;Campbell, Colleen G.&lt;/author&gt;&lt;/authors&gt;&lt;tertiary-authors&gt;&lt;author&gt;Taylor, Bryan C.&lt;/author&gt;&lt;/tertiary-authors&gt;&lt;/contributors&gt;&lt;titles&gt;&lt;title&gt;Funeral planning communication: A new conceptual framework in communication studies&lt;/title&gt;&lt;/titles&gt;&lt;pages&gt;111&lt;/pages&gt;&lt;number&gt;28714603&lt;/number&gt;&lt;keywords&gt;&lt;keyword&gt;Death&lt;/keyword&gt;&lt;keyword&gt;Funeral planning&lt;/keyword&gt;&lt;keyword&gt;Health&lt;/keyword&gt;&lt;keyword&gt;Intercultural&lt;/keyword&gt;&lt;keyword&gt;Organizations&lt;/keyword&gt;&lt;keyword&gt;Strategy&lt;/keyword&gt;&lt;keyword&gt;Funeral Planning Communication&lt;/keyword&gt;&lt;keyword&gt;Communication&lt;/keyword&gt;&lt;keyword&gt;0459:Communication&lt;/keyword&gt;&lt;/keywords&gt;&lt;dates&gt;&lt;year&gt;2021&lt;/year&gt;&lt;pub-dates&gt;&lt;date&gt;2021&lt;/date&gt;&lt;/pub-dates&gt;&lt;/dates&gt;&lt;pub-location&gt;Ann Arbor&lt;/pub-location&gt;&lt;publisher&gt;University of Colorado at Boulder&lt;/publisher&gt;&lt;isbn&gt;9798460417810&lt;/isbn&gt;&lt;accession-num&gt;2582114666&lt;/accession-num&gt;&lt;work-type&gt;M.A.&lt;/work-type&gt;&lt;urls&gt;&lt;/urls&gt;&lt;remote-database-name&gt;ProQuest Dissertations &amp;amp; Theses Global&lt;/remote-database-name&gt;&lt;language&gt;English&lt;/language&gt;&lt;/record&gt;&lt;/Cite&gt;&lt;/EndNote&gt;</w:instrText>
      </w:r>
      <w:r w:rsidRPr="00C03997">
        <w:fldChar w:fldCharType="separate"/>
      </w:r>
      <w:r>
        <w:rPr>
          <w:noProof/>
        </w:rPr>
        <w:t>(Campbell, 2021, p. 6)</w:t>
      </w:r>
      <w:r w:rsidRPr="00C03997">
        <w:fldChar w:fldCharType="end"/>
      </w:r>
      <w:r>
        <w:rPr>
          <w:lang w:val="en-US"/>
        </w:rPr>
        <w:t>. Then, how do funeral professionals and clients make meaning of the commerce-care dialectic when engaging in funeral planning?</w:t>
      </w:r>
    </w:p>
    <w:p w14:paraId="78AF2F50" w14:textId="42DCDBA8" w:rsidR="00256B3D" w:rsidRPr="00F72D54" w:rsidRDefault="00256B3D" w:rsidP="00256B3D">
      <w:pPr>
        <w:spacing w:line="480" w:lineRule="auto"/>
        <w:ind w:firstLine="720"/>
        <w:rPr>
          <w:rFonts w:ascii="Times New Roman" w:hAnsi="Times New Roman" w:cs="Times New Roman"/>
        </w:rPr>
      </w:pPr>
      <w:r w:rsidRPr="00F72D54">
        <w:rPr>
          <w:rFonts w:ascii="Times New Roman" w:hAnsi="Times New Roman" w:cs="Times New Roman"/>
        </w:rPr>
        <w:t>This dissertation, grounded in relational dialectics theory 2.0</w:t>
      </w:r>
      <w:r>
        <w:rPr>
          <w:rFonts w:ascii="Times New Roman" w:hAnsi="Times New Roman" w:cs="Times New Roman"/>
        </w:rPr>
        <w:t xml:space="preserve"> </w:t>
      </w:r>
      <w:r w:rsidRPr="006D4280">
        <w:rPr>
          <w:rFonts w:ascii="Times New Roman" w:hAnsi="Times New Roman" w:cs="Times New Roman"/>
          <w:noProof/>
        </w:rPr>
        <w:fldChar w:fldCharType="begin"/>
      </w:r>
      <w:r>
        <w:rPr>
          <w:rFonts w:ascii="Times New Roman" w:hAnsi="Times New Roman" w:cs="Times New Roman"/>
          <w:noProof/>
        </w:rPr>
        <w:instrText xml:space="preserve"> ADDIN EN.CITE &lt;EndNote&gt;&lt;Cite&gt;&lt;Author&gt;Baxter&lt;/Author&gt;&lt;Year&gt;2011&lt;/Year&gt;&lt;RecNum&gt;1633&lt;/RecNum&gt;&lt;Prefix&gt;RDT`; &lt;/Prefix&gt;&lt;DisplayText&gt;(RDT; Baxter, 2011)&lt;/DisplayText&gt;&lt;record&gt;&lt;rec-number&gt;1633&lt;/rec-number&gt;&lt;foreign-keys&gt;&lt;key app="EN" db-id="2pe9e00ros0veneeptspa5vhz0pw2az52v20" timestamp="1651286064" guid="faff47c4-c762-4121-b9c8-9978bd77054b"&gt;1633&lt;/key&gt;&lt;/foreign-keys&gt;&lt;ref-type name="Book"&gt;6&lt;/ref-type&gt;&lt;contributors&gt;&lt;authors&gt;&lt;author&gt;Baxter, Leslie A.&lt;/author&gt;&lt;/authors&gt;&lt;/contributors&gt;&lt;titles&gt;&lt;title&gt;Voicing relationships: a dialogic perspective&lt;/title&gt;&lt;/titles&gt;&lt;keywords&gt;&lt;keyword&gt;Bakhtin, M. M. (Mikhail Mikhaĭlovich), 1895-1975&lt;/keyword&gt;&lt;keyword&gt;Interpersonal relations&lt;/keyword&gt;&lt;keyword&gt;Dialogue analysis&lt;/keyword&gt;&lt;/keywords&gt;&lt;dates&gt;&lt;year&gt;2011&lt;/year&gt;&lt;/dates&gt;&lt;pub-location&gt;Thousand Oaks, Calif.&lt;/pub-location&gt;&lt;publisher&gt;SAGE Publications, Inc&lt;/publisher&gt;&lt;urls&gt;&lt;/urls&gt;&lt;/record&gt;&lt;/Cite&gt;&lt;/EndNote&gt;</w:instrText>
      </w:r>
      <w:r w:rsidRPr="006D4280">
        <w:rPr>
          <w:rFonts w:ascii="Times New Roman" w:hAnsi="Times New Roman" w:cs="Times New Roman"/>
          <w:noProof/>
        </w:rPr>
        <w:fldChar w:fldCharType="separate"/>
      </w:r>
      <w:r>
        <w:rPr>
          <w:rFonts w:ascii="Times New Roman" w:hAnsi="Times New Roman" w:cs="Times New Roman"/>
          <w:noProof/>
        </w:rPr>
        <w:t>(RDT; Baxter, 2011)</w:t>
      </w:r>
      <w:r w:rsidRPr="006D4280">
        <w:rPr>
          <w:rFonts w:ascii="Times New Roman" w:hAnsi="Times New Roman" w:cs="Times New Roman"/>
          <w:noProof/>
        </w:rPr>
        <w:fldChar w:fldCharType="end"/>
      </w:r>
      <w:r w:rsidRPr="00F72D54">
        <w:rPr>
          <w:rFonts w:ascii="Times New Roman" w:hAnsi="Times New Roman" w:cs="Times New Roman"/>
        </w:rPr>
        <w:t xml:space="preserve">, aims to illustrate what meanings emerge from the commerce-care dialectic when engaging in funeral planning. This dissertation </w:t>
      </w:r>
      <w:r>
        <w:rPr>
          <w:rFonts w:ascii="Times New Roman" w:hAnsi="Times New Roman" w:cs="Times New Roman"/>
        </w:rPr>
        <w:t>contributes to RDT by showing how</w:t>
      </w:r>
      <w:r w:rsidRPr="00F72D54">
        <w:rPr>
          <w:rFonts w:ascii="Times New Roman" w:hAnsi="Times New Roman" w:cs="Times New Roman"/>
        </w:rPr>
        <w:t xml:space="preserve"> discursive synchronic markers, including negating, countering, ambiguating (a new marker proposed), and entertaining, </w:t>
      </w:r>
      <w:r>
        <w:rPr>
          <w:rFonts w:ascii="Times New Roman" w:hAnsi="Times New Roman" w:cs="Times New Roman"/>
        </w:rPr>
        <w:t xml:space="preserve">align </w:t>
      </w:r>
      <w:r w:rsidRPr="00F72D54">
        <w:rPr>
          <w:rFonts w:ascii="Times New Roman" w:hAnsi="Times New Roman" w:cs="Times New Roman"/>
        </w:rPr>
        <w:t xml:space="preserve">with four features of utterance chains. </w:t>
      </w:r>
      <w:r>
        <w:rPr>
          <w:rFonts w:ascii="Times New Roman" w:hAnsi="Times New Roman" w:cs="Times New Roman"/>
        </w:rPr>
        <w:t>In doing so, t</w:t>
      </w:r>
      <w:r w:rsidRPr="00F72D54">
        <w:rPr>
          <w:rFonts w:ascii="Times New Roman" w:hAnsi="Times New Roman" w:cs="Times New Roman"/>
        </w:rPr>
        <w:t>h</w:t>
      </w:r>
      <w:r>
        <w:rPr>
          <w:rFonts w:ascii="Times New Roman" w:hAnsi="Times New Roman" w:cs="Times New Roman"/>
        </w:rPr>
        <w:t>is</w:t>
      </w:r>
      <w:r w:rsidRPr="00F72D54">
        <w:rPr>
          <w:rFonts w:ascii="Times New Roman" w:hAnsi="Times New Roman" w:cs="Times New Roman"/>
        </w:rPr>
        <w:t xml:space="preserve"> alignment provid</w:t>
      </w:r>
      <w:r>
        <w:rPr>
          <w:rFonts w:ascii="Times New Roman" w:hAnsi="Times New Roman" w:cs="Times New Roman"/>
        </w:rPr>
        <w:t>es</w:t>
      </w:r>
      <w:r w:rsidRPr="00F72D54">
        <w:rPr>
          <w:rFonts w:ascii="Times New Roman" w:hAnsi="Times New Roman" w:cs="Times New Roman"/>
        </w:rPr>
        <w:t xml:space="preserve"> an additional guideline to </w:t>
      </w:r>
      <w:r>
        <w:rPr>
          <w:rFonts w:ascii="Times New Roman" w:hAnsi="Times New Roman" w:cs="Times New Roman"/>
        </w:rPr>
        <w:t>help</w:t>
      </w:r>
      <w:r w:rsidRPr="00F72D54">
        <w:rPr>
          <w:rFonts w:ascii="Times New Roman" w:hAnsi="Times New Roman" w:cs="Times New Roman"/>
        </w:rPr>
        <w:t xml:space="preserve"> researchers identify discursive synchronic. Additionally, the dissertation provides empirical evidence for </w:t>
      </w:r>
      <w:r>
        <w:rPr>
          <w:rFonts w:ascii="Times New Roman" w:hAnsi="Times New Roman" w:cs="Times New Roman"/>
        </w:rPr>
        <w:t xml:space="preserve">Mumby’s </w:t>
      </w:r>
      <w:r>
        <w:rPr>
          <w:rFonts w:ascii="Times New Roman" w:hAnsi="Times New Roman" w:cs="Times New Roman"/>
        </w:rPr>
        <w:fldChar w:fldCharType="begin"/>
      </w:r>
      <w:r>
        <w:rPr>
          <w:rFonts w:ascii="Times New Roman" w:hAnsi="Times New Roman" w:cs="Times New Roman"/>
        </w:rPr>
        <w:instrText xml:space="preserve"> ADDIN EN.CITE &lt;EndNote&gt;&lt;Cite ExcludeAuth="1"&gt;&lt;Author&gt;Mumby&lt;/Author&gt;&lt;Year&gt;2005&lt;/Year&gt;&lt;RecNum&gt;2287&lt;/RecNum&gt;&lt;DisplayText&gt;(2005)&lt;/DisplayText&gt;&lt;record&gt;&lt;rec-number&gt;2287&lt;/rec-number&gt;&lt;foreign-keys&gt;&lt;key app="EN" db-id="2pe9e00ros0veneeptspa5vhz0pw2az52v20" timestamp="1709784889" guid="8b5596a4-bc6d-4344-af19-c70683b3ec46"&gt;2287&lt;/key&gt;&lt;/foreign-keys&gt;&lt;ref-type name="Journal Article"&gt;17&lt;/ref-type&gt;&lt;contributors&gt;&lt;authors&gt;&lt;author&gt;Mumby, Dennis K.&lt;/author&gt;&lt;/authors&gt;&lt;/contributors&gt;&lt;titles&gt;&lt;title&gt;Theorizing resistance in organization studies:A dialectical approach&lt;/title&gt;&lt;secondary-title&gt;Management Communication Quarterly&lt;/secondary-title&gt;&lt;/titles&gt;&lt;periodical&gt;&lt;full-title&gt;Management Communication Quarterly&lt;/full-title&gt;&lt;/periodical&gt;&lt;pages&gt;19-44&lt;/pages&gt;&lt;volume&gt;19&lt;/volume&gt;&lt;number&gt;1&lt;/number&gt;&lt;keywords&gt;&lt;keyword&gt;resistance,control,dialectics,discourse,Marxism,Foucault,poststructuralism&lt;/keyword&gt;&lt;/keywords&gt;&lt;dates&gt;&lt;year&gt;2005&lt;/year&gt;&lt;/dates&gt;&lt;urls&gt;&lt;related-urls&gt;&lt;url&gt;https://journals.sagepub.com/doi/abs/10.1177/0893318905276558&lt;/url&gt;&lt;/related-urls&gt;&lt;/urls&gt;&lt;electronic-resource-num&gt;10.1177/0893318905276558&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(2005)</w:t>
      </w:r>
      <w:r>
        <w:rPr>
          <w:rFonts w:ascii="Times New Roman" w:hAnsi="Times New Roman" w:cs="Times New Roman"/>
        </w:rPr>
        <w:fldChar w:fldCharType="end"/>
      </w:r>
      <w:r>
        <w:rPr>
          <w:rFonts w:ascii="Times New Roman" w:hAnsi="Times New Roman" w:cs="Times New Roman"/>
        </w:rPr>
        <w:t xml:space="preserve"> theorizing on (a) </w:t>
      </w:r>
      <w:r w:rsidRPr="00F72D54">
        <w:rPr>
          <w:rFonts w:ascii="Times New Roman" w:hAnsi="Times New Roman" w:cs="Times New Roman"/>
        </w:rPr>
        <w:t>the mutual constitut</w:t>
      </w:r>
      <w:r>
        <w:rPr>
          <w:rFonts w:ascii="Times New Roman" w:hAnsi="Times New Roman" w:cs="Times New Roman"/>
        </w:rPr>
        <w:t>ion</w:t>
      </w:r>
      <w:r w:rsidRPr="00F72D54">
        <w:rPr>
          <w:rFonts w:ascii="Times New Roman" w:hAnsi="Times New Roman" w:cs="Times New Roman"/>
        </w:rPr>
        <w:t xml:space="preserve"> of </w:t>
      </w:r>
      <w:r>
        <w:rPr>
          <w:rFonts w:ascii="Times New Roman" w:hAnsi="Times New Roman" w:cs="Times New Roman"/>
        </w:rPr>
        <w:t>control and resistance</w:t>
      </w:r>
      <w:r w:rsidRPr="00F72D54">
        <w:rPr>
          <w:rFonts w:ascii="Times New Roman" w:hAnsi="Times New Roman" w:cs="Times New Roman"/>
        </w:rPr>
        <w:t xml:space="preserve"> by identifying the</w:t>
      </w:r>
      <w:r>
        <w:rPr>
          <w:rFonts w:ascii="Times New Roman" w:hAnsi="Times New Roman" w:cs="Times New Roman"/>
        </w:rPr>
        <w:t xml:space="preserve"> hybridization of the</w:t>
      </w:r>
      <w:r w:rsidRPr="00F72D54">
        <w:rPr>
          <w:rFonts w:ascii="Times New Roman" w:hAnsi="Times New Roman" w:cs="Times New Roman"/>
        </w:rPr>
        <w:t xml:space="preserve"> </w:t>
      </w:r>
      <w:r w:rsidRPr="00F72D54">
        <w:rPr>
          <w:rFonts w:ascii="Times New Roman" w:hAnsi="Times New Roman" w:cs="Times New Roman"/>
          <w:i/>
          <w:iCs/>
        </w:rPr>
        <w:t>discourse of commerce</w:t>
      </w:r>
      <w:r w:rsidRPr="00F72D54">
        <w:rPr>
          <w:rFonts w:ascii="Times New Roman" w:hAnsi="Times New Roman" w:cs="Times New Roman"/>
        </w:rPr>
        <w:t xml:space="preserve"> and the </w:t>
      </w:r>
      <w:r w:rsidRPr="00F72D54">
        <w:rPr>
          <w:rFonts w:ascii="Times New Roman" w:hAnsi="Times New Roman" w:cs="Times New Roman"/>
          <w:i/>
          <w:iCs/>
        </w:rPr>
        <w:t>discourse of care</w:t>
      </w:r>
      <w:r w:rsidRPr="00F72D54">
        <w:rPr>
          <w:rFonts w:ascii="Times New Roman" w:hAnsi="Times New Roman" w:cs="Times New Roman"/>
        </w:rPr>
        <w:t xml:space="preserve"> </w:t>
      </w:r>
      <w:r>
        <w:rPr>
          <w:rFonts w:ascii="Times New Roman" w:hAnsi="Times New Roman" w:cs="Times New Roman"/>
        </w:rPr>
        <w:t xml:space="preserve">as </w:t>
      </w:r>
      <w:r w:rsidRPr="00F72D54">
        <w:rPr>
          <w:rFonts w:ascii="Times New Roman" w:hAnsi="Times New Roman" w:cs="Times New Roman"/>
        </w:rPr>
        <w:t>the double nature</w:t>
      </w:r>
      <w:r>
        <w:rPr>
          <w:rFonts w:ascii="Times New Roman" w:hAnsi="Times New Roman" w:cs="Times New Roman"/>
        </w:rPr>
        <w:t xml:space="preserve"> (i.e., commerce and care)</w:t>
      </w:r>
      <w:r w:rsidRPr="00F72D54">
        <w:rPr>
          <w:rFonts w:ascii="Times New Roman" w:hAnsi="Times New Roman" w:cs="Times New Roman"/>
        </w:rPr>
        <w:t xml:space="preserve"> of funeral services</w:t>
      </w:r>
      <w:r>
        <w:rPr>
          <w:rFonts w:ascii="Times New Roman" w:hAnsi="Times New Roman" w:cs="Times New Roman"/>
        </w:rPr>
        <w:t xml:space="preserve"> and (b) the control-resistance dialectic transformation as </w:t>
      </w:r>
      <w:r w:rsidRPr="00F72D54">
        <w:rPr>
          <w:rFonts w:ascii="Times New Roman" w:hAnsi="Times New Roman" w:cs="Times New Roman"/>
        </w:rPr>
        <w:t>a routine social production of daily organizational life</w:t>
      </w:r>
      <w:r>
        <w:rPr>
          <w:rFonts w:ascii="Times New Roman" w:hAnsi="Times New Roman" w:cs="Times New Roman"/>
        </w:rPr>
        <w:t xml:space="preserve"> by </w:t>
      </w:r>
      <w:r w:rsidRPr="00F72D54">
        <w:rPr>
          <w:rFonts w:ascii="Times New Roman" w:hAnsi="Times New Roman" w:cs="Times New Roman"/>
        </w:rPr>
        <w:t xml:space="preserve">proposing the </w:t>
      </w:r>
      <w:r w:rsidRPr="00F72D54">
        <w:rPr>
          <w:rFonts w:ascii="Times New Roman" w:hAnsi="Times New Roman" w:cs="Times New Roman"/>
          <w:i/>
          <w:iCs/>
        </w:rPr>
        <w:t xml:space="preserve">discourse of </w:t>
      </w:r>
      <w:r>
        <w:rPr>
          <w:rFonts w:ascii="Times New Roman" w:hAnsi="Times New Roman" w:cs="Times New Roman"/>
          <w:i/>
          <w:iCs/>
        </w:rPr>
        <w:t>mundanity</w:t>
      </w:r>
      <w:r>
        <w:rPr>
          <w:rFonts w:ascii="Times New Roman" w:hAnsi="Times New Roman" w:cs="Times New Roman"/>
        </w:rPr>
        <w:t>, which is “</w:t>
      </w:r>
      <w:r w:rsidRPr="00F72D54">
        <w:rPr>
          <w:rFonts w:ascii="Times New Roman" w:hAnsi="Times New Roman" w:cs="Times New Roman"/>
          <w:i/>
          <w:iCs/>
        </w:rPr>
        <w:t>a system of meaning in which</w:t>
      </w:r>
      <w:r w:rsidRPr="00F72D54">
        <w:rPr>
          <w:rFonts w:ascii="Times New Roman" w:hAnsi="Times New Roman" w:cs="Times New Roman"/>
        </w:rPr>
        <w:t xml:space="preserve"> </w:t>
      </w:r>
      <w:r w:rsidRPr="00F72D54">
        <w:rPr>
          <w:rFonts w:ascii="Times New Roman" w:hAnsi="Times New Roman" w:cs="Times New Roman"/>
          <w:i/>
          <w:iCs/>
        </w:rPr>
        <w:t xml:space="preserve">the gravity of life and death is made to be experienced as ordinary and </w:t>
      </w:r>
      <w:r w:rsidR="00C716D6">
        <w:rPr>
          <w:rFonts w:ascii="Times New Roman" w:hAnsi="Times New Roman" w:cs="Times New Roman"/>
          <w:i/>
          <w:iCs/>
        </w:rPr>
        <w:t>beautiful</w:t>
      </w:r>
      <w:r w:rsidRPr="00F72D54">
        <w:rPr>
          <w:rFonts w:ascii="Times New Roman" w:hAnsi="Times New Roman" w:cs="Times New Roman"/>
        </w:rPr>
        <w:t xml:space="preserve">.” Moreover, the dissertation proposes a perspective of acknowledging human life, which is the complex interpenetration and constitutive process of the costed life and/or the sacred life, labeled as the </w:t>
      </w:r>
      <w:r w:rsidRPr="00F72D54">
        <w:rPr>
          <w:rFonts w:ascii="Times New Roman" w:hAnsi="Times New Roman" w:cs="Times New Roman"/>
          <w:i/>
          <w:iCs/>
        </w:rPr>
        <w:t>commerce-care dialectic perspective</w:t>
      </w:r>
      <w:r w:rsidRPr="00F72D54">
        <w:rPr>
          <w:rFonts w:ascii="Times New Roman" w:hAnsi="Times New Roman" w:cs="Times New Roman"/>
        </w:rPr>
        <w:t>, defined as:</w:t>
      </w:r>
    </w:p>
    <w:p w14:paraId="73B71522" w14:textId="77777777" w:rsidR="00256B3D" w:rsidRPr="00F72D54" w:rsidRDefault="00256B3D" w:rsidP="00256B3D">
      <w:pPr>
        <w:spacing w:line="480" w:lineRule="auto"/>
        <w:ind w:left="720"/>
        <w:rPr>
          <w:rFonts w:ascii="Times New Roman" w:hAnsi="Times New Roman" w:cs="Times New Roman"/>
          <w:i/>
          <w:iCs/>
        </w:rPr>
      </w:pPr>
      <w:r w:rsidRPr="00F72D54">
        <w:rPr>
          <w:rFonts w:ascii="Times New Roman" w:hAnsi="Times New Roman" w:cs="Times New Roman"/>
          <w:i/>
          <w:iCs/>
        </w:rPr>
        <w:t>Humans make meanings of unresolvable life events or struggles, which have two core attributes of money and humanity, and transform those struggles into</w:t>
      </w:r>
      <w:r>
        <w:rPr>
          <w:rFonts w:ascii="Times New Roman" w:hAnsi="Times New Roman" w:cs="Times New Roman"/>
          <w:i/>
          <w:iCs/>
        </w:rPr>
        <w:t xml:space="preserve"> mundane</w:t>
      </w:r>
      <w:r w:rsidRPr="00F72D54">
        <w:rPr>
          <w:rFonts w:ascii="Times New Roman" w:hAnsi="Times New Roman" w:cs="Times New Roman"/>
          <w:i/>
          <w:iCs/>
        </w:rPr>
        <w:t xml:space="preserve"> aesthetic moments by enact</w:t>
      </w:r>
      <w:r>
        <w:rPr>
          <w:rFonts w:ascii="Times New Roman" w:hAnsi="Times New Roman" w:cs="Times New Roman"/>
          <w:i/>
          <w:iCs/>
        </w:rPr>
        <w:t>ing</w:t>
      </w:r>
      <w:r w:rsidRPr="00F72D54">
        <w:rPr>
          <w:rFonts w:ascii="Times New Roman" w:hAnsi="Times New Roman" w:cs="Times New Roman"/>
          <w:i/>
          <w:iCs/>
        </w:rPr>
        <w:t xml:space="preserve"> behaviors and actions. </w:t>
      </w:r>
    </w:p>
    <w:p w14:paraId="51B2A9F8" w14:textId="1E71B7E9" w:rsidR="00256B3D" w:rsidRDefault="00641D1F" w:rsidP="00256B3D">
      <w:pPr>
        <w:spacing w:line="480" w:lineRule="auto"/>
        <w:rPr>
          <w:rFonts w:ascii="Times New Roman" w:hAnsi="Times New Roman" w:cs="Times New Roman"/>
        </w:rPr>
      </w:pPr>
      <w:r w:rsidRPr="00641D1F">
        <w:rPr>
          <w:rFonts w:ascii="Times New Roman" w:hAnsi="Times New Roman" w:cs="Times New Roman"/>
        </w:rPr>
        <w:t>This commerce-care dialectic perspective requires further validation across other occupational interaction types to understand the concept’s degree of transferability.</w:t>
      </w:r>
      <w:r>
        <w:rPr>
          <w:rFonts w:ascii="Times New Roman" w:hAnsi="Times New Roman" w:cs="Times New Roman"/>
        </w:rPr>
        <w:t xml:space="preserve"> </w:t>
      </w:r>
      <w:r w:rsidR="00256B3D" w:rsidRPr="00F72D54">
        <w:rPr>
          <w:rFonts w:ascii="Times New Roman" w:hAnsi="Times New Roman" w:cs="Times New Roman"/>
        </w:rPr>
        <w:t xml:space="preserve">Lastly, the dissertation </w:t>
      </w:r>
      <w:r w:rsidR="00256B3D" w:rsidRPr="00F72D54">
        <w:rPr>
          <w:rFonts w:ascii="Times New Roman" w:hAnsi="Times New Roman" w:cs="Times New Roman"/>
        </w:rPr>
        <w:lastRenderedPageBreak/>
        <w:t>offers practical implications for facilitating future funeral planning for funeral professionals, clients, and governmental agencies.</w:t>
      </w:r>
      <w:r>
        <w:rPr>
          <w:rFonts w:ascii="Times New Roman" w:hAnsi="Times New Roman" w:cs="Times New Roman"/>
        </w:rPr>
        <w:t xml:space="preserve"> </w:t>
      </w:r>
    </w:p>
    <w:p w14:paraId="5EF9ECAF" w14:textId="77777777" w:rsidR="00BF1F4A" w:rsidRPr="0034370C" w:rsidRDefault="00BF1F4A" w:rsidP="0034370C">
      <w:pPr>
        <w:spacing w:line="480" w:lineRule="auto"/>
        <w:rPr>
          <w:rFonts w:ascii="Times New Roman" w:hAnsi="Times New Roman" w:cs="Times New Roman"/>
        </w:rPr>
      </w:pPr>
    </w:p>
    <w:p w14:paraId="32D6BA34" w14:textId="77777777" w:rsidR="00A72064" w:rsidRDefault="00A72064">
      <w:pPr>
        <w:rPr>
          <w:rFonts w:ascii="Times New Roman" w:hAnsi="Times New Roman" w:cs="Times New Roman"/>
          <w:b/>
          <w:bCs/>
        </w:rPr>
      </w:pPr>
      <w:r>
        <w:rPr>
          <w:rFonts w:ascii="Times New Roman" w:hAnsi="Times New Roman" w:cs="Times New Roman"/>
          <w:b/>
          <w:bCs/>
        </w:rPr>
        <w:br w:type="page"/>
      </w:r>
    </w:p>
    <w:p w14:paraId="3720573C" w14:textId="77777777" w:rsidR="00256B3D" w:rsidRPr="00F223BC" w:rsidRDefault="00256B3D" w:rsidP="00256B3D">
      <w:pPr>
        <w:spacing w:line="480" w:lineRule="auto"/>
        <w:ind w:firstLine="720"/>
        <w:rPr>
          <w:rFonts w:ascii="Times New Roman" w:hAnsi="Times New Roman" w:cs="Times New Roman"/>
          <w:b/>
          <w:bCs/>
        </w:rPr>
      </w:pPr>
      <w:r>
        <w:rPr>
          <w:rFonts w:ascii="Times New Roman" w:hAnsi="Times New Roman" w:cs="Times New Roman"/>
          <w:b/>
          <w:bCs/>
        </w:rPr>
        <w:lastRenderedPageBreak/>
        <w:t xml:space="preserve">Chapter 2: Literature Review: </w:t>
      </w:r>
      <w:r w:rsidRPr="00F223BC">
        <w:rPr>
          <w:rFonts w:ascii="Times New Roman" w:hAnsi="Times New Roman" w:cs="Times New Roman"/>
          <w:b/>
          <w:bCs/>
        </w:rPr>
        <w:t>The Funeral Home History in the United States</w:t>
      </w:r>
    </w:p>
    <w:p w14:paraId="6EBF6A2B" w14:textId="77777777" w:rsidR="00256B3D" w:rsidRDefault="00256B3D" w:rsidP="00256B3D">
      <w:pPr>
        <w:spacing w:line="480" w:lineRule="auto"/>
        <w:ind w:firstLine="720"/>
        <w:rPr>
          <w:rFonts w:ascii="Times New Roman" w:hAnsi="Times New Roman" w:cs="Times New Roman"/>
        </w:rPr>
      </w:pPr>
      <w:r w:rsidRPr="00F223BC">
        <w:rPr>
          <w:rFonts w:ascii="Times New Roman" w:hAnsi="Times New Roman" w:cs="Times New Roman"/>
        </w:rPr>
        <w:t xml:space="preserve">The </w:t>
      </w:r>
      <w:r w:rsidRPr="00F223BC">
        <w:rPr>
          <w:rFonts w:ascii="Times New Roman" w:hAnsi="Times New Roman" w:cs="Times New Roman"/>
          <w:i/>
          <w:iCs/>
        </w:rPr>
        <w:t>funeral home</w:t>
      </w:r>
      <w:r w:rsidRPr="00F223BC">
        <w:rPr>
          <w:rFonts w:ascii="Times New Roman" w:hAnsi="Times New Roman" w:cs="Times New Roman"/>
        </w:rPr>
        <w:t xml:space="preserve"> was innovated and existed as a societal sector (or institution) embedded in the United States. Indeed, the success of funeral homes parallels changes in modern death, modern life, and </w:t>
      </w:r>
      <w:r>
        <w:rPr>
          <w:rFonts w:ascii="Times New Roman" w:hAnsi="Times New Roman" w:cs="Times New Roman"/>
        </w:rPr>
        <w:t xml:space="preserve">many </w:t>
      </w:r>
      <w:r w:rsidRPr="00F223BC">
        <w:rPr>
          <w:rFonts w:ascii="Times New Roman" w:hAnsi="Times New Roman" w:cs="Times New Roman"/>
        </w:rPr>
        <w:t xml:space="preserve">social developments in US society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&lt;EndNote&gt;&lt;Cite&gt;&lt;Author&gt;Laderman&lt;/Author&gt;&lt;Year&gt;2003&lt;/Year&gt;&lt;RecNum&gt;1515&lt;/RecNum&gt;&lt;DisplayText&gt;(Laderman, 2003)&lt;/DisplayText&gt;&lt;record&gt;&lt;rec-number&gt;1515&lt;/rec-number&gt;&lt;foreign-keys&gt;&lt;key app="EN" db-id="2pe9e00ros0veneeptspa5vhz0pw2az52v20" timestamp="1643834392" guid="58d33cc6-f04e-42ae-bc63-91997b779f9c"&gt;1515&lt;/key&gt;&lt;/foreign-keys&gt;&lt;ref-type name="Book"&gt;6&lt;/ref-type&gt;&lt;contributors&gt;&lt;authors&gt;&lt;author&gt;Laderman, Gary&lt;/author&gt;&lt;/authors&gt;&lt;/contributors&gt;&lt;titles&gt;&lt;title&gt;Rest in peace: A cultural history of death and the funeral home in twentieth-century America&lt;/title&gt;&lt;/titles&gt;&lt;dates&gt;&lt;year&gt;2003&lt;/year&gt;&lt;/dates&gt;&lt;publisher&gt;Oxford University Press&lt;/publisher&gt;&lt;isbn&gt;019518355X&lt;/isbn&gt;&lt;urls&gt;&lt;/urls&gt;&lt;/record&gt;&lt;/Cite&gt;&lt;/EndNote&gt;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(Laderman, 2003)</w:t>
      </w:r>
      <w:r w:rsidRPr="00F223BC">
        <w:rPr>
          <w:rFonts w:ascii="Times New Roman" w:hAnsi="Times New Roman" w:cs="Times New Roman"/>
        </w:rPr>
        <w:fldChar w:fldCharType="end"/>
      </w:r>
      <w:r w:rsidRPr="00F223BC">
        <w:rPr>
          <w:rFonts w:ascii="Times New Roman" w:hAnsi="Times New Roman" w:cs="Times New Roman"/>
        </w:rPr>
        <w:t>, ranging explicitly from the American Civil War to the</w:t>
      </w:r>
      <w:r>
        <w:rPr>
          <w:rFonts w:ascii="Times New Roman" w:hAnsi="Times New Roman" w:cs="Times New Roman"/>
        </w:rPr>
        <w:t xml:space="preserve"> </w:t>
      </w:r>
      <w:r w:rsidRPr="00F223BC">
        <w:rPr>
          <w:rFonts w:ascii="Times New Roman" w:hAnsi="Times New Roman" w:cs="Times New Roman"/>
        </w:rPr>
        <w:t>21st century. Reviewing the funeral home history is to learn from the past, which is a fruitful repertoire of providing suggestions to the present and the future. In concrete, historical intelligence contributes to guiding business communication between funeral directors and clients</w:t>
      </w:r>
      <w:r>
        <w:rPr>
          <w:rFonts w:ascii="Times New Roman" w:hAnsi="Times New Roman" w:cs="Times New Roman"/>
        </w:rPr>
        <w:t>.</w:t>
      </w:r>
      <w:r w:rsidRPr="00F223BC">
        <w:rPr>
          <w:rFonts w:ascii="Times New Roman" w:hAnsi="Times New Roman" w:cs="Times New Roman"/>
        </w:rPr>
        <w:t xml:space="preserve"> </w:t>
      </w:r>
    </w:p>
    <w:p w14:paraId="4058D780" w14:textId="77777777" w:rsidR="00256B3D" w:rsidRPr="00F223BC" w:rsidRDefault="00256B3D" w:rsidP="00256B3D">
      <w:pPr>
        <w:spacing w:line="480" w:lineRule="auto"/>
        <w:ind w:firstLine="720"/>
        <w:rPr>
          <w:rFonts w:ascii="Times New Roman" w:hAnsi="Times New Roman" w:cs="Times New Roman"/>
        </w:rPr>
      </w:pPr>
      <w:r w:rsidRPr="00F223BC">
        <w:rPr>
          <w:rFonts w:ascii="Times New Roman" w:hAnsi="Times New Roman" w:cs="Times New Roman"/>
        </w:rPr>
        <w:t xml:space="preserve">This review adopts Laderman’s structure in the book </w:t>
      </w:r>
      <w:r w:rsidRPr="00F223BC">
        <w:rPr>
          <w:rFonts w:ascii="Times New Roman" w:hAnsi="Times New Roman" w:cs="Times New Roman"/>
          <w:i/>
          <w:iCs/>
        </w:rPr>
        <w:t xml:space="preserve">Rest in Peace: A Cultural History of Death and the Funeral Home in Twentieth-century America, </w:t>
      </w:r>
      <w:r w:rsidRPr="00F223BC">
        <w:rPr>
          <w:rFonts w:ascii="Times New Roman" w:hAnsi="Times New Roman" w:cs="Times New Roman"/>
        </w:rPr>
        <w:t>which includes five sections, relabeled by this review:</w:t>
      </w:r>
      <w:r>
        <w:rPr>
          <w:rFonts w:ascii="Times New Roman" w:hAnsi="Times New Roman" w:cs="Times New Roman"/>
        </w:rPr>
        <w:t xml:space="preserve"> (a)</w:t>
      </w:r>
      <w:r w:rsidRPr="00F223BC">
        <w:rPr>
          <w:rFonts w:ascii="Times New Roman" w:hAnsi="Times New Roman" w:cs="Times New Roman"/>
        </w:rPr>
        <w:t xml:space="preserve"> the emergence of funeral homes,</w:t>
      </w:r>
      <w:r>
        <w:rPr>
          <w:rFonts w:ascii="Times New Roman" w:hAnsi="Times New Roman" w:cs="Times New Roman"/>
        </w:rPr>
        <w:t xml:space="preserve"> (b)</w:t>
      </w:r>
      <w:r w:rsidRPr="00F223BC">
        <w:rPr>
          <w:rFonts w:ascii="Times New Roman" w:hAnsi="Times New Roman" w:cs="Times New Roman"/>
        </w:rPr>
        <w:t xml:space="preserve"> earning its industrial legitimacy, </w:t>
      </w:r>
      <w:r>
        <w:rPr>
          <w:rFonts w:ascii="Times New Roman" w:hAnsi="Times New Roman" w:cs="Times New Roman"/>
        </w:rPr>
        <w:t xml:space="preserve">(c) </w:t>
      </w:r>
      <w:r w:rsidRPr="00F223BC">
        <w:rPr>
          <w:rFonts w:ascii="Times New Roman" w:hAnsi="Times New Roman" w:cs="Times New Roman"/>
        </w:rPr>
        <w:t xml:space="preserve">battling against industrial stereotypes, </w:t>
      </w:r>
      <w:r>
        <w:rPr>
          <w:rFonts w:ascii="Times New Roman" w:hAnsi="Times New Roman" w:cs="Times New Roman"/>
        </w:rPr>
        <w:t xml:space="preserve">(d) </w:t>
      </w:r>
      <w:r w:rsidRPr="00F223BC">
        <w:rPr>
          <w:rFonts w:ascii="Times New Roman" w:hAnsi="Times New Roman" w:cs="Times New Roman"/>
        </w:rPr>
        <w:t>the transformation of the funeral industry, and</w:t>
      </w:r>
      <w:r>
        <w:rPr>
          <w:rFonts w:ascii="Times New Roman" w:hAnsi="Times New Roman" w:cs="Times New Roman"/>
        </w:rPr>
        <w:t xml:space="preserve"> (e)</w:t>
      </w:r>
      <w:r w:rsidRPr="00F223BC">
        <w:rPr>
          <w:rFonts w:ascii="Times New Roman" w:hAnsi="Times New Roman" w:cs="Times New Roman"/>
        </w:rPr>
        <w:t xml:space="preserve"> moving into the 21st-century frontier. Laderman’s structure focuses on cultural and social changes in funeral homes during the historical period rather than a strict chronological sequence. </w:t>
      </w:r>
    </w:p>
    <w:p w14:paraId="2B502849" w14:textId="77777777" w:rsidR="00256B3D" w:rsidRPr="00F223BC" w:rsidRDefault="00256B3D" w:rsidP="00256B3D">
      <w:pPr>
        <w:spacing w:line="480" w:lineRule="auto"/>
        <w:rPr>
          <w:rFonts w:ascii="Times New Roman" w:hAnsi="Times New Roman" w:cs="Times New Roman"/>
          <w:b/>
          <w:bCs/>
        </w:rPr>
      </w:pPr>
      <w:r w:rsidRPr="00F223BC">
        <w:rPr>
          <w:rFonts w:ascii="Times New Roman" w:hAnsi="Times New Roman" w:cs="Times New Roman"/>
          <w:b/>
          <w:bCs/>
        </w:rPr>
        <w:t xml:space="preserve">The Emergence of Funeral Homes </w:t>
      </w:r>
    </w:p>
    <w:p w14:paraId="3D2649BE" w14:textId="77777777" w:rsidR="00256B3D" w:rsidRPr="00F223BC" w:rsidRDefault="00256B3D" w:rsidP="00256B3D">
      <w:pPr>
        <w:spacing w:line="480" w:lineRule="auto"/>
        <w:ind w:firstLine="720"/>
        <w:rPr>
          <w:rFonts w:ascii="Times New Roman" w:hAnsi="Times New Roman" w:cs="Times New Roman"/>
        </w:rPr>
      </w:pPr>
      <w:r w:rsidRPr="00F223BC">
        <w:rPr>
          <w:rFonts w:ascii="Times New Roman" w:hAnsi="Times New Roman" w:cs="Times New Roman"/>
        </w:rPr>
        <w:t xml:space="preserve">This section reviews the approximate time interval between the American Civil War (1861-1865) and World War I (1914-1918), aiming to illustrate the social and cultural background of the emergence of funeral homes in America. In overview, embalming advancement, change in the demographic pattern, and the rise of hospitals are the three primary drivers of the rise of the institution of funeral homes. Practically, funeral homes were identified and established with social and cultural effects in the 1920s. </w:t>
      </w:r>
    </w:p>
    <w:p w14:paraId="00E7D3F8" w14:textId="77777777" w:rsidR="00256B3D" w:rsidRPr="00F223BC" w:rsidRDefault="00256B3D" w:rsidP="00256B3D">
      <w:pPr>
        <w:spacing w:line="480" w:lineRule="auto"/>
        <w:ind w:firstLine="720"/>
        <w:rPr>
          <w:rFonts w:ascii="Times New Roman" w:hAnsi="Times New Roman" w:cs="Times New Roman"/>
        </w:rPr>
      </w:pPr>
      <w:r w:rsidRPr="00F223BC">
        <w:rPr>
          <w:rFonts w:ascii="Times New Roman" w:hAnsi="Times New Roman" w:cs="Times New Roman"/>
          <w:b/>
          <w:bCs/>
        </w:rPr>
        <w:lastRenderedPageBreak/>
        <w:t>Embalming advancement</w:t>
      </w:r>
      <w:r w:rsidRPr="00F223BC">
        <w:rPr>
          <w:rFonts w:ascii="Times New Roman" w:hAnsi="Times New Roman" w:cs="Times New Roman"/>
        </w:rPr>
        <w:t xml:space="preserve">. Embalming in modern America is related to but different from the death ritual of ancient Egyptian burial ceremonies such as mummification. The Egyptian mummification is deeply involved in mythical values and realities with passage from this world to the next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&lt;EndNote&gt;&lt;Cite&gt;&lt;Author&gt;Assmann&lt;/Author&gt;&lt;Year&gt;1989&lt;/Year&gt;&lt;RecNum&gt;1927&lt;/RecNum&gt;&lt;DisplayText&gt;(Assmann, 1989)&lt;/DisplayText&gt;&lt;record&gt;&lt;rec-number&gt;1927&lt;/rec-number&gt;&lt;foreign-keys&gt;&lt;key app="EN" db-id="2pe9e00ros0veneeptspa5vhz0pw2az52v20" timestamp="1693864129" guid="d21fdfb5-57ca-4160-a05c-c504c8c8b54e"&gt;1927&lt;/key&gt;&lt;/foreign-keys&gt;&lt;ref-type name="Book Section"&gt;5&lt;/ref-type&gt;&lt;contributors&gt;&lt;authors&gt;&lt;author&gt;Assmann, Jan&lt;/author&gt;&lt;/authors&gt;&lt;secondary-authors&gt;&lt;author&gt;Simpson, W.K. &lt;/author&gt;&lt;/secondary-authors&gt;&lt;/contributors&gt;&lt;titles&gt;&lt;title&gt;Death and initiation in the funerary religion of ancient Egypt&lt;/title&gt;&lt;secondary-title&gt;Religion and Philosophy in Ancient Egypt (Yale Egyptological Studies)&lt;/secondary-title&gt;&lt;/titles&gt;&lt;pages&gt;135-159&lt;/pages&gt;&lt;dates&gt;&lt;year&gt;1989&lt;/year&gt;&lt;/dates&gt;&lt;publisher&gt;Yale Egyptological Seminar&lt;/publisher&gt;&lt;urls&gt;&lt;/urls&gt;&lt;/record&gt;&lt;/Cite&gt;&lt;/EndNote&gt;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(Assmann, 1989)</w:t>
      </w:r>
      <w:r w:rsidRPr="00F223BC">
        <w:rPr>
          <w:rFonts w:ascii="Times New Roman" w:hAnsi="Times New Roman" w:cs="Times New Roman"/>
        </w:rPr>
        <w:fldChar w:fldCharType="end"/>
      </w:r>
      <w:r w:rsidRPr="00F223BC">
        <w:rPr>
          <w:rFonts w:ascii="Times New Roman" w:hAnsi="Times New Roman" w:cs="Times New Roman"/>
        </w:rPr>
        <w:t xml:space="preserve">, which suggests the spatial aspect of transition and the biomorphic model of rebirth. Otherwise, embalming in modern America is also known as the modern science of embalming </w:t>
      </w:r>
      <w:r w:rsidRPr="00F223BC">
        <w:rPr>
          <w:rFonts w:ascii="Times New Roman" w:hAnsi="Times New Roman" w:cs="Times New Roman"/>
        </w:rPr>
        <w:fldChar w:fldCharType="begin"/>
      </w:r>
      <w:r>
        <w:rPr>
          <w:rFonts w:ascii="Times New Roman" w:hAnsi="Times New Roman" w:cs="Times New Roman"/>
        </w:rPr>
        <w:instrText xml:space="preserve"> ADDIN EN.CITE &lt;EndNote&gt;&lt;Cite&gt;&lt;Author&gt;Mendelsohn&lt;/Author&gt;&lt;Year&gt;1940&lt;/Year&gt;&lt;RecNum&gt;1926&lt;/RecNum&gt;&lt;Prefix&gt;e.g.`, &lt;/Prefix&gt;&lt;DisplayText&gt;(e.g., Mendelsohn, 1940)&lt;/DisplayText&gt;&lt;record&gt;&lt;rec-number&gt;1926&lt;/rec-number&gt;&lt;foreign-keys&gt;&lt;key app="EN" db-id="2pe9e00ros0veneeptspa5vhz0pw2az52v20" timestamp="1693862260" guid="b5fa1578-87cd-40f0-8cde-d56313d36107"&gt;1926&lt;/key&gt;&lt;/foreign-keys&gt;&lt;ref-type name="Book"&gt;6&lt;/ref-type&gt;&lt;contributors&gt;&lt;authors&gt;&lt;author&gt;Mendelsohn, Simon&lt;/author&gt;&lt;/authors&gt;&lt;/contributors&gt;&lt;titles&gt;&lt;title&gt;Embalming fluids; Their historical development and formulation: From the standpoint of the chemical aspects of the scientific art of preserving human remains&lt;/title&gt;&lt;/titles&gt;&lt;dates&gt;&lt;year&gt;1940&lt;/year&gt;&lt;/dates&gt;&lt;publisher&gt;Chemical Publishing Company&lt;/publisher&gt;&lt;urls&gt;&lt;/urls&gt;&lt;/record&gt;&lt;/Cite&gt;&lt;/EndNote&gt;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(e.g., Mendelsohn, 1940)</w:t>
      </w:r>
      <w:r w:rsidRPr="00F223BC">
        <w:rPr>
          <w:rFonts w:ascii="Times New Roman" w:hAnsi="Times New Roman" w:cs="Times New Roman"/>
        </w:rPr>
        <w:fldChar w:fldCharType="end"/>
      </w:r>
      <w:r w:rsidRPr="00F223BC">
        <w:rPr>
          <w:rFonts w:ascii="Times New Roman" w:hAnsi="Times New Roman" w:cs="Times New Roman"/>
        </w:rPr>
        <w:t xml:space="preserve"> with features that include implications related to the technical, scientific, professional, medical, artistic, and ethical. </w:t>
      </w:r>
    </w:p>
    <w:p w14:paraId="58BB91AE" w14:textId="77777777" w:rsidR="00256B3D" w:rsidRPr="00F223BC" w:rsidRDefault="00256B3D" w:rsidP="00256B3D">
      <w:pPr>
        <w:spacing w:line="480" w:lineRule="auto"/>
        <w:ind w:firstLine="720"/>
        <w:rPr>
          <w:rFonts w:ascii="Times New Roman" w:hAnsi="Times New Roman" w:cs="Times New Roman"/>
        </w:rPr>
      </w:pPr>
      <w:r w:rsidRPr="00F223BC">
        <w:rPr>
          <w:rFonts w:ascii="Times New Roman" w:hAnsi="Times New Roman" w:cs="Times New Roman"/>
        </w:rPr>
        <w:t xml:space="preserve">The American Civil War was a dramatic point for embalming, and it was the first American war to make provision for the return of the dead to their families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&lt;EndNote&gt;&lt;Cite&gt;&lt;Author&gt;Laderman&lt;/Author&gt;&lt;Year&gt;2003&lt;/Year&gt;&lt;RecNum&gt;1515&lt;/RecNum&gt;&lt;DisplayText&gt;(Laderman, 2003)&lt;/DisplayText&gt;&lt;record&gt;&lt;rec-number&gt;1515&lt;/rec-number&gt;&lt;foreign-keys&gt;&lt;key app="EN" db-id="2pe9e00ros0veneeptspa5vhz0pw2az52v20" timestamp="1643834392" guid="58d33cc6-f04e-42ae-bc63-91997b779f9c"&gt;1515&lt;/key&gt;&lt;/foreign-keys&gt;&lt;ref-type name="Book"&gt;6&lt;/ref-type&gt;&lt;contributors&gt;&lt;authors&gt;&lt;author&gt;Laderman, Gary&lt;/author&gt;&lt;/authors&gt;&lt;/contributors&gt;&lt;titles&gt;&lt;title&gt;Rest in peace: A cultural history of death and the funeral home in twentieth-century America&lt;/title&gt;&lt;/titles&gt;&lt;dates&gt;&lt;year&gt;2003&lt;/year&gt;&lt;/dates&gt;&lt;publisher&gt;Oxford University Press&lt;/publisher&gt;&lt;isbn&gt;019518355X&lt;/isbn&gt;&lt;urls&gt;&lt;/urls&gt;&lt;/record&gt;&lt;/Cite&gt;&lt;/EndNote&gt;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(Laderman, 2003)</w:t>
      </w:r>
      <w:r w:rsidRPr="00F223BC">
        <w:rPr>
          <w:rFonts w:ascii="Times New Roman" w:hAnsi="Times New Roman" w:cs="Times New Roman"/>
        </w:rPr>
        <w:fldChar w:fldCharType="end"/>
      </w:r>
      <w:r w:rsidRPr="00F223BC">
        <w:rPr>
          <w:rFonts w:ascii="Times New Roman" w:hAnsi="Times New Roman" w:cs="Times New Roman"/>
        </w:rPr>
        <w:t xml:space="preserve">. Modern embalming was borrowed from England and France embalming fluids to preserve bodies, Dr. Thomas Holmes’s research and practice of advancing embalming fluids, and the injection pump to input fluids by the arterial method from anatomists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&lt;EndNote&gt;&lt;Cite&gt;&lt;Author&gt;Habenstein&lt;/Author&gt;&lt;Year&gt;1955&lt;/Year&gt;&lt;RecNum&gt;1943&lt;/RecNum&gt;&lt;Prefix&gt;for details`, &lt;/Prefix&gt;&lt;Pages&gt;321- 328&lt;/Pages&gt;&lt;DisplayText&gt;(for details, Habenstein &amp;amp; Lamers, 1955, pp. 321- 328)&lt;/DisplayText&gt;&lt;record&gt;&lt;rec-number&gt;1943&lt;/rec-number&gt;&lt;foreign-keys&gt;&lt;key app="EN" db-id="2pe9e00ros0veneeptspa5vhz0pw2az52v20" timestamp="1693946044" guid="5667ee0e-9c63-4eaf-b89a-4d3e1780e4ab"&gt;1943&lt;/key&gt;&lt;/foreign-keys&gt;&lt;ref-type name="Book"&gt;6&lt;/ref-type&gt;&lt;contributors&gt;&lt;authors&gt;&lt;author&gt;Habenstein, R.&lt;/author&gt;&lt;author&gt;Lamers, W.&lt;/author&gt;&lt;/authors&gt;&lt;/contributors&gt;&lt;titles&gt;&lt;title&gt;The history of American funeral directing&lt;/title&gt;&lt;/titles&gt;&lt;edition&gt;1st&lt;/edition&gt;&lt;dates&gt;&lt;year&gt;1955&lt;/year&gt;&lt;/dates&gt;&lt;pub-location&gt;Milwaukee&lt;/pub-location&gt;&lt;publisher&gt;Bulfin Printers&lt;/publisher&gt;&lt;urls&gt;&lt;/urls&gt;&lt;/record&gt;&lt;/Cite&gt;&lt;/EndNote&gt;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(for details, Habenstein &amp; Lamers, 1955, pp. 321- 328)</w:t>
      </w:r>
      <w:r w:rsidRPr="00F223BC">
        <w:rPr>
          <w:rFonts w:ascii="Times New Roman" w:hAnsi="Times New Roman" w:cs="Times New Roman"/>
        </w:rPr>
        <w:fldChar w:fldCharType="end"/>
      </w:r>
      <w:r w:rsidRPr="00F223BC">
        <w:rPr>
          <w:rFonts w:ascii="Times New Roman" w:hAnsi="Times New Roman" w:cs="Times New Roman"/>
        </w:rPr>
        <w:t xml:space="preserve">. Then, by the early 1880s, this approach of embalming bodies grew in popularity among </w:t>
      </w:r>
      <w:r w:rsidRPr="00F223BC">
        <w:rPr>
          <w:rFonts w:ascii="Times New Roman" w:hAnsi="Times New Roman" w:cs="Times New Roman"/>
          <w:i/>
          <w:iCs/>
        </w:rPr>
        <w:t>undertakers</w:t>
      </w:r>
      <w:r w:rsidRPr="00F223BC">
        <w:rPr>
          <w:rFonts w:ascii="Times New Roman" w:hAnsi="Times New Roman" w:cs="Times New Roman"/>
        </w:rPr>
        <w:t xml:space="preserve"> (i.e., a precursor to the professional label “funeral director”).</w:t>
      </w:r>
    </w:p>
    <w:p w14:paraId="2ED0B015" w14:textId="77777777" w:rsidR="00256B3D" w:rsidRPr="00F223BC" w:rsidRDefault="00256B3D" w:rsidP="00256B3D">
      <w:pPr>
        <w:spacing w:line="480" w:lineRule="auto"/>
        <w:ind w:firstLine="720"/>
        <w:rPr>
          <w:rFonts w:ascii="Times New Roman" w:hAnsi="Times New Roman" w:cs="Times New Roman"/>
        </w:rPr>
      </w:pPr>
      <w:r w:rsidRPr="00F223BC">
        <w:rPr>
          <w:rFonts w:ascii="Times New Roman" w:hAnsi="Times New Roman" w:cs="Times New Roman"/>
          <w:b/>
          <w:bCs/>
        </w:rPr>
        <w:t>Change in the demographic pattern</w:t>
      </w:r>
      <w:r w:rsidRPr="00F223BC">
        <w:rPr>
          <w:rFonts w:ascii="Times New Roman" w:hAnsi="Times New Roman" w:cs="Times New Roman"/>
        </w:rPr>
        <w:t xml:space="preserve">. Since the mid- to late-eighteenth century, mortality in the US has been declining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&lt;EndNote&gt;&lt;Cite&gt;&lt;Author&gt;Reher&lt;/Author&gt;&lt;Year&gt;2011&lt;/Year&gt;&lt;RecNum&gt;1930&lt;/RecNum&gt;&lt;DisplayText&gt;(Reher, 2011)&lt;/DisplayText&gt;&lt;record&gt;&lt;rec-number&gt;1930&lt;/rec-number&gt;&lt;foreign-keys&gt;&lt;key app="EN" db-id="2pe9e00ros0veneeptspa5vhz0pw2az52v20" timestamp="1693876375" guid="b714bfc1-da1d-4600-ab78-ccc083ae1bdf"&gt;1930&lt;/key&gt;&lt;/foreign-keys&gt;&lt;ref-type name="Journal Article"&gt;17&lt;/ref-type&gt;&lt;contributors&gt;&lt;authors&gt;&lt;author&gt;Reher, David S&lt;/author&gt;&lt;/authors&gt;&lt;/contributors&gt;&lt;titles&gt;&lt;title&gt;Economic and social implications of the demographic transition&lt;/title&gt;&lt;secondary-title&gt;Population and development review&lt;/secondary-title&gt;&lt;/titles&gt;&lt;periodical&gt;&lt;full-title&gt;Population and development review&lt;/full-title&gt;&lt;/periodical&gt;&lt;pages&gt;11-33&lt;/pages&gt;&lt;volume&gt;37&lt;/volume&gt;&lt;dates&gt;&lt;year&gt;2011&lt;/year&gt;&lt;/dates&gt;&lt;isbn&gt;0098-7921&lt;/isbn&gt;&lt;urls&gt;&lt;related-urls&gt;&lt;url&gt;https://www.jstor.org/stable/41762397&lt;/url&gt;&lt;/related-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(Reher, 2011)</w:t>
      </w:r>
      <w:r w:rsidRPr="00F223BC">
        <w:rPr>
          <w:rFonts w:ascii="Times New Roman" w:hAnsi="Times New Roman" w:cs="Times New Roman"/>
        </w:rPr>
        <w:fldChar w:fldCharType="end"/>
      </w:r>
      <w:r w:rsidRPr="00F223BC">
        <w:rPr>
          <w:rFonts w:ascii="Times New Roman" w:hAnsi="Times New Roman" w:cs="Times New Roman"/>
        </w:rPr>
        <w:t xml:space="preserve">. Then, mortality and fertility declined during the second half of the nineteenth century, considered the demographic transition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&lt;EndNote&gt;&lt;Cite&gt;&lt;Author&gt;Reher&lt;/Author&gt;&lt;Year&gt;2011&lt;/Year&gt;&lt;RecNum&gt;1930&lt;/RecNum&gt;&lt;DisplayText&gt;(Reher, 2011)&lt;/DisplayText&gt;&lt;record&gt;&lt;rec-number&gt;1930&lt;/rec-number&gt;&lt;foreign-keys&gt;&lt;key app="EN" db-id="2pe9e00ros0veneeptspa5vhz0pw2az52v20" timestamp="1693876375" guid="b714bfc1-da1d-4600-ab78-ccc083ae1bdf"&gt;1930&lt;/key&gt;&lt;/foreign-keys&gt;&lt;ref-type name="Journal Article"&gt;17&lt;/ref-type&gt;&lt;contributors&gt;&lt;authors&gt;&lt;author&gt;Reher, David S&lt;/author&gt;&lt;/authors&gt;&lt;/contributors&gt;&lt;titles&gt;&lt;title&gt;Economic and social implications of the demographic transition&lt;/title&gt;&lt;secondary-title&gt;Population and development review&lt;/secondary-title&gt;&lt;/titles&gt;&lt;periodical&gt;&lt;full-title&gt;Population and development review&lt;/full-title&gt;&lt;/periodical&gt;&lt;pages&gt;11-33&lt;/pages&gt;&lt;volume&gt;37&lt;/volume&gt;&lt;dates&gt;&lt;year&gt;2011&lt;/year&gt;&lt;/dates&gt;&lt;isbn&gt;0098-7921&lt;/isbn&gt;&lt;urls&gt;&lt;related-urls&gt;&lt;url&gt;https://www.jstor.org/stable/41762397&lt;/url&gt;&lt;/related-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(Reher, 2011)</w:t>
      </w:r>
      <w:r w:rsidRPr="00F223BC">
        <w:rPr>
          <w:rFonts w:ascii="Times New Roman" w:hAnsi="Times New Roman" w:cs="Times New Roman"/>
        </w:rPr>
        <w:fldChar w:fldCharType="end"/>
      </w:r>
      <w:r w:rsidRPr="00F223BC">
        <w:rPr>
          <w:rFonts w:ascii="Times New Roman" w:hAnsi="Times New Roman" w:cs="Times New Roman"/>
        </w:rPr>
        <w:t xml:space="preserve">. An increase in life expectancy accompanies this demographic transition. Since 1870, life expectancy at birth has soared because of an associated decline in morbidity from contagious diseases and associated improvement in healthcare due to modern economic growth </w:t>
      </w:r>
      <w:r w:rsidRPr="00F223BC">
        <w:rPr>
          <w:rFonts w:ascii="Times New Roman" w:hAnsi="Times New Roman" w:cs="Times New Roman"/>
        </w:rPr>
        <w:fldChar w:fldCharType="begin"/>
      </w:r>
      <w:r>
        <w:rPr>
          <w:rFonts w:ascii="Times New Roman" w:hAnsi="Times New Roman" w:cs="Times New Roman"/>
        </w:rPr>
        <w:instrText xml:space="preserve"> ADDIN EN.CITE &lt;EndNote&gt;&lt;Cite&gt;&lt;Author&gt;Easterlin&lt;/Author&gt;&lt;Year&gt;1995&lt;/Year&gt;&lt;RecNum&gt;1931&lt;/RecNum&gt;&lt;DisplayText&gt;(Easterlin, 1995)&lt;/DisplayText&gt;&lt;record&gt;&lt;rec-number&gt;1931&lt;/rec-number&gt;&lt;foreign-keys&gt;&lt;key app="EN" db-id="2pe9e00ros0veneeptspa5vhz0pw2az52v20" timestamp="1693878153" guid="5c470d41-f506-4be3-b694-ee78d4bea40c"&gt;1931&lt;/key&gt;&lt;/foreign-keys&gt;&lt;ref-type name="Journal Article"&gt;17&lt;/ref-type&gt;&lt;contributors&gt;&lt;authors&gt;&lt;author&gt;Easterlin, Richard A.&lt;/author&gt;&lt;/authors&gt;&lt;/contributors&gt;&lt;titles&gt;&lt;title&gt;Industrial revolution and mortality revolution: Two of a kind?&lt;/title&gt;&lt;secondary-title&gt;Journal of Evolutionary Economics&lt;/secondary-title&gt;&lt;/titles&gt;&lt;periodical&gt;&lt;full-title&gt;Journal of Evolutionary Economics&lt;/full-title&gt;&lt;/periodical&gt;&lt;pages&gt;393-408&lt;/pages&gt;&lt;volume&gt;5&lt;/volume&gt;&lt;number&gt;4&lt;/number&gt;&lt;dates&gt;&lt;year&gt;1995&lt;/year&gt;&lt;/dates&gt;&lt;isbn&gt;1432-1386&lt;/isbn&gt;&lt;urls&gt;&lt;related-urls&gt;&lt;url&gt;https://doi.org/10.1007/BF01194368&lt;/url&gt;&lt;/related-urls&gt;&lt;/urls&gt;&lt;electronic-resource-num&gt;10.1007/BF01194368&lt;/electronic-resource-num&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(Easterlin, 1995)</w:t>
      </w:r>
      <w:r w:rsidRPr="00F223BC">
        <w:rPr>
          <w:rFonts w:ascii="Times New Roman" w:hAnsi="Times New Roman" w:cs="Times New Roman"/>
        </w:rPr>
        <w:fldChar w:fldCharType="end"/>
      </w:r>
      <w:r w:rsidRPr="00F223BC">
        <w:rPr>
          <w:rFonts w:ascii="Times New Roman" w:hAnsi="Times New Roman" w:cs="Times New Roman"/>
        </w:rPr>
        <w:t xml:space="preserve">. The declining mortality rate and extended life expectancy resulted in the gradual loss of traditional familiarity with the dead in everyday life. </w:t>
      </w:r>
    </w:p>
    <w:p w14:paraId="16FFDBD7" w14:textId="77777777" w:rsidR="00256B3D" w:rsidRPr="00F223BC" w:rsidRDefault="00256B3D" w:rsidP="00256B3D">
      <w:pPr>
        <w:spacing w:line="480" w:lineRule="auto"/>
        <w:ind w:firstLine="720"/>
        <w:rPr>
          <w:rFonts w:ascii="Times New Roman" w:hAnsi="Times New Roman" w:cs="Times New Roman"/>
        </w:rPr>
      </w:pPr>
      <w:r w:rsidRPr="00F223BC">
        <w:rPr>
          <w:rFonts w:ascii="Times New Roman" w:hAnsi="Times New Roman" w:cs="Times New Roman"/>
          <w:b/>
          <w:bCs/>
        </w:rPr>
        <w:lastRenderedPageBreak/>
        <w:t>The rise of hospitals</w:t>
      </w:r>
      <w:r w:rsidRPr="00F223BC">
        <w:rPr>
          <w:rFonts w:ascii="Times New Roman" w:hAnsi="Times New Roman" w:cs="Times New Roman"/>
        </w:rPr>
        <w:t xml:space="preserve">. From the 1870s to the 1920s, hospital counts expanded dramatically 38 times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&lt;EndNote&gt;&lt;Cite&gt;&lt;Author&gt;Schlereth&lt;/Author&gt;&lt;Year&gt;1992&lt;/Year&gt;&lt;RecNum&gt;1933&lt;/RecNum&gt;&lt;DisplayText&gt;(Schlereth, 1992)&lt;/DisplayText&gt;&lt;record&gt;&lt;rec-number&gt;1933&lt;/rec-number&gt;&lt;foreign-keys&gt;&lt;key app="EN" db-id="2pe9e00ros0veneeptspa5vhz0pw2az52v20" timestamp="1693880285" guid="0d5798a5-ae9f-4689-8d29-452488923767"&gt;1933&lt;/key&gt;&lt;/foreign-keys&gt;&lt;ref-type name="Book"&gt;6&lt;/ref-type&gt;&lt;contributors&gt;&lt;authors&gt;&lt;author&gt;Thomas J. Schlereth &lt;/author&gt;&lt;/authors&gt;&lt;/contributors&gt;&lt;titles&gt;&lt;title&gt;Victorian America : transformations in everyday life, 1876-1915&lt;/title&gt;&lt;/titles&gt;&lt;dates&gt;&lt;year&gt;1992&lt;/year&gt;&lt;/dates&gt;&lt;publisher&gt;HarperCollins Publishers&lt;/publisher&gt;&lt;isbn&gt;0-06-016218-X&lt;/isbn&gt;&lt;urls&gt;&lt;/urls&gt;&lt;/record&gt;&lt;/Cite&gt;&lt;/EndNote&gt;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(Schlereth, 1992)</w:t>
      </w:r>
      <w:r w:rsidRPr="00F223BC">
        <w:rPr>
          <w:rFonts w:ascii="Times New Roman" w:hAnsi="Times New Roman" w:cs="Times New Roman"/>
        </w:rPr>
        <w:fldChar w:fldCharType="end"/>
      </w:r>
      <w:r w:rsidRPr="00F223BC">
        <w:rPr>
          <w:rFonts w:ascii="Times New Roman" w:hAnsi="Times New Roman" w:cs="Times New Roman"/>
        </w:rPr>
        <w:t xml:space="preserve">. In effect, patients increasingly came to doctors, rather than doctors came to patients, and dying was institutionalized within the isolated space of a hospital room. Associated with the growth of hospitals, the medicalization of death also changed the meaning of death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&lt;EndNote&gt;&lt;Cite&gt;&lt;Author&gt;Ariès&lt;/Author&gt;&lt;Year&gt;1981&lt;/Year&gt;&lt;RecNum&gt;1938&lt;/RecNum&gt;&lt;DisplayText&gt;(Ariès, 1981)&lt;/DisplayText&gt;&lt;record&gt;&lt;rec-number&gt;1938&lt;/rec-number&gt;&lt;foreign-keys&gt;&lt;key app="EN" db-id="2pe9e00ros0veneeptspa5vhz0pw2az52v20" timestamp="1693882490" guid="f6e0f35a-3f5f-4d80-9b82-4015be03f4d3"&gt;1938&lt;/key&gt;&lt;/foreign-keys&gt;&lt;ref-type name="Book"&gt;6&lt;/ref-type&gt;&lt;contributors&gt;&lt;authors&gt;&lt;author&gt;Philippe Ariès&lt;/author&gt;&lt;/authors&gt;&lt;subsidiary-authors&gt;&lt;author&gt;Helen Weaver&lt;/author&gt;&lt;/subsidiary-authors&gt;&lt;/contributors&gt;&lt;titles&gt;&lt;title&gt;The hour of our death&lt;/title&gt;&lt;/titles&gt;&lt;edition&gt;First American edition&lt;/edition&gt;&lt;dates&gt;&lt;year&gt;1981&lt;/year&gt;&lt;/dates&gt;&lt;pub-location&gt;New York&lt;/pub-location&gt;&lt;publisher&gt;Knopf : Distributed by Random House&lt;/publisher&gt;&lt;urls&gt;&lt;/urls&gt;&lt;/record&gt;&lt;/Cite&gt;&lt;/EndNote&gt;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(Ariès, 1981)</w:t>
      </w:r>
      <w:r w:rsidRPr="00F223BC">
        <w:rPr>
          <w:rFonts w:ascii="Times New Roman" w:hAnsi="Times New Roman" w:cs="Times New Roman"/>
        </w:rPr>
        <w:fldChar w:fldCharType="end"/>
      </w:r>
      <w:r w:rsidRPr="00F223BC">
        <w:rPr>
          <w:rFonts w:ascii="Times New Roman" w:hAnsi="Times New Roman" w:cs="Times New Roman"/>
        </w:rPr>
        <w:t xml:space="preserve">. Death and dying were not understood as a natural ending to lifespans but constructed as a failure, a business lost, and a devastating defeat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&lt;EndNote&gt;&lt;Cite&gt;&lt;Author&gt;Walter&lt;/Author&gt;&lt;Year&gt;2015&lt;/Year&gt;&lt;RecNum&gt;1934&lt;/RecNum&gt;&lt;DisplayText&gt;(Walter, 2015)&lt;/DisplayText&gt;&lt;record&gt;&lt;rec-number&gt;1934&lt;/rec-number&gt;&lt;foreign-keys&gt;&lt;key app="EN" db-id="2pe9e00ros0veneeptspa5vhz0pw2az52v20" timestamp="1693881761" guid="5a479cb4-b99e-4e10-b194-a1144eb5f5be"&gt;1934&lt;/key&gt;&lt;/foreign-keys&gt;&lt;ref-type name="Book Section"&gt;5&lt;/ref-type&gt;&lt;contributors&gt;&lt;authors&gt;&lt;author&gt;Walter, Tony&lt;/author&gt;&lt;/authors&gt;&lt;secondary-authors&gt;&lt;author&gt;Wright, James D.&lt;/author&gt;&lt;/secondary-authors&gt;&lt;/contributors&gt;&lt;titles&gt;&lt;title&gt;Death and Dying, Sociology of&lt;/title&gt;&lt;secondary-title&gt;International Encyclopedia of the Social &amp;amp; Behavioral Sciences (Second Edition)&lt;/secondary-title&gt;&lt;/titles&gt;&lt;pages&gt;865-869&lt;/pages&gt;&lt;keywords&gt;&lt;keyword&gt;Afterlife&lt;/keyword&gt;&lt;keyword&gt;Ancestors&lt;/keyword&gt;&lt;keyword&gt;Bereavement&lt;/keyword&gt;&lt;keyword&gt;Death&lt;/keyword&gt;&lt;keyword&gt;Denial&lt;/keyword&gt;&lt;keyword&gt;Dying&lt;/keyword&gt;&lt;keyword&gt;Funerals&lt;/keyword&gt;&lt;keyword&gt;Grief&lt;/keyword&gt;&lt;keyword&gt;Internet&lt;/keyword&gt;&lt;keyword&gt;Medicalization&lt;/keyword&gt;&lt;keyword&gt;Mourning&lt;/keyword&gt;&lt;keyword&gt;Postmaterialism&lt;/keyword&gt;&lt;keyword&gt;Professionalization&lt;/keyword&gt;&lt;keyword&gt;Ritual&lt;/keyword&gt;&lt;keyword&gt;Secularization&lt;/keyword&gt;&lt;keyword&gt;Sequestration&lt;/keyword&gt;&lt;/keywords&gt;&lt;dates&gt;&lt;year&gt;2015&lt;/year&gt;&lt;pub-dates&gt;&lt;date&gt;2015/01/01/&lt;/date&gt;&lt;/pub-dates&gt;&lt;/dates&gt;&lt;pub-location&gt;Oxford&lt;/pub-location&gt;&lt;publisher&gt;Elsevier&lt;/publisher&gt;&lt;isbn&gt;978-0-08-097087-5&lt;/isbn&gt;&lt;urls&gt;&lt;related-urls&gt;&lt;url&gt;https://www.sciencedirect.com/science/article/pii/B9780080970868320372&lt;/url&gt;&lt;/related-urls&gt;&lt;/urls&gt;&lt;electronic-resource-num&gt;10.1016/B978-0-08-097086-8.32037-2&lt;/electronic-resource-num&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(Walter, 2015)</w:t>
      </w:r>
      <w:r w:rsidRPr="00F223BC">
        <w:rPr>
          <w:rFonts w:ascii="Times New Roman" w:hAnsi="Times New Roman" w:cs="Times New Roman"/>
        </w:rPr>
        <w:fldChar w:fldCharType="end"/>
      </w:r>
      <w:r w:rsidRPr="00F223BC">
        <w:rPr>
          <w:rFonts w:ascii="Times New Roman" w:hAnsi="Times New Roman" w:cs="Times New Roman"/>
        </w:rPr>
        <w:t xml:space="preserve">. The medicalization of death drives the dislodging of the corpse from the family house to another location. </w:t>
      </w:r>
    </w:p>
    <w:p w14:paraId="70A18225" w14:textId="77777777" w:rsidR="00256B3D" w:rsidRPr="00F223BC" w:rsidRDefault="00256B3D" w:rsidP="00256B3D">
      <w:pPr>
        <w:spacing w:line="480" w:lineRule="auto"/>
        <w:ind w:firstLine="720"/>
        <w:rPr>
          <w:rFonts w:ascii="Times New Roman" w:hAnsi="Times New Roman" w:cs="Times New Roman"/>
        </w:rPr>
      </w:pPr>
      <w:r w:rsidRPr="00F223BC">
        <w:rPr>
          <w:rFonts w:ascii="Times New Roman" w:hAnsi="Times New Roman" w:cs="Times New Roman"/>
          <w:b/>
          <w:bCs/>
        </w:rPr>
        <w:t>The funeral home origin and its effect</w:t>
      </w:r>
      <w:r w:rsidRPr="00F223BC">
        <w:rPr>
          <w:rFonts w:ascii="Times New Roman" w:hAnsi="Times New Roman" w:cs="Times New Roman"/>
        </w:rPr>
        <w:t xml:space="preserve">. </w:t>
      </w:r>
      <w:r>
        <w:rPr>
          <w:rFonts w:ascii="Times New Roman" w:hAnsi="Times New Roman" w:cs="Times New Roman"/>
        </w:rPr>
        <w:t>The American funeral home institution was emergent in towns and cities nationwide for the public to relinquish control over the dead body, lose familiarity with the dead, and embrace professional funeral services</w:t>
      </w:r>
      <w:r w:rsidRPr="00F223BC">
        <w:rPr>
          <w:rFonts w:ascii="Times New Roman" w:hAnsi="Times New Roman" w:cs="Times New Roman"/>
        </w:rPr>
        <w:t xml:space="preserve">. The rise of funeral homes created a “new social space for preparing, displaying, and communing with the dead”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&lt;EndNote&gt;&lt;Cite&gt;&lt;Author&gt;Laderman&lt;/Author&gt;&lt;Year&gt;2003&lt;/Year&gt;&lt;RecNum&gt;1515&lt;/RecNum&gt;&lt;Pages&gt;16&lt;/Pages&gt;&lt;DisplayText&gt;(Laderman, 2003, p. 16)&lt;/DisplayText&gt;&lt;record&gt;&lt;rec-number&gt;1515&lt;/rec-number&gt;&lt;foreign-keys&gt;&lt;key app="EN" db-id="2pe9e00ros0veneeptspa5vhz0pw2az52v20" timestamp="1643834392" guid="58d33cc6-f04e-42ae-bc63-91997b779f9c"&gt;1515&lt;/key&gt;&lt;/foreign-keys&gt;&lt;ref-type name="Book"&gt;6&lt;/ref-type&gt;&lt;contributors&gt;&lt;authors&gt;&lt;author&gt;Laderman, Gary&lt;/author&gt;&lt;/authors&gt;&lt;/contributors&gt;&lt;titles&gt;&lt;title&gt;Rest in peace: A cultural history of death and the funeral home in twentieth-century America&lt;/title&gt;&lt;/titles&gt;&lt;dates&gt;&lt;year&gt;2003&lt;/year&gt;&lt;/dates&gt;&lt;publisher&gt;Oxford University Press&lt;/publisher&gt;&lt;isbn&gt;019518355X&lt;/isbn&gt;&lt;urls&gt;&lt;/urls&gt;&lt;/record&gt;&lt;/Cite&gt;&lt;/EndNote&gt;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(Laderman, 2003, p. 16)</w:t>
      </w:r>
      <w:r w:rsidRPr="00F223BC">
        <w:rPr>
          <w:rFonts w:ascii="Times New Roman" w:hAnsi="Times New Roman" w:cs="Times New Roman"/>
        </w:rPr>
        <w:fldChar w:fldCharType="end"/>
      </w:r>
      <w:r w:rsidRPr="00F223BC">
        <w:rPr>
          <w:rFonts w:ascii="Times New Roman" w:hAnsi="Times New Roman" w:cs="Times New Roman"/>
        </w:rPr>
        <w:t xml:space="preserve">. At the end of the nineteenth century, </w:t>
      </w:r>
      <w:r>
        <w:rPr>
          <w:rFonts w:ascii="Times New Roman" w:hAnsi="Times New Roman" w:cs="Times New Roman"/>
        </w:rPr>
        <w:t>funeral director</w:t>
      </w:r>
      <w:r w:rsidRPr="00F223BC">
        <w:rPr>
          <w:rFonts w:ascii="Times New Roman" w:hAnsi="Times New Roman" w:cs="Times New Roman"/>
        </w:rPr>
        <w:t xml:space="preserve">s appeared in communities and visited family houses to take care of </w:t>
      </w:r>
      <w:r>
        <w:rPr>
          <w:rFonts w:ascii="Times New Roman" w:hAnsi="Times New Roman" w:cs="Times New Roman"/>
        </w:rPr>
        <w:t>various</w:t>
      </w:r>
      <w:r w:rsidRPr="00F223BC">
        <w:rPr>
          <w:rFonts w:ascii="Times New Roman" w:hAnsi="Times New Roman" w:cs="Times New Roman"/>
        </w:rPr>
        <w:t xml:space="preserve"> funeral-related responsibilities. Then, </w:t>
      </w:r>
      <w:r>
        <w:rPr>
          <w:rFonts w:ascii="Times New Roman" w:hAnsi="Times New Roman" w:cs="Times New Roman"/>
        </w:rPr>
        <w:t>funeral director</w:t>
      </w:r>
      <w:r w:rsidRPr="00F223BC">
        <w:rPr>
          <w:rFonts w:ascii="Times New Roman" w:hAnsi="Times New Roman" w:cs="Times New Roman"/>
        </w:rPr>
        <w:t xml:space="preserve">s began work on institutionalization and raising the public’s view of the professionalism and legitimacy of their work; at this point, </w:t>
      </w:r>
      <w:r>
        <w:rPr>
          <w:rFonts w:ascii="Times New Roman" w:hAnsi="Times New Roman" w:cs="Times New Roman"/>
        </w:rPr>
        <w:t>funeral director</w:t>
      </w:r>
      <w:r w:rsidRPr="00F223BC">
        <w:rPr>
          <w:rFonts w:ascii="Times New Roman" w:hAnsi="Times New Roman" w:cs="Times New Roman"/>
        </w:rPr>
        <w:t xml:space="preserve">s began to rebrand themselves as “funeral directors” at the first national meeting of </w:t>
      </w:r>
      <w:r>
        <w:rPr>
          <w:rFonts w:ascii="Times New Roman" w:hAnsi="Times New Roman" w:cs="Times New Roman"/>
        </w:rPr>
        <w:t>funeral director</w:t>
      </w:r>
      <w:r w:rsidRPr="00F223BC">
        <w:rPr>
          <w:rFonts w:ascii="Times New Roman" w:hAnsi="Times New Roman" w:cs="Times New Roman"/>
        </w:rPr>
        <w:t xml:space="preserve">s in 1882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&lt;EndNote&gt;&lt;Cite&gt;&lt;Author&gt;National Funeral Directors Association&lt;/Author&gt;&lt;Year&gt;2023&lt;/Year&gt;&lt;RecNum&gt;1113&lt;/RecNum&gt;&lt;DisplayText&gt;(National Funeral Directors Association, 2023)&lt;/DisplayText&gt;&lt;record&gt;&lt;rec-number&gt;1113&lt;/rec-number&gt;&lt;foreign-keys&gt;&lt;key app="EN" db-id="2pe9e00ros0veneeptspa5vhz0pw2az52v20" timestamp="1609653771" guid="84425635-4dd1-4892-b169-16e3e80f8048"&gt;1113&lt;/key&gt;&lt;/foreign-keys&gt;&lt;ref-type name="Web Page"&gt;12&lt;/ref-type&gt;&lt;contributors&gt;&lt;authors&gt;&lt;author&gt;National Funeral Directors Association,&lt;/author&gt;&lt;/authors&gt;&lt;/contributors&gt;&lt;titles&gt;&lt;title&gt;Statistics&lt;/title&gt;&lt;/titles&gt;&lt;volume&gt;2023&lt;/volume&gt;&lt;number&gt;Aug. 3&lt;/number&gt;&lt;dates&gt;&lt;year&gt;2023&lt;/year&gt;&lt;/dates&gt;&lt;pub-location&gt;National Funeral Directors Association&lt;/pub-location&gt;&lt;publisher&gt;National Funeral Directors Association&lt;/publisher&gt;&lt;urls&gt;&lt;related-urls&gt;&lt;url&gt;https://nfda.org/news/statistics&lt;/url&gt;&lt;/related-urls&gt;&lt;/urls&gt;&lt;/record&gt;&lt;/Cite&gt;&lt;/EndNote&gt;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(National Funeral Directors Association, 2023)</w:t>
      </w:r>
      <w:r w:rsidRPr="00F223BC">
        <w:rPr>
          <w:rFonts w:ascii="Times New Roman" w:hAnsi="Times New Roman" w:cs="Times New Roman"/>
        </w:rPr>
        <w:fldChar w:fldCharType="end"/>
      </w:r>
      <w:r w:rsidRPr="00F223BC">
        <w:rPr>
          <w:rFonts w:ascii="Times New Roman" w:hAnsi="Times New Roman" w:cs="Times New Roman"/>
        </w:rPr>
        <w:t xml:space="preserve">. In the early twentieth century, </w:t>
      </w:r>
      <w:r>
        <w:rPr>
          <w:rFonts w:ascii="Times New Roman" w:hAnsi="Times New Roman" w:cs="Times New Roman"/>
        </w:rPr>
        <w:t>funeral director</w:t>
      </w:r>
      <w:r w:rsidRPr="00F223BC">
        <w:rPr>
          <w:rFonts w:ascii="Times New Roman" w:hAnsi="Times New Roman" w:cs="Times New Roman"/>
        </w:rPr>
        <w:t xml:space="preserve">s offered their own parlors when families could not provide a room at their houses. Later, social and cultural changes – home design (no special domestic space for life rituals), dislike of handling the dead, shifting space of dying, and standardization of embalming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&lt;EndNote&gt;&lt;Cite&gt;&lt;Author&gt;Schlereth&lt;/Author&gt;&lt;Year&gt;1992&lt;/Year&gt;&lt;RecNum&gt;1933&lt;/RecNum&gt;&lt;DisplayText&gt;(Schlereth, 1992)&lt;/DisplayText&gt;&lt;record&gt;&lt;rec-number&gt;1933&lt;/rec-number&gt;&lt;foreign-keys&gt;&lt;key app="EN" db-id="2pe9e00ros0veneeptspa5vhz0pw2az52v20" timestamp="1693880285" guid="0d5798a5-ae9f-4689-8d29-452488923767"&gt;1933&lt;/key&gt;&lt;/foreign-keys&gt;&lt;ref-type name="Book"&gt;6&lt;/ref-type&gt;&lt;contributors&gt;&lt;authors&gt;&lt;author&gt;Thomas J. Schlereth &lt;/author&gt;&lt;/authors&gt;&lt;/contributors&gt;&lt;titles&gt;&lt;title&gt;Victorian America : transformations in everyday life, 1876-1915&lt;/title&gt;&lt;/titles&gt;&lt;dates&gt;&lt;year&gt;1992&lt;/year&gt;&lt;/dates&gt;&lt;publisher&gt;HarperCollins Publishers&lt;/publisher&gt;&lt;isbn&gt;0-06-016218-X&lt;/isbn&gt;&lt;urls&gt;&lt;/urls&gt;&lt;/record&gt;&lt;/Cite&gt;&lt;/EndNote&gt;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(Schlereth, 1992)</w:t>
      </w:r>
      <w:r w:rsidRPr="00F223BC">
        <w:rPr>
          <w:rFonts w:ascii="Times New Roman" w:hAnsi="Times New Roman" w:cs="Times New Roman"/>
        </w:rPr>
        <w:fldChar w:fldCharType="end"/>
      </w:r>
      <w:r w:rsidRPr="00F223BC">
        <w:rPr>
          <w:rFonts w:ascii="Times New Roman" w:hAnsi="Times New Roman" w:cs="Times New Roman"/>
        </w:rPr>
        <w:t xml:space="preserve"> – motivated funeral directors’ needs and provided financial promise to build a freestanding mortuary facility. The mortuary facility served three functions- handling the dead body, holding </w:t>
      </w:r>
      <w:r w:rsidRPr="00F223BC">
        <w:rPr>
          <w:rFonts w:ascii="Times New Roman" w:hAnsi="Times New Roman" w:cs="Times New Roman"/>
        </w:rPr>
        <w:lastRenderedPageBreak/>
        <w:t xml:space="preserve">funerals, and displaying funeral merchants. By the 1920s, those establishments were identified as “funeral homes” (or similar names such as “funeral chapels”). Then, funeral homes (as well as mortuary education) proliferated during the period of modernization in American society because of many technological revolutions, such as automobiles, telephone lines, and public sanitization </w:t>
      </w:r>
      <w:r w:rsidRPr="00F223BC">
        <w:rPr>
          <w:rFonts w:ascii="Times New Roman" w:hAnsi="Times New Roman" w:cs="Times New Roman"/>
        </w:rPr>
        <w:fldChar w:fldCharType="begin"/>
      </w:r>
      <w:r>
        <w:rPr>
          <w:rFonts w:ascii="Times New Roman" w:hAnsi="Times New Roman" w:cs="Times New Roman"/>
        </w:rPr>
        <w:instrText xml:space="preserve"> ADDIN EN.CITE &lt;EndNote&gt;&lt;Cite&gt;&lt;Author&gt;Habenstein&lt;/Author&gt;&lt;Year&gt;2021&lt;/Year&gt;&lt;RecNum&gt;1929&lt;/RecNum&gt;&lt;DisplayText&gt;(Habenstein &amp;amp; Lamers, 2021)&lt;/DisplayText&gt;&lt;record&gt;&lt;rec-number&gt;1929&lt;/rec-number&gt;&lt;foreign-keys&gt;&lt;key app="EN" db-id="2pe9e00ros0veneeptspa5vhz0pw2az52v20" timestamp="1693874986" guid="201ee5fa-7b19-451e-bcc2-c41eda4a28d8"&gt;1929&lt;/key&gt;&lt;/foreign-keys&gt;&lt;ref-type name="Book"&gt;6&lt;/ref-type&gt;&lt;contributors&gt;&lt;authors&gt;&lt;author&gt;Robert W. Habenstein&lt;/author&gt;&lt;author&gt;William M. Lamers &lt;/author&gt;&lt;/authors&gt;&lt;/contributors&gt;&lt;titles&gt;&lt;title&gt;The history of American funeral directing&lt;/title&gt;&lt;/titles&gt;&lt;edition&gt;10th&lt;/edition&gt;&lt;dates&gt;&lt;year&gt;2021&lt;/year&gt;&lt;/dates&gt;&lt;publisher&gt;NFDA Publishing Company&lt;/publisher&gt;&lt;urls&gt;&lt;/urls&gt;&lt;/record&gt;&lt;/Cite&gt;&lt;/EndNote&gt;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(Habenstein &amp; Lamers, 2021)</w:t>
      </w:r>
      <w:r w:rsidRPr="00F223BC">
        <w:rPr>
          <w:rFonts w:ascii="Times New Roman" w:hAnsi="Times New Roman" w:cs="Times New Roman"/>
        </w:rPr>
        <w:fldChar w:fldCharType="end"/>
      </w:r>
      <w:r w:rsidRPr="00F223BC">
        <w:rPr>
          <w:rFonts w:ascii="Times New Roman" w:hAnsi="Times New Roman" w:cs="Times New Roman"/>
        </w:rPr>
        <w:t xml:space="preserve">. </w:t>
      </w:r>
    </w:p>
    <w:p w14:paraId="7F0ACABC" w14:textId="77777777" w:rsidR="00256B3D" w:rsidRPr="00F223BC" w:rsidRDefault="00256B3D" w:rsidP="00256B3D">
      <w:pPr>
        <w:spacing w:line="480" w:lineRule="auto"/>
        <w:ind w:firstLine="720"/>
        <w:rPr>
          <w:rFonts w:ascii="Times New Roman" w:hAnsi="Times New Roman" w:cs="Times New Roman"/>
        </w:rPr>
      </w:pPr>
      <w:r w:rsidRPr="00F223BC">
        <w:rPr>
          <w:rFonts w:ascii="Times New Roman" w:hAnsi="Times New Roman" w:cs="Times New Roman"/>
        </w:rPr>
        <w:t xml:space="preserve">Some social and cultural effects are associated with the establishment of funeral homes. This new space of death institutionalized embalming and reinforced the widening gap between the living and the dead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&lt;EndNote&gt;&lt;Cite&gt;&lt;Author&gt;Laderman&lt;/Author&gt;&lt;Year&gt;2003&lt;/Year&gt;&lt;RecNum&gt;1515&lt;/RecNum&gt;&lt;DisplayText&gt;(Laderman, 2003)&lt;/DisplayText&gt;&lt;record&gt;&lt;rec-number&gt;1515&lt;/rec-number&gt;&lt;foreign-keys&gt;&lt;key app="EN" db-id="2pe9e00ros0veneeptspa5vhz0pw2az52v20" timestamp="1643834392" guid="58d33cc6-f04e-42ae-bc63-91997b779f9c"&gt;1515&lt;/key&gt;&lt;/foreign-keys&gt;&lt;ref-type name="Book"&gt;6&lt;/ref-type&gt;&lt;contributors&gt;&lt;authors&gt;&lt;author&gt;Laderman, Gary&lt;/author&gt;&lt;/authors&gt;&lt;/contributors&gt;&lt;titles&gt;&lt;title&gt;Rest in peace: A cultural history of death and the funeral home in twentieth-century America&lt;/title&gt;&lt;/titles&gt;&lt;dates&gt;&lt;year&gt;2003&lt;/year&gt;&lt;/dates&gt;&lt;publisher&gt;Oxford University Press&lt;/publisher&gt;&lt;isbn&gt;019518355X&lt;/isbn&gt;&lt;urls&gt;&lt;/urls&gt;&lt;/record&gt;&lt;/Cite&gt;&lt;/EndNote&gt;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(Laderman, 2003)</w:t>
      </w:r>
      <w:r w:rsidRPr="00F223BC">
        <w:rPr>
          <w:rFonts w:ascii="Times New Roman" w:hAnsi="Times New Roman" w:cs="Times New Roman"/>
        </w:rPr>
        <w:fldChar w:fldCharType="end"/>
      </w:r>
      <w:r w:rsidRPr="00F223BC">
        <w:rPr>
          <w:rFonts w:ascii="Times New Roman" w:hAnsi="Times New Roman" w:cs="Times New Roman"/>
        </w:rPr>
        <w:t>. Another effect of funeral homes was to provide a public setting for social interactions in communities, facilitating American engagement and familiarity with the realities of death in the earlier 20</w:t>
      </w:r>
      <w:r w:rsidRPr="00F223BC">
        <w:rPr>
          <w:rFonts w:ascii="Times New Roman" w:hAnsi="Times New Roman" w:cs="Times New Roman"/>
          <w:vertAlign w:val="superscript"/>
        </w:rPr>
        <w:t>th</w:t>
      </w:r>
      <w:r w:rsidRPr="00F223BC">
        <w:rPr>
          <w:rFonts w:ascii="Times New Roman" w:hAnsi="Times New Roman" w:cs="Times New Roman"/>
        </w:rPr>
        <w:t xml:space="preserve"> century, such as the display of embalmed bodies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&lt;EndNote&gt;&lt;Cite&gt;&lt;Author&gt;Quigley&lt;/Author&gt;&lt;Year&gt;2005&lt;/Year&gt;&lt;RecNum&gt;1939&lt;/RecNum&gt;&lt;Prefix&gt;e.g.`, &lt;/Prefix&gt;&lt;DisplayText&gt;(e.g., Quigley, 2005)&lt;/DisplayText&gt;&lt;record&gt;&lt;rec-number&gt;1939&lt;/rec-number&gt;&lt;foreign-keys&gt;&lt;key app="EN" db-id="2pe9e00ros0veneeptspa5vhz0pw2az52v20" timestamp="1693936360" guid="0eabf0f9-1078-450c-93ac-7f60e8880468"&gt;1939&lt;/key&gt;&lt;/foreign-keys&gt;&lt;ref-type name="Book"&gt;6&lt;/ref-type&gt;&lt;contributors&gt;&lt;authors&gt;&lt;author&gt;Quigley, Christine&lt;/author&gt;&lt;/authors&gt;&lt;/contributors&gt;&lt;titles&gt;&lt;title&gt;The corpse: A history&lt;/title&gt;&lt;/titles&gt;&lt;dates&gt;&lt;year&gt;2005&lt;/year&gt;&lt;/dates&gt;&lt;publisher&gt;McFarland&lt;/publisher&gt;&lt;isbn&gt;0786424494&lt;/isbn&gt;&lt;urls&gt;&lt;/urls&gt;&lt;/record&gt;&lt;/Cite&gt;&lt;/EndNote&gt;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(e.g., Quigley, 2005)</w:t>
      </w:r>
      <w:r w:rsidRPr="00F223BC">
        <w:rPr>
          <w:rFonts w:ascii="Times New Roman" w:hAnsi="Times New Roman" w:cs="Times New Roman"/>
        </w:rPr>
        <w:fldChar w:fldCharType="end"/>
      </w:r>
      <w:r w:rsidRPr="00F223BC">
        <w:rPr>
          <w:rFonts w:ascii="Times New Roman" w:hAnsi="Times New Roman" w:cs="Times New Roman"/>
        </w:rPr>
        <w:t xml:space="preserve"> and </w:t>
      </w:r>
      <w:r>
        <w:rPr>
          <w:rFonts w:ascii="Times New Roman" w:hAnsi="Times New Roman" w:cs="Times New Roman"/>
        </w:rPr>
        <w:t>death scenes</w:t>
      </w:r>
      <w:r w:rsidRPr="00F223BC">
        <w:rPr>
          <w:rFonts w:ascii="Times New Roman" w:hAnsi="Times New Roman" w:cs="Times New Roman"/>
        </w:rPr>
        <w:t xml:space="preserve"> were more frequently included in movies and novels in </w:t>
      </w:r>
      <w:r>
        <w:rPr>
          <w:rFonts w:ascii="Times New Roman" w:hAnsi="Times New Roman" w:cs="Times New Roman"/>
        </w:rPr>
        <w:t>famous</w:t>
      </w:r>
      <w:r w:rsidRPr="00F223BC">
        <w:rPr>
          <w:rFonts w:ascii="Times New Roman" w:hAnsi="Times New Roman" w:cs="Times New Roman"/>
        </w:rPr>
        <w:t xml:space="preserve"> culture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&lt;EndNote&gt;&lt;Cite&gt;&lt;Author&gt;Laderman&lt;/Author&gt;&lt;Year&gt;2000&lt;/Year&gt;&lt;RecNum&gt;1940&lt;/RecNum&gt;&lt;Prefix&gt;e.g.`, &lt;/Prefix&gt;&lt;DisplayText&gt;(e.g., Laderman, 2000)&lt;/DisplayText&gt;&lt;record&gt;&lt;rec-number&gt;1940&lt;/rec-number&gt;&lt;foreign-keys&gt;&lt;key app="EN" db-id="2pe9e00ros0veneeptspa5vhz0pw2az52v20" timestamp="1693936692" guid="76ca6f41-0c68-4501-9b38-970286a1002b"&gt;1940&lt;/key&gt;&lt;/foreign-keys&gt;&lt;ref-type name="Journal Article"&gt;17&lt;/ref-type&gt;&lt;contributors&gt;&lt;authors&gt;&lt;author&gt;Laderman, Gary&lt;/author&gt;&lt;/authors&gt;&lt;/contributors&gt;&lt;titles&gt;&lt;title&gt;The Disney Way of Death&lt;/title&gt;&lt;secondary-title&gt;Journal of the American Academy of Religion&lt;/secondary-title&gt;&lt;/titles&gt;&lt;periodical&gt;&lt;full-title&gt;Journal of the American Academy of Religion&lt;/full-title&gt;&lt;/periodical&gt;&lt;pages&gt;27-46&lt;/pages&gt;&lt;volume&gt;68&lt;/volume&gt;&lt;number&gt;1&lt;/number&gt;&lt;dates&gt;&lt;year&gt;2000&lt;/year&gt;&lt;/dates&gt;&lt;publisher&gt;[Oxford University Press, American Academy of Religion]&lt;/publisher&gt;&lt;isbn&gt;00027189, 14774585&lt;/isbn&gt;&lt;urls&gt;&lt;related-urls&gt;&lt;url&gt;http://www.jstor.org/stable/1465709&lt;/url&gt;&lt;/related-urls&gt;&lt;/urls&gt;&lt;custom1&gt;Full publication date: Mar., 2000&lt;/custom1&gt;&lt;remote-database-name&gt;JSTOR&lt;/remote-database-name&gt;&lt;access-date&gt;2023/09/05/&lt;/access-date&gt;&lt;/record&gt;&lt;/Cite&gt;&lt;/EndNote&gt;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(e.g., Laderman, 2000)</w:t>
      </w:r>
      <w:r w:rsidRPr="00F223BC">
        <w:rPr>
          <w:rFonts w:ascii="Times New Roman" w:hAnsi="Times New Roman" w:cs="Times New Roman"/>
        </w:rPr>
        <w:fldChar w:fldCharType="end"/>
      </w:r>
      <w:r w:rsidRPr="00F223BC">
        <w:rPr>
          <w:rFonts w:ascii="Times New Roman" w:hAnsi="Times New Roman" w:cs="Times New Roman"/>
        </w:rPr>
        <w:t>.</w:t>
      </w:r>
    </w:p>
    <w:p w14:paraId="5C1093E5" w14:textId="77777777" w:rsidR="00256B3D" w:rsidRPr="00F223BC" w:rsidRDefault="00256B3D" w:rsidP="00256B3D">
      <w:pPr>
        <w:spacing w:line="480" w:lineRule="auto"/>
        <w:rPr>
          <w:rFonts w:ascii="Times New Roman" w:hAnsi="Times New Roman" w:cs="Times New Roman"/>
          <w:b/>
          <w:bCs/>
        </w:rPr>
      </w:pPr>
      <w:r w:rsidRPr="00F223BC">
        <w:rPr>
          <w:rFonts w:ascii="Times New Roman" w:hAnsi="Times New Roman" w:cs="Times New Roman"/>
          <w:b/>
          <w:bCs/>
        </w:rPr>
        <w:t>Earning its Industrial Legitimacy</w:t>
      </w:r>
    </w:p>
    <w:p w14:paraId="03068CF0" w14:textId="77777777" w:rsidR="00256B3D" w:rsidRPr="00F223BC" w:rsidRDefault="00256B3D" w:rsidP="00256B3D">
      <w:pPr>
        <w:spacing w:line="480" w:lineRule="auto"/>
        <w:ind w:firstLine="720"/>
        <w:rPr>
          <w:rFonts w:ascii="Times New Roman" w:hAnsi="Times New Roman" w:cs="Times New Roman"/>
        </w:rPr>
      </w:pPr>
      <w:r w:rsidRPr="00F223BC">
        <w:rPr>
          <w:rFonts w:ascii="Times New Roman" w:hAnsi="Times New Roman" w:cs="Times New Roman"/>
        </w:rPr>
        <w:t>In the same period of the emergency of funeral homes, funeral directors met a collective issue regarding the legitimacy of their duties, jobs, and occupations in society. This section discusses</w:t>
      </w:r>
      <w:r>
        <w:rPr>
          <w:rFonts w:ascii="Times New Roman" w:hAnsi="Times New Roman" w:cs="Times New Roman"/>
        </w:rPr>
        <w:t xml:space="preserve"> legitimacy</w:t>
      </w:r>
      <w:r w:rsidRPr="00F223BC">
        <w:rPr>
          <w:rFonts w:ascii="Times New Roman" w:hAnsi="Times New Roman" w:cs="Times New Roman"/>
        </w:rPr>
        <w:t xml:space="preserve"> challenges </w:t>
      </w:r>
      <w:r>
        <w:rPr>
          <w:rFonts w:ascii="Times New Roman" w:hAnsi="Times New Roman" w:cs="Times New Roman"/>
        </w:rPr>
        <w:t>faced by the funeral industry, as well as efforts taken to bolster and sustain legitimacy during</w:t>
      </w:r>
      <w:r w:rsidRPr="00F223BC">
        <w:rPr>
          <w:rFonts w:ascii="Times New Roman" w:hAnsi="Times New Roman" w:cs="Times New Roman"/>
        </w:rPr>
        <w:t xml:space="preserve"> the first half of the twentieth century. The following paragraphs cover three public challenges funeral directors face: World War I, commercial dysfunction, and criticism of paganism. Then, the section describes how funeral directors managed and continue to manage these challenges through four approaches to their professional public image</w:t>
      </w:r>
      <w:r>
        <w:rPr>
          <w:rFonts w:ascii="Times New Roman" w:hAnsi="Times New Roman" w:cs="Times New Roman"/>
        </w:rPr>
        <w:t>.</w:t>
      </w:r>
    </w:p>
    <w:p w14:paraId="2D599760" w14:textId="77777777" w:rsidR="00256B3D" w:rsidRPr="00F223BC" w:rsidRDefault="00256B3D" w:rsidP="00256B3D">
      <w:pPr>
        <w:spacing w:line="480" w:lineRule="auto"/>
        <w:ind w:firstLine="720"/>
        <w:rPr>
          <w:rFonts w:ascii="Times New Roman" w:hAnsi="Times New Roman" w:cs="Times New Roman"/>
        </w:rPr>
      </w:pPr>
      <w:r w:rsidRPr="00F223BC">
        <w:rPr>
          <w:rFonts w:ascii="Times New Roman" w:hAnsi="Times New Roman" w:cs="Times New Roman"/>
          <w:b/>
          <w:bCs/>
        </w:rPr>
        <w:t>World War I</w:t>
      </w:r>
      <w:r w:rsidRPr="00F223BC">
        <w:rPr>
          <w:rFonts w:ascii="Times New Roman" w:hAnsi="Times New Roman" w:cs="Times New Roman"/>
        </w:rPr>
        <w:t xml:space="preserve">. Although funeral homes were established in the early 20th century, funeral directors had difficulties explaining their roles in controlling the dead. World War I </w:t>
      </w:r>
      <w:r>
        <w:rPr>
          <w:rFonts w:ascii="Times New Roman" w:hAnsi="Times New Roman" w:cs="Times New Roman"/>
        </w:rPr>
        <w:t xml:space="preserve">raised questions and concerns about repatriating the remains of soldiers who died overseas Field </w:t>
      </w:r>
      <w:r>
        <w:rPr>
          <w:rFonts w:ascii="Times New Roman" w:hAnsi="Times New Roman" w:cs="Times New Roman"/>
        </w:rPr>
        <w:lastRenderedPageBreak/>
        <w:t xml:space="preserve">(Piehler, 1994), </w:t>
      </w:r>
      <w:r w:rsidRPr="00F223BC">
        <w:rPr>
          <w:rFonts w:ascii="Times New Roman" w:hAnsi="Times New Roman" w:cs="Times New Roman"/>
        </w:rPr>
        <w:t xml:space="preserve">provoking an urgent national discussion. At this point, the notion of professional funeral directors resonated with </w:t>
      </w:r>
      <w:r>
        <w:rPr>
          <w:rFonts w:ascii="Times New Roman" w:hAnsi="Times New Roman" w:cs="Times New Roman"/>
        </w:rPr>
        <w:t>most</w:t>
      </w:r>
      <w:r w:rsidRPr="00F223BC">
        <w:rPr>
          <w:rFonts w:ascii="Times New Roman" w:hAnsi="Times New Roman" w:cs="Times New Roman"/>
        </w:rPr>
        <w:t xml:space="preserve"> Americans and traditional military policy, as the professional offered an organized method for the repatriation of bodies. However, detractors charged funeral directors with “placing capitalism above nationalism, exploiting the sorrow of grieving citizens, and engaging in a conspiracy to sway public opinion”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&lt;EndNote&gt;&lt;Cite&gt;&lt;Author&gt;Laderman&lt;/Author&gt;&lt;Year&gt;2003&lt;/Year&gt;&lt;RecNum&gt;1515&lt;/RecNum&gt;&lt;Pages&gt;50&lt;/Pages&gt;&lt;DisplayText&gt;(Laderman, 2003, p. 50)&lt;/DisplayText&gt;&lt;record&gt;&lt;rec-number&gt;1515&lt;/rec-number&gt;&lt;foreign-keys&gt;&lt;key app="EN" db-id="2pe9e00ros0veneeptspa5vhz0pw2az52v20" timestamp="1643834392" guid="58d33cc6-f04e-42ae-bc63-91997b779f9c"&gt;1515&lt;/key&gt;&lt;/foreign-keys&gt;&lt;ref-type name="Book"&gt;6&lt;/ref-type&gt;&lt;contributors&gt;&lt;authors&gt;&lt;author&gt;Laderman, Gary&lt;/author&gt;&lt;/authors&gt;&lt;/contributors&gt;&lt;titles&gt;&lt;title&gt;Rest in peace: A cultural history of death and the funeral home in twentieth-century America&lt;/title&gt;&lt;/titles&gt;&lt;dates&gt;&lt;year&gt;2003&lt;/year&gt;&lt;/dates&gt;&lt;publisher&gt;Oxford University Press&lt;/publisher&gt;&lt;isbn&gt;019518355X&lt;/isbn&gt;&lt;urls&gt;&lt;/urls&gt;&lt;/record&gt;&lt;/Cite&gt;&lt;/EndNote&gt;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(Laderman, 2003, p. 50)</w:t>
      </w:r>
      <w:r w:rsidRPr="00F223BC">
        <w:rPr>
          <w:rFonts w:ascii="Times New Roman" w:hAnsi="Times New Roman" w:cs="Times New Roman"/>
        </w:rPr>
        <w:fldChar w:fldCharType="end"/>
      </w:r>
      <w:r w:rsidRPr="00F223BC">
        <w:rPr>
          <w:rFonts w:ascii="Times New Roman" w:hAnsi="Times New Roman" w:cs="Times New Roman"/>
        </w:rPr>
        <w:t xml:space="preserve">. In the end, Congress acted on repatriating bodies and turned to civilian funeral specialists to assist in identifying and shipping the bodies home </w:t>
      </w:r>
      <w:r w:rsidRPr="00F223BC">
        <w:rPr>
          <w:rFonts w:ascii="Times New Roman" w:hAnsi="Times New Roman" w:cs="Times New Roman"/>
        </w:rPr>
        <w:fldChar w:fldCharType="begin"/>
      </w:r>
      <w:r>
        <w:rPr>
          <w:rFonts w:ascii="Times New Roman" w:hAnsi="Times New Roman" w:cs="Times New Roman"/>
        </w:rPr>
        <w:instrText xml:space="preserve"> ADDIN EN.CITE &lt;EndNote&gt;&lt;Cite&gt;&lt;Author&gt;Piehler&lt;/Author&gt;&lt;Year&gt;1994&lt;/Year&gt;&lt;RecNum&gt;1945&lt;/RecNum&gt;&lt;DisplayText&gt;(Piehler, 1994)&lt;/DisplayText&gt;&lt;record&gt;&lt;rec-number&gt;1945&lt;/rec-number&gt;&lt;foreign-keys&gt;&lt;key app="EN" db-id="2pe9e00ros0veneeptspa5vhz0pw2az52v20" timestamp="1694050991" guid="330e6943-290d-446a-a7b1-8f739c9e89e5"&gt;1945&lt;/key&gt;&lt;/foreign-keys&gt;&lt;ref-type name="Book Section"&gt;5&lt;/ref-type&gt;&lt;contributors&gt;&lt;authors&gt;&lt;author&gt;Piehler, G. Kurt&lt;/author&gt;&lt;/authors&gt;&lt;secondary-authors&gt;&lt;author&gt;Gillis, John R.&lt;/author&gt;&lt;/secondary-authors&gt;&lt;/contributors&gt;&lt;titles&gt;&lt;title&gt;The war dead and the gold star: American commemoration of the first World War&lt;/title&gt;&lt;secondary-title&gt;Commemorations&lt;/secondary-title&gt;&lt;tertiary-title&gt;The Politics of National Identity&lt;/tertiary-title&gt;&lt;/titles&gt;&lt;pages&gt;168-185&lt;/pages&gt;&lt;dates&gt;&lt;year&gt;1994&lt;/year&gt;&lt;/dates&gt;&lt;publisher&gt;Princeton University Press&lt;/publisher&gt;&lt;isbn&gt;null&lt;/isbn&gt;&lt;urls&gt;&lt;related-urls&gt;&lt;url&gt;http://www.jstor.org/stable/j.ctv39x64g.14&lt;/url&gt;&lt;/related-urls&gt;&lt;/urls&gt;&lt;remote-database-name&gt;JSTOR&lt;/remote-database-name&gt;&lt;access-date&gt;2023/09/06/&lt;/access-date&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(Piehler, 1994)</w:t>
      </w:r>
      <w:r w:rsidRPr="00F223BC">
        <w:rPr>
          <w:rFonts w:ascii="Times New Roman" w:hAnsi="Times New Roman" w:cs="Times New Roman"/>
        </w:rPr>
        <w:fldChar w:fldCharType="end"/>
      </w:r>
      <w:r w:rsidRPr="00F223BC">
        <w:rPr>
          <w:rFonts w:ascii="Times New Roman" w:hAnsi="Times New Roman" w:cs="Times New Roman"/>
        </w:rPr>
        <w:t xml:space="preserve">. </w:t>
      </w:r>
    </w:p>
    <w:p w14:paraId="6110FC97" w14:textId="77777777" w:rsidR="00256B3D" w:rsidRPr="00F223BC" w:rsidRDefault="00256B3D" w:rsidP="00256B3D">
      <w:pPr>
        <w:spacing w:line="480" w:lineRule="auto"/>
        <w:ind w:firstLine="720"/>
        <w:rPr>
          <w:rFonts w:ascii="Times New Roman" w:hAnsi="Times New Roman" w:cs="Times New Roman"/>
        </w:rPr>
      </w:pPr>
      <w:r w:rsidRPr="00F223BC">
        <w:rPr>
          <w:rFonts w:ascii="Times New Roman" w:hAnsi="Times New Roman" w:cs="Times New Roman"/>
          <w:b/>
          <w:bCs/>
        </w:rPr>
        <w:t>Commercial dysfunction</w:t>
      </w:r>
      <w:r w:rsidRPr="00F223BC">
        <w:rPr>
          <w:rFonts w:ascii="Times New Roman" w:hAnsi="Times New Roman" w:cs="Times New Roman"/>
        </w:rPr>
        <w:t xml:space="preserve">. Funeral directors were criticized as deceitful rather than trustworthy and sincere in their funeral service businesses. For example,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 AuthorYear="1"&gt;&lt;Author&gt;Dowd&lt;/Author&gt;&lt;Year&gt;1921&lt;/Year&gt;&lt;RecNum&gt;1946&lt;/RecNum&gt;&lt;DisplayText&gt;Dowd (1921)&lt;/DisplayText&gt;&lt;record&gt;&lt;rec-number&gt;1946&lt;/rec-number&gt;&lt;foreign-keys&gt;&lt;key app="EN" db-id="2pe9e00ros0veneeptspa5vhz0pw2az52v20" timestamp="1694053665" guid="5b2f602a-7fcd-491d-8884-d607d7909e6e"&gt;1946&lt;/key&gt;&lt;/foreign-keys&gt;&lt;ref-type name="Book"&gt;6&lt;/ref-type&gt;&lt;contributors&gt;&lt;authors&gt;&lt;author&gt;Dowd, Quincey Lamartine&lt;/author&gt;&lt;/authors&gt;&lt;/contributors&gt;&lt;titles&gt;&lt;title&gt;Funeral management and costs: a world-survey of burial and cremation&lt;/title&gt;&lt;/titles&gt;&lt;dates&gt;&lt;year&gt;1921&lt;/year&gt;&lt;/dates&gt;&lt;publisher&gt;University of Chicago Press&lt;/publisher&gt;&lt;urls&gt;&lt;/urls&gt;&lt;/record&gt;&lt;/Cite&gt;&lt;/EndNote&gt;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Dowd (1921)</w:t>
      </w:r>
      <w:r w:rsidRPr="00F223BC">
        <w:rPr>
          <w:rFonts w:ascii="Times New Roman" w:hAnsi="Times New Roman" w:cs="Times New Roman"/>
        </w:rPr>
        <w:fldChar w:fldCharType="end"/>
      </w:r>
      <w:r w:rsidRPr="00F223BC">
        <w:rPr>
          <w:rFonts w:ascii="Times New Roman" w:hAnsi="Times New Roman" w:cs="Times New Roman"/>
        </w:rPr>
        <w:t xml:space="preserve"> mentioned the financial burden of funeral services, the collusion of </w:t>
      </w:r>
      <w:r>
        <w:rPr>
          <w:rFonts w:ascii="Times New Roman" w:hAnsi="Times New Roman" w:cs="Times New Roman"/>
        </w:rPr>
        <w:t>funeral director</w:t>
      </w:r>
      <w:r w:rsidRPr="00F223BC">
        <w:rPr>
          <w:rFonts w:ascii="Times New Roman" w:hAnsi="Times New Roman" w:cs="Times New Roman"/>
        </w:rPr>
        <w:t xml:space="preserve">s and preachers, and the capitalist logic of supply and demand. A main complaint was that the public was not trained to shop for a </w:t>
      </w:r>
      <w:r>
        <w:rPr>
          <w:rFonts w:ascii="Times New Roman" w:hAnsi="Times New Roman" w:cs="Times New Roman"/>
        </w:rPr>
        <w:t>reasonably-priced</w:t>
      </w:r>
      <w:r w:rsidRPr="00F223BC">
        <w:rPr>
          <w:rFonts w:ascii="Times New Roman" w:hAnsi="Times New Roman" w:cs="Times New Roman"/>
        </w:rPr>
        <w:t xml:space="preserve"> funeral—a reality that could be exploited by greedy funeral directors. Some malicious competition among funeral homes also resulted in upsetting stories, such that funeral directors were known to pressure destitute families into having luxurious and pricy funeral services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&lt;EndNote&gt;&lt;Cite&gt;&lt;Author&gt;Gebhart&lt;/Author&gt;&lt;Year&gt;1928&lt;/Year&gt;&lt;RecNum&gt;1947&lt;/RecNum&gt;&lt;DisplayText&gt;(Gebhart, 1928)&lt;/DisplayText&gt;&lt;record&gt;&lt;rec-number&gt;1947&lt;/rec-number&gt;&lt;foreign-keys&gt;&lt;key app="EN" db-id="2pe9e00ros0veneeptspa5vhz0pw2az52v20" timestamp="1694053723" guid="12d08ebe-fbc4-4dea-bf7e-5a459e284036"&gt;1947&lt;/key&gt;&lt;/foreign-keys&gt;&lt;ref-type name="Book"&gt;6&lt;/ref-type&gt;&lt;contributors&gt;&lt;authors&gt;&lt;author&gt;Gebhart, John Charles&lt;/author&gt;&lt;/authors&gt;&lt;/contributors&gt;&lt;titles&gt;&lt;title&gt;Funeral Costs: What They Average. Are They Too High? Can They be Reduced?&lt;/title&gt;&lt;/titles&gt;&lt;dates&gt;&lt;year&gt;1928&lt;/year&gt;&lt;/dates&gt;&lt;publisher&gt;GP Putnam&amp;apos;s sons&lt;/publisher&gt;&lt;urls&gt;&lt;/urls&gt;&lt;/record&gt;&lt;/Cite&gt;&lt;/EndNote&gt;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(Gebhart, 1928)</w:t>
      </w:r>
      <w:r w:rsidRPr="00F223BC">
        <w:rPr>
          <w:rFonts w:ascii="Times New Roman" w:hAnsi="Times New Roman" w:cs="Times New Roman"/>
        </w:rPr>
        <w:fldChar w:fldCharType="end"/>
      </w:r>
      <w:r w:rsidRPr="00F223BC">
        <w:rPr>
          <w:rFonts w:ascii="Times New Roman" w:hAnsi="Times New Roman" w:cs="Times New Roman"/>
        </w:rPr>
        <w:t>.</w:t>
      </w:r>
    </w:p>
    <w:p w14:paraId="63B71EF8" w14:textId="77777777" w:rsidR="00256B3D" w:rsidRPr="00F223BC" w:rsidRDefault="00256B3D" w:rsidP="00256B3D">
      <w:pPr>
        <w:spacing w:line="480" w:lineRule="auto"/>
        <w:ind w:firstLine="720"/>
        <w:rPr>
          <w:rFonts w:ascii="Times New Roman" w:hAnsi="Times New Roman" w:cs="Times New Roman"/>
        </w:rPr>
      </w:pPr>
      <w:r w:rsidRPr="00F223BC">
        <w:rPr>
          <w:rFonts w:ascii="Times New Roman" w:hAnsi="Times New Roman" w:cs="Times New Roman"/>
          <w:b/>
          <w:bCs/>
        </w:rPr>
        <w:t>Criticism of paganism</w:t>
      </w:r>
      <w:r w:rsidRPr="00F223BC">
        <w:rPr>
          <w:rFonts w:ascii="Times New Roman" w:hAnsi="Times New Roman" w:cs="Times New Roman"/>
        </w:rPr>
        <w:t xml:space="preserve">. Ministers denounced funeral directors’ paganism for misdirecting religious glorification of the body during the funeral. Some ministers challenged the modern funeral home by arguing that it reflected a dark world where barbarism triumphed over spirituality </w:t>
      </w:r>
      <w:r w:rsidRPr="00F223BC">
        <w:rPr>
          <w:rFonts w:ascii="Times New Roman" w:hAnsi="Times New Roman" w:cs="Times New Roman"/>
        </w:rPr>
        <w:fldChar w:fldCharType="begin"/>
      </w:r>
      <w:r>
        <w:rPr>
          <w:rFonts w:ascii="Times New Roman" w:hAnsi="Times New Roman" w:cs="Times New Roman"/>
        </w:rPr>
        <w:instrText xml:space="preserve"> ADDIN EN.CITE &lt;EndNote&gt;&lt;Cite&gt;&lt;Author&gt;Bowman&lt;/Author&gt;&lt;Year&gt;1975&lt;/Year&gt;&lt;RecNum&gt;1949&lt;/RecNum&gt;&lt;Prefix&gt;e.g.`, &lt;/Prefix&gt;&lt;DisplayText&gt;(e.g., Bowman, 1975)&lt;/DisplayText&gt;&lt;record&gt;&lt;rec-number&gt;1949&lt;/rec-number&gt;&lt;foreign-keys&gt;&lt;key app="EN" db-id="2pe9e00ros0veneeptspa5vhz0pw2az52v20" timestamp="1694056506" guid="7a64f84e-33e9-46cb-a98f-6b0a36f0bef2"&gt;1949&lt;/key&gt;&lt;/foreign-keys&gt;&lt;ref-type name="Book"&gt;6&lt;/ref-type&gt;&lt;contributors&gt;&lt;authors&gt;&lt;author&gt;Bowman, LeRoy&lt;/author&gt;&lt;/authors&gt;&lt;/contributors&gt;&lt;titles&gt;&lt;title&gt;American funeral: A study in guilt, extravagance, and sublimity&lt;/title&gt;&lt;/titles&gt;&lt;dates&gt;&lt;year&gt;1975&lt;/year&gt;&lt;/dates&gt;&lt;pub-location&gt;Westport, Conn.&lt;/pub-location&gt;&lt;publisher&gt;Greenwood Westport, Conn.&lt;/publisher&gt;&lt;isbn&gt;0837167493; 9780837167497&lt;/isbn&gt;&lt;urls&gt;&lt;/urls&gt;&lt;language&gt;eng&lt;/language&gt;&lt;/record&gt;&lt;/Cite&gt;&lt;/EndNote&gt;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(e.g., Bowman, 1975)</w:t>
      </w:r>
      <w:r w:rsidRPr="00F223BC">
        <w:rPr>
          <w:rFonts w:ascii="Times New Roman" w:hAnsi="Times New Roman" w:cs="Times New Roman"/>
        </w:rPr>
        <w:fldChar w:fldCharType="end"/>
      </w:r>
      <w:r w:rsidRPr="00F223BC">
        <w:rPr>
          <w:rFonts w:ascii="Times New Roman" w:hAnsi="Times New Roman" w:cs="Times New Roman"/>
        </w:rPr>
        <w:t xml:space="preserve">, commerce was (wrongly) held as a sacred value, physical remains were glorified over the future destiny of the soul, and the light of the true Christian faith was absent. Indeed, funeral directors saw themselves as ritual specialists with deep patriotism who provided the service of glorifying the embalmed body. For example, during World War II, funeral directors provided services to defend American values of individualism, democracy, </w:t>
      </w:r>
      <w:r w:rsidRPr="00F223BC">
        <w:rPr>
          <w:rFonts w:ascii="Times New Roman" w:hAnsi="Times New Roman" w:cs="Times New Roman"/>
        </w:rPr>
        <w:lastRenderedPageBreak/>
        <w:t xml:space="preserve">freedom, and the free market to compete against fascism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&lt;EndNote&gt;&lt;Cite&gt;&lt;Author&gt;Lynch&lt;/Author&gt;&lt;Year&gt;2002&lt;/Year&gt;&lt;RecNum&gt;1954&lt;/RecNum&gt;&lt;DisplayText&gt;(Lynch &amp;amp; Taylor, 2002)&lt;/DisplayText&gt;&lt;record&gt;&lt;rec-number&gt;1954&lt;/rec-number&gt;&lt;foreign-keys&gt;&lt;key app="EN" db-id="2pe9e00ros0veneeptspa5vhz0pw2az52v20" timestamp="1694099845" guid="9a945d92-bd6a-4be2-b915-e9fadf206567"&gt;1954&lt;/key&gt;&lt;/foreign-keys&gt;&lt;ref-type name="Journal Article"&gt;17&lt;/ref-type&gt;&lt;contributors&gt;&lt;authors&gt;&lt;author&gt;Lynch, Thomas&lt;/author&gt;&lt;author&gt;Taylor, Keith&lt;/author&gt;&lt;/authors&gt;&lt;/contributors&gt;&lt;titles&gt;&lt;title&gt;Interview With Thomas Lynch&lt;/title&gt;&lt;secondary-title&gt;Fourth Genre: Explorations in Nonfiction&lt;/secondary-title&gt;&lt;/titles&gt;&lt;periodical&gt;&lt;full-title&gt;Fourth Genre: Explorations in Nonfiction&lt;/full-title&gt;&lt;/periodical&gt;&lt;pages&gt;236-256&lt;/pages&gt;&lt;volume&gt;4&lt;/volume&gt;&lt;number&gt;1&lt;/number&gt;&lt;dates&gt;&lt;year&gt;2002&lt;/year&gt;&lt;/dates&gt;&lt;publisher&gt;Michigan State University Press&lt;/publisher&gt;&lt;isbn&gt;15223868, 15441733&lt;/isbn&gt;&lt;urls&gt;&lt;related-urls&gt;&lt;url&gt;http://www.jstor.org/stable/23594584&lt;/url&gt;&lt;/related-urls&gt;&lt;/urls&gt;&lt;custom1&gt;Full publication date: Spring 2002&lt;/custom1&gt;&lt;remote-database-name&gt;JSTOR&lt;/remote-database-name&gt;&lt;access-date&gt;2023/09/07/&lt;/access-date&gt;&lt;/record&gt;&lt;/Cite&gt;&lt;/EndNote&gt;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(Lynch &amp; Taylor, 2002)</w:t>
      </w:r>
      <w:r w:rsidRPr="00F223BC">
        <w:rPr>
          <w:rFonts w:ascii="Times New Roman" w:hAnsi="Times New Roman" w:cs="Times New Roman"/>
        </w:rPr>
        <w:fldChar w:fldCharType="end"/>
      </w:r>
      <w:r w:rsidRPr="00F223BC">
        <w:rPr>
          <w:rFonts w:ascii="Times New Roman" w:hAnsi="Times New Roman" w:cs="Times New Roman"/>
        </w:rPr>
        <w:t xml:space="preserve">. Later, embalming (i.e., preserving and protecting social bodies), similar to the fetishism of diamonds, was framed to pursue values of permanence, protection, and durability after World War II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&lt;EndNote&gt;&lt;Cite&gt;&lt;Author&gt;Lynch&lt;/Author&gt;&lt;Year&gt;2002&lt;/Year&gt;&lt;RecNum&gt;1954&lt;/RecNum&gt;&lt;DisplayText&gt;(Lynch &amp;amp; Taylor, 2002)&lt;/DisplayText&gt;&lt;record&gt;&lt;rec-number&gt;1954&lt;/rec-number&gt;&lt;foreign-keys&gt;&lt;key app="EN" db-id="2pe9e00ros0veneeptspa5vhz0pw2az52v20" timestamp="1694099845" guid="9a945d92-bd6a-4be2-b915-e9fadf206567"&gt;1954&lt;/key&gt;&lt;/foreign-keys&gt;&lt;ref-type name="Journal Article"&gt;17&lt;/ref-type&gt;&lt;contributors&gt;&lt;authors&gt;&lt;author&gt;Lynch, Thomas&lt;/author&gt;&lt;author&gt;Taylor, Keith&lt;/author&gt;&lt;/authors&gt;&lt;/contributors&gt;&lt;titles&gt;&lt;title&gt;Interview With Thomas Lynch&lt;/title&gt;&lt;secondary-title&gt;Fourth Genre: Explorations in Nonfiction&lt;/secondary-title&gt;&lt;/titles&gt;&lt;periodical&gt;&lt;full-title&gt;Fourth Genre: Explorations in Nonfiction&lt;/full-title&gt;&lt;/periodical&gt;&lt;pages&gt;236-256&lt;/pages&gt;&lt;volume&gt;4&lt;/volume&gt;&lt;number&gt;1&lt;/number&gt;&lt;dates&gt;&lt;year&gt;2002&lt;/year&gt;&lt;/dates&gt;&lt;publisher&gt;Michigan State University Press&lt;/publisher&gt;&lt;isbn&gt;15223868, 15441733&lt;/isbn&gt;&lt;urls&gt;&lt;related-urls&gt;&lt;url&gt;http://www.jstor.org/stable/23594584&lt;/url&gt;&lt;/related-urls&gt;&lt;/urls&gt;&lt;custom1&gt;Full publication date: Spring 2002&lt;/custom1&gt;&lt;remote-database-name&gt;JSTOR&lt;/remote-database-name&gt;&lt;access-date&gt;2023/09/07/&lt;/access-date&gt;&lt;/record&gt;&lt;/Cite&gt;&lt;/EndNote&gt;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(Lynch &amp; Taylor, 2002)</w:t>
      </w:r>
      <w:r w:rsidRPr="00F223BC">
        <w:rPr>
          <w:rFonts w:ascii="Times New Roman" w:hAnsi="Times New Roman" w:cs="Times New Roman"/>
        </w:rPr>
        <w:fldChar w:fldCharType="end"/>
      </w:r>
      <w:r w:rsidRPr="00F223BC">
        <w:rPr>
          <w:rFonts w:ascii="Times New Roman" w:hAnsi="Times New Roman" w:cs="Times New Roman"/>
        </w:rPr>
        <w:t xml:space="preserve">. </w:t>
      </w:r>
    </w:p>
    <w:p w14:paraId="032C0270" w14:textId="77777777" w:rsidR="00256B3D" w:rsidRPr="00F223BC" w:rsidRDefault="00256B3D" w:rsidP="00256B3D">
      <w:pPr>
        <w:spacing w:line="480" w:lineRule="auto"/>
        <w:ind w:firstLine="720"/>
        <w:rPr>
          <w:rFonts w:ascii="Times New Roman" w:hAnsi="Times New Roman" w:cs="Times New Roman"/>
          <w:b/>
          <w:bCs/>
        </w:rPr>
      </w:pPr>
      <w:r w:rsidRPr="00F223BC">
        <w:rPr>
          <w:rFonts w:ascii="Times New Roman" w:hAnsi="Times New Roman" w:cs="Times New Roman"/>
          <w:b/>
          <w:bCs/>
        </w:rPr>
        <w:t>Four approaches to managing public perceptions of its legitimacy.</w:t>
      </w:r>
      <w:r w:rsidRPr="00F223BC">
        <w:rPr>
          <w:rFonts w:ascii="Times New Roman" w:hAnsi="Times New Roman" w:cs="Times New Roman"/>
        </w:rPr>
        <w:t xml:space="preserve"> Funeral directors defended their public reputation by managing four public relations with religious representatives, lawyers, governmental officials, and the public. Ultimately, funeral directors earned widespread acceptance of their professional legitimacy because American families wanted funeral services in the first half of the twentieth century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&lt;EndNote&gt;&lt;Cite&gt;&lt;Author&gt;Laderman&lt;/Author&gt;&lt;Year&gt;2003&lt;/Year&gt;&lt;RecNum&gt;1515&lt;/RecNum&gt;&lt;Pages&gt;46-47&lt;/Pages&gt;&lt;DisplayText&gt;(Laderman, 2003, pp. 46-47)&lt;/DisplayText&gt;&lt;record&gt;&lt;rec-number&gt;1515&lt;/rec-number&gt;&lt;foreign-keys&gt;&lt;key app="EN" db-id="2pe9e00ros0veneeptspa5vhz0pw2az52v20" timestamp="1643834392" guid="58d33cc6-f04e-42ae-bc63-91997b779f9c"&gt;1515&lt;/key&gt;&lt;/foreign-keys&gt;&lt;ref-type name="Book"&gt;6&lt;/ref-type&gt;&lt;contributors&gt;&lt;authors&gt;&lt;author&gt;Laderman, Gary&lt;/author&gt;&lt;/authors&gt;&lt;/contributors&gt;&lt;titles&gt;&lt;title&gt;Rest in peace: A cultural history of death and the funeral home in twentieth-century America&lt;/title&gt;&lt;/titles&gt;&lt;dates&gt;&lt;year&gt;2003&lt;/year&gt;&lt;/dates&gt;&lt;publisher&gt;Oxford University Press&lt;/publisher&gt;&lt;isbn&gt;019518355X&lt;/isbn&gt;&lt;urls&gt;&lt;/urls&gt;&lt;/record&gt;&lt;/Cite&gt;&lt;/EndNote&gt;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(Laderman, 2003, pp. 46-47)</w:t>
      </w:r>
      <w:r w:rsidRPr="00F223BC">
        <w:rPr>
          <w:rFonts w:ascii="Times New Roman" w:hAnsi="Times New Roman" w:cs="Times New Roman"/>
        </w:rPr>
        <w:fldChar w:fldCharType="end"/>
      </w:r>
      <w:r w:rsidRPr="00F223BC">
        <w:rPr>
          <w:rFonts w:ascii="Times New Roman" w:hAnsi="Times New Roman" w:cs="Times New Roman"/>
        </w:rPr>
        <w:t xml:space="preserve">, accompanied by tumultuous social changes of industrialization, consumerism, and secularization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&lt;EndNote&gt;&lt;Cite&gt;&lt;Author&gt;Walter&lt;/Author&gt;&lt;Year&gt;2005&lt;/Year&gt;&lt;RecNum&gt;1594&lt;/RecNum&gt;&lt;DisplayText&gt;(Walter, 2005)&lt;/DisplayText&gt;&lt;record&gt;&lt;rec-number&gt;1594&lt;/rec-number&gt;&lt;foreign-keys&gt;&lt;key app="EN" db-id="2pe9e00ros0veneeptspa5vhz0pw2az52v20" timestamp="1647623525" guid="544844b1-d3a0-4085-b274-49a7973041c3"&gt;1594&lt;/key&gt;&lt;/foreign-keys&gt;&lt;ref-type name="Journal Article"&gt;17&lt;/ref-type&gt;&lt;contributors&gt;&lt;authors&gt;&lt;author&gt;Walter, Tony&lt;/author&gt;&lt;/authors&gt;&lt;/contributors&gt;&lt;titles&gt;&lt;title&gt;Three ways to arrange a funeral: Mortuary variation in the modern West&lt;/title&gt;&lt;secondary-title&gt;Mortality&lt;/secondary-title&gt;&lt;/titles&gt;&lt;periodical&gt;&lt;full-title&gt;Mortality&lt;/full-title&gt;&lt;/periodical&gt;&lt;pages&gt;173-192&lt;/pages&gt;&lt;volume&gt;10&lt;/volume&gt;&lt;number&gt;3&lt;/number&gt;&lt;dates&gt;&lt;year&gt;2005&lt;/year&gt;&lt;/dates&gt;&lt;isbn&gt;1357-6275&lt;/isbn&gt;&lt;urls&gt;&lt;/urls&gt;&lt;electronic-resource-num&gt;10.1080/13576270500178369&lt;/electronic-resource-num&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(Walter, 2005)</w:t>
      </w:r>
      <w:r w:rsidRPr="00F223BC">
        <w:rPr>
          <w:rFonts w:ascii="Times New Roman" w:hAnsi="Times New Roman" w:cs="Times New Roman"/>
        </w:rPr>
        <w:fldChar w:fldCharType="end"/>
      </w:r>
      <w:r w:rsidRPr="00F223BC">
        <w:rPr>
          <w:rFonts w:ascii="Times New Roman" w:hAnsi="Times New Roman" w:cs="Times New Roman"/>
        </w:rPr>
        <w:t>.</w:t>
      </w:r>
    </w:p>
    <w:p w14:paraId="4A663D35" w14:textId="77777777" w:rsidR="00256B3D" w:rsidRPr="00F223BC" w:rsidRDefault="00256B3D" w:rsidP="00256B3D">
      <w:pPr>
        <w:spacing w:line="480" w:lineRule="auto"/>
        <w:ind w:firstLine="720"/>
        <w:rPr>
          <w:rFonts w:ascii="Times New Roman" w:hAnsi="Times New Roman" w:cs="Times New Roman"/>
        </w:rPr>
      </w:pPr>
      <w:r w:rsidRPr="00F223BC">
        <w:rPr>
          <w:rFonts w:ascii="Times New Roman" w:hAnsi="Times New Roman" w:cs="Times New Roman"/>
        </w:rPr>
        <w:t>Funeral directors developed a cooperative relationship with local religious representatives with mutual respect and appreciation. Increasingly, Americans took for granted the notion that funeral directors had the authority over the body,</w:t>
      </w:r>
      <w:r>
        <w:rPr>
          <w:rFonts w:ascii="Times New Roman" w:hAnsi="Times New Roman" w:cs="Times New Roman"/>
        </w:rPr>
        <w:t xml:space="preserve"> and</w:t>
      </w:r>
      <w:r w:rsidRPr="00F223BC">
        <w:rPr>
          <w:rFonts w:ascii="Times New Roman" w:hAnsi="Times New Roman" w:cs="Times New Roman"/>
        </w:rPr>
        <w:t xml:space="preserve"> clergy had authority over souls </w:t>
      </w:r>
      <w:r w:rsidRPr="00F223BC">
        <w:rPr>
          <w:rFonts w:ascii="Times New Roman" w:hAnsi="Times New Roman" w:cs="Times New Roman"/>
        </w:rPr>
        <w:fldChar w:fldCharType="begin"/>
      </w:r>
      <w:r>
        <w:rPr>
          <w:rFonts w:ascii="Times New Roman" w:hAnsi="Times New Roman" w:cs="Times New Roman"/>
        </w:rPr>
        <w:instrText xml:space="preserve"> ADDIN EN.CITE &lt;EndNote&gt;&lt;Cite&gt;&lt;Author&gt;Blackwood&lt;/Author&gt;&lt;Year&gt;1942&lt;/Year&gt;&lt;RecNum&gt;1951&lt;/RecNum&gt;&lt;DisplayText&gt;(Blackwood, 1942)&lt;/DisplayText&gt;&lt;record&gt;&lt;rec-number&gt;1951&lt;/rec-number&gt;&lt;foreign-keys&gt;&lt;key app="EN" db-id="2pe9e00ros0veneeptspa5vhz0pw2az52v20" timestamp="1694060250" guid="f0b5bfaf-06ef-4317-baaf-6f0b10fc8bbe"&gt;1951&lt;/key&gt;&lt;/foreign-keys&gt;&lt;ref-type name="Book"&gt;6&lt;/ref-type&gt;&lt;contributors&gt;&lt;authors&gt;&lt;author&gt;Blackwood, A.W.&lt;/author&gt;&lt;/authors&gt;&lt;/contributors&gt;&lt;titles&gt;&lt;title&gt;The funeral, a source book for ministers&lt;/title&gt;&lt;/titles&gt;&lt;dates&gt;&lt;year&gt;1942&lt;/year&gt;&lt;/dates&gt;&lt;publisher&gt;Westminster Press&lt;/publisher&gt;&lt;urls&gt;&lt;/urls&gt;&lt;/record&gt;&lt;/Cite&gt;&lt;/EndNote&gt;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(Blackwood, 1942)</w:t>
      </w:r>
      <w:r w:rsidRPr="00F223BC">
        <w:rPr>
          <w:rFonts w:ascii="Times New Roman" w:hAnsi="Times New Roman" w:cs="Times New Roman"/>
        </w:rPr>
        <w:fldChar w:fldCharType="end"/>
      </w:r>
      <w:r w:rsidRPr="00F223BC">
        <w:rPr>
          <w:rFonts w:ascii="Times New Roman" w:hAnsi="Times New Roman" w:cs="Times New Roman"/>
        </w:rPr>
        <w:t xml:space="preserve">. In practice, ministers deferred to funeral directors as an expert in art. The funeral industry also became increasingly attentive to religious diversity and complied with religious traditions, codifying lessons into textbooks of mortuary education </w:t>
      </w:r>
      <w:r w:rsidRPr="00F223BC">
        <w:rPr>
          <w:rFonts w:ascii="Times New Roman" w:hAnsi="Times New Roman" w:cs="Times New Roman"/>
        </w:rPr>
        <w:fldChar w:fldCharType="begin"/>
      </w:r>
      <w:r>
        <w:rPr>
          <w:rFonts w:ascii="Times New Roman" w:hAnsi="Times New Roman" w:cs="Times New Roman"/>
        </w:rPr>
        <w:instrText xml:space="preserve"> ADDIN EN.CITE &lt;EndNote&gt;&lt;Cite&gt;&lt;Author&gt;Klicker&lt;/Author&gt;&lt;Year&gt;2009&lt;/Year&gt;&lt;RecNum&gt;1952&lt;/RecNum&gt;&lt;DisplayText&gt;(Klicker, 2009)&lt;/DisplayText&gt;&lt;record&gt;&lt;rec-number&gt;1952&lt;/rec-number&gt;&lt;foreign-keys&gt;&lt;key app="EN" db-id="2pe9e00ros0veneeptspa5vhz0pw2az52v20" timestamp="1694061423" guid="f7244c5f-468d-4829-9f19-e5d3dc15b797"&gt;1952&lt;/key&gt;&lt;/foreign-keys&gt;&lt;ref-type name="Book"&gt;6&lt;/ref-type&gt;&lt;contributors&gt;&lt;authors&gt;&lt;author&gt;Ralph L. Klicker &lt;/author&gt;&lt;/authors&gt;&lt;/contributors&gt;&lt;titles&gt;&lt;title&gt;Funeral directing and funeral service management&lt;/title&gt;&lt;/titles&gt;&lt;dates&gt;&lt;year&gt;2009&lt;/year&gt;&lt;/dates&gt;&lt;publisher&gt;Thanos Institute&lt;/publisher&gt;&lt;urls&gt;&lt;/urls&gt;&lt;/record&gt;&lt;/Cite&gt;&lt;/EndNote&gt;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(Klicker, 2009)</w:t>
      </w:r>
      <w:r w:rsidRPr="00F223BC">
        <w:rPr>
          <w:rFonts w:ascii="Times New Roman" w:hAnsi="Times New Roman" w:cs="Times New Roman"/>
        </w:rPr>
        <w:fldChar w:fldCharType="end"/>
      </w:r>
      <w:r w:rsidRPr="00F223BC">
        <w:rPr>
          <w:rFonts w:ascii="Times New Roman" w:hAnsi="Times New Roman" w:cs="Times New Roman"/>
        </w:rPr>
        <w:t>.</w:t>
      </w:r>
    </w:p>
    <w:p w14:paraId="4F46EEC6" w14:textId="77777777" w:rsidR="00256B3D" w:rsidRPr="00F223BC" w:rsidRDefault="00256B3D" w:rsidP="00256B3D">
      <w:pPr>
        <w:tabs>
          <w:tab w:val="left" w:pos="8012"/>
        </w:tabs>
        <w:spacing w:line="480" w:lineRule="auto"/>
        <w:ind w:firstLine="720"/>
        <w:rPr>
          <w:rFonts w:ascii="Times New Roman" w:hAnsi="Times New Roman" w:cs="Times New Roman"/>
        </w:rPr>
      </w:pPr>
      <w:r w:rsidRPr="00F223BC">
        <w:rPr>
          <w:rFonts w:ascii="Times New Roman" w:hAnsi="Times New Roman" w:cs="Times New Roman"/>
        </w:rPr>
        <w:t xml:space="preserve">The funeral industry also promoted close relations with lawyers. The book </w:t>
      </w:r>
      <w:r w:rsidRPr="00F223BC">
        <w:rPr>
          <w:rFonts w:ascii="Times New Roman" w:hAnsi="Times New Roman" w:cs="Times New Roman"/>
          <w:i/>
          <w:iCs/>
        </w:rPr>
        <w:t>The Law of Cadavers and of Burial and Burial Places</w:t>
      </w:r>
      <w:r w:rsidRPr="00F223BC">
        <w:rPr>
          <w:rFonts w:ascii="Times New Roman" w:hAnsi="Times New Roman" w:cs="Times New Roman"/>
        </w:rPr>
        <w:t xml:space="preserve">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&lt;EndNote&gt;&lt;Cite&gt;&lt;Author&gt;Jackson&lt;/Author&gt;&lt;Year&gt;1950&lt;/Year&gt;&lt;RecNum&gt;1955&lt;/RecNum&gt;&lt;DisplayText&gt;(Jackson, 1950)&lt;/DisplayText&gt;&lt;record&gt;&lt;rec-number&gt;1955&lt;/rec-number&gt;&lt;foreign-keys&gt;&lt;key app="EN" db-id="2pe9e00ros0veneeptspa5vhz0pw2az52v20" timestamp="1694102426" guid="b2145111-9d22-4a8b-b3a9-c4a61a247d8a"&gt;1955&lt;/key&gt;&lt;/foreign-keys&gt;&lt;ref-type name="Book"&gt;6&lt;/ref-type&gt;&lt;contributors&gt;&lt;authors&gt;&lt;author&gt;Jackson, Percival E&lt;/author&gt;&lt;/authors&gt;&lt;/contributors&gt;&lt;titles&gt;&lt;title&gt;The law of cadavers and of burial and burial places&lt;/title&gt;&lt;/titles&gt;&lt;dates&gt;&lt;year&gt;1950&lt;/year&gt;&lt;/dates&gt;&lt;publisher&gt;Prentice-Hall&lt;/publisher&gt;&lt;urls&gt;&lt;/urls&gt;&lt;/record&gt;&lt;/Cite&gt;&lt;/EndNote&gt;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(Jackson, 1950)</w:t>
      </w:r>
      <w:r w:rsidRPr="00F223BC">
        <w:rPr>
          <w:rFonts w:ascii="Times New Roman" w:hAnsi="Times New Roman" w:cs="Times New Roman"/>
        </w:rPr>
        <w:fldChar w:fldCharType="end"/>
      </w:r>
      <w:r w:rsidRPr="00F223BC">
        <w:rPr>
          <w:rFonts w:ascii="Times New Roman" w:hAnsi="Times New Roman" w:cs="Times New Roman"/>
        </w:rPr>
        <w:t xml:space="preserve"> was published, and it contained a list of primary US legal decisions related to funeral services. Howard Raether, a lawyer, was hired in 1939 as executive director and general counselor of the Wisconsin Funeral Directors and Embalmers Association. He advocated for crafting the national image of America’s funeral directors and finding ways for the industry to explain the meaning and purpose of the final ceremonies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&lt;EndNote&gt;&lt;Cite&gt;&lt;Author&gt;Laderman&lt;/Author&gt;&lt;Year&gt;2003&lt;/Year&gt;&lt;RecNum&gt;1515&lt;/RecNum&gt;&lt;DisplayText&gt;(Laderman, 2003)&lt;/DisplayText&gt;&lt;record&gt;&lt;rec-number&gt;1515&lt;/rec-number&gt;&lt;foreign-keys&gt;&lt;key app="EN" db-id="2pe9e00ros0veneeptspa5vhz0pw2az52v20" timestamp="1643834392" guid="58d33cc6-f04e-42ae-bc63-91997b779f9c"&gt;1515&lt;/key&gt;&lt;/foreign-keys&gt;&lt;ref-type name="Book"&gt;6&lt;/ref-type&gt;&lt;contributors&gt;&lt;authors&gt;&lt;author&gt;Laderman, Gary&lt;/author&gt;&lt;/authors&gt;&lt;/contributors&gt;&lt;titles&gt;&lt;title&gt;Rest in peace: A cultural history of death and the funeral home in twentieth-century America&lt;/title&gt;&lt;/titles&gt;&lt;dates&gt;&lt;year&gt;2003&lt;/year&gt;&lt;/dates&gt;&lt;publisher&gt;Oxford University Press&lt;/publisher&gt;&lt;isbn&gt;019518355X&lt;/isbn&gt;&lt;urls&gt;&lt;/urls&gt;&lt;/record&gt;&lt;/Cite&gt;&lt;/EndNote&gt;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(Laderman, 2003)</w:t>
      </w:r>
      <w:r w:rsidRPr="00F223BC">
        <w:rPr>
          <w:rFonts w:ascii="Times New Roman" w:hAnsi="Times New Roman" w:cs="Times New Roman"/>
        </w:rPr>
        <w:fldChar w:fldCharType="end"/>
      </w:r>
      <w:r w:rsidRPr="00F223BC">
        <w:rPr>
          <w:rFonts w:ascii="Times New Roman" w:hAnsi="Times New Roman" w:cs="Times New Roman"/>
        </w:rPr>
        <w:t>.</w:t>
      </w:r>
    </w:p>
    <w:p w14:paraId="6F430E93" w14:textId="77777777" w:rsidR="00256B3D" w:rsidRPr="00F223BC" w:rsidRDefault="00256B3D" w:rsidP="00256B3D">
      <w:pPr>
        <w:spacing w:line="480" w:lineRule="auto"/>
        <w:ind w:firstLine="720"/>
        <w:rPr>
          <w:rFonts w:ascii="Times New Roman" w:hAnsi="Times New Roman" w:cs="Times New Roman"/>
        </w:rPr>
      </w:pPr>
      <w:r w:rsidRPr="00F223BC">
        <w:rPr>
          <w:rFonts w:ascii="Times New Roman" w:hAnsi="Times New Roman" w:cs="Times New Roman"/>
        </w:rPr>
        <w:lastRenderedPageBreak/>
        <w:t>The funeral industry also interacted with numerous levels of government. Based on one report from the 1949 annual convention of the National Funeral Director Association (NFDA), the NFDA officers and members established and maintained close relationships with governmental agencies such as the Army War Memorial Division, the Mortuary Operations Division of Veterans Administration, the Bureau of the Census, Selective Service, the Office of Civil Planning, the Social Security Administration, and the Small Business Division of the Department of Commerce. On the local level, funeral directors lobbied hard in Congress to oppose intrusive bills on the funeral industry. For example, Bill 208-S in 1955, which proposed to limit funeral costs, failed because of funeral homes’ opposition.</w:t>
      </w:r>
    </w:p>
    <w:p w14:paraId="7A9305C6" w14:textId="77777777" w:rsidR="00256B3D" w:rsidRPr="00F223BC" w:rsidRDefault="00256B3D" w:rsidP="00256B3D">
      <w:pPr>
        <w:spacing w:line="480" w:lineRule="auto"/>
        <w:ind w:firstLine="720"/>
        <w:rPr>
          <w:rFonts w:ascii="Times New Roman" w:hAnsi="Times New Roman" w:cs="Times New Roman"/>
        </w:rPr>
      </w:pPr>
      <w:r w:rsidRPr="00F223BC">
        <w:rPr>
          <w:rFonts w:ascii="Times New Roman" w:hAnsi="Times New Roman" w:cs="Times New Roman"/>
        </w:rPr>
        <w:t xml:space="preserve">Funeral directors were endeavoring to manage their relationships with the public. Funeral directors developed their own channels for the dissemination of their profession. For example, one brochure called </w:t>
      </w:r>
      <w:r w:rsidRPr="00F223BC">
        <w:rPr>
          <w:rFonts w:ascii="Times New Roman" w:hAnsi="Times New Roman" w:cs="Times New Roman"/>
          <w:i/>
          <w:iCs/>
        </w:rPr>
        <w:t>Speaking Frankly: A Plain Talk about Funeral Service</w:t>
      </w:r>
      <w:r w:rsidRPr="00F223BC">
        <w:rPr>
          <w:rFonts w:ascii="Times New Roman" w:hAnsi="Times New Roman" w:cs="Times New Roman"/>
        </w:rPr>
        <w:t xml:space="preserve">, compiled by the National Funeral Director Association in 1940, provided the public with all relevant information about the modern funeral and funeral directors’ code of ethics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&lt;EndNote&gt;&lt;Cite&gt;&lt;Author&gt;Laderman&lt;/Author&gt;&lt;Year&gt;2003&lt;/Year&gt;&lt;RecNum&gt;1515&lt;/RecNum&gt;&lt;DisplayText&gt;(Laderman, 2003)&lt;/DisplayText&gt;&lt;record&gt;&lt;rec-number&gt;1515&lt;/rec-number&gt;&lt;foreign-keys&gt;&lt;key app="EN" db-id="2pe9e00ros0veneeptspa5vhz0pw2az52v20" timestamp="1643834392" guid="58d33cc6-f04e-42ae-bc63-91997b779f9c"&gt;1515&lt;/key&gt;&lt;/foreign-keys&gt;&lt;ref-type name="Book"&gt;6&lt;/ref-type&gt;&lt;contributors&gt;&lt;authors&gt;&lt;author&gt;Laderman, Gary&lt;/author&gt;&lt;/authors&gt;&lt;/contributors&gt;&lt;titles&gt;&lt;title&gt;Rest in peace: A cultural history of death and the funeral home in twentieth-century America&lt;/title&gt;&lt;/titles&gt;&lt;dates&gt;&lt;year&gt;2003&lt;/year&gt;&lt;/dates&gt;&lt;publisher&gt;Oxford University Press&lt;/publisher&gt;&lt;isbn&gt;019518355X&lt;/isbn&gt;&lt;urls&gt;&lt;/urls&gt;&lt;/record&gt;&lt;/Cite&gt;&lt;/EndNote&gt;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(Laderman, 2003)</w:t>
      </w:r>
      <w:r w:rsidRPr="00F223BC">
        <w:rPr>
          <w:rFonts w:ascii="Times New Roman" w:hAnsi="Times New Roman" w:cs="Times New Roman"/>
        </w:rPr>
        <w:fldChar w:fldCharType="end"/>
      </w:r>
      <w:r w:rsidRPr="00F223BC">
        <w:rPr>
          <w:rFonts w:ascii="Times New Roman" w:hAnsi="Times New Roman" w:cs="Times New Roman"/>
        </w:rPr>
        <w:t xml:space="preserve">. Another channel for </w:t>
      </w:r>
      <w:r>
        <w:rPr>
          <w:rFonts w:ascii="Times New Roman" w:hAnsi="Times New Roman" w:cs="Times New Roman"/>
        </w:rPr>
        <w:t xml:space="preserve">the </w:t>
      </w:r>
      <w:r w:rsidRPr="00F223BC">
        <w:rPr>
          <w:rFonts w:ascii="Times New Roman" w:hAnsi="Times New Roman" w:cs="Times New Roman"/>
        </w:rPr>
        <w:t>funeral industry</w:t>
      </w:r>
      <w:r>
        <w:rPr>
          <w:rFonts w:ascii="Times New Roman" w:hAnsi="Times New Roman" w:cs="Times New Roman"/>
        </w:rPr>
        <w:t>’s</w:t>
      </w:r>
      <w:r w:rsidRPr="00F223BC">
        <w:rPr>
          <w:rFonts w:ascii="Times New Roman" w:hAnsi="Times New Roman" w:cs="Times New Roman"/>
        </w:rPr>
        <w:t xml:space="preserve"> public relations was an expanding range of textbooks and manuals for mortuary school students, such as the book </w:t>
      </w:r>
      <w:r w:rsidRPr="00F223BC">
        <w:rPr>
          <w:rFonts w:ascii="Times New Roman" w:hAnsi="Times New Roman" w:cs="Times New Roman"/>
          <w:i/>
          <w:iCs/>
        </w:rPr>
        <w:t xml:space="preserve">Successful Funeral Service Management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&lt;EndNote&gt;&lt;Cite&gt;&lt;Author&gt;Krieger&lt;/Author&gt;&lt;Year&gt;1951&lt;/Year&gt;&lt;RecNum&gt;1956&lt;/RecNum&gt;&lt;DisplayText&gt;(Krieger, 1951)&lt;/DisplayText&gt;&lt;record&gt;&lt;rec-number&gt;1956&lt;/rec-number&gt;&lt;foreign-keys&gt;&lt;key app="EN" db-id="2pe9e00ros0veneeptspa5vhz0pw2az52v20" timestamp="1694106647" guid="f25d121a-dc3b-4ddf-989f-45ba1a0bd14e"&gt;1956&lt;/key&gt;&lt;/foreign-keys&gt;&lt;ref-type name="Book"&gt;6&lt;/ref-type&gt;&lt;contributors&gt;&lt;authors&gt;&lt;author&gt;Krieger, Wilber M&lt;/author&gt;&lt;/authors&gt;&lt;/contributors&gt;&lt;titles&gt;&lt;title&gt;Successful Funeral Service Management&lt;/title&gt;&lt;/titles&gt;&lt;dates&gt;&lt;year&gt;1951&lt;/year&gt;&lt;/dates&gt;&lt;publisher&gt;Prentice-Hall&lt;/publisher&gt;&lt;urls&gt;&lt;/urls&gt;&lt;/record&gt;&lt;/Cite&gt;&lt;/EndNote&gt;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(Krieger, 1951)</w:t>
      </w:r>
      <w:r w:rsidRPr="00F223BC">
        <w:rPr>
          <w:rFonts w:ascii="Times New Roman" w:hAnsi="Times New Roman" w:cs="Times New Roman"/>
        </w:rPr>
        <w:fldChar w:fldCharType="end"/>
      </w:r>
      <w:r w:rsidRPr="00F223BC">
        <w:rPr>
          <w:rFonts w:ascii="Times New Roman" w:hAnsi="Times New Roman" w:cs="Times New Roman"/>
        </w:rPr>
        <w:t xml:space="preserve">. Lastly, some TV programs were allied in battling for a positive public image of funeral directors, such as the </w:t>
      </w:r>
      <w:r w:rsidRPr="00F223BC">
        <w:rPr>
          <w:rFonts w:ascii="Times New Roman" w:hAnsi="Times New Roman" w:cs="Times New Roman"/>
          <w:i/>
          <w:iCs/>
        </w:rPr>
        <w:t>Dan Lundberg Television Show</w:t>
      </w:r>
      <w:r w:rsidRPr="00F223BC">
        <w:rPr>
          <w:rFonts w:ascii="Times New Roman" w:hAnsi="Times New Roman" w:cs="Times New Roman"/>
        </w:rPr>
        <w:t xml:space="preserve">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&lt;EndNote&gt;&lt;Cite&gt;&lt;Author&gt;Armour&lt;/Author&gt;&lt;Year&gt;1981&lt;/Year&gt;&lt;RecNum&gt;1612&lt;/RecNum&gt;&lt;Prefix&gt;e.g.`, &lt;/Prefix&gt;&lt;DisplayText&gt;(e.g., Armour &amp;amp; Williams, 1981)&lt;/DisplayText&gt;&lt;record&gt;&lt;rec-number&gt;1612&lt;/rec-number&gt;&lt;foreign-keys&gt;&lt;key app="EN" db-id="2pe9e00ros0veneeptspa5vhz0pw2az52v20" timestamp="1648258365" guid="8c36f2b4-7703-4908-83b1-57b276ef76a8"&gt;1612&lt;/key&gt;&lt;/foreign-keys&gt;&lt;ref-type name="Journal Article"&gt;17&lt;/ref-type&gt;&lt;contributors&gt;&lt;authors&gt;&lt;author&gt;Armour, Robert A&lt;/author&gt;&lt;author&gt;Williams, J Carol&lt;/author&gt;&lt;/authors&gt;&lt;/contributors&gt;&lt;titles&gt;&lt;title&gt;Image making and advertising in the funeral industry&lt;/title&gt;&lt;secondary-title&gt;Journal of Popular Culture&lt;/secondary-title&gt;&lt;/titles&gt;&lt;periodical&gt;&lt;full-title&gt;Journal of popular culture&lt;/full-title&gt;&lt;/periodical&gt;&lt;pages&gt;701-710&lt;/pages&gt;&lt;volume&gt;14&lt;/volume&gt;&lt;number&gt;4&lt;/number&gt;&lt;dates&gt;&lt;year&gt;1981&lt;/year&gt;&lt;/dates&gt;&lt;isbn&gt;0022-3840&lt;/isbn&gt;&lt;urls&gt;&lt;/urls&gt;&lt;electronic-resource-num&gt;10.1111/j.0022-3840.1981.00701.x&lt;/electronic-resource-num&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(e.g., Armour &amp; Williams, 1981)</w:t>
      </w:r>
      <w:r w:rsidRPr="00F223BC">
        <w:rPr>
          <w:rFonts w:ascii="Times New Roman" w:hAnsi="Times New Roman" w:cs="Times New Roman"/>
        </w:rPr>
        <w:fldChar w:fldCharType="end"/>
      </w:r>
      <w:r w:rsidRPr="00F223BC">
        <w:rPr>
          <w:rFonts w:ascii="Times New Roman" w:hAnsi="Times New Roman" w:cs="Times New Roman"/>
        </w:rPr>
        <w:t xml:space="preserve">. </w:t>
      </w:r>
    </w:p>
    <w:p w14:paraId="75517E2E" w14:textId="77777777" w:rsidR="00256B3D" w:rsidRPr="00F223BC" w:rsidRDefault="00256B3D" w:rsidP="00256B3D">
      <w:pPr>
        <w:spacing w:line="480" w:lineRule="auto"/>
        <w:rPr>
          <w:rFonts w:ascii="Times New Roman" w:hAnsi="Times New Roman" w:cs="Times New Roman"/>
          <w:b/>
          <w:bCs/>
        </w:rPr>
      </w:pPr>
      <w:r w:rsidRPr="00F223BC">
        <w:rPr>
          <w:rFonts w:ascii="Times New Roman" w:hAnsi="Times New Roman" w:cs="Times New Roman"/>
          <w:b/>
          <w:bCs/>
        </w:rPr>
        <w:t>Battling against Industrial Stereotypes</w:t>
      </w:r>
    </w:p>
    <w:p w14:paraId="52629149" w14:textId="77777777" w:rsidR="00256B3D" w:rsidRPr="00F223BC" w:rsidRDefault="00256B3D" w:rsidP="00256B3D">
      <w:pPr>
        <w:spacing w:line="480" w:lineRule="auto"/>
        <w:ind w:firstLine="720"/>
        <w:rPr>
          <w:rFonts w:ascii="Times New Roman" w:hAnsi="Times New Roman" w:cs="Times New Roman"/>
        </w:rPr>
      </w:pPr>
      <w:r w:rsidRPr="00F223BC">
        <w:rPr>
          <w:rFonts w:ascii="Times New Roman" w:hAnsi="Times New Roman" w:cs="Times New Roman"/>
        </w:rPr>
        <w:t xml:space="preserve">Although they earned </w:t>
      </w:r>
      <w:proofErr w:type="gramStart"/>
      <w:r w:rsidRPr="00F223BC">
        <w:rPr>
          <w:rFonts w:ascii="Times New Roman" w:hAnsi="Times New Roman" w:cs="Times New Roman"/>
        </w:rPr>
        <w:t>widely-held</w:t>
      </w:r>
      <w:proofErr w:type="gramEnd"/>
      <w:r w:rsidRPr="00F223BC">
        <w:rPr>
          <w:rFonts w:ascii="Times New Roman" w:hAnsi="Times New Roman" w:cs="Times New Roman"/>
        </w:rPr>
        <w:t xml:space="preserve"> status as a legitimate profession, funeral directors were not culturally accepted and socially welcomed in the mid-twentieth century in the US, roughly from the 1930s to the 1960s. This incompatible role in social life was likely emanated from the public’s ambivalence about the entire experience of death – fear of death and ridding themselves </w:t>
      </w:r>
      <w:r w:rsidRPr="00F223BC">
        <w:rPr>
          <w:rFonts w:ascii="Times New Roman" w:hAnsi="Times New Roman" w:cs="Times New Roman"/>
        </w:rPr>
        <w:lastRenderedPageBreak/>
        <w:t xml:space="preserve">quickly of </w:t>
      </w:r>
      <w:r>
        <w:rPr>
          <w:rFonts w:ascii="Times New Roman" w:hAnsi="Times New Roman" w:cs="Times New Roman"/>
        </w:rPr>
        <w:t xml:space="preserve">deceased </w:t>
      </w:r>
      <w:r w:rsidRPr="00F223BC">
        <w:rPr>
          <w:rFonts w:ascii="Times New Roman" w:hAnsi="Times New Roman" w:cs="Times New Roman"/>
        </w:rPr>
        <w:t>bod</w:t>
      </w:r>
      <w:r>
        <w:rPr>
          <w:rFonts w:ascii="Times New Roman" w:hAnsi="Times New Roman" w:cs="Times New Roman"/>
        </w:rPr>
        <w:t>ies</w:t>
      </w:r>
      <w:r w:rsidRPr="00F223BC">
        <w:rPr>
          <w:rFonts w:ascii="Times New Roman" w:hAnsi="Times New Roman" w:cs="Times New Roman"/>
        </w:rPr>
        <w:t xml:space="preserve"> – which </w:t>
      </w:r>
      <w:r>
        <w:rPr>
          <w:rFonts w:ascii="Times New Roman" w:hAnsi="Times New Roman" w:cs="Times New Roman"/>
        </w:rPr>
        <w:t xml:space="preserve">tended to position </w:t>
      </w:r>
      <w:r w:rsidRPr="00F223BC">
        <w:rPr>
          <w:rFonts w:ascii="Times New Roman" w:hAnsi="Times New Roman" w:cs="Times New Roman"/>
        </w:rPr>
        <w:t>funeral director</w:t>
      </w:r>
      <w:r>
        <w:rPr>
          <w:rFonts w:ascii="Times New Roman" w:hAnsi="Times New Roman" w:cs="Times New Roman"/>
        </w:rPr>
        <w:t>s as</w:t>
      </w:r>
      <w:r w:rsidRPr="00F223BC">
        <w:rPr>
          <w:rFonts w:ascii="Times New Roman" w:hAnsi="Times New Roman" w:cs="Times New Roman"/>
        </w:rPr>
        <w:t xml:space="preserve"> scapegoat</w:t>
      </w:r>
      <w:r>
        <w:rPr>
          <w:rFonts w:ascii="Times New Roman" w:hAnsi="Times New Roman" w:cs="Times New Roman"/>
        </w:rPr>
        <w:t>s or undesirables</w:t>
      </w:r>
      <w:r w:rsidRPr="00F223BC">
        <w:rPr>
          <w:rFonts w:ascii="Times New Roman" w:hAnsi="Times New Roman" w:cs="Times New Roman"/>
        </w:rPr>
        <w:t xml:space="preserve">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&lt;EndNote&gt;&lt;Cite&gt;&lt;Author&gt;Fulton&lt;/Author&gt;&lt;Year&gt;1965&lt;/Year&gt;&lt;RecNum&gt;1961&lt;/RecNum&gt;&lt;DisplayText&gt;(Fulton, 1965)&lt;/DisplayText&gt;&lt;record&gt;&lt;rec-number&gt;1961&lt;/rec-number&gt;&lt;foreign-keys&gt;&lt;key app="EN" db-id="2pe9e00ros0veneeptspa5vhz0pw2az52v20" timestamp="1694121961" guid="fa612893-8aee-4d26-9cde-4f1ce771c4d5"&gt;1961&lt;/key&gt;&lt;/foreign-keys&gt;&lt;ref-type name="Book Section"&gt;5&lt;/ref-type&gt;&lt;contributors&gt;&lt;authors&gt;&lt;author&gt;Fulton, Robert&lt;/author&gt;&lt;/authors&gt;&lt;secondary-authors&gt;&lt;author&gt;Fulton, Robert&lt;/author&gt;&lt;/secondary-authors&gt;&lt;/contributors&gt;&lt;titles&gt;&lt;title&gt;The sacred and the secular: Attitudes of the American public toward death, funerals, and funeral directors&lt;/title&gt;&lt;secondary-title&gt;Death and Identity&lt;/secondary-title&gt;&lt;/titles&gt;&lt;periodical&gt;&lt;full-title&gt;Death and identity&lt;/full-title&gt;&lt;/periodical&gt;&lt;pages&gt;89-105&lt;/pages&gt;&lt;dates&gt;&lt;year&gt;1965&lt;/year&gt;&lt;/dates&gt;&lt;publisher&gt;Wiley&lt;/publisher&gt;&lt;urls&gt;&lt;/urls&gt;&lt;/record&gt;&lt;/Cite&gt;&lt;/EndNote&gt;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(Fulton, 1965)</w:t>
      </w:r>
      <w:r w:rsidRPr="00F223BC">
        <w:rPr>
          <w:rFonts w:ascii="Times New Roman" w:hAnsi="Times New Roman" w:cs="Times New Roman"/>
        </w:rPr>
        <w:fldChar w:fldCharType="end"/>
      </w:r>
      <w:r w:rsidRPr="00F223BC">
        <w:rPr>
          <w:rFonts w:ascii="Times New Roman" w:hAnsi="Times New Roman" w:cs="Times New Roman"/>
        </w:rPr>
        <w:t xml:space="preserve">. During this period, the public held two familiar and demeaning stereotypes of funeral directors: a greedy, malevolent, crafty business devil or a satirical, laughable, and buffoon-like trader; in other words, as either evil or stupid. These </w:t>
      </w:r>
      <w:r>
        <w:rPr>
          <w:rFonts w:ascii="Times New Roman" w:hAnsi="Times New Roman" w:cs="Times New Roman"/>
        </w:rPr>
        <w:t xml:space="preserve">negative professional </w:t>
      </w:r>
      <w:r w:rsidRPr="00F223BC">
        <w:rPr>
          <w:rFonts w:ascii="Times New Roman" w:hAnsi="Times New Roman" w:cs="Times New Roman"/>
        </w:rPr>
        <w:t xml:space="preserve">images were reinforced </w:t>
      </w:r>
      <w:r>
        <w:rPr>
          <w:rFonts w:ascii="Times New Roman" w:hAnsi="Times New Roman" w:cs="Times New Roman"/>
        </w:rPr>
        <w:t>in stereotypes from</w:t>
      </w:r>
      <w:r w:rsidRPr="00F223BC">
        <w:rPr>
          <w:rFonts w:ascii="Times New Roman" w:hAnsi="Times New Roman" w:cs="Times New Roman"/>
        </w:rPr>
        <w:t xml:space="preserve"> popular culture, including novels, radio and TV programs, and films. The book </w:t>
      </w:r>
      <w:r w:rsidRPr="00F223BC">
        <w:rPr>
          <w:rFonts w:ascii="Times New Roman" w:hAnsi="Times New Roman" w:cs="Times New Roman"/>
          <w:i/>
          <w:iCs/>
        </w:rPr>
        <w:t>The American Way of Death</w:t>
      </w:r>
      <w:r w:rsidRPr="00F223BC">
        <w:rPr>
          <w:rFonts w:ascii="Times New Roman" w:hAnsi="Times New Roman" w:cs="Times New Roman"/>
        </w:rPr>
        <w:t xml:space="preserve">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&lt;EndNote&gt;&lt;Cite&gt;&lt;Author&gt;Mitford&lt;/Author&gt;&lt;Year&gt;1963&lt;/Year&gt;&lt;RecNum&gt;1517&lt;/RecNum&gt;&lt;DisplayText&gt;(Mitford, 1963)&lt;/DisplayText&gt;&lt;record&gt;&lt;rec-number&gt;1517&lt;/rec-number&gt;&lt;foreign-keys&gt;&lt;key app="EN" db-id="2pe9e00ros0veneeptspa5vhz0pw2az52v20" timestamp="1643842567" guid="df8cdcdc-35c8-44b6-b3a5-4d566a265055"&gt;1517&lt;/key&gt;&lt;/foreign-keys&gt;&lt;ref-type name="Book"&gt;6&lt;/ref-type&gt;&lt;contributors&gt;&lt;authors&gt;&lt;author&gt;Mitford, Jessica&lt;/author&gt;&lt;/authors&gt;&lt;/contributors&gt;&lt;titles&gt;&lt;title&gt;The American way of death&lt;/title&gt;&lt;/titles&gt;&lt;volume&gt;735&lt;/volume&gt;&lt;dates&gt;&lt;year&gt;1963&lt;/year&gt;&lt;/dates&gt;&lt;publisher&gt;Simon and Schuster New York&lt;/publisher&gt;&lt;isbn&gt;0449239853&lt;/isbn&gt;&lt;urls&gt;&lt;/urls&gt;&lt;/record&gt;&lt;/Cite&gt;&lt;/EndNote&gt;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(Mitford, 1963)</w:t>
      </w:r>
      <w:r w:rsidRPr="00F223BC">
        <w:rPr>
          <w:rFonts w:ascii="Times New Roman" w:hAnsi="Times New Roman" w:cs="Times New Roman"/>
        </w:rPr>
        <w:fldChar w:fldCharType="end"/>
      </w:r>
      <w:r w:rsidRPr="00F223BC">
        <w:rPr>
          <w:rFonts w:ascii="Times New Roman" w:hAnsi="Times New Roman" w:cs="Times New Roman"/>
        </w:rPr>
        <w:t xml:space="preserve"> pointed out and criticized these stereotypes. This section will explain the two stereotypes and how funeral directors adopted a psychologized rhetoric for managing grief as a means of defending professional legitimacy while also managing professional stereotypes and stigma. </w:t>
      </w:r>
    </w:p>
    <w:p w14:paraId="2A6C90FC" w14:textId="77777777" w:rsidR="00256B3D" w:rsidRPr="00F223BC" w:rsidRDefault="00256B3D" w:rsidP="00256B3D">
      <w:pPr>
        <w:spacing w:line="480" w:lineRule="auto"/>
        <w:ind w:firstLine="720"/>
        <w:rPr>
          <w:rFonts w:ascii="Times New Roman" w:hAnsi="Times New Roman" w:cs="Times New Roman"/>
        </w:rPr>
      </w:pPr>
      <w:r w:rsidRPr="00F223BC">
        <w:rPr>
          <w:rFonts w:ascii="Times New Roman" w:hAnsi="Times New Roman" w:cs="Times New Roman"/>
          <w:b/>
          <w:bCs/>
        </w:rPr>
        <w:t xml:space="preserve">Stereotype: A greedy, malevolent, </w:t>
      </w:r>
      <w:r>
        <w:rPr>
          <w:rFonts w:ascii="Times New Roman" w:hAnsi="Times New Roman" w:cs="Times New Roman"/>
          <w:b/>
          <w:bCs/>
        </w:rPr>
        <w:t xml:space="preserve">and </w:t>
      </w:r>
      <w:r w:rsidRPr="00F223BC">
        <w:rPr>
          <w:rFonts w:ascii="Times New Roman" w:hAnsi="Times New Roman" w:cs="Times New Roman"/>
          <w:b/>
          <w:bCs/>
        </w:rPr>
        <w:t>crafty business devil</w:t>
      </w:r>
      <w:r w:rsidRPr="00F223BC">
        <w:rPr>
          <w:rFonts w:ascii="Times New Roman" w:hAnsi="Times New Roman" w:cs="Times New Roman"/>
        </w:rPr>
        <w:t xml:space="preserve">. Funeral services are a type of commodity, and funeral directors are dealers, the same as other businessmen, following capitalist marketing principles. However,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 AuthorYear="1"&gt;&lt;Author&gt;Mitford&lt;/Author&gt;&lt;Year&gt;1963&lt;/Year&gt;&lt;RecNum&gt;1517&lt;/RecNum&gt;&lt;DisplayText&gt;Mitford (1963)&lt;/DisplayText&gt;&lt;record&gt;&lt;rec-number&gt;1517&lt;/rec-number&gt;&lt;foreign-keys&gt;&lt;key app="EN" db-id="2pe9e00ros0veneeptspa5vhz0pw2az52v20" timestamp="1643842567" guid="df8cdcdc-35c8-44b6-b3a5-4d566a265055"&gt;1517&lt;/key&gt;&lt;/foreign-keys&gt;&lt;ref-type name="Book"&gt;6&lt;/ref-type&gt;&lt;contributors&gt;&lt;authors&gt;&lt;author&gt;Mitford, Jessica&lt;/author&gt;&lt;/authors&gt;&lt;/contributors&gt;&lt;titles&gt;&lt;title&gt;The American way of death&lt;/title&gt;&lt;/titles&gt;&lt;volume&gt;735&lt;/volume&gt;&lt;dates&gt;&lt;year&gt;1963&lt;/year&gt;&lt;/dates&gt;&lt;publisher&gt;Simon and Schuster New York&lt;/publisher&gt;&lt;isbn&gt;0449239853&lt;/isbn&gt;&lt;urls&gt;&lt;/urls&gt;&lt;/record&gt;&lt;/Cite&gt;&lt;/EndNote&gt;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Mitford (1963)</w:t>
      </w:r>
      <w:r w:rsidRPr="00F223BC">
        <w:rPr>
          <w:rFonts w:ascii="Times New Roman" w:hAnsi="Times New Roman" w:cs="Times New Roman"/>
        </w:rPr>
        <w:fldChar w:fldCharType="end"/>
      </w:r>
      <w:r w:rsidRPr="00F223BC">
        <w:rPr>
          <w:rFonts w:ascii="Times New Roman" w:hAnsi="Times New Roman" w:cs="Times New Roman"/>
        </w:rPr>
        <w:t xml:space="preserve"> argued that in contrast to other types of business dealing, clients were especially vulnerable in the funeral transaction: “the disorientation caused by bereavement, the lack of standards by which to judge the value of the commodity offered by the seller, the need to make an on-the-spot decision, general ignorance of the law as it affects disposal of the dead, the ready availability of insurance money to finance the transaction” (pp. 20-21). These disorganized funeral transactions were documented and disseminated in radio and TV programs. For example, </w:t>
      </w:r>
      <w:r w:rsidRPr="00F223BC">
        <w:rPr>
          <w:rFonts w:ascii="Times New Roman" w:hAnsi="Times New Roman" w:cs="Times New Roman"/>
          <w:i/>
          <w:iCs/>
        </w:rPr>
        <w:t>The Life of Riley</w:t>
      </w:r>
      <w:r w:rsidRPr="00F223BC">
        <w:rPr>
          <w:rFonts w:ascii="Times New Roman" w:hAnsi="Times New Roman" w:cs="Times New Roman"/>
        </w:rPr>
        <w:t xml:space="preserve">, a popular radio and TV program in the 1940s and 1950s, described the public suspicions about the motives of funeral directors and a strong discomfort with their presence in life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&lt;EndNote&gt;&lt;Cite&gt;&lt;Author&gt;Raff&lt;/Author&gt;&lt;Year&gt;1976&lt;/Year&gt;&lt;RecNum&gt;1963&lt;/RecNum&gt;&lt;Prefix&gt;e.g.`, &lt;/Prefix&gt;&lt;DisplayText&gt;(e.g., Raff, 1976)&lt;/DisplayText&gt;&lt;record&gt;&lt;rec-number&gt;1963&lt;/rec-number&gt;&lt;foreign-keys&gt;&lt;key app="EN" db-id="2pe9e00ros0veneeptspa5vhz0pw2az52v20" timestamp="1694192943" guid="6fb6280b-eb0d-4bb2-835e-1c6db69e1930"&gt;1963&lt;/key&gt;&lt;/foreign-keys&gt;&lt;ref-type name="Journal Article"&gt;17&lt;/ref-type&gt;&lt;contributors&gt;&lt;authors&gt;&lt;author&gt;Raff, Samuel J.&lt;/author&gt;&lt;/authors&gt;&lt;/contributors&gt;&lt;titles&gt;&lt;title&gt;The Life of Riley&lt;/title&gt;&lt;secondary-title&gt;American Speech&lt;/secondary-title&gt;&lt;/titles&gt;&lt;periodical&gt;&lt;full-title&gt;American Speech&lt;/full-title&gt;&lt;/periodical&gt;&lt;pages&gt;94-101&lt;/pages&gt;&lt;volume&gt;51&lt;/volume&gt;&lt;number&gt;1/2&lt;/number&gt;&lt;dates&gt;&lt;year&gt;1976&lt;/year&gt;&lt;/dates&gt;&lt;publisher&gt;[Duke University Press, American Dialect Society]&lt;/publisher&gt;&lt;isbn&gt;00031283, 15272133&lt;/isbn&gt;&lt;urls&gt;&lt;related-urls&gt;&lt;url&gt;http://www.jstor.org/stable/455359&lt;/url&gt;&lt;/related-urls&gt;&lt;/urls&gt;&lt;custom1&gt;Full publication date: Spring - Summer, 1976&lt;/custom1&gt;&lt;electronic-resource-num&gt;10.2307/455359&lt;/electronic-resource-num&gt;&lt;remote-database-name&gt;JSTOR&lt;/remote-database-name&gt;&lt;access-date&gt;2023/09/08/&lt;/access-date&gt;&lt;/record&gt;&lt;/Cite&gt;&lt;/EndNote&gt;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(e.g., Raff, 1976)</w:t>
      </w:r>
      <w:r w:rsidRPr="00F223BC">
        <w:rPr>
          <w:rFonts w:ascii="Times New Roman" w:hAnsi="Times New Roman" w:cs="Times New Roman"/>
        </w:rPr>
        <w:fldChar w:fldCharType="end"/>
      </w:r>
      <w:r w:rsidRPr="00F223BC">
        <w:rPr>
          <w:rFonts w:ascii="Times New Roman" w:hAnsi="Times New Roman" w:cs="Times New Roman"/>
        </w:rPr>
        <w:t xml:space="preserve">. The episode – </w:t>
      </w:r>
      <w:r w:rsidRPr="00F223BC">
        <w:rPr>
          <w:rFonts w:ascii="Times New Roman" w:hAnsi="Times New Roman" w:cs="Times New Roman"/>
          <w:i/>
          <w:iCs/>
        </w:rPr>
        <w:t>The Exploiters</w:t>
      </w:r>
      <w:r w:rsidRPr="00F223BC">
        <w:rPr>
          <w:rFonts w:ascii="Times New Roman" w:hAnsi="Times New Roman" w:cs="Times New Roman"/>
        </w:rPr>
        <w:t xml:space="preserve"> – of </w:t>
      </w:r>
      <w:r w:rsidRPr="00F223BC">
        <w:rPr>
          <w:rFonts w:ascii="Times New Roman" w:hAnsi="Times New Roman" w:cs="Times New Roman"/>
          <w:i/>
          <w:iCs/>
        </w:rPr>
        <w:t>Dr. Kildare</w:t>
      </w:r>
      <w:r w:rsidRPr="00F223BC">
        <w:rPr>
          <w:rFonts w:ascii="Times New Roman" w:hAnsi="Times New Roman" w:cs="Times New Roman"/>
        </w:rPr>
        <w:t xml:space="preserve">, a popular TV program in the 1960s, depicted the funeral director as a resentful, indecent predator who used tricks to profit from a helpless widow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&lt;EndNote&gt;&lt;Cite&gt;&lt;Author&gt;Levinson&lt;/Author&gt;&lt;Year&gt;1963&lt;/Year&gt;&lt;RecNum&gt;1964&lt;/RecNum&gt;&lt;DisplayText&gt;(Levinson &amp;amp; Link, 1963)&lt;/DisplayText&gt;&lt;record&gt;&lt;rec-number&gt;1964&lt;/rec-number&gt;&lt;foreign-keys&gt;&lt;key app="EN" db-id="2pe9e00ros0veneeptspa5vhz0pw2az52v20" timestamp="1694193753" guid="558f0b75-c74c-452d-ae7d-e28c99a22609"&gt;1964&lt;/key&gt;&lt;/foreign-keys&gt;&lt;ref-type name="Television Episode"&gt;67&lt;/ref-type&gt;&lt;contributors&gt;&lt;authors&gt;&lt;author&gt;Richard Levinson&lt;/author&gt;&lt;author&gt;William Link &lt;/author&gt;&lt;/authors&gt;&lt;secondary-authors&gt;&lt;author&gt;Leonard J. Horn&lt;/author&gt;&lt;/secondary-authors&gt;&lt;/contributors&gt;&lt;titles&gt;&lt;title&gt;Dr. Kildare&lt;/title&gt;&lt;secondary-title&gt;The Exploiters [TV series]&lt;/secondary-title&gt;&lt;/titles&gt;&lt;number&gt;S3.E6&lt;/number&gt;&lt;dates&gt;&lt;year&gt;1963&lt;/year&gt;&lt;pub-dates&gt;&lt;date&gt;Oct. 31&lt;/date&gt;&lt;/pub-dates&gt;&lt;/dates&gt;&lt;pub-location&gt;Arena Productions; MGM Television&lt;/pub-location&gt;&lt;publisher&gt;National Broadcasting Company (NBC); Arena Productions; MGM Television&lt;/publisher&gt;&lt;urls&gt;&lt;/urls&gt;&lt;/record&gt;&lt;/Cite&gt;&lt;/EndNote&gt;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(Levinson &amp; Link, 1963)</w:t>
      </w:r>
      <w:r w:rsidRPr="00F223BC">
        <w:rPr>
          <w:rFonts w:ascii="Times New Roman" w:hAnsi="Times New Roman" w:cs="Times New Roman"/>
        </w:rPr>
        <w:fldChar w:fldCharType="end"/>
      </w:r>
      <w:r w:rsidRPr="00F223BC">
        <w:rPr>
          <w:rFonts w:ascii="Times New Roman" w:hAnsi="Times New Roman" w:cs="Times New Roman"/>
        </w:rPr>
        <w:t xml:space="preserve">. </w:t>
      </w:r>
    </w:p>
    <w:p w14:paraId="2202E9DE" w14:textId="77777777" w:rsidR="00256B3D" w:rsidRPr="00F223BC" w:rsidRDefault="00256B3D" w:rsidP="00256B3D">
      <w:pPr>
        <w:spacing w:line="480" w:lineRule="auto"/>
        <w:ind w:firstLine="720"/>
        <w:rPr>
          <w:rFonts w:ascii="Times New Roman" w:hAnsi="Times New Roman" w:cs="Times New Roman"/>
        </w:rPr>
      </w:pPr>
      <w:r w:rsidRPr="00F223BC">
        <w:rPr>
          <w:rFonts w:ascii="Times New Roman" w:hAnsi="Times New Roman" w:cs="Times New Roman"/>
          <w:b/>
          <w:bCs/>
        </w:rPr>
        <w:lastRenderedPageBreak/>
        <w:t>Stereotype: A satirical, laughable, and buffoon-like trader</w:t>
      </w:r>
      <w:r w:rsidRPr="00F223BC">
        <w:rPr>
          <w:rFonts w:ascii="Times New Roman" w:hAnsi="Times New Roman" w:cs="Times New Roman"/>
        </w:rPr>
        <w:t xml:space="preserve">. In Western cultures, funeral directors were depicted in broad strokes as objects of ridicule, subjects for satire, and generally as one-dimensional characters who were predictable and despicable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&lt;EndNote&gt;&lt;Cite&gt;&lt;Author&gt;Mitford&lt;/Author&gt;&lt;Year&gt;1963&lt;/Year&gt;&lt;RecNum&gt;1517&lt;/RecNum&gt;&lt;DisplayText&gt;(Mitford, 1963)&lt;/DisplayText&gt;&lt;record&gt;&lt;rec-number&gt;1517&lt;/rec-number&gt;&lt;foreign-keys&gt;&lt;key app="EN" db-id="2pe9e00ros0veneeptspa5vhz0pw2az52v20" timestamp="1643842567" guid="df8cdcdc-35c8-44b6-b3a5-4d566a265055"&gt;1517&lt;/key&gt;&lt;/foreign-keys&gt;&lt;ref-type name="Book"&gt;6&lt;/ref-type&gt;&lt;contributors&gt;&lt;authors&gt;&lt;author&gt;Mitford, Jessica&lt;/author&gt;&lt;/authors&gt;&lt;/contributors&gt;&lt;titles&gt;&lt;title&gt;The American way of death&lt;/title&gt;&lt;/titles&gt;&lt;volume&gt;735&lt;/volume&gt;&lt;dates&gt;&lt;year&gt;1963&lt;/year&gt;&lt;/dates&gt;&lt;publisher&gt;Simon and Schuster New York&lt;/publisher&gt;&lt;isbn&gt;0449239853&lt;/isbn&gt;&lt;urls&gt;&lt;/urls&gt;&lt;/record&gt;&lt;/Cite&gt;&lt;/EndNote&gt;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(Mitford, 1963)</w:t>
      </w:r>
      <w:r w:rsidRPr="00F223BC">
        <w:rPr>
          <w:rFonts w:ascii="Times New Roman" w:hAnsi="Times New Roman" w:cs="Times New Roman"/>
        </w:rPr>
        <w:fldChar w:fldCharType="end"/>
      </w:r>
      <w:r w:rsidRPr="00F223BC">
        <w:rPr>
          <w:rFonts w:ascii="Times New Roman" w:hAnsi="Times New Roman" w:cs="Times New Roman"/>
        </w:rPr>
        <w:t xml:space="preserve">. Mark Twain, a famous novelist, narrated his encounter with </w:t>
      </w:r>
      <w:proofErr w:type="gramStart"/>
      <w:r w:rsidRPr="00F223BC">
        <w:rPr>
          <w:rFonts w:ascii="Times New Roman" w:hAnsi="Times New Roman" w:cs="Times New Roman"/>
        </w:rPr>
        <w:t>an</w:t>
      </w:r>
      <w:proofErr w:type="gramEnd"/>
      <w:r w:rsidRPr="00F223BC">
        <w:rPr>
          <w:rFonts w:ascii="Times New Roman" w:hAnsi="Times New Roman" w:cs="Times New Roman"/>
        </w:rPr>
        <w:t xml:space="preserve"> </w:t>
      </w:r>
      <w:r>
        <w:rPr>
          <w:rFonts w:ascii="Times New Roman" w:hAnsi="Times New Roman" w:cs="Times New Roman"/>
        </w:rPr>
        <w:t>funeral director</w:t>
      </w:r>
      <w:r w:rsidRPr="00F223BC">
        <w:rPr>
          <w:rFonts w:ascii="Times New Roman" w:hAnsi="Times New Roman" w:cs="Times New Roman"/>
        </w:rPr>
        <w:t xml:space="preserve">. In </w:t>
      </w:r>
      <w:r w:rsidRPr="00F223BC">
        <w:rPr>
          <w:rFonts w:ascii="Times New Roman" w:hAnsi="Times New Roman" w:cs="Times New Roman"/>
          <w:i/>
          <w:iCs/>
        </w:rPr>
        <w:t>Life on the Mississippi</w:t>
      </w:r>
      <w:r w:rsidRPr="00F223BC">
        <w:rPr>
          <w:rFonts w:ascii="Times New Roman" w:hAnsi="Times New Roman" w:cs="Times New Roman"/>
        </w:rPr>
        <w:t xml:space="preserve">,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 AuthorYear="1"&gt;&lt;Author&gt;Twain&lt;/Author&gt;&lt;Year&gt;1985&lt;/Year&gt;&lt;RecNum&gt;1965&lt;/RecNum&gt;&lt;DisplayText&gt;Twain (1985)&lt;/DisplayText&gt;&lt;record&gt;&lt;rec-number&gt;1965&lt;/rec-number&gt;&lt;foreign-keys&gt;&lt;key app="EN" db-id="2pe9e00ros0veneeptspa5vhz0pw2az52v20" timestamp="1694206955" guid="6578711e-c6a0-4b08-8aed-d06b11684f51"&gt;1965&lt;/key&gt;&lt;/foreign-keys&gt;&lt;ref-type name="Book"&gt;6&lt;/ref-type&gt;&lt;contributors&gt;&lt;authors&gt;&lt;author&gt;Twain, Mark&lt;/author&gt;&lt;/authors&gt;&lt;/contributors&gt;&lt;titles&gt;&lt;title&gt;Life on the Mississippi&lt;/title&gt;&lt;/titles&gt;&lt;dates&gt;&lt;year&gt;1985&lt;/year&gt;&lt;/dates&gt;&lt;publisher&gt;Penguin&lt;/publisher&gt;&lt;isbn&gt;0140390502&lt;/isbn&gt;&lt;urls&gt;&lt;/urls&gt;&lt;/record&gt;&lt;/Cite&gt;&lt;/EndNote&gt;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Twain (1985)</w:t>
      </w:r>
      <w:r w:rsidRPr="00F223BC">
        <w:rPr>
          <w:rFonts w:ascii="Times New Roman" w:hAnsi="Times New Roman" w:cs="Times New Roman"/>
        </w:rPr>
        <w:fldChar w:fldCharType="end"/>
      </w:r>
      <w:r w:rsidRPr="00F223BC">
        <w:rPr>
          <w:rFonts w:ascii="Times New Roman" w:hAnsi="Times New Roman" w:cs="Times New Roman"/>
        </w:rPr>
        <w:t xml:space="preserve"> described a hilarious encounter with an old acquaintance </w:t>
      </w:r>
      <w:r>
        <w:rPr>
          <w:rFonts w:ascii="Times New Roman" w:hAnsi="Times New Roman" w:cs="Times New Roman"/>
        </w:rPr>
        <w:t>funeral director</w:t>
      </w:r>
      <w:r w:rsidRPr="00F223BC">
        <w:rPr>
          <w:rFonts w:ascii="Times New Roman" w:hAnsi="Times New Roman" w:cs="Times New Roman"/>
        </w:rPr>
        <w:t xml:space="preserve">, which influenced the public’s perception of </w:t>
      </w:r>
      <w:r>
        <w:rPr>
          <w:rFonts w:ascii="Times New Roman" w:hAnsi="Times New Roman" w:cs="Times New Roman"/>
        </w:rPr>
        <w:t>funeral director</w:t>
      </w:r>
      <w:r w:rsidRPr="00F223BC">
        <w:rPr>
          <w:rFonts w:ascii="Times New Roman" w:hAnsi="Times New Roman" w:cs="Times New Roman"/>
        </w:rPr>
        <w:t xml:space="preserve">s in the 20th century. Another compelling novel was </w:t>
      </w:r>
      <w:r w:rsidRPr="00F223BC">
        <w:rPr>
          <w:rFonts w:ascii="Times New Roman" w:hAnsi="Times New Roman" w:cs="Times New Roman"/>
          <w:i/>
          <w:iCs/>
        </w:rPr>
        <w:t>Look Homeward, Angel: A Story of the Burial Life</w:t>
      </w:r>
      <w:r w:rsidRPr="00F223BC">
        <w:rPr>
          <w:rFonts w:ascii="Times New Roman" w:hAnsi="Times New Roman" w:cs="Times New Roman"/>
        </w:rPr>
        <w:t xml:space="preserve">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&lt;EndNote&gt;&lt;Cite&gt;&lt;Author&gt;Wolfe&lt;/Author&gt;&lt;Year&gt;1929&lt;/Year&gt;&lt;RecNum&gt;1967&lt;/RecNum&gt;&lt;DisplayText&gt;(Wolfe, 1929)&lt;/DisplayText&gt;&lt;record&gt;&lt;rec-number&gt;1967&lt;/rec-number&gt;&lt;foreign-keys&gt;&lt;key app="EN" db-id="2pe9e00ros0veneeptspa5vhz0pw2az52v20" timestamp="1694207375" guid="f06fa808-4240-4b6e-8fbc-dcde14870f51"&gt;1967&lt;/key&gt;&lt;/foreign-keys&gt;&lt;ref-type name="Book"&gt;6&lt;/ref-type&gt;&lt;contributors&gt;&lt;authors&gt;&lt;author&gt;Wolfe, Thomas&lt;/author&gt;&lt;/authors&gt;&lt;/contributors&gt;&lt;titles&gt;&lt;title&gt;Look homeward, angel a story of the buried life&lt;/title&gt;&lt;/titles&gt;&lt;dates&gt;&lt;year&gt;1929&lt;/year&gt;&lt;/dates&gt;&lt;pub-location&gt;New York&lt;/pub-location&gt;&lt;publisher&gt;New York, The Modern Library&lt;/publisher&gt;&lt;urls&gt;&lt;/urls&gt;&lt;/record&gt;&lt;/Cite&gt;&lt;/EndNote&gt;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(Wolfe, 1929)</w:t>
      </w:r>
      <w:r w:rsidRPr="00F223BC">
        <w:rPr>
          <w:rFonts w:ascii="Times New Roman" w:hAnsi="Times New Roman" w:cs="Times New Roman"/>
        </w:rPr>
        <w:fldChar w:fldCharType="end"/>
      </w:r>
      <w:r w:rsidRPr="00F223BC">
        <w:rPr>
          <w:rFonts w:ascii="Times New Roman" w:hAnsi="Times New Roman" w:cs="Times New Roman"/>
        </w:rPr>
        <w:t xml:space="preserve">. The novel included a famous death scene where the </w:t>
      </w:r>
      <w:r>
        <w:rPr>
          <w:rFonts w:ascii="Times New Roman" w:hAnsi="Times New Roman" w:cs="Times New Roman"/>
        </w:rPr>
        <w:t>funeral director</w:t>
      </w:r>
      <w:r w:rsidRPr="00F223BC">
        <w:rPr>
          <w:rFonts w:ascii="Times New Roman" w:hAnsi="Times New Roman" w:cs="Times New Roman"/>
        </w:rPr>
        <w:t xml:space="preserve"> (a salesman extraordinaire) entered to promote laughs and outrage.</w:t>
      </w:r>
    </w:p>
    <w:p w14:paraId="64D2A6B7" w14:textId="77777777" w:rsidR="00256B3D" w:rsidRPr="00F223BC" w:rsidRDefault="00256B3D" w:rsidP="00256B3D">
      <w:pPr>
        <w:spacing w:line="480" w:lineRule="auto"/>
        <w:ind w:firstLine="720"/>
        <w:rPr>
          <w:rFonts w:ascii="Times New Roman" w:hAnsi="Times New Roman" w:cs="Times New Roman"/>
        </w:rPr>
      </w:pPr>
      <w:r w:rsidRPr="00F223BC">
        <w:rPr>
          <w:rFonts w:ascii="Times New Roman" w:hAnsi="Times New Roman" w:cs="Times New Roman"/>
          <w:b/>
          <w:bCs/>
        </w:rPr>
        <w:t>Adoption of psychologized rhetoric in the management of grief</w:t>
      </w:r>
      <w:r w:rsidRPr="00F223BC">
        <w:rPr>
          <w:rFonts w:ascii="Times New Roman" w:hAnsi="Times New Roman" w:cs="Times New Roman"/>
        </w:rPr>
        <w:t xml:space="preserve">. During the first half of the twentieth century, the value of modernity steered a good death moment as a time of certitude, self-control, and objective rationality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&lt;EndNote&gt;&lt;Cite&gt;&lt;Author&gt;Stearns&lt;/Author&gt;&lt;Year&gt;1994&lt;/Year&gt;&lt;RecNum&gt;1968&lt;/RecNum&gt;&lt;DisplayText&gt;(Stearns, 1994)&lt;/DisplayText&gt;&lt;record&gt;&lt;rec-number&gt;1968&lt;/rec-number&gt;&lt;foreign-keys&gt;&lt;key app="EN" db-id="2pe9e00ros0veneeptspa5vhz0pw2az52v20" timestamp="1694210595" guid="543458ce-4c47-4097-8541-4901a227a483"&gt;1968&lt;/key&gt;&lt;/foreign-keys&gt;&lt;ref-type name="Book"&gt;6&lt;/ref-type&gt;&lt;contributors&gt;&lt;authors&gt;&lt;author&gt;Stearns, Peter N&lt;/author&gt;&lt;/authors&gt;&lt;/contributors&gt;&lt;titles&gt;&lt;title&gt;American cool: Constructing a twentieth-century emotional style&lt;/title&gt;&lt;/titles&gt;&lt;dates&gt;&lt;year&gt;1994&lt;/year&gt;&lt;/dates&gt;&lt;publisher&gt;NYU Press&lt;/publisher&gt;&lt;isbn&gt;0814739830&lt;/isbn&gt;&lt;urls&gt;&lt;/urls&gt;&lt;/record&gt;&lt;/Cite&gt;&lt;/EndNote&gt;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(Stearns, 1994)</w:t>
      </w:r>
      <w:r w:rsidRPr="00F223BC">
        <w:rPr>
          <w:rFonts w:ascii="Times New Roman" w:hAnsi="Times New Roman" w:cs="Times New Roman"/>
        </w:rPr>
        <w:fldChar w:fldCharType="end"/>
      </w:r>
      <w:r w:rsidRPr="00F223BC">
        <w:rPr>
          <w:rFonts w:ascii="Times New Roman" w:hAnsi="Times New Roman" w:cs="Times New Roman"/>
        </w:rPr>
        <w:t xml:space="preserve">, manifested in silence on death-related topics, dispassion on death, and Sigmund Freud’s pathological grief. Following these modern values, funeral directors drew from psychology and theology, and they consolidated the psychological theory of death (including </w:t>
      </w:r>
      <w:r w:rsidRPr="00F223BC">
        <w:rPr>
          <w:rFonts w:ascii="Times New Roman" w:hAnsi="Times New Roman" w:cs="Times New Roman"/>
          <w:i/>
          <w:iCs/>
        </w:rPr>
        <w:t>grief therapy</w:t>
      </w:r>
      <w:r w:rsidRPr="00F223BC">
        <w:rPr>
          <w:rFonts w:ascii="Times New Roman" w:hAnsi="Times New Roman" w:cs="Times New Roman"/>
        </w:rPr>
        <w:t xml:space="preserve"> and </w:t>
      </w:r>
      <w:r w:rsidRPr="00F223BC">
        <w:rPr>
          <w:rFonts w:ascii="Times New Roman" w:hAnsi="Times New Roman" w:cs="Times New Roman"/>
          <w:i/>
          <w:iCs/>
        </w:rPr>
        <w:t>restorative art</w:t>
      </w:r>
      <w:r w:rsidRPr="00F223BC">
        <w:rPr>
          <w:rFonts w:ascii="Times New Roman" w:hAnsi="Times New Roman" w:cs="Times New Roman"/>
        </w:rPr>
        <w:t xml:space="preserve">) into the value of funeral services in the 1930s-50s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&lt;EndNote&gt;&lt;Cite&gt;&lt;Author&gt;Laderman&lt;/Author&gt;&lt;Year&gt;2003&lt;/Year&gt;&lt;RecNum&gt;1515&lt;/RecNum&gt;&lt;DisplayText&gt;(Laderman, 2003)&lt;/DisplayText&gt;&lt;record&gt;&lt;rec-number&gt;1515&lt;/rec-number&gt;&lt;foreign-keys&gt;&lt;key app="EN" db-id="2pe9e00ros0veneeptspa5vhz0pw2az52v20" timestamp="1643834392" guid="58d33cc6-f04e-42ae-bc63-91997b779f9c"&gt;1515&lt;/key&gt;&lt;/foreign-keys&gt;&lt;ref-type name="Book"&gt;6&lt;/ref-type&gt;&lt;contributors&gt;&lt;authors&gt;&lt;author&gt;Laderman, Gary&lt;/author&gt;&lt;/authors&gt;&lt;/contributors&gt;&lt;titles&gt;&lt;title&gt;Rest in peace: A cultural history of death and the funeral home in twentieth-century America&lt;/title&gt;&lt;/titles&gt;&lt;dates&gt;&lt;year&gt;2003&lt;/year&gt;&lt;/dates&gt;&lt;publisher&gt;Oxford University Press&lt;/publisher&gt;&lt;isbn&gt;019518355X&lt;/isbn&gt;&lt;urls&gt;&lt;/urls&gt;&lt;/record&gt;&lt;/Cite&gt;&lt;/EndNote&gt;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(Laderman, 2003)</w:t>
      </w:r>
      <w:r w:rsidRPr="00F223BC">
        <w:rPr>
          <w:rFonts w:ascii="Times New Roman" w:hAnsi="Times New Roman" w:cs="Times New Roman"/>
        </w:rPr>
        <w:fldChar w:fldCharType="end"/>
      </w:r>
      <w:r w:rsidRPr="00F223BC">
        <w:rPr>
          <w:rFonts w:ascii="Times New Roman" w:hAnsi="Times New Roman" w:cs="Times New Roman"/>
        </w:rPr>
        <w:t>, which transformed cultural meanings associated with the experience of death and the confrontation with physical remains (explanations see below). The new, emerging expertise of</w:t>
      </w:r>
      <w:r w:rsidRPr="00F223BC">
        <w:rPr>
          <w:rFonts w:ascii="Times New Roman" w:hAnsi="Times New Roman" w:cs="Times New Roman"/>
          <w:i/>
          <w:iCs/>
        </w:rPr>
        <w:t xml:space="preserve"> </w:t>
      </w:r>
      <w:r w:rsidRPr="00F223BC">
        <w:rPr>
          <w:rFonts w:ascii="Times New Roman" w:hAnsi="Times New Roman" w:cs="Times New Roman"/>
        </w:rPr>
        <w:t xml:space="preserve">grief therapy and restorative art also indirectly attenuated the two stereotypes of funeral directors- a greedy, malevolent, crafty business devil and a satirical, laughable, and buffoon-like trader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&lt;EndNote&gt;&lt;Cite&gt;&lt;Author&gt;Mitford&lt;/Author&gt;&lt;Year&gt;1963&lt;/Year&gt;&lt;RecNum&gt;1517&lt;/RecNum&gt;&lt;Prefix&gt;e.g.`, &lt;/Prefix&gt;&lt;DisplayText&gt;(e.g., Mitford, 1963)&lt;/DisplayText&gt;&lt;record&gt;&lt;rec-number&gt;1517&lt;/rec-number&gt;&lt;foreign-keys&gt;&lt;key app="EN" db-id="2pe9e00ros0veneeptspa5vhz0pw2az52v20" timestamp="1643842567" guid="df8cdcdc-35c8-44b6-b3a5-4d566a265055"&gt;1517&lt;/key&gt;&lt;/foreign-keys&gt;&lt;ref-type name="Book"&gt;6&lt;/ref-type&gt;&lt;contributors&gt;&lt;authors&gt;&lt;author&gt;Mitford, Jessica&lt;/author&gt;&lt;/authors&gt;&lt;/contributors&gt;&lt;titles&gt;&lt;title&gt;The American way of death&lt;/title&gt;&lt;/titles&gt;&lt;volume&gt;735&lt;/volume&gt;&lt;dates&gt;&lt;year&gt;1963&lt;/year&gt;&lt;/dates&gt;&lt;publisher&gt;Simon and Schuster New York&lt;/publisher&gt;&lt;isbn&gt;0449239853&lt;/isbn&gt;&lt;urls&gt;&lt;/urls&gt;&lt;/record&gt;&lt;/Cite&gt;&lt;/EndNote&gt;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(e.g., Mitford, 1963)</w:t>
      </w:r>
      <w:r w:rsidRPr="00F223BC">
        <w:rPr>
          <w:rFonts w:ascii="Times New Roman" w:hAnsi="Times New Roman" w:cs="Times New Roman"/>
        </w:rPr>
        <w:fldChar w:fldCharType="end"/>
      </w:r>
      <w:r w:rsidRPr="00F223BC">
        <w:rPr>
          <w:rFonts w:ascii="Times New Roman" w:hAnsi="Times New Roman" w:cs="Times New Roman"/>
        </w:rPr>
        <w:t xml:space="preserve">.  </w:t>
      </w:r>
    </w:p>
    <w:p w14:paraId="005295BF" w14:textId="77777777" w:rsidR="00256B3D" w:rsidRPr="00F223BC" w:rsidRDefault="00256B3D" w:rsidP="00256B3D">
      <w:pPr>
        <w:spacing w:line="480" w:lineRule="auto"/>
        <w:ind w:firstLine="720"/>
        <w:rPr>
          <w:rFonts w:ascii="Times New Roman" w:hAnsi="Times New Roman" w:cs="Times New Roman"/>
        </w:rPr>
      </w:pPr>
      <w:r w:rsidRPr="00F223BC">
        <w:rPr>
          <w:rFonts w:ascii="Times New Roman" w:hAnsi="Times New Roman" w:cs="Times New Roman"/>
        </w:rPr>
        <w:t xml:space="preserve">Grief therapy is a communicative intervention to mitigate the effect of loss and promote successful adaptation </w:t>
      </w:r>
      <w:r w:rsidRPr="00F223BC">
        <w:rPr>
          <w:rFonts w:ascii="Times New Roman" w:hAnsi="Times New Roman" w:cs="Times New Roman"/>
        </w:rPr>
        <w:fldChar w:fldCharType="begin">
          <w:fldData xml:space="preserve">PEVuZE5vdGU+PENpdGU+PEF1dGhvcj5OZWltZXllcjwvQXV0aG9yPjxZZWFyPjIwMDk8L1llYXI+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PEVuZE5vdGU+PENpdGU+PEF1dGhvcj5OZWltZXllcjwvQXV0aG9yPjxZZWFyPjIwMDk8L1llYXI+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F223BC">
        <w:rPr>
          <w:rFonts w:ascii="Times New Roman" w:hAnsi="Times New Roman" w:cs="Times New Roman"/>
        </w:rPr>
      </w:r>
      <w:r w:rsidRPr="00F223BC">
        <w:rPr>
          <w:rFonts w:ascii="Times New Roman" w:hAnsi="Times New Roman" w:cs="Times New Roman"/>
        </w:rPr>
        <w:fldChar w:fldCharType="separate"/>
      </w:r>
      <w:r w:rsidRPr="00F223BC">
        <w:rPr>
          <w:rFonts w:ascii="Times New Roman" w:hAnsi="Times New Roman" w:cs="Times New Roman"/>
          <w:noProof/>
        </w:rPr>
        <w:t>(e.g., Currier et al., 2008; Neimeyer &amp; Currier, 2009)</w:t>
      </w:r>
      <w:r w:rsidRPr="00F223BC">
        <w:rPr>
          <w:rFonts w:ascii="Times New Roman" w:hAnsi="Times New Roman" w:cs="Times New Roman"/>
        </w:rPr>
        <w:fldChar w:fldCharType="end"/>
      </w:r>
      <w:r w:rsidRPr="00F223BC">
        <w:rPr>
          <w:rFonts w:ascii="Times New Roman" w:hAnsi="Times New Roman" w:cs="Times New Roman"/>
        </w:rPr>
        <w:t xml:space="preserve">. Grief therapy is crucial because many people meet substantial and sustained bereavement-related difficulties in </w:t>
      </w:r>
      <w:r w:rsidRPr="00F223BC">
        <w:rPr>
          <w:rFonts w:ascii="Times New Roman" w:hAnsi="Times New Roman" w:cs="Times New Roman"/>
        </w:rPr>
        <w:lastRenderedPageBreak/>
        <w:t xml:space="preserve">response to loss </w:t>
      </w:r>
      <w:r w:rsidRPr="00F223BC">
        <w:rPr>
          <w:rFonts w:ascii="Times New Roman" w:hAnsi="Times New Roman" w:cs="Times New Roman"/>
        </w:rPr>
        <w:fldChar w:fldCharType="begin">
          <w:fldData xml:space="preserve">PEVuZE5vdGU+PENpdGU+PEF1dGhvcj5Cb25hbm5vPC9BdXRob3I+PFllYXI+MjAwNDwvWWVhcj48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PEVuZE5vdGU+PENpdGU+PEF1dGhvcj5Cb25hbm5vPC9BdXRob3I+PFllYXI+MjAwNDwvWWVhcj48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F223BC">
        <w:rPr>
          <w:rFonts w:ascii="Times New Roman" w:hAnsi="Times New Roman" w:cs="Times New Roman"/>
        </w:rPr>
      </w:r>
      <w:r w:rsidRPr="00F223BC">
        <w:rPr>
          <w:rFonts w:ascii="Times New Roman" w:hAnsi="Times New Roman" w:cs="Times New Roman"/>
        </w:rPr>
        <w:fldChar w:fldCharType="separate"/>
      </w:r>
      <w:r w:rsidRPr="00F223BC">
        <w:rPr>
          <w:rFonts w:ascii="Times New Roman" w:hAnsi="Times New Roman" w:cs="Times New Roman"/>
          <w:noProof/>
        </w:rPr>
        <w:t>(Bonanno et al., 2001; Bonanno et al., 2002; Bonanno et al., 2004)</w:t>
      </w:r>
      <w:r w:rsidRPr="00F223BC">
        <w:rPr>
          <w:rFonts w:ascii="Times New Roman" w:hAnsi="Times New Roman" w:cs="Times New Roman"/>
        </w:rPr>
        <w:fldChar w:fldCharType="end"/>
      </w:r>
      <w:r w:rsidRPr="00F223BC">
        <w:rPr>
          <w:rFonts w:ascii="Times New Roman" w:hAnsi="Times New Roman" w:cs="Times New Roman"/>
        </w:rPr>
        <w:t xml:space="preserve">. Grief is “the process of psychological, social, and somatic reactions to the perception of loss”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&lt;EndNote&gt;&lt;Cite&gt;&lt;Author&gt;Rando&lt;/Author&gt;&lt;Year&gt;1984&lt;/Year&gt;&lt;RecNum&gt;1193&lt;/RecNum&gt;&lt;Pages&gt;15&lt;/Pages&gt;&lt;DisplayText&gt;(Rando, 1984, p. 15)&lt;/DisplayText&gt;&lt;record&gt;&lt;rec-number&gt;1193&lt;/rec-number&gt;&lt;foreign-keys&gt;&lt;key app="EN" db-id="2pe9e00ros0veneeptspa5vhz0pw2az52v20" timestamp="1609970616" guid="af491eb1-31eb-4160-a1dc-f6c14937816b"&gt;1193&lt;/key&gt;&lt;/foreign-keys&gt;&lt;ref-type name="Book"&gt;6&lt;/ref-type&gt;&lt;contributors&gt;&lt;authors&gt;&lt;author&gt;Rando, Therese A.&lt;/author&gt;&lt;/authors&gt;&lt;/contributors&gt;&lt;titles&gt;&lt;title&gt;Grief, dying, and death : clinical interventions for caregivers&lt;/title&gt;&lt;/titles&gt;&lt;dates&gt;&lt;year&gt;1984&lt;/year&gt;&lt;/dates&gt;&lt;pub-location&gt;Champaign, Ill.&lt;/pub-location&gt;&lt;publisher&gt;Research Press Co.&lt;/publisher&gt;&lt;isbn&gt;0878222324 9780878222322&lt;/isbn&gt;&lt;urls&gt;&lt;/urls&gt;&lt;remote-database-name&gt;/z-wcorg/&lt;/remote-database-name&gt;&lt;remote-database-provider&gt;http://worldcat.org&lt;/remote-database-provider&gt;&lt;language&gt;English&lt;/language&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(Rando, 1984, p. 15)</w:t>
      </w:r>
      <w:r w:rsidRPr="00F223BC">
        <w:rPr>
          <w:rFonts w:ascii="Times New Roman" w:hAnsi="Times New Roman" w:cs="Times New Roman"/>
        </w:rPr>
        <w:fldChar w:fldCharType="end"/>
      </w:r>
      <w:r w:rsidRPr="00F223BC">
        <w:rPr>
          <w:rFonts w:ascii="Times New Roman" w:hAnsi="Times New Roman" w:cs="Times New Roman"/>
        </w:rPr>
        <w:t xml:space="preserve">. The grief process has three functions: emancipation from the bondage of the deceased, readjustment to the environment in which the deceased is missing, and formation of new relationships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&lt;EndNote&gt;&lt;Cite&gt;&lt;Author&gt;Parkes&lt;/Author&gt;&lt;Year&gt;1983&lt;/Year&gt;&lt;RecNum&gt;1975&lt;/RecNum&gt;&lt;DisplayText&gt;(Lindemann, 1944; Parkes &amp;amp; Weiss, 1983)&lt;/DisplayText&gt;&lt;record&gt;&lt;rec-number&gt;1975&lt;/rec-number&gt;&lt;foreign-keys&gt;&lt;key app="EN" db-id="2pe9e00ros0veneeptspa5vhz0pw2az52v20" timestamp="1694280716" guid="97d4ed65-ac42-4e3a-8978-6af84f43b2c9"&gt;1975&lt;/key&gt;&lt;/foreign-keys&gt;&lt;ref-type name="Book"&gt;6&lt;/ref-type&gt;&lt;contributors&gt;&lt;authors&gt;&lt;author&gt;Parkes, Colin Murray&lt;/author&gt;&lt;author&gt;Weiss, Robert Stuart&lt;/author&gt;&lt;/authors&gt;&lt;/contributors&gt;&lt;titles&gt;&lt;title&gt;Recovery from bereavement&lt;/title&gt;&lt;/titles&gt;&lt;dates&gt;&lt;year&gt;1983&lt;/year&gt;&lt;/dates&gt;&lt;pub-location&gt;New York&lt;/pub-location&gt;&lt;publisher&gt;Basic Books &lt;/publisher&gt;&lt;isbn&gt;0465068685; 9780465068685&lt;/isbn&gt;&lt;urls&gt;&lt;/urls&gt;&lt;language&gt;eng&lt;/language&gt;&lt;/record&gt;&lt;/Cite&gt;&lt;Cite&gt;&lt;Author&gt;Lindemann&lt;/Author&gt;&lt;Year&gt;1944&lt;/Year&gt;&lt;RecNum&gt;1979&lt;/RecNum&gt;&lt;record&gt;&lt;rec-number&gt;1979&lt;/rec-number&gt;&lt;foreign-keys&gt;&lt;key app="EN" db-id="2pe9e00ros0veneeptspa5vhz0pw2az52v20" timestamp="1694281423" guid="fb736a1b-e3ca-4aee-8c90-96bde5b16161"&gt;1979&lt;/key&gt;&lt;/foreign-keys&gt;&lt;ref-type name="Journal Article"&gt;17&lt;/ref-type&gt;&lt;contributors&gt;&lt;authors&gt;&lt;author&gt;Erich Lindemann&lt;/author&gt;&lt;/authors&gt;&lt;/contributors&gt;&lt;titles&gt;&lt;title&gt;Symptomatology and management of acute grief &lt;/title&gt;&lt;secondary-title&gt;American Journal of Psychiatry&lt;/secondary-title&gt;&lt;/titles&gt;&lt;periodical&gt;&lt;full-title&gt;American Journal of Psychiatry&lt;/full-title&gt;&lt;/periodical&gt;&lt;pages&gt;141-148&lt;/pages&gt;&lt;volume&gt;101&lt;/volume&gt;&lt;number&gt;2&lt;/number&gt;&lt;dates&gt;&lt;year&gt;1944&lt;/year&gt;&lt;/dates&gt;&lt;urls&gt;&lt;related-urls&gt;&lt;url&gt;https://ajp.psychiatryonline.org/doi/abs/10.1176/ajp.101.2.141&lt;/url&gt;&lt;/related-urls&gt;&lt;/urls&gt;&lt;electronic-resource-num&gt;10.1176/ajp.101.2.141&lt;/electronic-resource-num&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(Lindemann, 1944; Parkes &amp; Weiss, 1983)</w:t>
      </w:r>
      <w:r w:rsidRPr="00F223BC">
        <w:rPr>
          <w:rFonts w:ascii="Times New Roman" w:hAnsi="Times New Roman" w:cs="Times New Roman"/>
        </w:rPr>
        <w:fldChar w:fldCharType="end"/>
      </w:r>
      <w:r w:rsidRPr="00F223BC">
        <w:rPr>
          <w:rFonts w:ascii="Times New Roman" w:hAnsi="Times New Roman" w:cs="Times New Roman"/>
        </w:rPr>
        <w:t xml:space="preserve">. The current dominant model of explaining the grief process is the dual process model of coping with bereavement </w:t>
      </w:r>
      <w:r w:rsidRPr="00F223BC">
        <w:rPr>
          <w:rFonts w:ascii="Times New Roman" w:hAnsi="Times New Roman" w:cs="Times New Roman"/>
        </w:rPr>
        <w:fldChar w:fldCharType="begin"/>
      </w:r>
      <w:r>
        <w:rPr>
          <w:rFonts w:ascii="Times New Roman" w:hAnsi="Times New Roman" w:cs="Times New Roman"/>
        </w:rPr>
        <w:instrText xml:space="preserve"> ADDIN EN.CITE &lt;EndNote&gt;&lt;Cite&gt;&lt;Author&gt;Stroebe&lt;/Author&gt;&lt;Year&gt;2010&lt;/Year&gt;&lt;RecNum&gt;1980&lt;/RecNum&gt;&lt;DisplayText&gt;(Stroebe &amp;amp; Schut, 2010)&lt;/DisplayText&gt;&lt;record&gt;&lt;rec-number&gt;1980&lt;/rec-number&gt;&lt;foreign-keys&gt;&lt;key app="EN" db-id="2pe9e00ros0veneeptspa5vhz0pw2az52v20" timestamp="1694282303" guid="c01779f4-9769-42f2-9419-49737d94eebc"&gt;1980&lt;/key&gt;&lt;/foreign-keys&gt;&lt;ref-type name="Journal Article"&gt;17&lt;/ref-type&gt;&lt;contributors&gt;&lt;authors&gt;&lt;author&gt;Stroebe, Margaret&lt;/author&gt;&lt;author&gt;Schut, Henk&lt;/author&gt;&lt;/authors&gt;&lt;/contributors&gt;&lt;titles&gt;&lt;title&gt;The dual process model of coping with bereavement: A decade on&lt;/title&gt;&lt;secondary-title&gt;OMEGA - Journal of Death and Dying&lt;/secondary-title&gt;&lt;/titles&gt;&lt;periodical&gt;&lt;full-title&gt;OMEGA - Journal of Death and Dying&lt;/full-title&gt;&lt;/periodical&gt;&lt;pages&gt;273-289&lt;/pages&gt;&lt;volume&gt;61&lt;/volume&gt;&lt;number&gt;4&lt;/number&gt;&lt;dates&gt;&lt;year&gt;2010&lt;/year&gt;&lt;/dates&gt;&lt;accession-num&gt;21058610&lt;/accession-num&gt;&lt;urls&gt;&lt;related-urls&gt;&lt;url&gt;https://journals.sagepub.com/doi/abs/10.2190/OM.61.4.b&lt;/url&gt;&lt;/related-urls&gt;&lt;/urls&gt;&lt;electronic-resource-num&gt;10.2190/OM.61.4.b&lt;/electronic-resource-num&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(Stroebe &amp; Schut, 2010)</w:t>
      </w:r>
      <w:r w:rsidRPr="00F223BC">
        <w:rPr>
          <w:rFonts w:ascii="Times New Roman" w:hAnsi="Times New Roman" w:cs="Times New Roman"/>
        </w:rPr>
        <w:fldChar w:fldCharType="end"/>
      </w:r>
      <w:r w:rsidRPr="00F223BC">
        <w:rPr>
          <w:rFonts w:ascii="Times New Roman" w:hAnsi="Times New Roman" w:cs="Times New Roman"/>
        </w:rPr>
        <w:t xml:space="preserve">. In the beginning and mid-twentieth century, funeral directors were professionals interested in talking about grief and believed funeral rituals were against grief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&lt;EndNote&gt;&lt;Cite&gt;&lt;Author&gt;Stearns&lt;/Author&gt;&lt;Year&gt;1994&lt;/Year&gt;&lt;RecNum&gt;1968&lt;/RecNum&gt;&lt;DisplayText&gt;(Stearns, 1994)&lt;/DisplayText&gt;&lt;record&gt;&lt;rec-number&gt;1968&lt;/rec-number&gt;&lt;foreign-keys&gt;&lt;key app="EN" db-id="2pe9e00ros0veneeptspa5vhz0pw2az52v20" timestamp="1694210595" guid="543458ce-4c47-4097-8541-4901a227a483"&gt;1968&lt;/key&gt;&lt;/foreign-keys&gt;&lt;ref-type name="Book"&gt;6&lt;/ref-type&gt;&lt;contributors&gt;&lt;authors&gt;&lt;author&gt;Stearns, Peter N&lt;/author&gt;&lt;/authors&gt;&lt;/contributors&gt;&lt;titles&gt;&lt;title&gt;American cool: Constructing a twentieth-century emotional style&lt;/title&gt;&lt;/titles&gt;&lt;dates&gt;&lt;year&gt;1994&lt;/year&gt;&lt;/dates&gt;&lt;publisher&gt;NYU Press&lt;/publisher&gt;&lt;isbn&gt;0814739830&lt;/isbn&gt;&lt;urls&gt;&lt;/urls&gt;&lt;/record&gt;&lt;/Cite&gt;&lt;/EndNote&gt;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(Stearns, 1994)</w:t>
      </w:r>
      <w:r w:rsidRPr="00F223BC">
        <w:rPr>
          <w:rFonts w:ascii="Times New Roman" w:hAnsi="Times New Roman" w:cs="Times New Roman"/>
        </w:rPr>
        <w:fldChar w:fldCharType="end"/>
      </w:r>
      <w:r w:rsidRPr="00F223BC">
        <w:rPr>
          <w:rFonts w:ascii="Times New Roman" w:hAnsi="Times New Roman" w:cs="Times New Roman"/>
        </w:rPr>
        <w:t xml:space="preserve">. Over time, funeral directors, relying on psychological theories, justified the legitimacy of their knowledge about grief while interacting with their clients as a natural area of expertise: grief therapy. For example,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 AuthorYear="1"&gt;&lt;Author&gt;Lindemann&lt;/Author&gt;&lt;Year&gt;1944&lt;/Year&gt;&lt;RecNum&gt;1979&lt;/RecNum&gt;&lt;DisplayText&gt;Lindemann (1944)&lt;/DisplayText&gt;&lt;record&gt;&lt;rec-number&gt;1979&lt;/rec-number&gt;&lt;foreign-keys&gt;&lt;key app="EN" db-id="2pe9e00ros0veneeptspa5vhz0pw2az52v20" timestamp="1694281423" guid="fb736a1b-e3ca-4aee-8c90-96bde5b16161"&gt;1979&lt;/key&gt;&lt;/foreign-keys&gt;&lt;ref-type name="Journal Article"&gt;17&lt;/ref-type&gt;&lt;contributors&gt;&lt;authors&gt;&lt;author&gt;Erich Lindemann&lt;/author&gt;&lt;/authors&gt;&lt;/contributors&gt;&lt;titles&gt;&lt;title&gt;Symptomatology and management of acute grief &lt;/title&gt;&lt;secondary-title&gt;American Journal of Psychiatry&lt;/secondary-title&gt;&lt;/titles&gt;&lt;periodical&gt;&lt;full-title&gt;American Journal of Psychiatry&lt;/full-title&gt;&lt;/periodical&gt;&lt;pages&gt;141-148&lt;/pages&gt;&lt;volume&gt;101&lt;/volume&gt;&lt;number&gt;2&lt;/number&gt;&lt;dates&gt;&lt;year&gt;1944&lt;/year&gt;&lt;/dates&gt;&lt;urls&gt;&lt;related-urls&gt;&lt;url&gt;https://ajp.psychiatryonline.org/doi/abs/10.1176/ajp.101.2.141&lt;/url&gt;&lt;/related-urls&gt;&lt;/urls&gt;&lt;electronic-resource-num&gt;10.1176/ajp.101.2.141&lt;/electronic-resource-num&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Lindemann (1944)</w:t>
      </w:r>
      <w:r w:rsidRPr="00F223BC">
        <w:rPr>
          <w:rFonts w:ascii="Times New Roman" w:hAnsi="Times New Roman" w:cs="Times New Roman"/>
        </w:rPr>
        <w:fldChar w:fldCharType="end"/>
      </w:r>
      <w:r w:rsidRPr="00F223BC">
        <w:rPr>
          <w:rFonts w:ascii="Times New Roman" w:hAnsi="Times New Roman" w:cs="Times New Roman"/>
        </w:rPr>
        <w:t xml:space="preserve"> proposed a belief in the therapeutic symbolic value of a funeral ceremony. Funeral homes provide grief support, also known as aftercare, as one of their essential services </w:t>
      </w:r>
      <w:r w:rsidRPr="00F223BC">
        <w:rPr>
          <w:rFonts w:ascii="Times New Roman" w:hAnsi="Times New Roman" w:cs="Times New Roman"/>
        </w:rPr>
        <w:fldChar w:fldCharType="begin"/>
      </w:r>
      <w:r>
        <w:rPr>
          <w:rFonts w:ascii="Times New Roman" w:hAnsi="Times New Roman" w:cs="Times New Roman"/>
        </w:rPr>
        <w:instrText xml:space="preserve"> ADDIN EN.CITE &lt;EndNote&gt;&lt;Cite&gt;&lt;Author&gt;Lensing&lt;/Author&gt;&lt;Year&gt;2001&lt;/Year&gt;&lt;RecNum&gt;1989&lt;/RecNum&gt;&lt;DisplayText&gt;(Lensing, 2001)&lt;/DisplayText&gt;&lt;record&gt;&lt;rec-number&gt;1989&lt;/rec-number&gt;&lt;foreign-keys&gt;&lt;key app="EN" db-id="2pe9e00ros0veneeptspa5vhz0pw2az52v20" timestamp="1694747078" guid="faec0dff-bd45-4f67-abe9-21fa0e95026e"&gt;1989&lt;/key&gt;&lt;/foreign-keys&gt;&lt;ref-type name="Journal Article"&gt;17&lt;/ref-type&gt;&lt;contributors&gt;&lt;authors&gt;&lt;author&gt;Lensing, Vicki&lt;/author&gt;&lt;/authors&gt;&lt;/contributors&gt;&lt;titles&gt;&lt;title&gt;Grief support: The role of fuenral service &lt;/title&gt;&lt;secondary-title&gt;Journal of Loss &amp;amp; Trauma&lt;/secondary-title&gt;&lt;/titles&gt;&lt;periodical&gt;&lt;full-title&gt;Journal of Loss &amp;amp; Trauma&lt;/full-title&gt;&lt;/periodical&gt;&lt;pages&gt;45-63&lt;/pages&gt;&lt;volume&gt;6&lt;/volume&gt;&lt;number&gt;1&lt;/number&gt;&lt;keywords&gt;&lt;keyword&gt;BEREAVEMENT&lt;/keyword&gt;&lt;keyword&gt;LOSS (Psychology)&lt;/keyword&gt;&lt;keyword&gt;CONSOLATION&lt;/keyword&gt;&lt;keyword&gt;FUNERAL services&lt;/keyword&gt;&lt;keyword&gt;FUNERAL homes&lt;/keyword&gt;&lt;keyword&gt;FUNERAL industry&lt;/keyword&gt;&lt;/keywords&gt;&lt;dates&gt;&lt;year&gt;2001&lt;/year&gt;&lt;/dates&gt;&lt;publisher&gt;Routledge&lt;/publisher&gt;&lt;accession-num&gt;5498238&lt;/accession-num&gt;&lt;work-type&gt;Article&lt;/work-type&gt;&lt;urls&gt;&lt;related-urls&gt;&lt;url&gt;http://libraries.ou.edu/access.aspx?url=https://search.ebscohost.com/login.aspx?direct=true&amp;amp;db=aph&amp;amp;AN=5498238&amp;amp;site=ehost-live&lt;/url&gt;&lt;/related-urls&gt;&lt;/urls&gt;&lt;electronic-resource-num&gt;10.1080/108114401753197468&lt;/electronic-resource-num&gt;&lt;remote-database-name&gt;Academic Search Premier&lt;/remote-database-name&gt;&lt;remote-database-provider&gt;EBSCOhost&lt;/remote-database-provider&gt;&lt;/record&gt;&lt;/Cite&gt;&lt;/EndNote&gt;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(Lensing, 2001)</w:t>
      </w:r>
      <w:r w:rsidRPr="00F223BC">
        <w:rPr>
          <w:rFonts w:ascii="Times New Roman" w:hAnsi="Times New Roman" w:cs="Times New Roman"/>
        </w:rPr>
        <w:fldChar w:fldCharType="end"/>
      </w:r>
      <w:r w:rsidRPr="00F223BC">
        <w:rPr>
          <w:rFonts w:ascii="Times New Roman" w:hAnsi="Times New Roman" w:cs="Times New Roman"/>
        </w:rPr>
        <w:t xml:space="preserve">. </w:t>
      </w:r>
    </w:p>
    <w:p w14:paraId="7B477D00" w14:textId="77777777" w:rsidR="00256B3D" w:rsidRPr="00F223BC" w:rsidRDefault="00256B3D" w:rsidP="00256B3D">
      <w:pPr>
        <w:spacing w:line="480" w:lineRule="auto"/>
        <w:ind w:firstLine="720"/>
        <w:rPr>
          <w:rFonts w:ascii="Times New Roman" w:hAnsi="Times New Roman" w:cs="Times New Roman"/>
        </w:rPr>
      </w:pPr>
      <w:r w:rsidRPr="00F223BC">
        <w:rPr>
          <w:rFonts w:ascii="Times New Roman" w:hAnsi="Times New Roman" w:cs="Times New Roman"/>
        </w:rPr>
        <w:t xml:space="preserve">Restorative art refers to the cosmetic dimension of embalming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&lt;EndNote&gt;&lt;Cite&gt;&lt;Author&gt;Pine&lt;/Author&gt;&lt;Year&gt;1975&lt;/Year&gt;&lt;RecNum&gt;914&lt;/RecNum&gt;&lt;Prefix&gt;e.g.`, &lt;/Prefix&gt;&lt;DisplayText&gt;(e.g., Pine, 1975)&lt;/DisplayText&gt;&lt;record&gt;&lt;rec-number&gt;914&lt;/rec-number&gt;&lt;foreign-keys&gt;&lt;key app="EN" db-id="2pe9e00ros0veneeptspa5vhz0pw2az52v20" timestamp="1597873574" guid="d35f1ad1-59fa-4e57-8cdb-baf83cf261f2"&gt;914&lt;/key&gt;&lt;/foreign-keys&gt;&lt;ref-type name="Book"&gt;6&lt;/ref-type&gt;&lt;contributors&gt;&lt;authors&gt;&lt;author&gt;Pine, Vanderlyn R&lt;/author&gt;&lt;/authors&gt;&lt;/contributors&gt;&lt;titles&gt;&lt;title&gt;Caretaker of the dead: The American funeral director&lt;/title&gt;&lt;/titles&gt;&lt;dates&gt;&lt;year&gt;1975&lt;/year&gt;&lt;/dates&gt;&lt;publisher&gt;Halsted Press&lt;/publisher&gt;&lt;isbn&gt;0470689927&lt;/isbn&gt;&lt;urls&gt;&lt;/urls&gt;&lt;/record&gt;&lt;/Cite&gt;&lt;/EndNote&gt;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(e.g., Pine, 1975)</w:t>
      </w:r>
      <w:r w:rsidRPr="00F223BC">
        <w:rPr>
          <w:rFonts w:ascii="Times New Roman" w:hAnsi="Times New Roman" w:cs="Times New Roman"/>
        </w:rPr>
        <w:fldChar w:fldCharType="end"/>
      </w:r>
      <w:r w:rsidRPr="00F223BC">
        <w:rPr>
          <w:rFonts w:ascii="Times New Roman" w:hAnsi="Times New Roman" w:cs="Times New Roman"/>
        </w:rPr>
        <w:t xml:space="preserve">, and it concentrates on bringing the features of the deceased to a </w:t>
      </w:r>
      <w:r>
        <w:rPr>
          <w:rFonts w:ascii="Times New Roman" w:hAnsi="Times New Roman" w:cs="Times New Roman"/>
        </w:rPr>
        <w:t>“</w:t>
      </w:r>
      <w:r w:rsidRPr="00F223BC">
        <w:rPr>
          <w:rFonts w:ascii="Times New Roman" w:hAnsi="Times New Roman" w:cs="Times New Roman"/>
        </w:rPr>
        <w:t>life-like</w:t>
      </w:r>
      <w:r>
        <w:rPr>
          <w:rFonts w:ascii="Times New Roman" w:hAnsi="Times New Roman" w:cs="Times New Roman"/>
        </w:rPr>
        <w:t xml:space="preserve"> person”</w:t>
      </w:r>
      <w:r w:rsidRPr="00F223BC">
        <w:rPr>
          <w:rFonts w:ascii="Times New Roman" w:hAnsi="Times New Roman" w:cs="Times New Roman"/>
        </w:rPr>
        <w:t xml:space="preserve">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&lt;EndNote&gt;&lt;Cite&gt;&lt;Author&gt;Strub&lt;/Author&gt;&lt;Year&gt;1989&lt;/Year&gt;&lt;RecNum&gt;1981&lt;/RecNum&gt;&lt;Prefix&gt;e.g.`, &lt;/Prefix&gt;&lt;DisplayText&gt;(e.g., Strub &amp;amp; Frederick, 1989)&lt;/DisplayText&gt;&lt;record&gt;&lt;rec-number&gt;1981&lt;/rec-number&gt;&lt;foreign-keys&gt;&lt;key app="EN" db-id="2pe9e00ros0veneeptspa5vhz0pw2az52v20" timestamp="1694283653" guid="c3618bb8-952c-4b14-92ac-5cfd78bc7e93"&gt;1981&lt;/key&gt;&lt;/foreign-keys&gt;&lt;ref-type name="Book"&gt;6&lt;/ref-type&gt;&lt;contributors&gt;&lt;authors&gt;&lt;author&gt;Strub, Clarence G.&lt;/author&gt;&lt;author&gt;Frederick, L. G.&lt;/author&gt;&lt;/authors&gt;&lt;/contributors&gt;&lt;titles&gt;&lt;title&gt;The principles and practice of embalming&lt;/title&gt;&lt;/titles&gt;&lt;edition&gt;5th&lt;/edition&gt;&lt;dates&gt;&lt;year&gt;1989&lt;/year&gt;&lt;/dates&gt;&lt;pub-location&gt;Dallas, Tex.&lt;/pub-location&gt;&lt;publisher&gt;Professional Training Schools : Robertine Frederick Dallas, Tex.&lt;/publisher&gt;&lt;urls&gt;&lt;/urls&gt;&lt;language&gt;eng&lt;/language&gt;&lt;/record&gt;&lt;/Cite&gt;&lt;/EndNote&gt;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(e.g., Strub &amp; Frederick, 1989)</w:t>
      </w:r>
      <w:r w:rsidRPr="00F223BC">
        <w:rPr>
          <w:rFonts w:ascii="Times New Roman" w:hAnsi="Times New Roman" w:cs="Times New Roman"/>
        </w:rPr>
        <w:fldChar w:fldCharType="end"/>
      </w:r>
      <w:r w:rsidRPr="00F223BC">
        <w:rPr>
          <w:rFonts w:ascii="Times New Roman" w:hAnsi="Times New Roman" w:cs="Times New Roman"/>
        </w:rPr>
        <w:t xml:space="preserve">. Originally, embalming was a technique </w:t>
      </w:r>
      <w:r>
        <w:rPr>
          <w:rFonts w:ascii="Times New Roman" w:hAnsi="Times New Roman" w:cs="Times New Roman"/>
        </w:rPr>
        <w:t>for preserving</w:t>
      </w:r>
      <w:r w:rsidRPr="00F223BC">
        <w:rPr>
          <w:rFonts w:ascii="Times New Roman" w:hAnsi="Times New Roman" w:cs="Times New Roman"/>
        </w:rPr>
        <w:t xml:space="preserve"> the body, </w:t>
      </w:r>
      <w:r>
        <w:rPr>
          <w:rFonts w:ascii="Times New Roman" w:hAnsi="Times New Roman" w:cs="Times New Roman"/>
        </w:rPr>
        <w:t>usually with the goal of t</w:t>
      </w:r>
      <w:r w:rsidRPr="00F223BC">
        <w:rPr>
          <w:rFonts w:ascii="Times New Roman" w:hAnsi="Times New Roman" w:cs="Times New Roman"/>
        </w:rPr>
        <w:t xml:space="preserve">ransporting the dead back from wars. This cosmetic dimension of embalming constructed another psychological meaning on the physical remains, which “allowed survivors an opportunity to look death squarely in the face and recognized life’s finality without experiencing the destabilizing terror and dread”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&lt;EndNote&gt;&lt;Cite&gt;&lt;Author&gt;Laderman&lt;/Author&gt;&lt;Year&gt;2003&lt;/Year&gt;&lt;RecNum&gt;1515&lt;/RecNum&gt;&lt;Pages&gt;103&lt;/Pages&gt;&lt;DisplayText&gt;(Laderman, 2003, p. 103)&lt;/DisplayText&gt;&lt;record&gt;&lt;rec-number&gt;1515&lt;/rec-number&gt;&lt;foreign-keys&gt;&lt;key app="EN" db-id="2pe9e00ros0veneeptspa5vhz0pw2az52v20" timestamp="1643834392" guid="58d33cc6-f04e-42ae-bc63-91997b779f9c"&gt;1515&lt;/key&gt;&lt;/foreign-keys&gt;&lt;ref-type name="Book"&gt;6&lt;/ref-type&gt;&lt;contributors&gt;&lt;authors&gt;&lt;author&gt;Laderman, Gary&lt;/author&gt;&lt;/authors&gt;&lt;/contributors&gt;&lt;titles&gt;&lt;title&gt;Rest in peace: A cultural history of death and the funeral home in twentieth-century America&lt;/title&gt;&lt;/titles&gt;&lt;dates&gt;&lt;year&gt;2003&lt;/year&gt;&lt;/dates&gt;&lt;publisher&gt;Oxford University Press&lt;/publisher&gt;&lt;isbn&gt;019518355X&lt;/isbn&gt;&lt;urls&gt;&lt;/urls&gt;&lt;/record&gt;&lt;/Cite&gt;&lt;/EndNote&gt;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(Laderman, 2003, p. 103)</w:t>
      </w:r>
      <w:r w:rsidRPr="00F223BC">
        <w:rPr>
          <w:rFonts w:ascii="Times New Roman" w:hAnsi="Times New Roman" w:cs="Times New Roman"/>
        </w:rPr>
        <w:fldChar w:fldCharType="end"/>
      </w:r>
      <w:r w:rsidRPr="00F223BC">
        <w:rPr>
          <w:rFonts w:ascii="Times New Roman" w:hAnsi="Times New Roman" w:cs="Times New Roman"/>
        </w:rPr>
        <w:t>. For example, in the 1930s, embalming chemical companies promoted a connection between good embalming and successful psychological recuperation</w:t>
      </w:r>
      <w:r>
        <w:rPr>
          <w:rFonts w:ascii="Times New Roman" w:hAnsi="Times New Roman" w:cs="Times New Roman"/>
        </w:rPr>
        <w:t xml:space="preserve"> –</w:t>
      </w:r>
      <w:r w:rsidRPr="00F223BC">
        <w:rPr>
          <w:rFonts w:ascii="Times New Roman" w:hAnsi="Times New Roman" w:cs="Times New Roman"/>
        </w:rPr>
        <w:t xml:space="preserve"> a natural-looking corpse could ease the suffering of the grieving family as a healing balm for memory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&lt;EndNote&gt;&lt;Cite&gt;&lt;Author&gt;Martin&lt;/Author&gt;&lt;Year&gt;1970&lt;/Year&gt;&lt;RecNum&gt;1983&lt;/RecNum&gt;&lt;DisplayText&gt;(Martin, 1970)&lt;/DisplayText&gt;&lt;record&gt;&lt;rec-number&gt;1983&lt;/rec-number&gt;&lt;foreign-keys&gt;&lt;key app="EN" db-id="2pe9e00ros0veneeptspa5vhz0pw2az52v20" timestamp="1694284986" guid="f6e6ae03-c32a-4a55-8497-433bae69a850"&gt;1983&lt;/key&gt;&lt;/foreign-keys&gt;&lt;ref-type name="Book"&gt;6&lt;/ref-type&gt;&lt;contributors&gt;&lt;authors&gt;&lt;author&gt;Martin, Edward Alexander&lt;/author&gt;&lt;/authors&gt;&lt;/contributors&gt;&lt;titles&gt;&lt;title&gt;Psychology of funeral service&lt;/title&gt;&lt;/titles&gt;&lt;edition&gt;5th&lt;/edition&gt;&lt;dates&gt;&lt;year&gt;1970&lt;/year&gt;&lt;/dates&gt;&lt;pub-location&gt;Grand Junction, Colo.&lt;/pub-location&gt;&lt;publisher&gt;Sentinel Print. Co.&lt;/publisher&gt;&lt;urls&gt;&lt;/urls&gt;&lt;language&gt;eng&lt;/language&gt;&lt;/record&gt;&lt;/Cite&gt;&lt;/EndNote&gt;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(Martin, 1970)</w:t>
      </w:r>
      <w:r w:rsidRPr="00F223BC">
        <w:rPr>
          <w:rFonts w:ascii="Times New Roman" w:hAnsi="Times New Roman" w:cs="Times New Roman"/>
        </w:rPr>
        <w:fldChar w:fldCharType="end"/>
      </w:r>
      <w:r w:rsidRPr="00F223BC">
        <w:rPr>
          <w:rFonts w:ascii="Times New Roman" w:hAnsi="Times New Roman" w:cs="Times New Roman"/>
        </w:rPr>
        <w:t xml:space="preserve">. Later in the mid-20th century, </w:t>
      </w:r>
      <w:r w:rsidRPr="00F223BC">
        <w:rPr>
          <w:rFonts w:ascii="Times New Roman" w:hAnsi="Times New Roman" w:cs="Times New Roman"/>
        </w:rPr>
        <w:lastRenderedPageBreak/>
        <w:t xml:space="preserve">many began to believe that the embalming skills of the funeral director, especially the artistic (or cosmetic) touches, could minister to the bereaved, leave a good memory of the dead, and rescue them from a lifetime of psychic damage. </w:t>
      </w:r>
    </w:p>
    <w:p w14:paraId="0093672F" w14:textId="77777777" w:rsidR="00256B3D" w:rsidRPr="00F223BC" w:rsidRDefault="00256B3D" w:rsidP="00256B3D">
      <w:pPr>
        <w:spacing w:line="480" w:lineRule="auto"/>
        <w:ind w:firstLine="720"/>
        <w:rPr>
          <w:rFonts w:ascii="Times New Roman" w:hAnsi="Times New Roman" w:cs="Times New Roman"/>
        </w:rPr>
      </w:pPr>
      <w:r w:rsidRPr="00F223BC">
        <w:rPr>
          <w:rFonts w:ascii="Times New Roman" w:hAnsi="Times New Roman" w:cs="Times New Roman"/>
        </w:rPr>
        <w:t xml:space="preserve">Grief therapy and restorative art transformed cultural meanings associated with religious sentiments about the dead in the 1950s. In short, the societal culture believed that successful grieving and funeral practices comprised a mixture of psychological therapeutic values and religious sacred characters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&lt;EndNote&gt;&lt;Cite&gt;&lt;Author&gt;Laderman&lt;/Author&gt;&lt;Year&gt;2003&lt;/Year&gt;&lt;RecNum&gt;1515&lt;/RecNum&gt;&lt;DisplayText&gt;(Laderman, 2003)&lt;/DisplayText&gt;&lt;record&gt;&lt;rec-number&gt;1515&lt;/rec-number&gt;&lt;foreign-keys&gt;&lt;key app="EN" db-id="2pe9e00ros0veneeptspa5vhz0pw2az52v20" timestamp="1643834392" guid="58d33cc6-f04e-42ae-bc63-91997b779f9c"&gt;1515&lt;/key&gt;&lt;/foreign-keys&gt;&lt;ref-type name="Book"&gt;6&lt;/ref-type&gt;&lt;contributors&gt;&lt;authors&gt;&lt;author&gt;Laderman, Gary&lt;/author&gt;&lt;/authors&gt;&lt;/contributors&gt;&lt;titles&gt;&lt;title&gt;Rest in peace: A cultural history of death and the funeral home in twentieth-century America&lt;/title&gt;&lt;/titles&gt;&lt;dates&gt;&lt;year&gt;2003&lt;/year&gt;&lt;/dates&gt;&lt;publisher&gt;Oxford University Press&lt;/publisher&gt;&lt;isbn&gt;019518355X&lt;/isbn&gt;&lt;urls&gt;&lt;/urls&gt;&lt;/record&gt;&lt;/Cite&gt;&lt;/EndNote&gt;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(Laderman, 2003)</w:t>
      </w:r>
      <w:r w:rsidRPr="00F223BC">
        <w:rPr>
          <w:rFonts w:ascii="Times New Roman" w:hAnsi="Times New Roman" w:cs="Times New Roman"/>
        </w:rPr>
        <w:fldChar w:fldCharType="end"/>
      </w:r>
      <w:r w:rsidRPr="00F223BC">
        <w:rPr>
          <w:rFonts w:ascii="Times New Roman" w:hAnsi="Times New Roman" w:cs="Times New Roman"/>
        </w:rPr>
        <w:t xml:space="preserve">. For example,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 AuthorYear="1"&gt;&lt;Author&gt;Irion&lt;/Author&gt;&lt;Year&gt;1954&lt;/Year&gt;&lt;RecNum&gt;1984&lt;/RecNum&gt;&lt;DisplayText&gt;Irion (1954)&lt;/DisplayText&gt;&lt;record&gt;&lt;rec-number&gt;1984&lt;/rec-number&gt;&lt;foreign-keys&gt;&lt;key app="EN" db-id="2pe9e00ros0veneeptspa5vhz0pw2az52v20" timestamp="1694286838" guid="5fc49b16-73e7-4cab-8145-2390e8b7d10b"&gt;1984&lt;/key&gt;&lt;/foreign-keys&gt;&lt;ref-type name="Book"&gt;6&lt;/ref-type&gt;&lt;contributors&gt;&lt;authors&gt;&lt;author&gt;Irion, Paul E.&lt;/author&gt;&lt;/authors&gt;&lt;/contributors&gt;&lt;titles&gt;&lt;title&gt;The funeral and the mourners; pastoral care of the bereaved&lt;/title&gt;&lt;/titles&gt;&lt;dates&gt;&lt;year&gt;1954&lt;/year&gt;&lt;/dates&gt;&lt;pub-location&gt;Nashville&lt;/pub-location&gt;&lt;publisher&gt;Abingdon Press Nashville&lt;/publisher&gt;&lt;isbn&gt;0687138205; 9780687138203&lt;/isbn&gt;&lt;urls&gt;&lt;/urls&gt;&lt;language&gt;eng&lt;/language&gt;&lt;/record&gt;&lt;/Cite&gt;&lt;/EndNote&gt;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Irion (1954)</w:t>
      </w:r>
      <w:r w:rsidRPr="00F223BC">
        <w:rPr>
          <w:rFonts w:ascii="Times New Roman" w:hAnsi="Times New Roman" w:cs="Times New Roman"/>
        </w:rPr>
        <w:fldChar w:fldCharType="end"/>
      </w:r>
      <w:r w:rsidRPr="00F223BC">
        <w:rPr>
          <w:rFonts w:ascii="Times New Roman" w:hAnsi="Times New Roman" w:cs="Times New Roman"/>
        </w:rPr>
        <w:t xml:space="preserve"> defended funeral practices by relying on a mixture of Christian teaching and psychological theories about grief. Similarly,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 AuthorYear="1"&gt;&lt;Author&gt;Jackson&lt;/Author&gt;&lt;Year&gt;1957&lt;/Year&gt;&lt;RecNum&gt;1985&lt;/RecNum&gt;&lt;DisplayText&gt;Jackson (1957)&lt;/DisplayText&gt;&lt;record&gt;&lt;rec-number&gt;1985&lt;/rec-number&gt;&lt;foreign-keys&gt;&lt;key app="EN" db-id="2pe9e00ros0veneeptspa5vhz0pw2az52v20" timestamp="1694286974" guid="412d9d42-ebe4-4c7c-9cab-e3f6b1ac3d16"&gt;1985&lt;/key&gt;&lt;/foreign-keys&gt;&lt;ref-type name="Book"&gt;6&lt;/ref-type&gt;&lt;contributors&gt;&lt;authors&gt;&lt;author&gt;Jackson, Edgar N.&lt;/author&gt;&lt;/authors&gt;&lt;/contributors&gt;&lt;titles&gt;&lt;title&gt;Understanding grief : its roots, dynamics, and treatment&lt;/title&gt;&lt;/titles&gt;&lt;dates&gt;&lt;year&gt;1957&lt;/year&gt;&lt;/dates&gt;&lt;pub-location&gt;New York&lt;/pub-location&gt;&lt;publisher&gt;Abingdon Press New York&lt;/publisher&gt;&lt;isbn&gt;0687428548; 9780687428540&lt;/isbn&gt;&lt;urls&gt;&lt;/urls&gt;&lt;language&gt;eng&lt;/language&gt;&lt;/record&gt;&lt;/Cite&gt;&lt;/EndNote&gt;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Jackson (1957)</w:t>
      </w:r>
      <w:r w:rsidRPr="00F223BC">
        <w:rPr>
          <w:rFonts w:ascii="Times New Roman" w:hAnsi="Times New Roman" w:cs="Times New Roman"/>
        </w:rPr>
        <w:fldChar w:fldCharType="end"/>
      </w:r>
      <w:r w:rsidRPr="00F223BC">
        <w:rPr>
          <w:rFonts w:ascii="Times New Roman" w:hAnsi="Times New Roman" w:cs="Times New Roman"/>
        </w:rPr>
        <w:t xml:space="preserve"> explained the psychological and sacred values of funeral practices. </w:t>
      </w:r>
    </w:p>
    <w:p w14:paraId="31EA3371" w14:textId="77777777" w:rsidR="00256B3D" w:rsidRPr="00F223BC" w:rsidRDefault="00256B3D" w:rsidP="00256B3D">
      <w:pPr>
        <w:spacing w:line="480" w:lineRule="auto"/>
        <w:rPr>
          <w:rFonts w:ascii="Times New Roman" w:hAnsi="Times New Roman" w:cs="Times New Roman"/>
          <w:b/>
          <w:bCs/>
        </w:rPr>
      </w:pPr>
      <w:r w:rsidRPr="00F223BC">
        <w:rPr>
          <w:rFonts w:ascii="Times New Roman" w:hAnsi="Times New Roman" w:cs="Times New Roman"/>
          <w:b/>
          <w:bCs/>
        </w:rPr>
        <w:t>Transformation of the Funeral Industry</w:t>
      </w:r>
    </w:p>
    <w:p w14:paraId="00C446D4" w14:textId="77777777" w:rsidR="00256B3D" w:rsidRPr="00F223BC" w:rsidRDefault="00256B3D" w:rsidP="00256B3D">
      <w:pPr>
        <w:spacing w:line="480" w:lineRule="auto"/>
        <w:ind w:firstLine="720"/>
        <w:rPr>
          <w:rFonts w:ascii="Times New Roman" w:hAnsi="Times New Roman" w:cs="Times New Roman"/>
        </w:rPr>
      </w:pPr>
      <w:r w:rsidRPr="00F223BC">
        <w:rPr>
          <w:rFonts w:ascii="Times New Roman" w:hAnsi="Times New Roman" w:cs="Times New Roman"/>
        </w:rPr>
        <w:t xml:space="preserve">Mitford’s book </w:t>
      </w:r>
      <w:r w:rsidRPr="00F223BC">
        <w:rPr>
          <w:rFonts w:ascii="Times New Roman" w:hAnsi="Times New Roman" w:cs="Times New Roman"/>
          <w:i/>
          <w:iCs/>
        </w:rPr>
        <w:t xml:space="preserve">The American Way of Death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 ExcludeAuth="1"&gt;&lt;Author&gt;Mitford&lt;/Author&gt;&lt;Year&gt;1963&lt;/Year&gt;&lt;RecNum&gt;1517&lt;/RecNum&gt;&lt;DisplayText&gt;(1963)&lt;/DisplayText&gt;&lt;record&gt;&lt;rec-number&gt;1517&lt;/rec-number&gt;&lt;foreign-keys&gt;&lt;key app="EN" db-id="2pe9e00ros0veneeptspa5vhz0pw2az52v20" timestamp="1643842567" guid="df8cdcdc-35c8-44b6-b3a5-4d566a265055"&gt;1517&lt;/key&gt;&lt;/foreign-keys&gt;&lt;ref-type name="Book"&gt;6&lt;/ref-type&gt;&lt;contributors&gt;&lt;authors&gt;&lt;author&gt;Mitford, Jessica&lt;/author&gt;&lt;/authors&gt;&lt;/contributors&gt;&lt;titles&gt;&lt;title&gt;The American way of death&lt;/title&gt;&lt;/titles&gt;&lt;volume&gt;735&lt;/volume&gt;&lt;dates&gt;&lt;year&gt;1963&lt;/year&gt;&lt;/dates&gt;&lt;publisher&gt;Simon and Schuster New York&lt;/publisher&gt;&lt;isbn&gt;0449239853&lt;/isbn&gt;&lt;urls&gt;&lt;/urls&gt;&lt;/record&gt;&lt;/Cite&gt;&lt;/EndNote&gt;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(1963)</w:t>
      </w:r>
      <w:r w:rsidRPr="00F223BC">
        <w:rPr>
          <w:rFonts w:ascii="Times New Roman" w:hAnsi="Times New Roman" w:cs="Times New Roman"/>
        </w:rPr>
        <w:fldChar w:fldCharType="end"/>
      </w:r>
      <w:r w:rsidRPr="00F223BC">
        <w:rPr>
          <w:rFonts w:ascii="Times New Roman" w:hAnsi="Times New Roman" w:cs="Times New Roman"/>
        </w:rPr>
        <w:t>, which criticized the two stereotypes of funeral directors, represented a turning point in the history of American funerals. From the 1960s to the 1980s, the funeral industry was changing because of the death awareness movement, the Federal Trade Commission investigation, the AIDS epidemic, and the Immigration Act of 1965. This section explores how these factors drove a cultural shift in the funeral industry, which remains widespread today.</w:t>
      </w:r>
    </w:p>
    <w:p w14:paraId="04DDEAA7" w14:textId="77777777" w:rsidR="00256B3D" w:rsidRPr="00F223BC" w:rsidRDefault="00256B3D" w:rsidP="00256B3D">
      <w:pPr>
        <w:spacing w:line="480" w:lineRule="auto"/>
        <w:ind w:firstLine="720"/>
        <w:rPr>
          <w:rFonts w:ascii="Times New Roman" w:hAnsi="Times New Roman" w:cs="Times New Roman"/>
        </w:rPr>
      </w:pPr>
      <w:r w:rsidRPr="00F223BC">
        <w:rPr>
          <w:rFonts w:ascii="Times New Roman" w:hAnsi="Times New Roman" w:cs="Times New Roman"/>
          <w:b/>
          <w:bCs/>
        </w:rPr>
        <w:t>Death awareness movement</w:t>
      </w:r>
      <w:r w:rsidRPr="00F223BC">
        <w:rPr>
          <w:rFonts w:ascii="Times New Roman" w:hAnsi="Times New Roman" w:cs="Times New Roman"/>
        </w:rPr>
        <w:t xml:space="preserve">. The death awareness movement started with the book </w:t>
      </w:r>
      <w:r w:rsidRPr="00F223BC">
        <w:rPr>
          <w:rFonts w:ascii="Times New Roman" w:hAnsi="Times New Roman" w:cs="Times New Roman"/>
          <w:i/>
          <w:iCs/>
        </w:rPr>
        <w:t>The Meaning of Death</w:t>
      </w:r>
      <w:r w:rsidRPr="00F223BC">
        <w:rPr>
          <w:rFonts w:ascii="Times New Roman" w:hAnsi="Times New Roman" w:cs="Times New Roman"/>
        </w:rPr>
        <w:t xml:space="preserve">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&lt;EndNote&gt;&lt;Cite&gt;&lt;Author&gt;Feifel&lt;/Author&gt;&lt;Year&gt;1959&lt;/Year&gt;&lt;RecNum&gt;1992&lt;/RecNum&gt;&lt;DisplayText&gt;(Feifel, 1959)&lt;/DisplayText&gt;&lt;record&gt;&lt;rec-number&gt;1992&lt;/rec-number&gt;&lt;foreign-keys&gt;&lt;key app="EN" db-id="2pe9e00ros0veneeptspa5vhz0pw2az52v20" timestamp="1694789453" guid="7eaf8544-50e1-4506-a152-fca852cf6c43"&gt;1992&lt;/key&gt;&lt;/foreign-keys&gt;&lt;ref-type name="Book"&gt;6&lt;/ref-type&gt;&lt;contributors&gt;&lt;authors&gt;&lt;author&gt;Feifel, Herman&lt;/author&gt;&lt;/authors&gt;&lt;/contributors&gt;&lt;titles&gt;&lt;title&gt;The meaning of death&lt;/title&gt;&lt;/titles&gt;&lt;dates&gt;&lt;year&gt;1959&lt;/year&gt;&lt;/dates&gt;&lt;publisher&gt;Blakiston Division, McGraw-Hill&lt;/publisher&gt;&lt;urls&gt;&lt;/urls&gt;&lt;/record&gt;&lt;/Cite&gt;&lt;/EndNote&gt;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(Feifel, 1959)</w:t>
      </w:r>
      <w:r w:rsidRPr="00F223BC">
        <w:rPr>
          <w:rFonts w:ascii="Times New Roman" w:hAnsi="Times New Roman" w:cs="Times New Roman"/>
        </w:rPr>
        <w:fldChar w:fldCharType="end"/>
      </w:r>
      <w:r w:rsidRPr="00F223BC">
        <w:rPr>
          <w:rFonts w:ascii="Times New Roman" w:hAnsi="Times New Roman" w:cs="Times New Roman"/>
        </w:rPr>
        <w:t xml:space="preserve">, which proposed an agenda for the psychological and social understandings of death. In contrast to the denial of death thesis, which refers to human beings’ tendency to repress anything that could evoke a reminder of mortality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&lt;EndNote&gt;&lt;Cite&gt;&lt;Author&gt;Becker&lt;/Author&gt;&lt;Year&gt;1973&lt;/Year&gt;&lt;RecNum&gt;1736&lt;/RecNum&gt;&lt;DisplayText&gt;(Becker, 1973)&lt;/DisplayText&gt;&lt;record&gt;&lt;rec-number&gt;1736&lt;/rec-number&gt;&lt;foreign-keys&gt;&lt;key app="EN" db-id="2pe9e00ros0veneeptspa5vhz0pw2az52v20" timestamp="1655956400" guid="7cf98180-3dbf-4cb1-92ad-4964e0710c7e"&gt;1736&lt;/key&gt;&lt;/foreign-keys&gt;&lt;ref-type name="Book"&gt;6&lt;/ref-type&gt;&lt;contributors&gt;&lt;authors&gt;&lt;author&gt;Becker, Ernest&lt;/author&gt;&lt;/authors&gt;&lt;/contributors&gt;&lt;titles&gt;&lt;title&gt;The denial of death&lt;/title&gt;&lt;/titles&gt;&lt;dates&gt;&lt;year&gt;1973&lt;/year&gt;&lt;/dates&gt;&lt;publisher&gt;Free Press&lt;/publisher&gt;&lt;isbn&gt;0684832402&lt;/isbn&gt;&lt;urls&gt;&lt;/urls&gt;&lt;/record&gt;&lt;/Cite&gt;&lt;/EndNote&gt;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(Becker, 1973)</w:t>
      </w:r>
      <w:r w:rsidRPr="00F223BC">
        <w:rPr>
          <w:rFonts w:ascii="Times New Roman" w:hAnsi="Times New Roman" w:cs="Times New Roman"/>
        </w:rPr>
        <w:fldChar w:fldCharType="end"/>
      </w:r>
      <w:r w:rsidRPr="00F223BC">
        <w:rPr>
          <w:rFonts w:ascii="Times New Roman" w:hAnsi="Times New Roman" w:cs="Times New Roman"/>
        </w:rPr>
        <w:t xml:space="preserve">, the death awareness movement holds two central ideas – death as natural and death as loss </w:t>
      </w:r>
      <w:r w:rsidRPr="00F223BC">
        <w:rPr>
          <w:rFonts w:ascii="Times New Roman" w:hAnsi="Times New Roman" w:cs="Times New Roman"/>
        </w:rPr>
        <w:fldChar w:fldCharType="begin"/>
      </w:r>
      <w:r>
        <w:rPr>
          <w:rFonts w:ascii="Times New Roman" w:hAnsi="Times New Roman" w:cs="Times New Roman"/>
        </w:rPr>
        <w:instrText xml:space="preserve"> ADDIN EN.CITE &lt;EndNote&gt;&lt;Cite&gt;&lt;Author&gt;Bregman&lt;/Author&gt;&lt;Year&gt;2017&lt;/Year&gt;&lt;RecNum&gt;1993&lt;/RecNum&gt;&lt;DisplayText&gt;(Bregman, 2017)&lt;/DisplayText&gt;&lt;record&gt;&lt;rec-number&gt;1993&lt;/rec-number&gt;&lt;foreign-keys&gt;&lt;key app="EN" db-id="2pe9e00ros0veneeptspa5vhz0pw2az52v20" timestamp="1694789936" guid="2d71b0ce-8f0f-412f-b436-ce76ae2613ba"&gt;1993&lt;/key&gt;&lt;/foreign-keys&gt;&lt;ref-type name="Book Section"&gt;5&lt;/ref-type&gt;&lt;contributors&gt;&lt;authors&gt;&lt;author&gt;Lucy Bregman&lt;/author&gt;&lt;/authors&gt;&lt;secondary-authors&gt;&lt;author&gt;Christopher Moreman&lt;/author&gt;&lt;/secondary-authors&gt;&lt;/contributors&gt;&lt;titles&gt;&lt;title&gt;The Death Awareness Movement&lt;/title&gt;&lt;secondary-title&gt;The Routledge companion to death and dying&lt;/secondary-title&gt;&lt;/titles&gt;&lt;section&gt;The Death Awareness Movement&lt;/section&gt;&lt;dates&gt;&lt;year&gt;2017&lt;/year&gt;&lt;/dates&gt;&lt;publisher&gt;Routledge&lt;/publisher&gt;&lt;isbn&gt;9781315723747&lt;/isbn&gt;&lt;urls&gt;&lt;related-urls&gt;&lt;url&gt;https://www.routledgehandbooks.com/doi/10.4324/9781315723747.ch38&lt;/url&gt;&lt;/related-urls&gt;&lt;/urls&gt;&lt;electronic-resource-num&gt;10.4324/9781315723747.ch38&lt;/electronic-resource-num&gt;&lt;access-date&gt;2023/09/15&lt;/access-date&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(Bregman, 2017)</w:t>
      </w:r>
      <w:r w:rsidRPr="00F223BC">
        <w:rPr>
          <w:rFonts w:ascii="Times New Roman" w:hAnsi="Times New Roman" w:cs="Times New Roman"/>
        </w:rPr>
        <w:fldChar w:fldCharType="end"/>
      </w:r>
      <w:r w:rsidRPr="00F223BC">
        <w:rPr>
          <w:rFonts w:ascii="Times New Roman" w:hAnsi="Times New Roman" w:cs="Times New Roman"/>
        </w:rPr>
        <w:t xml:space="preserve"> – which encourages the voicing of biological, psychological, social, and religious facts of mortality. In the 1970s, three social phenomena documented the development of the death </w:t>
      </w:r>
      <w:r w:rsidRPr="00F223BC">
        <w:rPr>
          <w:rFonts w:ascii="Times New Roman" w:hAnsi="Times New Roman" w:cs="Times New Roman"/>
        </w:rPr>
        <w:lastRenderedPageBreak/>
        <w:t xml:space="preserve">awareness movement. One was that “thanatology” was a new and expanding field of inquiry in society, as seen by the popular book, </w:t>
      </w:r>
      <w:r w:rsidRPr="00F223BC">
        <w:rPr>
          <w:rFonts w:ascii="Times New Roman" w:hAnsi="Times New Roman" w:cs="Times New Roman"/>
          <w:i/>
          <w:iCs/>
        </w:rPr>
        <w:t>On Death and Dying</w:t>
      </w:r>
      <w:r w:rsidRPr="00F223BC">
        <w:rPr>
          <w:rFonts w:ascii="Times New Roman" w:hAnsi="Times New Roman" w:cs="Times New Roman"/>
        </w:rPr>
        <w:t xml:space="preserve">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&lt;EndNote&gt;&lt;Cite&gt;&lt;Author&gt;Kübler-Ross&lt;/Author&gt;&lt;Year&gt;1969&lt;/Year&gt;&lt;RecNum&gt;1996&lt;/RecNum&gt;&lt;DisplayText&gt;(Kübler-Ross, 1969)&lt;/DisplayText&gt;&lt;record&gt;&lt;rec-number&gt;1996&lt;/rec-number&gt;&lt;foreign-keys&gt;&lt;key app="EN" db-id="2pe9e00ros0veneeptspa5vhz0pw2az52v20" timestamp="1694821353" guid="e1581d59-ca5c-4418-980b-2333c021072f"&gt;1996&lt;/key&gt;&lt;/foreign-keys&gt;&lt;ref-type name="Book"&gt;6&lt;/ref-type&gt;&lt;contributors&gt;&lt;authors&gt;&lt;author&gt;Kübler-Ross, Elisabeth&lt;/author&gt;&lt;/authors&gt;&lt;/contributors&gt;&lt;titles&gt;&lt;title&gt;On death and dying&lt;/title&gt;&lt;/titles&gt;&lt;keywords&gt;&lt;keyword&gt;Death -- Psychological aspects&lt;/keyword&gt;&lt;/keywords&gt;&lt;dates&gt;&lt;year&gt;1969&lt;/year&gt;&lt;/dates&gt;&lt;pub-location&gt;New York&lt;/pub-location&gt;&lt;publisher&gt;New York Macmillan&lt;/publisher&gt;&lt;urls&gt;&lt;/urls&gt;&lt;/record&gt;&lt;/Cite&gt;&lt;/EndNote&gt;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(Kübler-Ross, 1969)</w:t>
      </w:r>
      <w:r w:rsidRPr="00F223BC">
        <w:rPr>
          <w:rFonts w:ascii="Times New Roman" w:hAnsi="Times New Roman" w:cs="Times New Roman"/>
        </w:rPr>
        <w:fldChar w:fldCharType="end"/>
      </w:r>
      <w:r w:rsidRPr="00F223BC">
        <w:rPr>
          <w:rFonts w:ascii="Times New Roman" w:hAnsi="Times New Roman" w:cs="Times New Roman"/>
        </w:rPr>
        <w:t xml:space="preserve">. Thanatology aims to construct a scientific comprehension of death, its rites, and its meanings </w:t>
      </w:r>
      <w:r w:rsidRPr="00F223BC">
        <w:rPr>
          <w:rFonts w:ascii="Times New Roman" w:hAnsi="Times New Roman" w:cs="Times New Roman"/>
        </w:rPr>
        <w:fldChar w:fldCharType="begin"/>
      </w:r>
      <w:r>
        <w:rPr>
          <w:rFonts w:ascii="Times New Roman" w:hAnsi="Times New Roman" w:cs="Times New Roman"/>
        </w:rPr>
        <w:instrText xml:space="preserve"> ADDIN EN.CITE &lt;EndNote&gt;&lt;Cite&gt;&lt;Author&gt;Fonseca&lt;/Author&gt;&lt;Year&gt;2012&lt;/Year&gt;&lt;RecNum&gt;1997&lt;/RecNum&gt;&lt;DisplayText&gt;(Fonseca &amp;amp; Testoni, 2012)&lt;/DisplayText&gt;&lt;record&gt;&lt;rec-number&gt;1997&lt;/rec-number&gt;&lt;foreign-keys&gt;&lt;key app="EN" db-id="2pe9e00ros0veneeptspa5vhz0pw2az52v20" timestamp="1694821588" guid="d905798d-9184-43fa-8f0c-f33fe38e2fbc"&gt;1997&lt;/key&gt;&lt;/foreign-keys&gt;&lt;ref-type name="Journal Article"&gt;17&lt;/ref-type&gt;&lt;contributors&gt;&lt;authors&gt;&lt;author&gt;Fonseca, Luciana Mascarenhas&lt;/author&gt;&lt;author&gt;Testoni, Ines&lt;/author&gt;&lt;/authors&gt;&lt;/contributors&gt;&lt;titles&gt;&lt;title&gt;The emergence of thanatology and current practice in death education&lt;/title&gt;&lt;secondary-title&gt;OMEGA - Journal of Death and Dying&lt;/secondary-title&gt;&lt;/titles&gt;&lt;periodical&gt;&lt;full-title&gt;OMEGA - Journal of Death and Dying&lt;/full-title&gt;&lt;/periodical&gt;&lt;pages&gt;157-169&lt;/pages&gt;&lt;volume&gt;64&lt;/volume&gt;&lt;number&gt;2&lt;/number&gt;&lt;dates&gt;&lt;year&gt;2012&lt;/year&gt;&lt;/dates&gt;&lt;urls&gt;&lt;related-urls&gt;&lt;url&gt;https://journals.sagepub.com/doi/abs/10.2190/OM.64.2.d&lt;/url&gt;&lt;/related-urls&gt;&lt;/urls&gt;&lt;electronic-resource-num&gt;10.2190/OM.64.2.d&lt;/electronic-resource-num&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(Fonseca &amp; Testoni, 2012)</w:t>
      </w:r>
      <w:r w:rsidRPr="00F223BC">
        <w:rPr>
          <w:rFonts w:ascii="Times New Roman" w:hAnsi="Times New Roman" w:cs="Times New Roman"/>
        </w:rPr>
        <w:fldChar w:fldCharType="end"/>
      </w:r>
      <w:r w:rsidRPr="00F223BC">
        <w:rPr>
          <w:rFonts w:ascii="Times New Roman" w:hAnsi="Times New Roman" w:cs="Times New Roman"/>
        </w:rPr>
        <w:t xml:space="preserve">. In other words, thanatology was defined as “the study of life with death left in” </w:t>
      </w:r>
      <w:r w:rsidRPr="00F223BC">
        <w:rPr>
          <w:rFonts w:ascii="Times New Roman" w:hAnsi="Times New Roman" w:cs="Times New Roman"/>
        </w:rPr>
        <w:fldChar w:fldCharType="begin"/>
      </w:r>
      <w:r>
        <w:rPr>
          <w:rFonts w:ascii="Times New Roman" w:hAnsi="Times New Roman" w:cs="Times New Roman"/>
        </w:rPr>
        <w:instrText xml:space="preserve"> ADDIN EN.CITE &lt;EndNote&gt;&lt;Cite&gt;&lt;Author&gt;Kastenbaum&lt;/Author&gt;&lt;Year&gt;1993&lt;/Year&gt;&lt;RecNum&gt;1998&lt;/RecNum&gt;&lt;Pages&gt;75&lt;/Pages&gt;&lt;DisplayText&gt;(Kastenbaum, 1993, p. 75)&lt;/DisplayText&gt;&lt;record&gt;&lt;rec-number&gt;1998&lt;/rec-number&gt;&lt;foreign-keys&gt;&lt;key app="EN" db-id="2pe9e00ros0veneeptspa5vhz0pw2az52v20" timestamp="1694821928" guid="451f6a40-9784-4e17-a1d7-0b5ed9c1b24c"&gt;1998&lt;/key&gt;&lt;/foreign-keys&gt;&lt;ref-type name="Journal Article"&gt;17&lt;/ref-type&gt;&lt;contributors&gt;&lt;authors&gt;&lt;author&gt;Kastenbaum, Robert&lt;/author&gt;&lt;/authors&gt;&lt;/contributors&gt;&lt;titles&gt;&lt;title&gt;Reconstructing death in postmodern society&lt;/title&gt;&lt;secondary-title&gt;OMEGA - Journal of Death and Dying&lt;/secondary-title&gt;&lt;/titles&gt;&lt;periodical&gt;&lt;full-title&gt;OMEGA - Journal of Death and Dying&lt;/full-title&gt;&lt;/periodical&gt;&lt;pages&gt;75-89&lt;/pages&gt;&lt;volume&gt;27&lt;/volume&gt;&lt;number&gt;1&lt;/number&gt;&lt;dates&gt;&lt;year&gt;1993&lt;/year&gt;&lt;/dates&gt;&lt;urls&gt;&lt;related-urls&gt;&lt;url&gt;https://journals.sagepub.com/doi/abs/10.2190/P4XJ-EGNE-E157-G3QN&lt;/url&gt;&lt;/related-urls&gt;&lt;/urls&gt;&lt;electronic-resource-num&gt;10.2190/p4xj-egne-e157-g3qn&lt;/electronic-resource-num&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(Kastenbaum, 1993, p. 75)</w:t>
      </w:r>
      <w:r w:rsidRPr="00F223BC">
        <w:rPr>
          <w:rFonts w:ascii="Times New Roman" w:hAnsi="Times New Roman" w:cs="Times New Roman"/>
        </w:rPr>
        <w:fldChar w:fldCharType="end"/>
      </w:r>
      <w:r w:rsidRPr="00F223BC">
        <w:rPr>
          <w:rFonts w:ascii="Times New Roman" w:hAnsi="Times New Roman" w:cs="Times New Roman"/>
        </w:rPr>
        <w:t xml:space="preserve">. In popular culture, people were growing dissatisfied with the psychological theory of managing grief – the therapeutic symbolic value of funeral ceremonies and the cosmetic dimension of embalming. For example, Romero’s film </w:t>
      </w:r>
      <w:r w:rsidRPr="00F223BC">
        <w:rPr>
          <w:rFonts w:ascii="Times New Roman" w:hAnsi="Times New Roman" w:cs="Times New Roman"/>
          <w:i/>
          <w:iCs/>
        </w:rPr>
        <w:t>Night of the Living Dead</w:t>
      </w:r>
      <w:r w:rsidRPr="00F223BC">
        <w:rPr>
          <w:rFonts w:ascii="Times New Roman" w:hAnsi="Times New Roman" w:cs="Times New Roman"/>
        </w:rPr>
        <w:t xml:space="preserve"> was released with success in 1968, but some scenes related to death were ridiculed and controversial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&lt;EndNote&gt;&lt;Cite&gt;&lt;Author&gt;Heffernan&lt;/Author&gt;&lt;Year&gt;2002&lt;/Year&gt;&lt;RecNum&gt;2010&lt;/RecNum&gt;&lt;DisplayText&gt;(Heffernan, 2002)&lt;/DisplayText&gt;&lt;record&gt;&lt;rec-number&gt;2010&lt;/rec-number&gt;&lt;foreign-keys&gt;&lt;key app="EN" db-id="2pe9e00ros0veneeptspa5vhz0pw2az52v20" timestamp="1694981129" guid="588e2fc0-f8d8-439c-9111-5ecf9642df9a"&gt;2010&lt;/key&gt;&lt;/foreign-keys&gt;&lt;ref-type name="Journal Article"&gt;17&lt;/ref-type&gt;&lt;contributors&gt;&lt;authors&gt;&lt;author&gt;Heffernan, Kevin&lt;/author&gt;&lt;/authors&gt;&lt;/contributors&gt;&lt;titles&gt;&lt;title&gt;Inner-City Exhibition and the Genre Film: Distributing &amp;quot;Night of the Living Dead&amp;quot; (1968)&lt;/title&gt;&lt;secondary-title&gt;Cinema Journal&lt;/secondary-title&gt;&lt;/titles&gt;&lt;periodical&gt;&lt;full-title&gt;Cinema Journal&lt;/full-title&gt;&lt;/periodical&gt;&lt;pages&gt;59-77&lt;/pages&gt;&lt;volume&gt;41&lt;/volume&gt;&lt;number&gt;3&lt;/number&gt;&lt;dates&gt;&lt;year&gt;2002&lt;/year&gt;&lt;/dates&gt;&lt;publisher&gt;[University of Texas Press, Society for Cinema &amp;amp; Media Studies]&lt;/publisher&gt;&lt;isbn&gt;00097101, 15272087&lt;/isbn&gt;&lt;urls&gt;&lt;related-urls&gt;&lt;url&gt;http://www.jstor.org/stable/1225699&lt;/url&gt;&lt;/related-urls&gt;&lt;/urls&gt;&lt;custom1&gt;Full publication date: Spring, 2002&lt;/custom1&gt;&lt;remote-database-name&gt;JSTOR&lt;/remote-database-name&gt;&lt;access-date&gt;2023/09/17/&lt;/access-date&gt;&lt;/record&gt;&lt;/Cite&gt;&lt;/EndNote&gt;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(Heffernan, 2002)</w:t>
      </w:r>
      <w:r w:rsidRPr="00F223BC">
        <w:rPr>
          <w:rFonts w:ascii="Times New Roman" w:hAnsi="Times New Roman" w:cs="Times New Roman"/>
        </w:rPr>
        <w:fldChar w:fldCharType="end"/>
      </w:r>
      <w:r w:rsidRPr="00F223BC">
        <w:rPr>
          <w:rFonts w:ascii="Times New Roman" w:hAnsi="Times New Roman" w:cs="Times New Roman"/>
        </w:rPr>
        <w:t xml:space="preserve">, such as the killers’ eating the flesh of the dead and unburied dead coming back to life. Horror movies (e.g., </w:t>
      </w:r>
      <w:r w:rsidRPr="00F223BC">
        <w:rPr>
          <w:rFonts w:ascii="Times New Roman" w:hAnsi="Times New Roman" w:cs="Times New Roman"/>
          <w:i/>
          <w:iCs/>
        </w:rPr>
        <w:t xml:space="preserve">Prom Night </w:t>
      </w:r>
      <w:r w:rsidRPr="00F223BC">
        <w:rPr>
          <w:rFonts w:ascii="Times New Roman" w:hAnsi="Times New Roman" w:cs="Times New Roman"/>
        </w:rPr>
        <w:t xml:space="preserve">and </w:t>
      </w:r>
      <w:r w:rsidRPr="00F223BC">
        <w:rPr>
          <w:rFonts w:ascii="Times New Roman" w:hAnsi="Times New Roman" w:cs="Times New Roman"/>
          <w:i/>
          <w:iCs/>
        </w:rPr>
        <w:t>Halloween</w:t>
      </w:r>
      <w:r w:rsidRPr="00F223BC">
        <w:rPr>
          <w:rFonts w:ascii="Times New Roman" w:hAnsi="Times New Roman" w:cs="Times New Roman"/>
        </w:rPr>
        <w:t xml:space="preserve">) and romantic movies (e.g., </w:t>
      </w:r>
      <w:r w:rsidRPr="00F223BC">
        <w:rPr>
          <w:rFonts w:ascii="Times New Roman" w:hAnsi="Times New Roman" w:cs="Times New Roman"/>
          <w:i/>
          <w:iCs/>
        </w:rPr>
        <w:t>The Trouble with Harry</w:t>
      </w:r>
      <w:r w:rsidRPr="00F223BC">
        <w:rPr>
          <w:rFonts w:ascii="Times New Roman" w:hAnsi="Times New Roman" w:cs="Times New Roman"/>
        </w:rPr>
        <w:t xml:space="preserve">) in the 1970s illustrate cultural changes in American society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&lt;EndNote&gt;&lt;Cite&gt;&lt;Author&gt;Lev&lt;/Author&gt;&lt;Year&gt;2000&lt;/Year&gt;&lt;RecNum&gt;2011&lt;/RecNum&gt;&lt;DisplayText&gt;(Lev, 2000)&lt;/DisplayText&gt;&lt;record&gt;&lt;rec-number&gt;2011&lt;/rec-number&gt;&lt;foreign-keys&gt;&lt;key app="EN" db-id="2pe9e00ros0veneeptspa5vhz0pw2az52v20" timestamp="1694981627" guid="de73ff86-bc86-42a0-9587-9eaa76c51c29"&gt;2011&lt;/key&gt;&lt;/foreign-keys&gt;&lt;ref-type name="Book"&gt;6&lt;/ref-type&gt;&lt;contributors&gt;&lt;authors&gt;&lt;author&gt;Lev, Peter&lt;/author&gt;&lt;/authors&gt;&lt;/contributors&gt;&lt;titles&gt;&lt;title&gt;American films of the 70s: conflicting visions&lt;/title&gt;&lt;/titles&gt;&lt;dates&gt;&lt;year&gt;2000&lt;/year&gt;&lt;/dates&gt;&lt;publisher&gt;University of Texas Press&lt;/publisher&gt;&lt;isbn&gt;0292798377&lt;/isbn&gt;&lt;urls&gt;&lt;/urls&gt;&lt;/record&gt;&lt;/Cite&gt;&lt;/EndNote&gt;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(Lev, 2000)</w:t>
      </w:r>
      <w:r w:rsidRPr="00F223BC">
        <w:rPr>
          <w:rFonts w:ascii="Times New Roman" w:hAnsi="Times New Roman" w:cs="Times New Roman"/>
        </w:rPr>
        <w:fldChar w:fldCharType="end"/>
      </w:r>
      <w:r w:rsidRPr="00F223BC">
        <w:rPr>
          <w:rFonts w:ascii="Times New Roman" w:hAnsi="Times New Roman" w:cs="Times New Roman"/>
        </w:rPr>
        <w:t xml:space="preserve">, such as a lifeless body carrying forward the love of the two movie characters and a suicide to maintain human dignity and values. The third phenomenon was that the dead repatriation in the Vietnam War no longer produced the social solidarity, unanimity of meaning, and cultural consensus that was common during World War I. These changes signaled a cultural shift in how Americans imagined and made meaning of death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&lt;EndNote&gt;&lt;Cite&gt;&lt;Author&gt;Laderman&lt;/Author&gt;&lt;Year&gt;2003&lt;/Year&gt;&lt;RecNum&gt;1515&lt;/RecNum&gt;&lt;DisplayText&gt;(Laderman, 2003)&lt;/DisplayText&gt;&lt;record&gt;&lt;rec-number&gt;1515&lt;/rec-number&gt;&lt;foreign-keys&gt;&lt;key app="EN" db-id="2pe9e00ros0veneeptspa5vhz0pw2az52v20" timestamp="1643834392" guid="58d33cc6-f04e-42ae-bc63-91997b779f9c"&gt;1515&lt;/key&gt;&lt;/foreign-keys&gt;&lt;ref-type name="Book"&gt;6&lt;/ref-type&gt;&lt;contributors&gt;&lt;authors&gt;&lt;author&gt;Laderman, Gary&lt;/author&gt;&lt;/authors&gt;&lt;/contributors&gt;&lt;titles&gt;&lt;title&gt;Rest in peace: A cultural history of death and the funeral home in twentieth-century America&lt;/title&gt;&lt;/titles&gt;&lt;dates&gt;&lt;year&gt;2003&lt;/year&gt;&lt;/dates&gt;&lt;publisher&gt;Oxford University Press&lt;/publisher&gt;&lt;isbn&gt;019518355X&lt;/isbn&gt;&lt;urls&gt;&lt;/urls&gt;&lt;/record&gt;&lt;/Cite&gt;&lt;/EndNote&gt;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(Laderman, 2003)</w:t>
      </w:r>
      <w:r w:rsidRPr="00F223BC">
        <w:rPr>
          <w:rFonts w:ascii="Times New Roman" w:hAnsi="Times New Roman" w:cs="Times New Roman"/>
        </w:rPr>
        <w:fldChar w:fldCharType="end"/>
      </w:r>
      <w:r w:rsidRPr="00F223BC">
        <w:rPr>
          <w:rFonts w:ascii="Times New Roman" w:hAnsi="Times New Roman" w:cs="Times New Roman"/>
        </w:rPr>
        <w:t xml:space="preserve">. </w:t>
      </w:r>
    </w:p>
    <w:p w14:paraId="507FCA45" w14:textId="77777777" w:rsidR="00256B3D" w:rsidRPr="00F223BC" w:rsidRDefault="00256B3D" w:rsidP="00256B3D">
      <w:pPr>
        <w:spacing w:line="480" w:lineRule="auto"/>
        <w:ind w:firstLine="720"/>
        <w:rPr>
          <w:rFonts w:ascii="Times New Roman" w:hAnsi="Times New Roman" w:cs="Times New Roman"/>
        </w:rPr>
      </w:pPr>
      <w:r w:rsidRPr="00F223BC">
        <w:rPr>
          <w:rFonts w:ascii="Times New Roman" w:hAnsi="Times New Roman" w:cs="Times New Roman"/>
        </w:rPr>
        <w:t xml:space="preserve">The death awareness movement affected the funeral industry. Growing acceptance of thanatology brought legitimacy to a range of death professionals, such as grief counselors </w:t>
      </w:r>
      <w:r w:rsidRPr="00F223BC">
        <w:rPr>
          <w:rFonts w:ascii="Times New Roman" w:hAnsi="Times New Roman" w:cs="Times New Roman"/>
        </w:rPr>
        <w:fldChar w:fldCharType="begin"/>
      </w:r>
      <w:r>
        <w:rPr>
          <w:rFonts w:ascii="Times New Roman" w:hAnsi="Times New Roman" w:cs="Times New Roman"/>
        </w:rPr>
        <w:instrText xml:space="preserve"> ADDIN EN.CITE &lt;EndNote&gt;&lt;Cite&gt;&lt;Author&gt;Feifel&lt;/Author&gt;&lt;Year&gt;1974&lt;/Year&gt;&lt;RecNum&gt;2000&lt;/RecNum&gt;&lt;DisplayText&gt;(Feifel, 1974)&lt;/DisplayText&gt;&lt;record&gt;&lt;rec-number&gt;2000&lt;/rec-number&gt;&lt;foreign-keys&gt;&lt;key app="EN" db-id="2pe9e00ros0veneeptspa5vhz0pw2az52v20" timestamp="16</w:instrText>
      </w:r>
      <w:r>
        <w:rPr>
          <w:rFonts w:ascii="Times New Roman" w:hAnsi="Times New Roman" w:cs="Times New Roman" w:hint="eastAsia"/>
        </w:rPr>
        <w:instrText>94827776" guid="ae3aabf7-6fbc-484e-b112-c837065d85d8"&gt;2000&lt;/key&gt;&lt;/foreign-keys&gt;&lt;ref-type name="Journal Article"&gt;17&lt;/ref-type&gt;&lt;contributors&gt;&lt;authors&gt;&lt;author&gt;Feifel, Herman&lt;/author&gt;&lt;/authors&gt;&lt;/contributors&gt;&lt;titles&gt;&lt;title&gt;Psychology and the death</w:instrText>
      </w:r>
      <w:r>
        <w:rPr>
          <w:rFonts w:ascii="Times New Roman" w:hAnsi="Times New Roman" w:cs="Times New Roman" w:hint="eastAsia"/>
        </w:rPr>
        <w:instrText>‐</w:instrText>
      </w:r>
      <w:r>
        <w:rPr>
          <w:rFonts w:ascii="Times New Roman" w:hAnsi="Times New Roman" w:cs="Times New Roman" w:hint="eastAsia"/>
        </w:rPr>
        <w:instrText>awareness m</w:instrText>
      </w:r>
      <w:r>
        <w:rPr>
          <w:rFonts w:ascii="Times New Roman" w:hAnsi="Times New Roman" w:cs="Times New Roman"/>
        </w:rPr>
        <w:instrText>ovement&lt;/title&gt;&lt;secondary-title&gt;Journal of Clinical Child Psychology&lt;/secondary-title&gt;&lt;/titles&gt;&lt;periodical&gt;&lt;full-title&gt;Journal of Clinical Child Psychology&lt;/full-title&gt;&lt;/periodical&gt;&lt;pages&gt;6-7&lt;/pages&gt;&lt;volume&gt;3&lt;/volume&gt;&lt;number&gt;2&lt;/number&gt;&lt;dates&gt;&lt;year&gt;1974&lt;/year&gt;&lt;/dates&gt;&lt;publisher&gt;Routledge&lt;/publisher&gt;&lt;isbn&gt;0047-228X&lt;/isbn&gt;&lt;urls&gt;&lt;related-urls&gt;&lt;url&gt;https://doi.org/10.1080/15374417409532560&lt;/url&gt;&lt;/related-urls&gt;&lt;/urls&gt;&lt;electronic-resource-num&gt;10.1080/15374417409532560&lt;/electronic-resource-num&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(Feifel, 1974)</w:t>
      </w:r>
      <w:r w:rsidRPr="00F223BC">
        <w:rPr>
          <w:rFonts w:ascii="Times New Roman" w:hAnsi="Times New Roman" w:cs="Times New Roman"/>
        </w:rPr>
        <w:fldChar w:fldCharType="end"/>
      </w:r>
      <w:r w:rsidRPr="00F223BC">
        <w:rPr>
          <w:rFonts w:ascii="Times New Roman" w:hAnsi="Times New Roman" w:cs="Times New Roman"/>
        </w:rPr>
        <w:t xml:space="preserve">, death educators </w:t>
      </w:r>
      <w:r w:rsidRPr="00F223BC">
        <w:rPr>
          <w:rFonts w:ascii="Times New Roman" w:hAnsi="Times New Roman" w:cs="Times New Roman"/>
        </w:rPr>
        <w:fldChar w:fldCharType="begin"/>
      </w:r>
      <w:r>
        <w:rPr>
          <w:rFonts w:ascii="Times New Roman" w:hAnsi="Times New Roman" w:cs="Times New Roman"/>
        </w:rPr>
        <w:instrText xml:space="preserve"> ADDIN EN.CITE &lt;EndNote&gt;&lt;Cite&gt;&lt;Author&gt;Fonseca&lt;/Author&gt;&lt;Year&gt;2012&lt;/Year&gt;&lt;RecNum&gt;1997&lt;/RecNum&gt;&lt;DisplayText&gt;(Fonseca &amp;amp; Testoni, 2012)&lt;/DisplayText&gt;&lt;record&gt;&lt;rec-number&gt;1997&lt;/rec-number&gt;&lt;foreign-keys&gt;&lt;key app="EN" db-id="2pe9e00ros0veneeptspa5vhz0pw2az52v20" timestamp="1694821588" guid="d905798d-9184-43fa-8f0c-f33fe38e2fbc"&gt;1997&lt;/key&gt;&lt;/foreign-keys&gt;&lt;ref-type name="Journal Article"&gt;17&lt;/ref-type&gt;&lt;contributors&gt;&lt;authors&gt;&lt;author&gt;Fonseca, Luciana Mascarenhas&lt;/author&gt;&lt;author&gt;Testoni, Ines&lt;/author&gt;&lt;/authors&gt;&lt;/contributors&gt;&lt;titles&gt;&lt;title&gt;The emergence of thanatology and current practice in death education&lt;/title&gt;&lt;secondary-title&gt;OMEGA - Journal of Death and Dying&lt;/secondary-title&gt;&lt;/titles&gt;&lt;periodical&gt;&lt;full-title&gt;OMEGA - Journal of Death and Dying&lt;/full-title&gt;&lt;/periodical&gt;&lt;pages&gt;157-169&lt;/pages&gt;&lt;volume&gt;64&lt;/volume&gt;&lt;number&gt;2&lt;/number&gt;&lt;dates&gt;&lt;year&gt;2012&lt;/year&gt;&lt;/dates&gt;&lt;urls&gt;&lt;related-urls&gt;&lt;url&gt;https://journals.sagepub.com/doi/abs/10.2190/OM.64.2.d&lt;/url&gt;&lt;/related-urls&gt;&lt;/urls&gt;&lt;electronic-resource-num&gt;10.2190/OM.64.2.d&lt;/electronic-resource-num&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(Fonseca &amp; Testoni, 2012)</w:t>
      </w:r>
      <w:r w:rsidRPr="00F223BC">
        <w:rPr>
          <w:rFonts w:ascii="Times New Roman" w:hAnsi="Times New Roman" w:cs="Times New Roman"/>
        </w:rPr>
        <w:fldChar w:fldCharType="end"/>
      </w:r>
      <w:r w:rsidRPr="00F223BC">
        <w:rPr>
          <w:rFonts w:ascii="Times New Roman" w:hAnsi="Times New Roman" w:cs="Times New Roman"/>
        </w:rPr>
        <w:t xml:space="preserve">, and hospice workers in palliative care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&lt;EndNote&gt;&lt;Cite&gt;&lt;Author&gt;Saunders&lt;/Author&gt;&lt;Year&gt;2000&lt;/Year&gt;&lt;RecNum&gt;1999&lt;/RecNum&gt;&lt;DisplayText&gt;(Saunders, 2000)&lt;/DisplayText&gt;&lt;record&gt;&lt;rec-number&gt;1999&lt;/rec-number&gt;&lt;foreign-keys&gt;&lt;key app="EN" db-id="2pe9e00ros0veneeptspa5vhz0pw2az52v20" timestamp="1694827069" guid="79eee48f-2394-4d57-b0f3-8375007157e4"&gt;1999&lt;/key&gt;&lt;/foreign-keys&gt;&lt;ref-type name="Journal Article"&gt;17&lt;/ref-type&gt;&lt;contributors&gt;&lt;authors&gt;&lt;author&gt;Saunders, Cicely&lt;/author&gt;&lt;/authors&gt;&lt;/contributors&gt;&lt;titles&gt;&lt;title&gt;The evolution of palliative care&lt;/title&gt;&lt;secondary-title&gt;Patient Education and Counseling&lt;/secondary-title&gt;&lt;/titles&gt;&lt;periodical&gt;&lt;full-title&gt;Patient education and counseling&lt;/full-title&gt;&lt;/periodical&gt;&lt;pages&gt;7-13&lt;/pages&gt;&lt;volume&gt;41&lt;/volume&gt;&lt;number&gt;1&lt;/number&gt;&lt;keywords&gt;&lt;keyword&gt;Pain&lt;/keyword&gt;&lt;keyword&gt;Hospice&lt;/keyword&gt;&lt;keyword&gt;Palliative care&lt;/keyword&gt;&lt;/keywords&gt;&lt;dates&gt;&lt;year&gt;2000&lt;/year&gt;&lt;/dates&gt;&lt;isbn&gt;0738-3991&lt;/isbn&gt;&lt;urls&gt;&lt;related-urls&gt;&lt;url&gt;https://www.sciencedirect.com/science/article/pii/S0738399100001105&lt;/url&gt;&lt;/related-urls&gt;&lt;/urls&gt;&lt;electronic-resource-num&gt;10.1016/S0738-3991(00)00110-5&lt;/electronic-resource-num&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(Saunders, 2000)</w:t>
      </w:r>
      <w:r w:rsidRPr="00F223BC">
        <w:rPr>
          <w:rFonts w:ascii="Times New Roman" w:hAnsi="Times New Roman" w:cs="Times New Roman"/>
        </w:rPr>
        <w:fldChar w:fldCharType="end"/>
      </w:r>
      <w:r w:rsidRPr="00F223BC">
        <w:rPr>
          <w:rFonts w:ascii="Times New Roman" w:hAnsi="Times New Roman" w:cs="Times New Roman"/>
        </w:rPr>
        <w:t xml:space="preserve">. To some extent, these death professionals challenged the traditional authorities of funeral directors and medical doctors on grief, dying, and death. Additionally, human dignity and values come into consciousness when handling and comprehending death. For example, the cosmetic dimension of embalming was constructed as psychological healing by leaving good </w:t>
      </w:r>
      <w:r w:rsidRPr="00F223BC">
        <w:rPr>
          <w:rFonts w:ascii="Times New Roman" w:hAnsi="Times New Roman" w:cs="Times New Roman"/>
        </w:rPr>
        <w:lastRenderedPageBreak/>
        <w:t xml:space="preserve">memories in the mid-20th century. In contrast, funeral directors reframed embalming as the dignified process of humanization, which aimed to reconstruct an illusion of life in a cold cadaver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&lt;EndNote&gt;&lt;Cite&gt;&lt;Author&gt;Howarth&lt;/Author&gt;&lt;Year&gt;1996&lt;/Year&gt;&lt;RecNum&gt;2012&lt;/RecNum&gt;&lt;Pages&gt;152-154&lt;/Pages&gt;&lt;DisplayText&gt;(Howarth, 1996, pp. 152-154)&lt;/DisplayText&gt;&lt;record&gt;&lt;rec-number&gt;2012&lt;/rec-number&gt;&lt;foreign-keys&gt;&lt;key app="EN" db-id="2pe9e00ros0veneeptspa5vhz0pw2az52v20" timestamp="1694985725" guid="93a47a5b-6edc-4f70-90e2-69de2f28e4b7"&gt;2012&lt;/key&gt;&lt;/foreign-keys&gt;&lt;ref-type name="Book"&gt;6&lt;/ref-type&gt;&lt;contributors&gt;&lt;authors&gt;&lt;author&gt;Howarth, Glennys&lt;/author&gt;&lt;/authors&gt;&lt;/contributors&gt;&lt;titles&gt;&lt;title&gt;Last rites : the work of the modern funeral director&lt;/title&gt;&lt;/titles&gt;&lt;keywords&gt;&lt;keyword&gt;Undertakers and undertaking&lt;/keyword&gt;&lt;keyword&gt;Undertakers and undertaking -- Social aspects&lt;/keyword&gt;&lt;keyword&gt;Funeral rites and ceremonies&lt;/keyword&gt;&lt;keyword&gt;Death -- Social aspects&lt;/keyword&gt;&lt;/keywords&gt;&lt;dates&gt;&lt;year&gt;1996&lt;/year&gt;&lt;/dates&gt;&lt;pub-location&gt;Amityville, N.Y.&lt;/pub-location&gt;&lt;publisher&gt;Baywood Pub. Co.&lt;/publisher&gt;&lt;urls&gt;&lt;/urls&gt;&lt;/record&gt;&lt;/Cite&gt;&lt;/EndNote&gt;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(Howarth, 1996, pp. 152-154)</w:t>
      </w:r>
      <w:r w:rsidRPr="00F223BC">
        <w:rPr>
          <w:rFonts w:ascii="Times New Roman" w:hAnsi="Times New Roman" w:cs="Times New Roman"/>
        </w:rPr>
        <w:fldChar w:fldCharType="end"/>
      </w:r>
      <w:r w:rsidRPr="00F223BC">
        <w:rPr>
          <w:rFonts w:ascii="Times New Roman" w:hAnsi="Times New Roman" w:cs="Times New Roman"/>
        </w:rPr>
        <w:t xml:space="preserve"> and to enhance the dramaturgical interpretation of funeral work </w:t>
      </w:r>
      <w:r w:rsidRPr="00F223BC">
        <w:rPr>
          <w:rFonts w:ascii="Times New Roman" w:hAnsi="Times New Roman" w:cs="Times New Roman"/>
        </w:rPr>
        <w:fldChar w:fldCharType="begin">
          <w:fldData xml:space="preserve">PEVuZE5vdGU+PENpdGU+PEF1dGhvcj5UdXJuZXI8L0F1dGhvcj48WWVhcj4xOTkwPC9ZZWFyPjxS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PEVuZE5vdGU+PENpdGU+PEF1dGhvcj5UdXJuZXI8L0F1dGhvcj48WWVhcj4xOTkwPC9ZZWFyPjxS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F223BC">
        <w:rPr>
          <w:rFonts w:ascii="Times New Roman" w:hAnsi="Times New Roman" w:cs="Times New Roman"/>
        </w:rPr>
      </w:r>
      <w:r w:rsidRPr="00F223BC">
        <w:rPr>
          <w:rFonts w:ascii="Times New Roman" w:hAnsi="Times New Roman" w:cs="Times New Roman"/>
        </w:rPr>
        <w:fldChar w:fldCharType="separate"/>
      </w:r>
      <w:r>
        <w:rPr>
          <w:rFonts w:ascii="Times New Roman" w:hAnsi="Times New Roman" w:cs="Times New Roman"/>
          <w:noProof/>
        </w:rPr>
        <w:t>(e.g., Barley, 1983; Turner &amp; Edgley, 1990)</w:t>
      </w:r>
      <w:r w:rsidRPr="00F223BC">
        <w:rPr>
          <w:rFonts w:ascii="Times New Roman" w:hAnsi="Times New Roman" w:cs="Times New Roman"/>
        </w:rPr>
        <w:fldChar w:fldCharType="end"/>
      </w:r>
      <w:r w:rsidRPr="00F223BC">
        <w:rPr>
          <w:rFonts w:ascii="Times New Roman" w:hAnsi="Times New Roman" w:cs="Times New Roman"/>
        </w:rPr>
        <w:t xml:space="preserve">. Further, the meaning of death was entangled in a very complex contingent discourse of funeral rites, in which it encompassed both flesh and spirit, both a cessation and a process, both bereaved families and the public audience, both psychological healing and death-denying practice, and both facing the reality of death in life and approaching the agnostic of death in faith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&lt;EndNote&gt;&lt;Cite&gt;&lt;Author&gt;Carpentier&lt;/Author&gt;&lt;Year&gt;2012&lt;/Year&gt;&lt;RecNum&gt;1654&lt;/RecNum&gt;&lt;Prefix&gt;for details`, &lt;/Prefix&gt;&lt;DisplayText&gt;(for details, Carpentier &amp;amp; Van Brussel, 2012)&lt;/DisplayText&gt;&lt;record&gt;&lt;rec-number&gt;1654&lt;/rec-number&gt;&lt;foreign-keys&gt;&lt;key app="EN" db-id="2pe9e00ros0veneeptspa5vhz0pw2az52v20" timestamp="1651698716" guid="b0810b2f-5fab-4164-be52-afcbae74a7df"&gt;1654&lt;/key&gt;&lt;/foreign-keys&gt;&lt;ref-type name="Journal Article"&gt;17&lt;/ref-type&gt;&lt;contributors&gt;&lt;authors&gt;&lt;author&gt;Carpentier, Nico&lt;/author&gt;&lt;author&gt;Van Brussel, Leen&lt;/author&gt;&lt;/authors&gt;&lt;/contributors&gt;&lt;titles&gt;&lt;title&gt;On the contingency of death: a discourse-theoretical perspective on the construction of death&lt;/title&gt;&lt;secondary-title&gt;Critical Discourse Studies&lt;/secondary-title&gt;&lt;/titles&gt;&lt;periodical&gt;&lt;full-title&gt;Critical Discourse Studies&lt;/full-title&gt;&lt;/periodical&gt;&lt;pages&gt;99-115&lt;/pages&gt;&lt;volume&gt;9&lt;/volume&gt;&lt;number&gt;2&lt;/number&gt;&lt;dates&gt;&lt;year&gt;2012&lt;/year&gt;&lt;/dates&gt;&lt;publisher&gt;Routledge&lt;/publisher&gt;&lt;isbn&gt;1740-5904&lt;/isbn&gt;&lt;urls&gt;&lt;related-urls&gt;&lt;url&gt;https://doi.org/10.1080/17405904.2012.656372&lt;/url&gt;&lt;/related-urls&gt;&lt;/urls&gt;&lt;electronic-resource-num&gt;10.1080/17405904.2012.656372&lt;/electronic-resource-num&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(for details, Carpentier &amp; Van Brussel, 2012)</w:t>
      </w:r>
      <w:r w:rsidRPr="00F223BC">
        <w:rPr>
          <w:rFonts w:ascii="Times New Roman" w:hAnsi="Times New Roman" w:cs="Times New Roman"/>
        </w:rPr>
        <w:fldChar w:fldCharType="end"/>
      </w:r>
      <w:r w:rsidRPr="00F223BC">
        <w:rPr>
          <w:rFonts w:ascii="Times New Roman" w:hAnsi="Times New Roman" w:cs="Times New Roman"/>
        </w:rPr>
        <w:t>.</w:t>
      </w:r>
    </w:p>
    <w:p w14:paraId="517F8C3B" w14:textId="77777777" w:rsidR="00256B3D" w:rsidRPr="00F223BC" w:rsidRDefault="00256B3D" w:rsidP="00256B3D">
      <w:pPr>
        <w:spacing w:line="480" w:lineRule="auto"/>
        <w:ind w:firstLine="720"/>
        <w:rPr>
          <w:rFonts w:ascii="Times New Roman" w:hAnsi="Times New Roman" w:cs="Times New Roman"/>
        </w:rPr>
      </w:pPr>
      <w:r w:rsidRPr="00F223BC">
        <w:rPr>
          <w:rFonts w:ascii="Times New Roman" w:hAnsi="Times New Roman" w:cs="Times New Roman"/>
          <w:b/>
          <w:bCs/>
        </w:rPr>
        <w:t>Federal Trade Commission investigations</w:t>
      </w:r>
      <w:r w:rsidRPr="00F223BC">
        <w:rPr>
          <w:rFonts w:ascii="Times New Roman" w:hAnsi="Times New Roman" w:cs="Times New Roman"/>
        </w:rPr>
        <w:t xml:space="preserve">. The Federal Trade Commission (FTC) was created in 1914, with its mission to protect consumers and promote competition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&lt;EndNote&gt;&lt;Cite&gt;&lt;Author&gt;Federal Trade Commission&lt;/Author&gt;&lt;Year&gt;n.d.&lt;/Year&gt;&lt;RecNum&gt;2001&lt;/RecNum&gt;&lt;DisplayText&gt;(Federal Trade Commission, n.d.)&lt;/DisplayText&gt;&lt;record&gt;&lt;rec-number&gt;2001&lt;/rec-number&gt;&lt;foreign-keys&gt;&lt;key app="EN" db-id="2pe9e00ros0veneeptspa5vhz0pw2az52v20" timestamp="1694876545" guid="b34ac1d3-30d4-45d5-b0ae-c627d096fb5d"&gt;2001&lt;/key&gt;&lt;/foreign-keys&gt;&lt;ref-type name="Web Page"&gt;12&lt;/ref-type&gt;&lt;contributors&gt;&lt;authors&gt;&lt;author&gt;Federal Trade Commission,&lt;/author&gt;&lt;/authors&gt;&lt;/contributors&gt;&lt;titles&gt;&lt;title&gt;Our History&lt;/title&gt;&lt;/titles&gt;&lt;volume&gt;2023&lt;/volume&gt;&lt;number&gt;Sep. 16&lt;/number&gt;&lt;dates&gt;&lt;year&gt;n.d.&lt;/year&gt;&lt;/dates&gt;&lt;pub-location&gt;Federal Trade Commission&lt;/pub-location&gt;&lt;urls&gt;&lt;related-urls&gt;&lt;url&gt;https://www.ftc.gov/about-ftc/history&lt;/url&gt;&lt;/related-urls&gt;&lt;/urls&gt;&lt;/record&gt;&lt;/Cite&gt;&lt;/EndNote&gt;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(Federal Trade Commission, n.d.)</w:t>
      </w:r>
      <w:r w:rsidRPr="00F223BC">
        <w:rPr>
          <w:rFonts w:ascii="Times New Roman" w:hAnsi="Times New Roman" w:cs="Times New Roman"/>
        </w:rPr>
        <w:fldChar w:fldCharType="end"/>
      </w:r>
      <w:r w:rsidRPr="00F223BC">
        <w:rPr>
          <w:rFonts w:ascii="Times New Roman" w:hAnsi="Times New Roman" w:cs="Times New Roman"/>
        </w:rPr>
        <w:t xml:space="preserve">. The FTC was involved in economic disputes such as the sales of caskets in the 1940s and later, and the FTC began a serious examination of funeral services in the early 1970s because of the huge size of the funeral industry (roughly 2 billion dollars) and the growing concern about consumers’ vulnerability, lack of prior information, and time pressure </w:t>
      </w:r>
      <w:r w:rsidRPr="00F223BC">
        <w:rPr>
          <w:rFonts w:ascii="Times New Roman" w:hAnsi="Times New Roman" w:cs="Times New Roman"/>
        </w:rPr>
        <w:fldChar w:fldCharType="begin"/>
      </w:r>
      <w:r>
        <w:rPr>
          <w:rFonts w:ascii="Times New Roman" w:hAnsi="Times New Roman" w:cs="Times New Roman"/>
        </w:rPr>
        <w:instrText xml:space="preserve"> ADDIN EN.CITE &lt;EndNote&gt;&lt;Cite&gt;&lt;Author&gt;Kopp&lt;/Author&gt;&lt;Year&gt;2007&lt;/Year&gt;&lt;RecNum&gt;1613&lt;/RecNum&gt;&lt;DisplayText&gt;(Kopp &amp;amp; Kemp, 2007b)&lt;/DisplayText&gt;&lt;record&gt;&lt;rec-number&gt;1613&lt;/rec-number&gt;&lt;foreign-keys&gt;&lt;key app="EN" db-id="2pe9e00ros0veneeptspa5vhz0pw2az52v20" timestamp="1648258390" guid="a67f1b3a-acab-4ca8-9e58-a38ac5b53a23"&gt;1613&lt;/key&gt;&lt;/foreign-keys&gt;&lt;ref-type name="Journal Article"&gt;17&lt;/ref-type&gt;&lt;contributors&gt;&lt;authors&gt;&lt;author&gt;Kopp, S. W.&lt;/author&gt;&lt;author&gt;Kemp, E.&lt;/author&gt;&lt;/authors&gt;&lt;/contributors&gt;&lt;titles&gt;&lt;title&gt;The death care industry: A review of regulatory and consumer issues&lt;/title&gt;&lt;secondary-title&gt;Journal of Consumer Affairs&lt;/secondary-title&gt;&lt;/titles&gt;&lt;periodical&gt;&lt;full-title&gt;Journal of Consumer Affairs&lt;/full-title&gt;&lt;/periodical&gt;&lt;pages&gt;150-173&lt;/pages&gt;&lt;volume&gt;41&lt;/volume&gt;&lt;number&gt;1&lt;/number&gt;&lt;dates&gt;&lt;year&gt;2007&lt;/year&gt;&lt;/dates&gt;&lt;isbn&gt;0022-0078&lt;/isbn&gt;&lt;urls&gt;&lt;/urls&gt;&lt;electronic-resource-num&gt;10.1111/j.1745-6606.2006.00072.x&lt;/electronic-resource-num&gt;&lt;/record&gt;&lt;/Cite&gt;&lt;/EndNote&gt;</w:instrText>
      </w:r>
      <w:r w:rsidRPr="00F223BC">
        <w:rPr>
          <w:rFonts w:ascii="Times New Roman" w:hAnsi="Times New Roman" w:cs="Times New Roman"/>
        </w:rPr>
        <w:fldChar w:fldCharType="separate"/>
      </w:r>
      <w:r>
        <w:rPr>
          <w:rFonts w:ascii="Times New Roman" w:hAnsi="Times New Roman" w:cs="Times New Roman"/>
          <w:noProof/>
        </w:rPr>
        <w:t>(Kopp &amp; Kemp, 2007b)</w:t>
      </w:r>
      <w:r w:rsidRPr="00F223BC">
        <w:rPr>
          <w:rFonts w:ascii="Times New Roman" w:hAnsi="Times New Roman" w:cs="Times New Roman"/>
        </w:rPr>
        <w:fldChar w:fldCharType="end"/>
      </w:r>
      <w:r w:rsidRPr="00F223BC">
        <w:rPr>
          <w:rFonts w:ascii="Times New Roman" w:hAnsi="Times New Roman" w:cs="Times New Roman"/>
        </w:rPr>
        <w:t xml:space="preserve">. In 1975, the FTC news bulletin proposed a “trading rule” to regulate the business of death and carried out even more extensive investigations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&lt;EndNote&gt;&lt;Cite&gt;&lt;Author&gt;Federal Trade Commission&lt;/Author&gt;&lt;Year&gt;1975&lt;/Year&gt;&lt;RecNum&gt;2007&lt;/RecNum&gt;&lt;DisplayText&gt;(Federal Trade Commission, 1975)&lt;/DisplayText&gt;&lt;record&gt;&lt;rec-number&gt;2007&lt;/rec-number&gt;&lt;foreign-keys&gt;&lt;key app="EN" db-id="2pe9e00ros0veneeptspa5vhz0pw2az52v20" timestamp="1694882856" guid="0a5276fc-f2be-4bf0-aa59-0c00f719e597"&gt;2007&lt;/key&gt;&lt;/foreign-keys&gt;&lt;ref-type name="Book"&gt;6&lt;/ref-type&gt;&lt;contributors&gt;&lt;authors&gt;&lt;author&gt;Federal Trade Commission,&lt;/author&gt;&lt;/authors&gt;&lt;/contributors&gt;&lt;titles&gt;&lt;title&gt;Funeral industry practices: proposed trade regulation rule and staff memorandum&lt;/title&gt;&lt;/titles&gt;&lt;dates&gt;&lt;year&gt;1975&lt;/year&gt;&lt;/dates&gt;&lt;pub-location&gt;District of Columbia&lt;/pub-location&gt;&lt;publisher&gt;District of Columbia: Division of Special Projects, Bureau of Consumer Protection&lt;/publisher&gt;&lt;urls&gt;&lt;/urls&gt;&lt;/record&gt;&lt;/Cite&gt;&lt;/EndNote&gt;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(Federal Trade Commission, 1975)</w:t>
      </w:r>
      <w:r w:rsidRPr="00F223BC">
        <w:rPr>
          <w:rFonts w:ascii="Times New Roman" w:hAnsi="Times New Roman" w:cs="Times New Roman"/>
        </w:rPr>
        <w:fldChar w:fldCharType="end"/>
      </w:r>
      <w:r w:rsidRPr="00F223BC">
        <w:rPr>
          <w:rFonts w:ascii="Times New Roman" w:hAnsi="Times New Roman" w:cs="Times New Roman"/>
        </w:rPr>
        <w:t xml:space="preserve">. Two key messages are in the trading rule for funeral practices: </w:t>
      </w:r>
    </w:p>
    <w:p w14:paraId="25339D76" w14:textId="77777777" w:rsidR="00256B3D" w:rsidRPr="00F223BC" w:rsidRDefault="00256B3D" w:rsidP="00256B3D">
      <w:pPr>
        <w:spacing w:line="480" w:lineRule="auto"/>
        <w:ind w:left="720"/>
        <w:rPr>
          <w:rFonts w:ascii="Times New Roman" w:hAnsi="Times New Roman" w:cs="Times New Roman"/>
        </w:rPr>
      </w:pPr>
      <w:r w:rsidRPr="00F223BC">
        <w:rPr>
          <w:rFonts w:ascii="Times New Roman" w:hAnsi="Times New Roman" w:cs="Times New Roman"/>
        </w:rPr>
        <w:t xml:space="preserve">(1) Funeral directors would be prohibited from, among other things, embalming without permission, bait-and-switch tactics, impugning consumers who expressed concern about price, misrepresenting public health requirements and state and federal laws bearing on the dead, and refusing to furnish less expensive, alternative forms of disposal, like immediate disposition and cremation. (2) The proposed rules would require morticians to provide grieving family members with the following: a fact sheet covering legal aspects </w:t>
      </w:r>
      <w:r w:rsidRPr="00F223BC">
        <w:rPr>
          <w:rFonts w:ascii="Times New Roman" w:hAnsi="Times New Roman" w:cs="Times New Roman"/>
        </w:rPr>
        <w:lastRenderedPageBreak/>
        <w:t xml:space="preserve">of disposal, a casket price list, an itemized list of prices for all services and funeral accouterments, with “conspicuous disclosure” of the consumer’s right to choose which services are desired for the upcoming funeral; and a written record of all the financial details once arrangements have been finalized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&lt;EndNote&gt;&lt;Cite&gt;&lt;Author&gt;Laderman&lt;/Author&gt;&lt;Year&gt;2003&lt;/Year&gt;&lt;RecNum&gt;1515&lt;/RecNum&gt;&lt;Pages&gt;135&lt;/Pages&gt;&lt;DisplayText&gt;(Laderman, 2003, p. 135)&lt;/DisplayText&gt;&lt;record&gt;&lt;rec-number&gt;1515&lt;/rec-number&gt;&lt;foreign-keys&gt;&lt;key app="EN" db-id="2pe9e00ros0veneeptspa5vhz0pw2az52v20" timestamp="1643834392" guid="58d33cc6-f04e-42ae-bc63-91997b779f9c"&gt;1515&lt;/key&gt;&lt;/foreign-keys&gt;&lt;ref-type name="Book"&gt;6&lt;/ref-type&gt;&lt;contributors&gt;&lt;authors&gt;&lt;author&gt;Laderman, Gary&lt;/author&gt;&lt;/authors&gt;&lt;/contributors&gt;&lt;titles&gt;&lt;title&gt;Rest in peace: A cultural history of death and the funeral home in twentieth-century America&lt;/title&gt;&lt;/titles&gt;&lt;dates&gt;&lt;year&gt;2003&lt;/year&gt;&lt;/dates&gt;&lt;publisher&gt;Oxford University Press&lt;/publisher&gt;&lt;isbn&gt;019518355X&lt;/isbn&gt;&lt;urls&gt;&lt;/urls&gt;&lt;/record&gt;&lt;/Cite&gt;&lt;/EndNote&gt;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(Laderman, 2003, p. 135)</w:t>
      </w:r>
      <w:r w:rsidRPr="00F223BC">
        <w:rPr>
          <w:rFonts w:ascii="Times New Roman" w:hAnsi="Times New Roman" w:cs="Times New Roman"/>
        </w:rPr>
        <w:fldChar w:fldCharType="end"/>
      </w:r>
      <w:r w:rsidRPr="00F223BC">
        <w:rPr>
          <w:rFonts w:ascii="Times New Roman" w:hAnsi="Times New Roman" w:cs="Times New Roman"/>
        </w:rPr>
        <w:t xml:space="preserve">. </w:t>
      </w:r>
    </w:p>
    <w:p w14:paraId="482C6C2B" w14:textId="77777777" w:rsidR="00256B3D" w:rsidRPr="00F223BC" w:rsidRDefault="00256B3D" w:rsidP="00256B3D">
      <w:pPr>
        <w:spacing w:line="480" w:lineRule="auto"/>
        <w:rPr>
          <w:rFonts w:ascii="Times New Roman" w:hAnsi="Times New Roman" w:cs="Times New Roman"/>
        </w:rPr>
      </w:pPr>
      <w:r w:rsidRPr="00F223BC">
        <w:rPr>
          <w:rFonts w:ascii="Times New Roman" w:hAnsi="Times New Roman" w:cs="Times New Roman"/>
        </w:rPr>
        <w:t xml:space="preserve">The report – </w:t>
      </w:r>
      <w:r w:rsidRPr="00F223BC">
        <w:rPr>
          <w:rFonts w:ascii="Times New Roman" w:hAnsi="Times New Roman" w:cs="Times New Roman"/>
          <w:i/>
          <w:iCs/>
        </w:rPr>
        <w:t xml:space="preserve">Funeral Industry Practices: Final Staff Report to the Federal Trade Commission and Proposed Trade Regulation Rule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&lt;EndNote&gt;&lt;Cite&gt;&lt;Author&gt;Federal Trade Commission&lt;/Author&gt;&lt;Year&gt;1978&lt;/Year&gt;&lt;RecNum&gt;2002&lt;/RecNum&gt;&lt;DisplayText&gt;(Federal Trade Commission, 1978)&lt;/DisplayText&gt;&lt;record&gt;&lt;rec-number&gt;2002&lt;/rec-number&gt;&lt;foreign-keys&gt;&lt;key app="EN" db-id="2pe9e00ros0veneeptspa5vhz0pw2az52v20" timestamp="1694877125" guid="236a1cb0-006e-4801-9107-269963dd1db5"&gt;2002&lt;/key&gt;&lt;/foreign-keys&gt;&lt;ref-type name="Book"&gt;6&lt;/ref-type&gt;&lt;contributors&gt;&lt;authors&gt;&lt;author&gt;Federal Trade Commission,&lt;/author&gt;&lt;/authors&gt;&lt;/contributors&gt;&lt;titles&gt;&lt;title&gt;Funeral Industry Practices: Final Staff Report to the Federal Trade Commission and Proposed Trade Regulation Rule (16 CFR Part 453)&lt;/title&gt;&lt;/titles&gt;&lt;dates&gt;&lt;year&gt;1978&lt;/year&gt;&lt;/dates&gt;&lt;pub-location&gt;United States. Federal Trade Commission. Bureau of Consumer Protection&amp;#xD;United States. &lt;/pub-location&gt;&lt;publisher&gt;District of Columbia: Bureau of Consumer Protection&lt;/publisher&gt;&lt;isbn&gt;9783412010782&lt;/isbn&gt;&lt;urls&gt;&lt;/urls&gt;&lt;/record&gt;&lt;/Cite&gt;&lt;/EndNote&gt;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(Federal Trade Commission, 1978)</w:t>
      </w:r>
      <w:r w:rsidRPr="00F223BC">
        <w:rPr>
          <w:rFonts w:ascii="Times New Roman" w:hAnsi="Times New Roman" w:cs="Times New Roman"/>
        </w:rPr>
        <w:fldChar w:fldCharType="end"/>
      </w:r>
      <w:r w:rsidRPr="00F223BC">
        <w:rPr>
          <w:rFonts w:ascii="Times New Roman" w:hAnsi="Times New Roman" w:cs="Times New Roman"/>
        </w:rPr>
        <w:t xml:space="preserve"> – was released, and it was about a close, careful, and thorough examination of the funeral industry practices of doing business. After the oversight hearing of this 1978 report by the Consumer Committee of the Senate Committee on Commerce, Science, and Transportation, the </w:t>
      </w:r>
      <w:r w:rsidRPr="00F223BC">
        <w:rPr>
          <w:rFonts w:ascii="Times New Roman" w:hAnsi="Times New Roman" w:cs="Times New Roman"/>
          <w:i/>
          <w:iCs/>
        </w:rPr>
        <w:t>Trade Regulation Rule on the Funeral Industry Practices</w:t>
      </w:r>
      <w:r w:rsidRPr="00F223BC">
        <w:rPr>
          <w:rFonts w:ascii="Times New Roman" w:hAnsi="Times New Roman" w:cs="Times New Roman"/>
        </w:rPr>
        <w:t xml:space="preserve"> was enacted in 1982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&lt;EndNote&gt;&lt;Cite&gt;&lt;Author&gt;Federal Trade Commission&lt;/Author&gt;&lt;Year&gt;1982&lt;/Year&gt;&lt;RecNum&gt;2008&lt;/RecNum&gt;&lt;DisplayText&gt;(Federal Trade Commission, 1982)&lt;/DisplayText&gt;&lt;record&gt;&lt;rec-number&gt;2008&lt;/rec-number&gt;&lt;foreign-keys&gt;&lt;key app="EN" db-id="2pe9e00ros0veneeptspa5vhz0pw2az52v20" timestamp="1694883953" guid="23cbdcd0-6fd0-4c08-8d71-04cc4e16d43a"&gt;2008&lt;/key&gt;&lt;/foreign-keys&gt;&lt;ref-type name="Book"&gt;6&lt;/ref-type&gt;&lt;contributors&gt;&lt;authors&gt;&lt;author&gt;Federal Trade Commission,&lt;/author&gt;&lt;/authors&gt;&lt;/contributors&gt;&lt;titles&gt;&lt;title&gt;Final Report: Baseline and Follow-up Studies for Evaluating the Effect of Federal Trade Commission’s Funeral Home Industry Trade Regulation Rule&lt;/title&gt;&lt;/titles&gt;&lt;dates&gt;&lt;year&gt;1982&lt;/year&gt;&lt;/dates&gt;&lt;publisher&gt;Washington, DC: Bureau of Consumer Protection.&lt;/publisher&gt;&lt;urls&gt;&lt;/urls&gt;&lt;/record&gt;&lt;/Cite&gt;&lt;/EndNote&gt;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(Federal Trade Commission, 1982)</w:t>
      </w:r>
      <w:r w:rsidRPr="00F223BC">
        <w:rPr>
          <w:rFonts w:ascii="Times New Roman" w:hAnsi="Times New Roman" w:cs="Times New Roman"/>
        </w:rPr>
        <w:fldChar w:fldCharType="end"/>
      </w:r>
      <w:r w:rsidRPr="00F223BC">
        <w:rPr>
          <w:rFonts w:ascii="Times New Roman" w:hAnsi="Times New Roman" w:cs="Times New Roman"/>
        </w:rPr>
        <w:t xml:space="preserve"> and became fully effective in 1984. The trade regulation rule on the funeral industry was amended as time changed, and the current one is entitled </w:t>
      </w:r>
      <w:r w:rsidRPr="00F223BC">
        <w:rPr>
          <w:rFonts w:ascii="Times New Roman" w:hAnsi="Times New Roman" w:cs="Times New Roman"/>
          <w:i/>
          <w:iCs/>
        </w:rPr>
        <w:t>Complying with the Funeral Rule</w:t>
      </w:r>
      <w:r w:rsidRPr="00F223BC">
        <w:rPr>
          <w:rFonts w:ascii="Times New Roman" w:hAnsi="Times New Roman" w:cs="Times New Roman"/>
        </w:rPr>
        <w:t xml:space="preserve">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&lt;EndNote&gt;&lt;Cite&gt;&lt;Author&gt;Federal Trade Commission&lt;/Author&gt;&lt;Year&gt;2023&lt;/Year&gt;&lt;RecNum&gt;2009&lt;/RecNum&gt;&lt;DisplayText&gt;(Federal Trade Commission, 2023)&lt;/DisplayText&gt;&lt;record&gt;&lt;rec-number&gt;2009&lt;/rec-number&gt;&lt;foreign-keys&gt;&lt;key app="EN" db-id="2pe9e00ros0veneeptspa5vhz0pw2az52v20" timestamp="1694885448" guid="ecc679a8-6ba5-4450-b3f6-5f06481617ce"&gt;2009&lt;/key&gt;&lt;/foreign-keys&gt;&lt;ref-type name="Web Page"&gt;12&lt;/ref-type&gt;&lt;contributors&gt;&lt;authors&gt;&lt;author&gt;Federal Trade Commission,&lt;/author&gt;&lt;/authors&gt;&lt;/contributors&gt;&lt;titles&gt;&lt;title&gt;Complying with the Funeral Rule&lt;/title&gt;&lt;/titles&gt;&lt;volume&gt;2023&lt;/volume&gt;&lt;number&gt;Sep. 16&lt;/number&gt;&lt;dates&gt;&lt;year&gt;2023&lt;/year&gt;&lt;/dates&gt;&lt;urls&gt;&lt;related-urls&gt;&lt;url&gt;https://www.ftc.gov/business-guidance/resources/complying-funeral-rule&lt;/url&gt;&lt;/related-urls&gt;&lt;/urls&gt;&lt;/record&gt;&lt;/Cite&gt;&lt;/EndNote&gt;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(Federal Trade Commission, 2023)</w:t>
      </w:r>
      <w:r w:rsidRPr="00F223BC">
        <w:rPr>
          <w:rFonts w:ascii="Times New Roman" w:hAnsi="Times New Roman" w:cs="Times New Roman"/>
        </w:rPr>
        <w:fldChar w:fldCharType="end"/>
      </w:r>
      <w:r w:rsidRPr="00F223BC">
        <w:rPr>
          <w:rFonts w:ascii="Times New Roman" w:hAnsi="Times New Roman" w:cs="Times New Roman"/>
        </w:rPr>
        <w:t xml:space="preserve">. </w:t>
      </w:r>
    </w:p>
    <w:p w14:paraId="6B3E7F37" w14:textId="77777777" w:rsidR="00256B3D" w:rsidRPr="00F223BC" w:rsidRDefault="00256B3D" w:rsidP="00256B3D">
      <w:pPr>
        <w:spacing w:line="480" w:lineRule="auto"/>
        <w:ind w:firstLine="720"/>
        <w:rPr>
          <w:rFonts w:ascii="Times New Roman" w:hAnsi="Times New Roman" w:cs="Times New Roman"/>
        </w:rPr>
      </w:pPr>
      <w:r w:rsidRPr="00F223BC">
        <w:rPr>
          <w:rFonts w:ascii="Times New Roman" w:hAnsi="Times New Roman" w:cs="Times New Roman"/>
        </w:rPr>
        <w:t>The FTC rule</w:t>
      </w:r>
      <w:r>
        <w:rPr>
          <w:rFonts w:ascii="Times New Roman" w:hAnsi="Times New Roman" w:cs="Times New Roman"/>
        </w:rPr>
        <w:t xml:space="preserve">s are aligned with </w:t>
      </w:r>
      <w:r w:rsidRPr="00F223BC">
        <w:rPr>
          <w:rFonts w:ascii="Times New Roman" w:hAnsi="Times New Roman" w:cs="Times New Roman"/>
        </w:rPr>
        <w:t>the</w:t>
      </w:r>
      <w:r>
        <w:rPr>
          <w:rFonts w:ascii="Times New Roman" w:hAnsi="Times New Roman" w:cs="Times New Roman"/>
        </w:rPr>
        <w:t xml:space="preserve"> cultural</w:t>
      </w:r>
      <w:r w:rsidRPr="00F223BC">
        <w:rPr>
          <w:rFonts w:ascii="Times New Roman" w:hAnsi="Times New Roman" w:cs="Times New Roman"/>
        </w:rPr>
        <w:t xml:space="preserve"> shift in the funeral industry. First, the funeral industry was offered “an approval seal for its industrial legitimacy involved in the disposal of the dead”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&lt;EndNote&gt;&lt;Cite&gt;&lt;Author&gt;Laderman&lt;/Author&gt;&lt;Year&gt;2003&lt;/Year&gt;&lt;RecNum&gt;1515&lt;/RecNum&gt;&lt;Pages&gt;140&lt;/Pages&gt;&lt;DisplayText&gt;(Laderman, 2003, p. 140)&lt;/DisplayText&gt;&lt;record&gt;&lt;rec-number&gt;1515&lt;/rec-number&gt;&lt;foreign-keys&gt;&lt;key app="EN" db-id="2pe9e00ros0veneeptspa5vhz0pw2az52v20" timestamp="1643834392" guid="58d33cc6-f04e-42ae-bc63-91997b779f9c"&gt;1515&lt;/key&gt;&lt;/foreign-keys&gt;&lt;ref-type name="Book"&gt;6&lt;/ref-type&gt;&lt;contributors&gt;&lt;authors&gt;&lt;author&gt;Laderman, Gary&lt;/author&gt;&lt;/authors&gt;&lt;/contributors&gt;&lt;titles&gt;&lt;title&gt;Rest in peace: A cultural history of death and the funeral home in twentieth-century America&lt;/title&gt;&lt;/titles&gt;&lt;dates&gt;&lt;year&gt;2003&lt;/year&gt;&lt;/dates&gt;&lt;publisher&gt;Oxford University Press&lt;/publisher&gt;&lt;isbn&gt;019518355X&lt;/isbn&gt;&lt;urls&gt;&lt;/urls&gt;&lt;/record&gt;&lt;/Cite&gt;&lt;/EndNote&gt;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(Laderman, 2003, p. 140)</w:t>
      </w:r>
      <w:r w:rsidRPr="00F223BC">
        <w:rPr>
          <w:rFonts w:ascii="Times New Roman" w:hAnsi="Times New Roman" w:cs="Times New Roman"/>
        </w:rPr>
        <w:fldChar w:fldCharType="end"/>
      </w:r>
      <w:r w:rsidRPr="00F223BC">
        <w:rPr>
          <w:rFonts w:ascii="Times New Roman" w:hAnsi="Times New Roman" w:cs="Times New Roman"/>
        </w:rPr>
        <w:t xml:space="preserve">. After FTC investigations, funeral directors became more of a businessman controlling modern death. For example, business-related and consumer-related motivations shaped the funeral industry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&lt;EndNote&gt;&lt;Cite&gt;&lt;Author&gt;Beard&lt;/Author&gt;&lt;Year&gt;2017&lt;/Year&gt;&lt;RecNum&gt;1605&lt;/RecNum&gt;&lt;DisplayText&gt;(Beard &amp;amp; Burger, 2017)&lt;/DisplayText&gt;&lt;record&gt;&lt;rec-number&gt;1605&lt;/rec-number&gt;&lt;foreign-keys&gt;&lt;key app="EN" db-id="2pe9e00ros0veneeptspa5vhz0pw2az52v20" timestamp="1647630208" guid="e406c314-700a-44a9-ae61-1a7c125d3f67"&gt;1605&lt;/key&gt;&lt;/foreign-keys&gt;&lt;ref-type name="Journal Article"&gt;17&lt;/ref-type&gt;&lt;contributors&gt;&lt;authors&gt;&lt;author&gt;Beard, Virginia R&lt;/author&gt;&lt;author&gt;Burger, William C&lt;/author&gt;&lt;/authors&gt;&lt;/contributors&gt;&lt;titles&gt;&lt;title&gt;Change and innovation in the funeral industry: A typology of motivations&lt;/title&gt;&lt;secondary-title&gt;OMEGA-Journal of Death and Dying&lt;/secondary-title&gt;&lt;/titles&gt;&lt;periodical&gt;&lt;full-title&gt;OMEGA-Journal of Death and Dying&lt;/full-title&gt;&lt;/periodical&gt;&lt;pages&gt;47-68&lt;/pages&gt;&lt;volume&gt;75&lt;/volume&gt;&lt;number&gt;1&lt;/number&gt;&lt;dates&gt;&lt;year&gt;2017&lt;/year&gt;&lt;/dates&gt;&lt;isbn&gt;0030-2228&lt;/isbn&gt;&lt;urls&gt;&lt;/urls&gt;&lt;electronic-resource-num&gt;10.1177/0030222815612605&lt;/electronic-resource-num&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(Beard &amp; Burger, 2017)</w:t>
      </w:r>
      <w:r w:rsidRPr="00F223BC">
        <w:rPr>
          <w:rFonts w:ascii="Times New Roman" w:hAnsi="Times New Roman" w:cs="Times New Roman"/>
        </w:rPr>
        <w:fldChar w:fldCharType="end"/>
      </w:r>
      <w:r w:rsidRPr="00F223BC">
        <w:rPr>
          <w:rFonts w:ascii="Times New Roman" w:hAnsi="Times New Roman" w:cs="Times New Roman"/>
        </w:rPr>
        <w:t xml:space="preserve">. Additionally, funeral directors increase the customization of ceremonies to suit the deceased’s traits and the customer’s tastes. The feature of “personalization” became a trend in funeral and memorial services since the 1970s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&lt;EndNote&gt;&lt;Cite&gt;&lt;Author&gt;Staudt&lt;/Author&gt;&lt;Year&gt;2009&lt;/Year&gt;&lt;RecNum&gt;2015&lt;/RecNum&gt;&lt;DisplayText&gt;(Staudt, 2009)&lt;/DisplayText&gt;&lt;record&gt;&lt;rec-number&gt;2015&lt;/rec-number&gt;&lt;foreign-keys&gt;&lt;key app="EN" db-id="2pe9e00ros0veneeptspa5vhz0pw2az52v20" timestamp="1694999656" guid="164fa543-bfac-4bca-a846-6848ea867900"&gt;2015&lt;/key&gt;&lt;/foreign-keys&gt;&lt;ref-type name="Book Section"&gt;5&lt;/ref-type&gt;&lt;contributors&gt;&lt;authors&gt;&lt;author&gt;Staudt, Christina&lt;/author&gt;&lt;/authors&gt;&lt;secondary-authors&gt;&lt;author&gt;Michael K Bartalos&lt;/author&gt;&lt;author&gt;Robert L Belknap&lt;/author&gt;&lt;/secondary-authors&gt;&lt;/contributors&gt;&lt;titles&gt;&lt;title&gt;From concealment to recognition: The discourse on death, dying and grief&lt;/title&gt;&lt;secondary-title&gt;Speaking of death. America’s new sense of mortality &lt;/secondary-title&gt;&lt;/titles&gt;&lt;pages&gt;3-41&lt;/pages&gt;&lt;dates&gt;&lt;year&gt;2009&lt;/year&gt;&lt;/dates&gt;&lt;publisher&gt;Praeger&lt;/publisher&gt;&lt;urls&gt;&lt;/urls&gt;&lt;/record&gt;&lt;/Cite&gt;&lt;/EndNote&gt;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(Staudt, 2009)</w:t>
      </w:r>
      <w:r w:rsidRPr="00F223BC">
        <w:rPr>
          <w:rFonts w:ascii="Times New Roman" w:hAnsi="Times New Roman" w:cs="Times New Roman"/>
        </w:rPr>
        <w:fldChar w:fldCharType="end"/>
      </w:r>
      <w:r w:rsidRPr="00F223BC">
        <w:rPr>
          <w:rFonts w:ascii="Times New Roman" w:hAnsi="Times New Roman" w:cs="Times New Roman"/>
        </w:rPr>
        <w:t xml:space="preserve">, focusing on personal relationships with and achievements of the dead in funeral ceremonies. “Personalization” indicates diverse methods of body disposition and funeral ritual forms </w:t>
      </w:r>
      <w:r w:rsidRPr="00F223BC">
        <w:rPr>
          <w:rFonts w:ascii="Times New Roman" w:hAnsi="Times New Roman" w:cs="Times New Roman"/>
        </w:rPr>
        <w:fldChar w:fldCharType="begin"/>
      </w:r>
      <w:r>
        <w:rPr>
          <w:rFonts w:ascii="Times New Roman" w:hAnsi="Times New Roman" w:cs="Times New Roman"/>
        </w:rPr>
        <w:instrText xml:space="preserve"> ADDIN EN.CITE &lt;EndNote&gt;&lt;Cite&gt;&lt;Author&gt;Dickinson&lt;/Author&gt;&lt;Year&gt;2012&lt;/Year&gt;&lt;RecNum&gt;2016&lt;/RecNum&gt;&lt;DisplayText&gt;(Dickinson, 2012)&lt;/DisplayText&gt;&lt;record&gt;&lt;rec-number&gt;2016&lt;/rec-number&gt;&lt;foreign-keys&gt;&lt;key app="EN" db-id="2pe9e00ros0veneeptspa5vhz0pw2az52v20" timestamp="1694999965" guid="b2515879-f647-4563-8926-e9268833b5b5"&gt;2016&lt;/key&gt;&lt;/foreign-keys&gt;&lt;ref-type name="Journal Article"&gt;17&lt;/ref-type&gt;&lt;contributors&gt;&lt;authors&gt;&lt;author&gt;Dickinson, George E.&lt;/author&gt;&lt;/authors&gt;&lt;/contributors&gt;&lt;titles&gt;&lt;title&gt;Diversity in death: Body disposition and memorialization&lt;/title&gt;&lt;secondary-title&gt;Illness, Crisis &amp;amp; Loss&lt;/secondary-title&gt;&lt;/titles&gt;&lt;periodical&gt;&lt;full-title&gt;Illness, Crisis &amp;amp; Loss&lt;/full-title&gt;&lt;/periodical&gt;&lt;pages&gt;141-158&lt;/pages&gt;&lt;volume&gt;20&lt;/volume&gt;&lt;number&gt;2&lt;/number&gt;&lt;keywords&gt;&lt;keyword&gt;earth burials,cremation,roadside memorials,Internet,environment&lt;/keyword&gt;&lt;/keywords&gt;&lt;dates&gt;&lt;year&gt;2012&lt;/year&gt;&lt;/dates&gt;&lt;urls&gt;&lt;related-urls&gt;&lt;url&gt;https://journals.sagepub.com/doi/abs/10.2190/IL.20.2.d&lt;/url&gt;&lt;/related-urls&gt;&lt;/urls&gt;&lt;electronic-resource-num&gt;10.2190/IL.20.2.d&lt;/electronic-resource-num&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(Dickinson, 2012)</w:t>
      </w:r>
      <w:r w:rsidRPr="00F223BC">
        <w:rPr>
          <w:rFonts w:ascii="Times New Roman" w:hAnsi="Times New Roman" w:cs="Times New Roman"/>
        </w:rPr>
        <w:fldChar w:fldCharType="end"/>
      </w:r>
      <w:r w:rsidRPr="00F223BC">
        <w:rPr>
          <w:rFonts w:ascii="Times New Roman" w:hAnsi="Times New Roman" w:cs="Times New Roman"/>
        </w:rPr>
        <w:t xml:space="preserve"> and the link to the need for individuality and authenticity with the </w:t>
      </w:r>
      <w:r w:rsidRPr="00F223BC">
        <w:rPr>
          <w:rFonts w:ascii="Times New Roman" w:hAnsi="Times New Roman" w:cs="Times New Roman"/>
        </w:rPr>
        <w:lastRenderedPageBreak/>
        <w:t xml:space="preserve">realization of a healthy grief process and the professionalization of their respective occupations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&lt;EndNote&gt;&lt;Cite&gt;&lt;Author&gt;Schafer&lt;/Author&gt;&lt;Year&gt;2012&lt;/Year&gt;&lt;RecNum&gt;1132&lt;/RecNum&gt;&lt;DisplayText&gt;(Schafer, 2012)&lt;/DisplayText&gt;&lt;record&gt;&lt;rec-number&gt;1132&lt;/rec-number&gt;&lt;foreign-keys&gt;&lt;key app="EN" db-id="2pe9e00ros0veneeptspa5vhz0pw2az52v20" timestamp="1609653874" guid="91f76886-d4e3-4389-8543-9160bc401817"&gt;1132&lt;/key&gt;&lt;/foreign-keys&gt;&lt;ref-type name="Journal Article"&gt;17&lt;/ref-type&gt;&lt;contributors&gt;&lt;authors&gt;&lt;author&gt;Schafer, Cyril&lt;/author&gt;&lt;/authors&gt;&lt;/contributors&gt;&lt;titles&gt;&lt;title&gt;Corpses, conflict and insignificance? A critical analysis of post-mortem practices&lt;/title&gt;&lt;secondary-title&gt;Mortality&lt;/secondary-title&gt;&lt;/titles&gt;&lt;periodical&gt;&lt;full-title&gt;Mortality&lt;/full-title&gt;&lt;/periodical&gt;&lt;pages&gt;305-321&lt;/pages&gt;&lt;volume&gt;17&lt;/volume&gt;&lt;number&gt;4&lt;/number&gt;&lt;dates&gt;&lt;year&gt;2012&lt;/year&gt;&lt;/dates&gt;&lt;isbn&gt;1357-6275&lt;/isbn&gt;&lt;urls&gt;&lt;/urls&gt;&lt;electronic-resource-num&gt;10.1080/13576275.2012.731724&lt;/electronic-resource-num&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(Schafer, 2012)</w:t>
      </w:r>
      <w:r w:rsidRPr="00F223BC">
        <w:rPr>
          <w:rFonts w:ascii="Times New Roman" w:hAnsi="Times New Roman" w:cs="Times New Roman"/>
        </w:rPr>
        <w:fldChar w:fldCharType="end"/>
      </w:r>
      <w:r w:rsidRPr="00F223BC">
        <w:rPr>
          <w:rFonts w:ascii="Times New Roman" w:hAnsi="Times New Roman" w:cs="Times New Roman"/>
        </w:rPr>
        <w:t xml:space="preserve">. Moreover, the FTC rule encouraged a rather unusual activity that only slowly began to gain support throughout the industry: planning ahead. This novel idea encompassed a range of business possibilities for wary customers, such as comparison shopping, preplanning, prepayment for individual ceremonies, and leaving friends and relatives out of individual funeral-related issues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&lt;EndNote&gt;&lt;Cite&gt;&lt;Author&gt;Laderman&lt;/Author&gt;&lt;Year&gt;2003&lt;/Year&gt;&lt;RecNum&gt;1515&lt;/RecNum&gt;&lt;DisplayText&gt;(Laderman, 2003)&lt;/DisplayText&gt;&lt;record&gt;&lt;rec-number&gt;1515&lt;/rec-number&gt;&lt;foreign-keys&gt;&lt;key app="EN" db-id="2pe9e00ros0veneeptspa5vhz0pw2az52v20" timestamp="1643834392" guid="58d33cc6-f04e-42ae-bc63-91997b779f9c"&gt;1515&lt;/key&gt;&lt;/foreign-keys&gt;&lt;ref-type name="Book"&gt;6&lt;/ref-type&gt;&lt;contributors&gt;&lt;authors&gt;&lt;author&gt;Laderman, Gary&lt;/author&gt;&lt;/authors&gt;&lt;/contributors&gt;&lt;titles&gt;&lt;title&gt;Rest in peace: A cultural history of death and the funeral home in twentieth-century America&lt;/title&gt;&lt;/titles&gt;&lt;dates&gt;&lt;year&gt;2003&lt;/year&gt;&lt;/dates&gt;&lt;publisher&gt;Oxford University Press&lt;/publisher&gt;&lt;isbn&gt;019518355X&lt;/isbn&gt;&lt;urls&gt;&lt;/urls&gt;&lt;/record&gt;&lt;/Cite&gt;&lt;/EndNote&gt;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(Laderman, 2003)</w:t>
      </w:r>
      <w:r w:rsidRPr="00F223BC">
        <w:rPr>
          <w:rFonts w:ascii="Times New Roman" w:hAnsi="Times New Roman" w:cs="Times New Roman"/>
        </w:rPr>
        <w:fldChar w:fldCharType="end"/>
      </w:r>
      <w:r w:rsidRPr="00F223BC">
        <w:rPr>
          <w:rFonts w:ascii="Times New Roman" w:hAnsi="Times New Roman" w:cs="Times New Roman"/>
        </w:rPr>
        <w:t xml:space="preserve">. Further, funeral directors may apply marketing and communication strategies to encourage funeral preplanning and motivate preplanning attitudes </w:t>
      </w:r>
      <w:r w:rsidRPr="00F223BC">
        <w:rPr>
          <w:rFonts w:ascii="Times New Roman" w:hAnsi="Times New Roman" w:cs="Times New Roman"/>
        </w:rPr>
        <w:fldChar w:fldCharType="begin">
          <w:fldData xml:space="preserve">PEVuZE5vdGU+PENpdGU+PEF1dGhvcj5LZW1wPC9BdXRob3I+PFllYXI+MjAxMTwvWWVhcj48UmVj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</w:fldData>
        </w:fldChar>
      </w:r>
      <w:r w:rsidRPr="00F223BC">
        <w:rPr>
          <w:rFonts w:ascii="Times New Roman" w:hAnsi="Times New Roman" w:cs="Times New Roman"/>
        </w:rPr>
        <w:instrText xml:space="preserve"> ADDIN EN.CITE </w:instrText>
      </w:r>
      <w:r w:rsidRPr="00F223BC">
        <w:rPr>
          <w:rFonts w:ascii="Times New Roman" w:hAnsi="Times New Roman" w:cs="Times New Roman"/>
        </w:rPr>
        <w:fldChar w:fldCharType="begin">
          <w:fldData xml:space="preserve">PEVuZE5vdGU+PENpdGU+PEF1dGhvcj5LZW1wPC9BdXRob3I+PFllYXI+MjAxMTwvWWVhcj48UmVj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</w:fldData>
        </w:fldChar>
      </w:r>
      <w:r w:rsidRPr="00F223BC">
        <w:rPr>
          <w:rFonts w:ascii="Times New Roman" w:hAnsi="Times New Roman" w:cs="Times New Roman"/>
        </w:rPr>
        <w:instrText xml:space="preserve"> ADDIN EN.CITE.DATA </w:instrText>
      </w:r>
      <w:r w:rsidRPr="00F223BC">
        <w:rPr>
          <w:rFonts w:ascii="Times New Roman" w:hAnsi="Times New Roman" w:cs="Times New Roman"/>
        </w:rPr>
      </w:r>
      <w:r w:rsidRPr="00F223BC">
        <w:rPr>
          <w:rFonts w:ascii="Times New Roman" w:hAnsi="Times New Roman" w:cs="Times New Roman"/>
        </w:rPr>
        <w:fldChar w:fldCharType="end"/>
      </w:r>
      <w:r w:rsidRPr="00F223BC">
        <w:rPr>
          <w:rFonts w:ascii="Times New Roman" w:hAnsi="Times New Roman" w:cs="Times New Roman"/>
        </w:rPr>
      </w:r>
      <w:r w:rsidRPr="00F223BC">
        <w:rPr>
          <w:rFonts w:ascii="Times New Roman" w:hAnsi="Times New Roman" w:cs="Times New Roman"/>
        </w:rPr>
        <w:fldChar w:fldCharType="separate"/>
      </w:r>
      <w:r w:rsidRPr="00F223BC">
        <w:rPr>
          <w:rFonts w:ascii="Times New Roman" w:hAnsi="Times New Roman" w:cs="Times New Roman"/>
          <w:noProof/>
        </w:rPr>
        <w:t>(e.g., Kemp &amp; Kopp, 2010; Kemp &amp; Kopp, 2011)</w:t>
      </w:r>
      <w:r w:rsidRPr="00F223BC">
        <w:rPr>
          <w:rFonts w:ascii="Times New Roman" w:hAnsi="Times New Roman" w:cs="Times New Roman"/>
        </w:rPr>
        <w:fldChar w:fldCharType="end"/>
      </w:r>
      <w:r w:rsidRPr="00F223BC">
        <w:rPr>
          <w:rFonts w:ascii="Times New Roman" w:hAnsi="Times New Roman" w:cs="Times New Roman"/>
        </w:rPr>
        <w:t xml:space="preserve">. </w:t>
      </w:r>
    </w:p>
    <w:p w14:paraId="57A359C4" w14:textId="77777777" w:rsidR="00256B3D" w:rsidRPr="00F223BC" w:rsidRDefault="00256B3D" w:rsidP="00256B3D">
      <w:pPr>
        <w:spacing w:line="480" w:lineRule="auto"/>
        <w:ind w:firstLine="720"/>
        <w:rPr>
          <w:rFonts w:ascii="Times New Roman" w:hAnsi="Times New Roman" w:cs="Times New Roman"/>
        </w:rPr>
      </w:pPr>
      <w:r w:rsidRPr="00F223BC">
        <w:rPr>
          <w:rFonts w:ascii="Times New Roman" w:hAnsi="Times New Roman" w:cs="Times New Roman"/>
          <w:b/>
          <w:bCs/>
        </w:rPr>
        <w:t>The AIDS epidemic</w:t>
      </w:r>
      <w:r w:rsidRPr="00F223BC">
        <w:rPr>
          <w:rFonts w:ascii="Times New Roman" w:hAnsi="Times New Roman" w:cs="Times New Roman"/>
        </w:rPr>
        <w:t xml:space="preserve">. The human immunodeficiency virus (HIV) infection rate in the United States grew rapidly in the early 1980s, peaked in the mid-1980s, and declined subsequently </w:t>
      </w:r>
      <w:r w:rsidRPr="00F223BC">
        <w:rPr>
          <w:rFonts w:ascii="Times New Roman" w:hAnsi="Times New Roman" w:cs="Times New Roman"/>
        </w:rPr>
        <w:fldChar w:fldCharType="begin"/>
      </w:r>
      <w:r>
        <w:rPr>
          <w:rFonts w:ascii="Times New Roman" w:hAnsi="Times New Roman" w:cs="Times New Roman"/>
        </w:rPr>
        <w:instrText xml:space="preserve"> ADDIN EN.CITE &lt;EndNote&gt;&lt;Cite&gt;&lt;Author&gt;Brookmeyer&lt;/Author&gt;&lt;Year&gt;1991&lt;/Year&gt;&lt;RecNum&gt;2017&lt;/RecNum&gt;&lt;DisplayText&gt;(Brookmeyer, 1991)&lt;/DisplayText&gt;&lt;record&gt;&lt;rec-number&gt;2017&lt;/rec-number&gt;&lt;foreign-keys&gt;&lt;key app="EN" db-id="2pe9e00ros0veneeptspa5vhz0pw2az52v20" timestamp="1695310400" guid="1b696420-1a27-451a-b53d-b9e80e5bc9a3"&gt;2017&lt;/key&gt;&lt;/foreign-keys&gt;&lt;ref-type name="Journal Article"&gt;17&lt;/ref-type&gt;&lt;contributors&gt;&lt;authors&gt;&lt;author&gt;Brookmeyer, Ron&lt;/author&gt;&lt;/authors&gt;&lt;/contributors&gt;&lt;titles&gt;&lt;title&gt;Reconstruction and future trends of the AIDS epidemic in the United States&lt;/title&gt;&lt;secondary-title&gt;Science&lt;/secondary-title&gt;&lt;/titles&gt;&lt;periodical&gt;&lt;full-title&gt;Science&lt;/full-title&gt;&lt;/periodical&gt;&lt;pages&gt;37-42&lt;/pages&gt;&lt;volume&gt;253&lt;/volume&gt;&lt;number&gt;5015&lt;/number&gt;&lt;dates&gt;&lt;year&gt;1991&lt;/year&gt;&lt;/dates&gt;&lt;urls&gt;&lt;related-urls&gt;&lt;url&gt;https://www.science.org/doi/abs/10.1126/science.2063206&lt;/url&gt;&lt;/related-urls&gt;&lt;/urls&gt;&lt;electronic-resource-num&gt;doi:10.1126/science.2063206&lt;/electronic-resource-num&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(Brookmeyer, 1991)</w:t>
      </w:r>
      <w:r w:rsidRPr="00F223BC">
        <w:rPr>
          <w:rFonts w:ascii="Times New Roman" w:hAnsi="Times New Roman" w:cs="Times New Roman"/>
        </w:rPr>
        <w:fldChar w:fldCharType="end"/>
      </w:r>
      <w:r w:rsidRPr="00F223BC">
        <w:rPr>
          <w:rFonts w:ascii="Times New Roman" w:hAnsi="Times New Roman" w:cs="Times New Roman"/>
        </w:rPr>
        <w:t xml:space="preserve">. During the AIDS era, the report </w:t>
      </w:r>
      <w:r w:rsidRPr="00F223BC">
        <w:rPr>
          <w:rFonts w:ascii="Times New Roman" w:hAnsi="Times New Roman" w:cs="Times New Roman"/>
          <w:i/>
          <w:iCs/>
        </w:rPr>
        <w:t>Occupational Safety and Health, OSHA Action Needed to Improve Compliance with Hazard Communication Standard</w:t>
      </w:r>
      <w:r w:rsidRPr="00F223BC">
        <w:rPr>
          <w:rFonts w:ascii="Times New Roman" w:hAnsi="Times New Roman" w:cs="Times New Roman"/>
        </w:rPr>
        <w:t xml:space="preserve"> was promulgated by the General Accounting Office, and the report provided information on employer compliance with the Hazard Communication Standard (HCS), efforts to inform small employers about HCS, and the accuracy and clarity of required material safety data sheets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&lt;EndNote&gt;&lt;Cite&gt;&lt;Author&gt;General Accounting Office&lt;/Author&gt;&lt;Year&gt;1991&lt;/Year&gt;&lt;RecNum&gt;2018&lt;/RecNum&gt;&lt;DisplayText&gt;(General Accounting Office, 1991)&lt;/DisplayText&gt;&lt;record&gt;&lt;rec-number&gt;2018&lt;/rec-number&gt;&lt;foreign-keys&gt;&lt;key app="EN" db-id="2pe9e00ros0veneeptspa5vhz0pw2az52v20" timestamp="1695311292" guid="9f9bef4a-b144-4304-a407-227af85f5f95"&gt;2018&lt;/key&gt;&lt;/foreign-keys&gt;&lt;ref-type name="Book"&gt;6&lt;/ref-type&gt;&lt;contributors&gt;&lt;authors&gt;&lt;author&gt;General Accounting Office,&lt;/author&gt;&lt;/authors&gt;&lt;/contributors&gt;&lt;titles&gt;&lt;title&gt;Occupational Safety and Health, OSHA Action Needed to Improve Compliance with Hazard Communication Standard&lt;/title&gt;&lt;/titles&gt;&lt;dates&gt;&lt;year&gt;1991&lt;/year&gt;&lt;/dates&gt;&lt;publisher&gt;US General Accounting Office.&lt;/publisher&gt;&lt;urls&gt;&lt;/urls&gt;&lt;/record&gt;&lt;/Cite&gt;&lt;/EndNote&gt;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(General Accounting Office, 1991)</w:t>
      </w:r>
      <w:r w:rsidRPr="00F223BC">
        <w:rPr>
          <w:rFonts w:ascii="Times New Roman" w:hAnsi="Times New Roman" w:cs="Times New Roman"/>
        </w:rPr>
        <w:fldChar w:fldCharType="end"/>
      </w:r>
      <w:r w:rsidRPr="00F223BC">
        <w:rPr>
          <w:rFonts w:ascii="Times New Roman" w:hAnsi="Times New Roman" w:cs="Times New Roman"/>
        </w:rPr>
        <w:t xml:space="preserve">. </w:t>
      </w:r>
    </w:p>
    <w:p w14:paraId="30B7868D" w14:textId="77777777" w:rsidR="00256B3D" w:rsidRPr="00F223BC" w:rsidRDefault="00256B3D" w:rsidP="00256B3D">
      <w:pPr>
        <w:spacing w:line="480" w:lineRule="auto"/>
        <w:ind w:firstLine="720"/>
        <w:rPr>
          <w:rFonts w:ascii="Times New Roman" w:hAnsi="Times New Roman" w:cs="Times New Roman"/>
        </w:rPr>
      </w:pPr>
      <w:r w:rsidRPr="00F223BC">
        <w:rPr>
          <w:rFonts w:ascii="Times New Roman" w:hAnsi="Times New Roman" w:cs="Times New Roman"/>
        </w:rPr>
        <w:t xml:space="preserve">Concerns about AIDS and other infectious diseases socially changed the operation of funeral homes, a new attitude toward community responsibility, and the acceptance of cremation. These social changes further led to the greater legitimacy of the funeral industry dealing with the disposal of the dead. For example, funeral directors applied universal precautions during the embalming </w:t>
      </w:r>
      <w:r w:rsidRPr="00F223BC">
        <w:rPr>
          <w:rFonts w:ascii="Times New Roman" w:hAnsi="Times New Roman" w:cs="Times New Roman"/>
        </w:rPr>
        <w:fldChar w:fldCharType="begin"/>
      </w:r>
      <w:r>
        <w:rPr>
          <w:rFonts w:ascii="Times New Roman" w:hAnsi="Times New Roman" w:cs="Times New Roman"/>
        </w:rPr>
        <w:instrText xml:space="preserve"> ADDIN EN.CITE &lt;EndNote&gt;&lt;Cite&gt;&lt;Author&gt;Beck-Sagué&lt;/Author&gt;&lt;Year&gt;1991&lt;/Year&gt;&lt;RecNum&gt;2019&lt;/RecNum&gt;&lt;DisplayText&gt;(Beck-Sagué et al., 1991)&lt;/DisplayText&gt;&lt;record&gt;&lt;rec-number&gt;2019&lt;/rec-number&gt;&lt;foreign-keys&gt;&lt;key app="EN" db-id="2pe9e00ros0veneeptspa5vhz0pw2az52v20" timestamp="1695314005" guid="3a852051-4793-47f6-8175-ccbb22cdf81a"&gt;2019&lt;/key&gt;&lt;/foreign-keys&gt;&lt;ref-type name="Journal Article"&gt;17&lt;/ref-type&gt;&lt;contributors&gt;&lt;authors&gt;&lt;author&gt;Beck-Sagué, Consuelo M.&lt;/author&gt;&lt;author&gt;Jarvis, William R.&lt;/author&gt;&lt;author&gt;Fruehling, James A.&lt;/author&gt;&lt;author&gt;Ott, Carol E.&lt;/author&gt;&lt;author&gt;Higgins, Mark T.&lt;/author&gt;&lt;author&gt;Bates, Fred L.&lt;/author&gt;&lt;/authors&gt;&lt;/contributors&gt;&lt;titles&gt;&lt;title&gt;Universal precautions and mortuary practitioners: Influence on practices and risk of occupationally acquired infection&lt;/title&gt;&lt;secondary-title&gt;Journal of Occupational and Environmental Medicine&lt;/secondary-title&gt;&lt;/titles&gt;&lt;periodical&gt;&lt;full-title&gt;Journal of Occupational and Environmental Medicine&lt;/full-title&gt;&lt;/periodical&gt;&lt;pages&gt;874-878&lt;/pages&gt;&lt;volume&gt;33&lt;/volume&gt;&lt;number&gt;8&lt;/number&gt;&lt;dates&gt;&lt;year&gt;1991&lt;/year&gt;&lt;/dates&gt;&lt;isbn&gt;1076-2752&lt;/isbn&gt;&lt;accession-num&gt;00005122-199108000-00012&lt;/accession-num&gt;&lt;urls&gt;&lt;/urls&gt;&lt;electronic-resource-num&gt;10.1097/00043764-199108000-00012&lt;/electronic-resource-num&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(Beck-Sagué et al., 1991)</w:t>
      </w:r>
      <w:r w:rsidRPr="00F223BC">
        <w:rPr>
          <w:rFonts w:ascii="Times New Roman" w:hAnsi="Times New Roman" w:cs="Times New Roman"/>
        </w:rPr>
        <w:fldChar w:fldCharType="end"/>
      </w:r>
      <w:r w:rsidRPr="00F223BC">
        <w:rPr>
          <w:rFonts w:ascii="Times New Roman" w:hAnsi="Times New Roman" w:cs="Times New Roman"/>
        </w:rPr>
        <w:t xml:space="preserve">, such as instituting the use of masks, gowns, and gloves and modifying the traditional garb worn by embalmers. Additionally, some morticians refused to work on bodies that died of causes related to HIV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&lt;EndNote&gt;&lt;Cite&gt;&lt;Author&gt;Wojcik&lt;/Author&gt;&lt;Year&gt;1993&lt;/Year&gt;&lt;RecNum&gt;2020&lt;/RecNum&gt;&lt;DisplayText&gt;(Wojcik, 1993)&lt;/DisplayText&gt;&lt;record&gt;&lt;rec-number&gt;2020&lt;/rec-number&gt;&lt;foreign-keys&gt;&lt;key app="EN" db-id="2pe9e00ros0veneeptspa5vhz0pw2az52v20" timestamp="1695315816" guid="fe362578-9c69-45d6-a32d-9d81dd200ff4"&gt;2020&lt;/key&gt;&lt;/foreign-keys&gt;&lt;ref-type name="Journal Article"&gt;17&lt;/ref-type&gt;&lt;contributors&gt;&lt;authors&gt;&lt;author&gt;Wojcik, Mark E&lt;/author&gt;&lt;/authors&gt;&lt;/contributors&gt;&lt;titles&gt;&lt;title&gt;AIDS and funeral homes: Common legal issues facing funeral directors&lt;/title&gt;&lt;secondary-title&gt;J. Marshall L. Rev.&lt;/secondary-title&gt;&lt;/titles&gt;&lt;periodical&gt;&lt;full-title&gt;J. Marshall L. Rev.&lt;/full-title&gt;&lt;/periodical&gt;&lt;pages&gt;411&lt;/pages&gt;&lt;volume&gt;27&lt;/volume&gt;&lt;dates&gt;&lt;year&gt;1993&lt;/year&gt;&lt;/dates&gt;&lt;urls&gt;&lt;/urls&gt;&lt;/record&gt;&lt;/Cite&gt;&lt;/EndNote&gt;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(Wojcik, 1993)</w:t>
      </w:r>
      <w:r w:rsidRPr="00F223BC">
        <w:rPr>
          <w:rFonts w:ascii="Times New Roman" w:hAnsi="Times New Roman" w:cs="Times New Roman"/>
        </w:rPr>
        <w:fldChar w:fldCharType="end"/>
      </w:r>
      <w:r w:rsidRPr="00F223BC">
        <w:rPr>
          <w:rFonts w:ascii="Times New Roman" w:hAnsi="Times New Roman" w:cs="Times New Roman"/>
        </w:rPr>
        <w:t xml:space="preserve">. Similarly, the study found that </w:t>
      </w:r>
      <w:r w:rsidRPr="00F223BC">
        <w:rPr>
          <w:rFonts w:ascii="Times New Roman" w:hAnsi="Times New Roman" w:cs="Times New Roman"/>
        </w:rPr>
        <w:lastRenderedPageBreak/>
        <w:t xml:space="preserve">people who died of acquired AIDS were cremated more frequently regardless of race or location of death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&lt;EndNote&gt;&lt;Cite&gt;&lt;Author&gt;Jacobs&lt;/Author&gt;&lt;Year&gt;1988&lt;/Year&gt;&lt;RecNum&gt;2021&lt;/RecNum&gt;&lt;DisplayText&gt;(Jacobs &amp;amp; Wilkes, 1988)&lt;/DisplayText&gt;&lt;record&gt;&lt;rec-number&gt;2021&lt;/rec-number&gt;&lt;foreign-keys&gt;&lt;key app="EN" db-id="2pe9e00ros0veneeptspa5vhz0pw2az52v20" timestamp="1695316304" guid="06c9c453-c7d2-42af-a771-5ccbb1bf9fe6"&gt;2021&lt;/key&gt;&lt;/foreign-keys&gt;&lt;ref-type name="Journal Article"&gt;17&lt;/ref-type&gt;&lt;contributors&gt;&lt;authors&gt;&lt;author&gt;Jacobs, Troy A.&lt;/author&gt;&lt;author&gt;Wilkes, Michael S.&lt;/author&gt;&lt;/authors&gt;&lt;/contributors&gt;&lt;titles&gt;&lt;title&gt;Cremation patterns for patients dying of AIDS in New York City&lt;/title&gt;&lt;secondary-title&gt;New York State Journal of Medicine&lt;/secondary-title&gt;&lt;/titles&gt;&lt;periodical&gt;&lt;full-title&gt;New York State Journal of Medicine&lt;/full-title&gt;&lt;/periodical&gt;&lt;pages&gt;628-632&lt;/pages&gt;&lt;volume&gt;88&lt;/volume&gt;&lt;number&gt;12&lt;/number&gt;&lt;keywords&gt;&lt;keyword&gt;*AIDS&lt;/keyword&gt;&lt;keyword&gt;*Death and Dying&lt;/keyword&gt;&lt;keyword&gt;Death Rites&lt;/keyword&gt;&lt;/keywords&gt;&lt;dates&gt;&lt;year&gt;1988&lt;/year&gt;&lt;/dates&gt;&lt;pub-location&gt;US&lt;/pub-location&gt;&lt;publisher&gt;Medical Society of the State of New York&lt;/publisher&gt;&lt;isbn&gt;0028-7628(Print)&lt;/isbn&gt;&lt;urls&gt;&lt;/urls&gt;&lt;/record&gt;&lt;/Cite&gt;&lt;/EndNote&gt;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(Jacobs &amp; Wilkes, 1988)</w:t>
      </w:r>
      <w:r w:rsidRPr="00F223BC">
        <w:rPr>
          <w:rFonts w:ascii="Times New Roman" w:hAnsi="Times New Roman" w:cs="Times New Roman"/>
        </w:rPr>
        <w:fldChar w:fldCharType="end"/>
      </w:r>
      <w:r w:rsidRPr="00F223BC">
        <w:rPr>
          <w:rFonts w:ascii="Times New Roman" w:hAnsi="Times New Roman" w:cs="Times New Roman"/>
        </w:rPr>
        <w:t xml:space="preserve">. </w:t>
      </w:r>
    </w:p>
    <w:p w14:paraId="0BB19A9B" w14:textId="77777777" w:rsidR="00256B3D" w:rsidRPr="00F223BC" w:rsidRDefault="00256B3D" w:rsidP="00256B3D">
      <w:pPr>
        <w:spacing w:line="480" w:lineRule="auto"/>
        <w:ind w:firstLine="720"/>
        <w:rPr>
          <w:rFonts w:ascii="Times New Roman" w:hAnsi="Times New Roman" w:cs="Times New Roman"/>
        </w:rPr>
      </w:pPr>
      <w:r w:rsidRPr="00F223BC">
        <w:rPr>
          <w:rFonts w:ascii="Times New Roman" w:hAnsi="Times New Roman" w:cs="Times New Roman"/>
          <w:b/>
          <w:bCs/>
        </w:rPr>
        <w:t>The Immigration Act of 1965</w:t>
      </w:r>
      <w:r w:rsidRPr="00F223BC">
        <w:rPr>
          <w:rFonts w:ascii="Times New Roman" w:hAnsi="Times New Roman" w:cs="Times New Roman"/>
        </w:rPr>
        <w:t xml:space="preserve">. The Immigration Act of 1965 amended the McCarran-Walter Act of 1962, and it concerned the abolition of the quota system, preference system, and labor clearances for certain classes of immigrants </w:t>
      </w:r>
      <w:r w:rsidRPr="00F223BC">
        <w:rPr>
          <w:rFonts w:ascii="Times New Roman" w:hAnsi="Times New Roman" w:cs="Times New Roman"/>
        </w:rPr>
        <w:fldChar w:fldCharType="begin"/>
      </w:r>
      <w:r>
        <w:rPr>
          <w:rFonts w:ascii="Times New Roman" w:hAnsi="Times New Roman" w:cs="Times New Roman"/>
        </w:rPr>
        <w:instrText xml:space="preserve"> ADDIN EN.CITE &lt;EndNote&gt;&lt;Cite&gt;&lt;Author&gt;Reimers&lt;/Author&gt;&lt;Year&gt;1983&lt;/Year&gt;&lt;RecNum&gt;2023&lt;/RecNum&gt;&lt;DisplayText&gt;(Reimers, 1983)&lt;/DisplayText&gt;&lt;record&gt;&lt;rec-number&gt;2023&lt;/rec-number&gt;&lt;foreign-keys&gt;&lt;key app="EN" db-id="2pe9e00ros0veneeptspa5vhz0pw2az52v20" timestamp="1695331839" guid="51a56be5-fa5c-4bff-b174-674fa5516039"&gt;2023&lt;/key&gt;&lt;/foreign-keys&gt;&lt;ref-type name="Journal Article"&gt;17&lt;/ref-type&gt;&lt;contributors&gt;&lt;authors&gt;&lt;author&gt;Reimers, David M.&lt;/author&gt;&lt;/authors&gt;&lt;/contributors&gt;&lt;titles&gt;&lt;title&gt;An unintended reform: The 1965 Immigration Act and Third World Immigration to the United States&lt;/title&gt;&lt;secondary-title&gt;Journal of American Ethnic History&lt;/secondary-title&gt;&lt;/titles&gt;&lt;periodical&gt;&lt;full-title&gt;Journal of American Ethnic History&lt;/full-title&gt;&lt;/periodical&gt;&lt;pages&gt;9-28&lt;/pages&gt;&lt;volume&gt;3&lt;/volume&gt;&lt;number&gt;1&lt;/number&gt;&lt;dates&gt;&lt;year&gt;1983&lt;/year&gt;&lt;/dates&gt;&lt;publisher&gt;University of Illinois Press&lt;/publisher&gt;&lt;isbn&gt;02785927&lt;/isbn&gt;&lt;urls&gt;&lt;related-urls&gt;&lt;url&gt;http://www.jstor.org/stable/27500293&lt;/url&gt;&lt;/related-urls&gt;&lt;/urls&gt;&lt;custom1&gt;Full publication date: Fall, 1983&lt;/custom1&gt;&lt;remote-database-name&gt;JSTOR&lt;/remote-database-name&gt;&lt;access-date&gt;2023/09/21/&lt;/access-date&gt;&lt;/record&gt;&lt;/Cite&gt;&lt;/EndNote&gt;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(Reimers, 1983)</w:t>
      </w:r>
      <w:r w:rsidRPr="00F223BC">
        <w:rPr>
          <w:rFonts w:ascii="Times New Roman" w:hAnsi="Times New Roman" w:cs="Times New Roman"/>
        </w:rPr>
        <w:fldChar w:fldCharType="end"/>
      </w:r>
      <w:r w:rsidRPr="00F223BC">
        <w:rPr>
          <w:rFonts w:ascii="Times New Roman" w:hAnsi="Times New Roman" w:cs="Times New Roman"/>
        </w:rPr>
        <w:t xml:space="preserve">. The new immigration law led to apparent changes in the origin of immigrants, and Southern European, Middle Eastern, Asian, and Caribbean immigrants make up a larger proportion of immigrants than previously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&lt;EndNote&gt;&lt;Cite&gt;&lt;Author&gt;Keely&lt;/Author&gt;&lt;Year&gt;1971&lt;/Year&gt;&lt;RecNum&gt;2022&lt;/RecNum&gt;&lt;DisplayText&gt;(Keely, 1971)&lt;/DisplayText&gt;&lt;record&gt;&lt;rec-number&gt;2022&lt;/rec-number&gt;&lt;foreign-keys&gt;&lt;key app="EN" db-id="2pe9e00ros0veneeptspa5vhz0pw2az52v20" timestamp="1695331439" guid="a3b11863-8e70-486f-9ddb-efb871b8acf7"&gt;2022&lt;/key&gt;&lt;/foreign-keys&gt;&lt;ref-type name="Journal Article"&gt;17&lt;/ref-type&gt;&lt;contributors&gt;&lt;authors&gt;&lt;author&gt;Keely, Charles B.&lt;/author&gt;&lt;/authors&gt;&lt;/contributors&gt;&lt;titles&gt;&lt;title&gt;Effects of the immigration act of 1965 on selected population characteristics of immigrants to the United States&lt;/title&gt;&lt;secondary-title&gt;Demography&lt;/secondary-title&gt;&lt;/titles&gt;&lt;periodical&gt;&lt;full-title&gt;Demography&lt;/full-title&gt;&lt;/periodical&gt;&lt;pages&gt;157-169&lt;/pages&gt;&lt;volume&gt;8&lt;/volume&gt;&lt;number&gt;2&lt;/number&gt;&lt;dates&gt;&lt;year&gt;1971&lt;/year&gt;&lt;/dates&gt;&lt;isbn&gt;0070-3370&lt;/isbn&gt;&lt;urls&gt;&lt;related-urls&gt;&lt;url&gt;https://doi.org/10.2307/2060606&lt;/url&gt;&lt;/related-urls&gt;&lt;/urls&gt;&lt;electronic-resource-num&gt;10.2307/2060606&lt;/electronic-resource-num&gt;&lt;access-date&gt;9/21/2023&lt;/access-date&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(Keely, 1971)</w:t>
      </w:r>
      <w:r w:rsidRPr="00F223BC">
        <w:rPr>
          <w:rFonts w:ascii="Times New Roman" w:hAnsi="Times New Roman" w:cs="Times New Roman"/>
        </w:rPr>
        <w:fldChar w:fldCharType="end"/>
      </w:r>
      <w:r w:rsidRPr="00F223BC">
        <w:rPr>
          <w:rFonts w:ascii="Times New Roman" w:hAnsi="Times New Roman" w:cs="Times New Roman"/>
        </w:rPr>
        <w:t xml:space="preserve">. Increasing numbers of new immigrants required specialized services that crossed lines of ethnicity, religion, and race. This phenomenon aroused some cross-cultural studies that discussed the cultural heterogeneity of American society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&lt;EndNote&gt;&lt;Cite&gt;&lt;Author&gt;Gudykunst&lt;/Author&gt;&lt;Year&gt;2003&lt;/Year&gt;&lt;RecNum&gt;2027&lt;/RecNum&gt;&lt;Prefix&gt;e.g.`, &lt;/Prefix&gt;&lt;DisplayText&gt;(e.g., Gudykunst &amp;amp; Kim, 2003)&lt;/DisplayText&gt;&lt;record&gt;&lt;rec-number&gt;2027&lt;/rec-number&gt;&lt;foreign-keys&gt;&lt;key app="EN" db-id="2pe9e00ros0veneeptspa5vhz0pw2az52v20" timestamp="1695334241" guid="f1868197-e6ce-4fee-b678-62c69d8570c4"&gt;2027&lt;/key&gt;&lt;/foreign-keys&gt;&lt;ref-type name="Book"&gt;6&lt;/ref-type&gt;&lt;contributors&gt;&lt;authors&gt;&lt;author&gt;William B. Gudykunst&lt;/author&gt;&lt;author&gt;Young Yun Kim&lt;/author&gt;&lt;/authors&gt;&lt;/contributors&gt;&lt;titles&gt;&lt;title&gt;Communicating with strangers: an approach to intercultural communication&lt;/title&gt;&lt;/titles&gt;&lt;edition&gt;4th&lt;/edition&gt;&lt;dates&gt;&lt;year&gt;2003&lt;/year&gt;&lt;/dates&gt;&lt;pub-location&gt;Boston&lt;/pub-location&gt;&lt;publisher&gt;McGraw-Hill&lt;/publisher&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(e.g., Gudykunst &amp; Kim, 2003)</w:t>
      </w:r>
      <w:r w:rsidRPr="00F223BC">
        <w:rPr>
          <w:rFonts w:ascii="Times New Roman" w:hAnsi="Times New Roman" w:cs="Times New Roman"/>
        </w:rPr>
        <w:fldChar w:fldCharType="end"/>
      </w:r>
      <w:r w:rsidRPr="00F223BC">
        <w:rPr>
          <w:rFonts w:ascii="Times New Roman" w:hAnsi="Times New Roman" w:cs="Times New Roman"/>
        </w:rPr>
        <w:t xml:space="preserve">, including funeral practices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&lt;EndNote&gt;&lt;Cite&gt;&lt;Author&gt;Metcalf&lt;/Author&gt;&lt;Year&gt;1991&lt;/Year&gt;&lt;RecNum&gt;2025&lt;/RecNum&gt;&lt;DisplayText&gt;(Metcalf &amp;amp; Huntington, 1991)&lt;/DisplayText&gt;&lt;record&gt;&lt;rec-number&gt;2025&lt;/rec-number&gt;&lt;foreign-keys&gt;&lt;key app="EN" db-id="2pe9e00ros0veneeptspa5vhz0pw2az52v20" timestamp="1695333781" guid="0b9617ca-62f6-4a07-8204-63e9dbddd6bb"&gt;2025&lt;/key&gt;&lt;/foreign-keys&gt;&lt;ref-type name="Book"&gt;6&lt;/ref-type&gt;&lt;contributors&gt;&lt;authors&gt;&lt;author&gt;Metcalf, Peter&lt;/author&gt;&lt;author&gt;Huntington, Richard&lt;/author&gt;&lt;/authors&gt;&lt;/contributors&gt;&lt;titles&gt;&lt;title&gt;Celebrations of death: The anthropology of mortuary ritual&lt;/title&gt;&lt;/titles&gt;&lt;dates&gt;&lt;year&gt;1991&lt;/year&gt;&lt;/dates&gt;&lt;publisher&gt;Cambridge University Press&lt;/publisher&gt;&lt;isbn&gt;0521423759&lt;/isbn&gt;&lt;urls&gt;&lt;/urls&gt;&lt;/record&gt;&lt;/Cite&gt;&lt;/EndNote&gt;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(Metcalf &amp; Huntington, 1991)</w:t>
      </w:r>
      <w:r w:rsidRPr="00F223BC">
        <w:rPr>
          <w:rFonts w:ascii="Times New Roman" w:hAnsi="Times New Roman" w:cs="Times New Roman"/>
        </w:rPr>
        <w:fldChar w:fldCharType="end"/>
      </w:r>
      <w:r w:rsidRPr="00F223BC">
        <w:rPr>
          <w:rFonts w:ascii="Times New Roman" w:hAnsi="Times New Roman" w:cs="Times New Roman"/>
        </w:rPr>
        <w:t xml:space="preserve"> and bereavement practices </w:t>
      </w:r>
      <w:r w:rsidRPr="00F223BC">
        <w:rPr>
          <w:rFonts w:ascii="Times New Roman" w:hAnsi="Times New Roman" w:cs="Times New Roman"/>
        </w:rPr>
        <w:fldChar w:fldCharType="begin"/>
      </w:r>
      <w:r>
        <w:rPr>
          <w:rFonts w:ascii="Times New Roman" w:hAnsi="Times New Roman" w:cs="Times New Roman"/>
        </w:rPr>
        <w:instrText xml:space="preserve"> ADDIN EN.CITE &lt;EndNote&gt;&lt;Cite&gt;&lt;Author&gt;Eisenbruch&lt;/Author&gt;&lt;Year&gt;1984&lt;/Year&gt;&lt;RecNum&gt;2024&lt;/RecNum&gt;&lt;DisplayText&gt;(Eisenbruch, 1984)&lt;/DisplayText&gt;&lt;record&gt;&lt;rec-number&gt;2024&lt;/rec-number&gt;&lt;foreign-keys&gt;&lt;key app="EN" db-id="2pe9e00ros0veneeptspa5vhz0pw2az52v20" timestamp="1695333431" guid="bbc2142a-a774-47a4-abfe-56290fb71a0d"&gt;2024&lt;/key&gt;&lt;/foreign-keys&gt;&lt;ref-type name="Journal Article"&gt;17&lt;/ref-type&gt;&lt;contributors&gt;&lt;authors&gt;&lt;author&gt;Eisenbruch, Maurice&lt;/author&gt;&lt;/authors&gt;&lt;/contributors&gt;&lt;titles&gt;&lt;title&gt;Cross-cultural aspects of bereavement. II: Ethnic and cultural variations in the development of bereavement practices&lt;/title&gt;&lt;secondary-title&gt;Culture, Medicine and Psychiatry&lt;/secondary-title&gt;&lt;/titles&gt;&lt;periodical&gt;&lt;full-title&gt;Culture, Medicine and Psychiatry&lt;/full-title&gt;&lt;/periodical&gt;&lt;pages&gt;315-347&lt;/pages&gt;&lt;volume&gt;8&lt;/volume&gt;&lt;number&gt;4&lt;/number&gt;&lt;dates&gt;&lt;year&gt;1984&lt;/year&gt;&lt;/dates&gt;&lt;isbn&gt;1573-076X&lt;/isbn&gt;&lt;urls&gt;&lt;related-urls&gt;&lt;url&gt;https://doi.org/10.1007/BF00114661&lt;/url&gt;&lt;/related-urls&gt;&lt;/urls&gt;&lt;electronic-resource-num&gt;10.1007/BF00114661&lt;/electronic-resource-num&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(Eisenbruch, 1984)</w:t>
      </w:r>
      <w:r w:rsidRPr="00F223BC">
        <w:rPr>
          <w:rFonts w:ascii="Times New Roman" w:hAnsi="Times New Roman" w:cs="Times New Roman"/>
        </w:rPr>
        <w:fldChar w:fldCharType="end"/>
      </w:r>
      <w:r w:rsidRPr="00F223BC">
        <w:rPr>
          <w:rFonts w:ascii="Times New Roman" w:hAnsi="Times New Roman" w:cs="Times New Roman"/>
        </w:rPr>
        <w:t xml:space="preserve">. For example, a study found that a Chinese-American funeral ritual was combined with core identity markers of Chineseness and arbitrary markers of cultural and socio-economic contexts of the large society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&lt;EndNote&gt;&lt;Cite&gt;&lt;Author&gt;Zhang&lt;/Author&gt;&lt;Year&gt;2001&lt;/Year&gt;&lt;RecNum&gt;2028&lt;/RecNum&gt;&lt;DisplayText&gt;(Zhang, 2001)&lt;/DisplayText&gt;&lt;record&gt;&lt;rec-number&gt;2028&lt;/rec-number&gt;&lt;foreign-keys&gt;&lt;key app="EN" db-id="2pe9e00ros0veneeptspa5vhz0pw2az52v20" timestamp="1695335593" guid="e356d730-fbaa-4921-93e3-7a8d97ace642"&gt;2028&lt;/key&gt;&lt;/foreign-keys&gt;&lt;ref-type name="Thesis"&gt;32&lt;/ref-type&gt;&lt;contributors&gt;&lt;authors&gt;&lt;author&gt;Zhang, Juwen&lt;/author&gt;&lt;/authors&gt;&lt;tertiary-authors&gt;&lt;author&gt;Ben-Amos, Dan&lt;/author&gt;&lt;/tertiary-authors&gt;&lt;/contributors&gt;&lt;titles&gt;&lt;title&gt;Falling seeds take root: Ritualizing Chinese American identity through funerals&lt;/title&gt;&lt;/titles&gt;&lt;pages&gt;290&lt;/pages&gt;&lt;number&gt;3015398&lt;/number&gt;&lt;dates&gt;&lt;year&gt;2001&lt;/year&gt;&lt;pub-dates&gt;&lt;date&gt;2001&lt;/date&gt;&lt;/pub-dates&gt;&lt;/dates&gt;&lt;pub-location&gt;United States -- Pennsylvania&lt;/pub-location&gt;&lt;publisher&gt;University of Pennsylvania&lt;/publisher&gt;&lt;isbn&gt;978-0-493-25764-8&lt;/isbn&gt;&lt;accession-num&gt;251779893&lt;/accession-num&gt;&lt;work-type&gt;Ph.D.&lt;/work-type&gt;&lt;urls&gt;&lt;/urls&gt;&lt;remote-database-name&gt;ProQuest Dissertations &amp;amp; Theses Global&lt;/remote-database-name&gt;&lt;language&gt;English&lt;/language&gt;&lt;/record&gt;&lt;/Cite&gt;&lt;/EndNote&gt;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(Zhang, 2001)</w:t>
      </w:r>
      <w:r w:rsidRPr="00F223BC">
        <w:rPr>
          <w:rFonts w:ascii="Times New Roman" w:hAnsi="Times New Roman" w:cs="Times New Roman"/>
        </w:rPr>
        <w:fldChar w:fldCharType="end"/>
      </w:r>
      <w:r w:rsidRPr="00F223BC">
        <w:rPr>
          <w:rFonts w:ascii="Times New Roman" w:hAnsi="Times New Roman" w:cs="Times New Roman"/>
        </w:rPr>
        <w:t xml:space="preserve">. </w:t>
      </w:r>
    </w:p>
    <w:p w14:paraId="3784D572" w14:textId="77777777" w:rsidR="00256B3D" w:rsidRPr="00F223BC" w:rsidRDefault="00256B3D" w:rsidP="00256B3D">
      <w:pPr>
        <w:spacing w:line="480" w:lineRule="auto"/>
        <w:ind w:firstLine="720"/>
        <w:rPr>
          <w:rFonts w:ascii="Times New Roman" w:hAnsi="Times New Roman" w:cs="Times New Roman"/>
        </w:rPr>
      </w:pPr>
      <w:r w:rsidRPr="00F223BC">
        <w:rPr>
          <w:rFonts w:ascii="Times New Roman" w:hAnsi="Times New Roman" w:cs="Times New Roman"/>
        </w:rPr>
        <w:t xml:space="preserve">Immigration transformed funeral services in a complicated manifestation in the late 20th century. In one aspect, funeral directors embraced multiculturalism as an unavoidable social and business reality. Funeral directors took much interest in learning the cultural intricacies of foreign death rites because of the moral and financial values of adapting their services to satisfy customers </w:t>
      </w:r>
      <w:r w:rsidRPr="00F223BC">
        <w:rPr>
          <w:rFonts w:ascii="Times New Roman" w:hAnsi="Times New Roman" w:cs="Times New Roman"/>
        </w:rPr>
        <w:fldChar w:fldCharType="begin"/>
      </w:r>
      <w:r>
        <w:rPr>
          <w:rFonts w:ascii="Times New Roman" w:hAnsi="Times New Roman" w:cs="Times New Roman"/>
        </w:rPr>
        <w:instrText xml:space="preserve"> ADDIN EN.CITE &lt;EndNote&gt;&lt;Cite&gt;&lt;Author&gt;Goren&lt;/Author&gt;&lt;Year&gt;1994&lt;/Year&gt;&lt;RecNum&gt;2031&lt;/RecNum&gt;&lt;Prefix&gt;e.g.`, &lt;/Prefix&gt;&lt;DisplayText&gt;(e.g., Goren, 1994; Reimers, 1999)&lt;/DisplayText&gt;&lt;record&gt;&lt;rec-number&gt;2031&lt;/rec-number&gt;&lt;foreign-keys&gt;&lt;key app="EN" db-id="2pe9e00ros0veneeptspa5vhz0pw2az52v20" timestamp="1695338187" guid="9d39d34d-00b0-400a-9bc7-327dc3d327a7"&gt;2031&lt;/key&gt;&lt;/foreign-keys&gt;&lt;ref-type name="Journal Article"&gt;17&lt;/ref-type&gt;&lt;contributors&gt;&lt;authors&gt;&lt;author&gt;Goren, Arthur Aryeh&lt;/author&gt;&lt;/authors&gt;&lt;/contributors&gt;&lt;titles&gt;&lt;title&gt;Sacred and secular: The place of public funerals in the immigrant life of American Jews&lt;/title&gt;&lt;secondary-title&gt;Hîstôry¯a yêhûdît = Jewish history&lt;/secondary-title&gt;&lt;/titles&gt;&lt;periodical&gt;&lt;full-title&gt;Hîstôry¯a yêhûdît = Jewish history&lt;/full-title&gt;&lt;/periodical&gt;&lt;pages&gt;269-305&lt;/pages&gt;&lt;volume&gt;8&lt;/volume&gt;&lt;number&gt;1&lt;/number&gt;&lt;dates&gt;&lt;year&gt;1994&lt;/year&gt;&lt;/dates&gt;&lt;isbn&gt;1572-8579&lt;/isbn&gt;&lt;urls&gt;&lt;related-urls&gt;&lt;url&gt;https://doi.org/10.1007/BF01915918&lt;/url&gt;&lt;/related-urls&gt;&lt;/urls&gt;&lt;electronic-resource-num&gt;10.1007/BF01915918&lt;/electronic-resource-num&gt;&lt;/record&gt;&lt;/Cite&gt;&lt;Cite&gt;&lt;Author&gt;Reimers&lt;/Author&gt;&lt;Year&gt;1999&lt;/Year&gt;&lt;RecNum&gt;2030&lt;/RecNum&gt;&lt;record&gt;&lt;rec-number&gt;2030&lt;/rec-number&gt;&lt;foreign-keys&gt;&lt;key app="EN" db-id="2pe9e00ros0veneeptspa5vhz0pw2az52v20" timestamp="1695338151" guid="11966141-1855-4762-9ccd-4f21923afdf9"&gt;2030&lt;/key&gt;&lt;/foreign-keys&gt;&lt;ref-type name="Journal Article"&gt;17&lt;/ref-type&gt;&lt;contributors&gt;&lt;authors&gt;&lt;author&gt;Reimers, Eva&lt;/author&gt;&lt;/authors&gt;&lt;/contributors&gt;&lt;titles&gt;&lt;title&gt;Death and identity: Graves and funerals as cultural communication&lt;/title&gt;&lt;secondary-title&gt;Mortality&lt;/secondary-title&gt;&lt;/titles&gt;&lt;periodical&gt;&lt;full-title&gt;Mortality&lt;/full-title&gt;&lt;/periodical&gt;&lt;pages&gt;147-166&lt;/pages&gt;&lt;volume&gt;4&lt;/volume&gt;&lt;number&gt;2&lt;/number&gt;&lt;dates&gt;&lt;year&gt;1999&lt;/year&gt;&lt;/dates&gt;&lt;publisher&gt;Routledge&lt;/publisher&gt;&lt;isbn&gt;1357-6275&lt;/isbn&gt;&lt;urls&gt;&lt;related-urls&gt;&lt;url&gt;https://doi.org/10.1080/713685976&lt;/url&gt;&lt;/related-urls&gt;&lt;/urls&gt;&lt;electronic-resource-num&gt;10.1080/713685976&lt;/electronic-resource-num&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(e.g., Goren, 1994; Reimers, 1999)</w:t>
      </w:r>
      <w:r w:rsidRPr="00F223BC">
        <w:rPr>
          <w:rFonts w:ascii="Times New Roman" w:hAnsi="Times New Roman" w:cs="Times New Roman"/>
        </w:rPr>
        <w:fldChar w:fldCharType="end"/>
      </w:r>
      <w:r w:rsidRPr="00F223BC">
        <w:rPr>
          <w:rFonts w:ascii="Times New Roman" w:hAnsi="Times New Roman" w:cs="Times New Roman"/>
        </w:rPr>
        <w:t xml:space="preserve">, such as </w:t>
      </w:r>
      <w:r w:rsidRPr="00F223BC">
        <w:rPr>
          <w:rFonts w:ascii="Times New Roman" w:hAnsi="Times New Roman" w:cs="Times New Roman"/>
          <w:i/>
          <w:iCs/>
        </w:rPr>
        <w:t>Dia de Los Muertos</w:t>
      </w:r>
      <w:r w:rsidRPr="00F223BC">
        <w:rPr>
          <w:rFonts w:ascii="Times New Roman" w:hAnsi="Times New Roman" w:cs="Times New Roman"/>
        </w:rPr>
        <w:t xml:space="preserve"> (i.e., the Mexican Day of the Dead). Nevertheless, funeral homes normalized relations between the living and the dead and established cultural universals in funeral services. For example, an Italian-American death ritual in Old World customs and traditions was subsequently modified by American social patterns, secularism, industrialization, and funeral customs </w:t>
      </w:r>
      <w:r w:rsidRPr="00F223BC">
        <w:rPr>
          <w:rFonts w:ascii="Times New Roman" w:hAnsi="Times New Roman" w:cs="Times New Roman"/>
        </w:rPr>
        <w:fldChar w:fldCharType="begin"/>
      </w:r>
      <w:r>
        <w:rPr>
          <w:rFonts w:ascii="Times New Roman" w:hAnsi="Times New Roman" w:cs="Times New Roman"/>
        </w:rPr>
        <w:instrText xml:space="preserve"> ADDIN EN.CITE &lt;EndNote&gt;&lt;Cite&gt;&lt;Author&gt;Coweii&lt;/Author&gt;&lt;Year&gt;1986&lt;/Year&gt;&lt;RecNum&gt;2029&lt;/RecNum&gt;&lt;DisplayText&gt;(Coweii, 1986)&lt;/DisplayText&gt;&lt;record&gt;&lt;rec-number&gt;2029&lt;/rec-number&gt;&lt;foreign-keys&gt;&lt;key app="EN" db-id="2pe9e00ros0veneeptspa5vhz0pw2az52v20" timestamp="1695337436" guid="bf1cffd6-50e8-4f29-9e1f-8fcc0705acf4"&gt;2029&lt;/key&gt;&lt;/foreign-keys&gt;&lt;ref-type name="Journal Article"&gt;17&lt;/ref-type&gt;&lt;contributors&gt;&lt;authors&gt;&lt;author&gt;Coweii, Daniel David&lt;/author&gt;&lt;/authors&gt;&lt;/contributors&gt;&lt;titles&gt;&lt;title&gt;Funerals, family, and forefathers: A view of Italian-American funeral practices&lt;/title&gt;&lt;secondary-title&gt;OMEGA - Journal of Death and Dying&lt;/secondary-title&gt;&lt;/titles&gt;&lt;periodical&gt;&lt;full-title&gt;OMEGA - Journal of Death and Dying&lt;/full-title&gt;&lt;/periodical&gt;&lt;pages&gt;69-85&lt;/pages&gt;&lt;volume&gt;16&lt;/volume&gt;&lt;number&gt;1&lt;/number&gt;&lt;dates&gt;&lt;year&gt;1986&lt;/year&gt;&lt;/dates&gt;&lt;urls&gt;&lt;related-urls&gt;&lt;url&gt;https://journals.sagepub.com/doi/abs/10.2190/RYLD-33XC-T9GP-9JU7&lt;/url&gt;&lt;/related-urls&gt;&lt;/urls&gt;&lt;electronic-resource-num&gt;10.2190/ryld-33xc-t9gp-9ju7&lt;/electronic-resource-num&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(Coweii, 1986)</w:t>
      </w:r>
      <w:r w:rsidRPr="00F223BC">
        <w:rPr>
          <w:rFonts w:ascii="Times New Roman" w:hAnsi="Times New Roman" w:cs="Times New Roman"/>
        </w:rPr>
        <w:fldChar w:fldCharType="end"/>
      </w:r>
      <w:r w:rsidRPr="00F223BC">
        <w:rPr>
          <w:rFonts w:ascii="Times New Roman" w:hAnsi="Times New Roman" w:cs="Times New Roman"/>
        </w:rPr>
        <w:t xml:space="preserve">. </w:t>
      </w:r>
    </w:p>
    <w:p w14:paraId="7DFD4589" w14:textId="77777777" w:rsidR="00256B3D" w:rsidRPr="00F223BC" w:rsidRDefault="00256B3D" w:rsidP="00256B3D">
      <w:pPr>
        <w:spacing w:line="480" w:lineRule="auto"/>
        <w:ind w:firstLine="720"/>
        <w:rPr>
          <w:rFonts w:ascii="Times New Roman" w:hAnsi="Times New Roman" w:cs="Times New Roman"/>
        </w:rPr>
      </w:pPr>
      <w:r w:rsidRPr="00F223BC">
        <w:rPr>
          <w:rFonts w:ascii="Times New Roman" w:hAnsi="Times New Roman" w:cs="Times New Roman"/>
          <w:b/>
          <w:bCs/>
        </w:rPr>
        <w:lastRenderedPageBreak/>
        <w:t>In summary,</w:t>
      </w:r>
      <w:r w:rsidRPr="00F223BC">
        <w:rPr>
          <w:rFonts w:ascii="Times New Roman" w:hAnsi="Times New Roman" w:cs="Times New Roman"/>
        </w:rPr>
        <w:t xml:space="preserve"> from the 1960s to the 1980s, the funeral industry experienced a cultural and social change in consumption patterns. These changes resonated with the McDonaldization of US society in the late 20th century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&lt;EndNote&gt;&lt;Cite&gt;&lt;Author&gt;Ritzer&lt;/Author&gt;&lt;Year&gt;2013&lt;/Year&gt;&lt;RecNum&gt;2032&lt;/RecNum&gt;&lt;DisplayText&gt;(Ritzer, 2013)&lt;/DisplayText&gt;&lt;record&gt;&lt;rec-number&gt;2032&lt;/rec-number&gt;&lt;foreign-keys&gt;&lt;key app="EN" db-id="2pe9e00ros0veneeptspa5vhz0pw2az52v20" timestamp="1695340896" guid="cd082c84-8163-42f9-96e0-6e46b74a950e"&gt;2032&lt;/key&gt;&lt;/foreign-keys&gt;&lt;ref-type name="Book"&gt;6&lt;/ref-type&gt;&lt;contributors&gt;&lt;authors&gt;&lt;author&gt;Ritzer, George&lt;/author&gt;&lt;/authors&gt;&lt;/contributors&gt;&lt;titles&gt;&lt;title&gt;The McDonaldization of society&lt;/title&gt;&lt;/titles&gt;&lt;edition&gt;20th anniversary, 7th&lt;/edition&gt;&lt;keywords&gt;&lt;keyword&gt;Social structure -- United States&lt;/keyword&gt;&lt;keyword&gt;Management -- Social aspects -- United States&lt;/keyword&gt;&lt;keyword&gt;Fast food restaurants -- Social aspects -- United States&lt;/keyword&gt;&lt;keyword&gt;Rationalization (Psychology)&lt;/keyword&gt;&lt;keyword&gt;United States -- Social conditions -- 1980-&lt;/keyword&gt;&lt;/keywords&gt;&lt;dates&gt;&lt;year&gt;2013&lt;/year&gt;&lt;/dates&gt;&lt;pub-location&gt;Thousand Oaks, Calif.&lt;/pub-location&gt;&lt;publisher&gt;Sage&lt;/publisher&gt;&lt;urls&gt;&lt;/urls&gt;&lt;/record&gt;&lt;/Cite&gt;&lt;/EndNote&gt;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(Ritzer, 2013)</w:t>
      </w:r>
      <w:r w:rsidRPr="00F223BC">
        <w:rPr>
          <w:rFonts w:ascii="Times New Roman" w:hAnsi="Times New Roman" w:cs="Times New Roman"/>
        </w:rPr>
        <w:fldChar w:fldCharType="end"/>
      </w:r>
      <w:r w:rsidRPr="00F223BC">
        <w:rPr>
          <w:rFonts w:ascii="Times New Roman" w:hAnsi="Times New Roman" w:cs="Times New Roman"/>
        </w:rPr>
        <w:t xml:space="preserve">, characterized by the rationality of efficiency, predictability, calculability, substitution of nonhuman for human technology, and control over uncertainty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&lt;EndNote&gt;&lt;Cite&gt;&lt;Author&gt;Ritzer&lt;/Author&gt;&lt;Year&gt;1983&lt;/Year&gt;&lt;RecNum&gt;2033&lt;/RecNum&gt;&lt;DisplayText&gt;(Ritzer, 1983)&lt;/DisplayText&gt;&lt;record&gt;&lt;rec-number&gt;2033&lt;/rec-number&gt;&lt;foreign-keys&gt;&lt;key app="EN" db-id="2pe9e00ros0veneeptspa5vhz0pw2az52v20" timestamp="1695341385" guid="d5cf3384-9cab-4332-a03b-c3e79c5fca4a"&gt;2033&lt;/key&gt;&lt;/foreign-keys&gt;&lt;ref-type name="Journal Article"&gt;17&lt;/ref-type&gt;&lt;contributors&gt;&lt;authors&gt;&lt;author&gt;Ritzer, George&lt;/author&gt;&lt;/authors&gt;&lt;/contributors&gt;&lt;titles&gt;&lt;title&gt;The “McDonaldization” of Society&lt;/title&gt;&lt;secondary-title&gt;Journal of American Culture&lt;/secondary-title&gt;&lt;/titles&gt;&lt;periodical&gt;&lt;full-title&gt;Journal of American Culture&lt;/full-title&gt;&lt;/periodical&gt;&lt;pages&gt;100-107&lt;/pages&gt;&lt;volume&gt;6&lt;/volume&gt;&lt;number&gt;1&lt;/number&gt;&lt;dates&gt;&lt;year&gt;1983&lt;/year&gt;&lt;/dates&gt;&lt;isbn&gt;0191-1813&lt;/isbn&gt;&lt;urls&gt;&lt;related-urls&gt;&lt;url&gt;https://onlinelibrary.wiley.com/doi/abs/10.1111/j.1542-734X.1983.0601_100.x&lt;/url&gt;&lt;/related-urls&gt;&lt;/urls&gt;&lt;electronic-resource-num&gt;10.1111/j.1542-734X.1983.0601_100.x&lt;/electronic-resource-num&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(Ritzer, 1983)</w:t>
      </w:r>
      <w:r w:rsidRPr="00F223BC">
        <w:rPr>
          <w:rFonts w:ascii="Times New Roman" w:hAnsi="Times New Roman" w:cs="Times New Roman"/>
        </w:rPr>
        <w:fldChar w:fldCharType="end"/>
      </w:r>
      <w:r w:rsidRPr="00F223BC">
        <w:rPr>
          <w:rFonts w:ascii="Times New Roman" w:hAnsi="Times New Roman" w:cs="Times New Roman"/>
        </w:rPr>
        <w:t xml:space="preserve">. Specifically, the funeral industry was further legitimized as an institution because of the enacted trade regulation rule by the Federal Trade Commission and the promulgated hazard communication standard by the General Accounting Office. Moreover, the funeral industry respected diversity and embraced multiculturalism because of the increasing number of immigrants. Lastly, the funeral industry transcended funeral services by integrating the meaning of human dignity and values into handling and comprehending death. </w:t>
      </w:r>
    </w:p>
    <w:p w14:paraId="786191C7" w14:textId="77777777" w:rsidR="00256B3D" w:rsidRPr="00F223BC" w:rsidRDefault="00256B3D" w:rsidP="00256B3D">
      <w:pPr>
        <w:spacing w:line="480" w:lineRule="auto"/>
        <w:rPr>
          <w:rFonts w:ascii="Times New Roman" w:hAnsi="Times New Roman" w:cs="Times New Roman"/>
          <w:b/>
          <w:bCs/>
        </w:rPr>
      </w:pPr>
      <w:r w:rsidRPr="00F223BC">
        <w:rPr>
          <w:rFonts w:ascii="Times New Roman" w:hAnsi="Times New Roman" w:cs="Times New Roman"/>
          <w:b/>
          <w:bCs/>
        </w:rPr>
        <w:t>Moving into the 21st-Century Frontier</w:t>
      </w:r>
    </w:p>
    <w:p w14:paraId="5222669E" w14:textId="77777777" w:rsidR="00256B3D" w:rsidRPr="00F223BC" w:rsidRDefault="00256B3D" w:rsidP="00256B3D">
      <w:pPr>
        <w:spacing w:line="480" w:lineRule="auto"/>
        <w:ind w:firstLine="720"/>
        <w:rPr>
          <w:rFonts w:ascii="Times New Roman" w:hAnsi="Times New Roman" w:cs="Times New Roman"/>
        </w:rPr>
      </w:pPr>
      <w:r w:rsidRPr="00F223BC">
        <w:rPr>
          <w:rFonts w:ascii="Times New Roman" w:hAnsi="Times New Roman" w:cs="Times New Roman"/>
        </w:rPr>
        <w:t xml:space="preserve">The funeral industry was crossing the 21st-century frontier with four trends- more cremations, rising funeral corporate giants, the triumph of death in mass media, and funeral services in cyberspace. These four trends are still going on and developing into the more expansive stage. </w:t>
      </w:r>
    </w:p>
    <w:p w14:paraId="0CC7A7D3" w14:textId="77777777" w:rsidR="00256B3D" w:rsidRPr="00F223BC" w:rsidRDefault="00256B3D" w:rsidP="00256B3D">
      <w:pPr>
        <w:spacing w:line="480" w:lineRule="auto"/>
        <w:ind w:firstLine="720"/>
        <w:rPr>
          <w:rFonts w:ascii="Times New Roman" w:hAnsi="Times New Roman" w:cs="Times New Roman"/>
        </w:rPr>
      </w:pPr>
      <w:r w:rsidRPr="00F223BC">
        <w:rPr>
          <w:rFonts w:ascii="Times New Roman" w:hAnsi="Times New Roman" w:cs="Times New Roman"/>
          <w:b/>
          <w:bCs/>
        </w:rPr>
        <w:t>More cremations</w:t>
      </w:r>
      <w:r w:rsidRPr="00F223BC">
        <w:rPr>
          <w:rFonts w:ascii="Times New Roman" w:hAnsi="Times New Roman" w:cs="Times New Roman"/>
        </w:rPr>
        <w:t xml:space="preserve">. Cremation is the mechanical, thermal, or other dissolution process that reduces human remains to bone fragments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&lt;EndNote&gt;&lt;Cite&gt;&lt;Author&gt;Cremation Association of North America&lt;/Author&gt;&lt;Year&gt;n.d.&lt;/Year&gt;&lt;RecNum&gt;2044&lt;/RecNum&gt;&lt;DisplayText&gt;(Cremation Association of North America, n.d.)&lt;/DisplayText&gt;&lt;record&gt;&lt;rec-number&gt;2044&lt;/rec-number&gt;&lt;foreign-keys&gt;&lt;key app="EN" db-id="2pe9e00ros0veneeptspa5vhz0pw2az52v20" timestamp="1695430641" guid="12d87a2a-11a7-4619-b0ad-cee370c0ba18"&gt;2044&lt;/key&gt;&lt;/foreign-keys&gt;&lt;ref-type name="Web Page"&gt;12&lt;/ref-type&gt;&lt;contributors&gt;&lt;authors&gt;&lt;author&gt;Cremation Association of North America,&lt;/author&gt;&lt;/authors&gt;&lt;/contributors&gt;&lt;titles&gt;&lt;title&gt;History of Cremation&lt;/title&gt;&lt;/titles&gt;&lt;dates&gt;&lt;year&gt;n.d.&lt;/year&gt;&lt;/dates&gt;&lt;pub-location&gt;Cremation Association of North America&lt;/pub-location&gt;&lt;urls&gt;&lt;related-urls&gt;&lt;url&gt;https://www.cremationassociation.org/page/HistoryOfCremation&lt;/url&gt;&lt;/related-urls&gt;&lt;/urls&gt;&lt;/record&gt;&lt;/Cite&gt;&lt;/EndNote&gt;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(Cremation Association of North America, n.d.)</w:t>
      </w:r>
      <w:r w:rsidRPr="00F223BC">
        <w:rPr>
          <w:rFonts w:ascii="Times New Roman" w:hAnsi="Times New Roman" w:cs="Times New Roman"/>
        </w:rPr>
        <w:fldChar w:fldCharType="end"/>
      </w:r>
      <w:r w:rsidRPr="00F223BC">
        <w:rPr>
          <w:rFonts w:ascii="Times New Roman" w:hAnsi="Times New Roman" w:cs="Times New Roman"/>
        </w:rPr>
        <w:t xml:space="preserve">. In the United States, the cremation rate was about 5 percent in the 1960s and increased to 25 percent in the 2000s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&lt;EndNote&gt;&lt;Cite&gt;&lt;Author&gt;Cremation Association of North America&lt;/Author&gt;&lt;Year&gt;n.d.&lt;/Year&gt;&lt;RecNum&gt;2044&lt;/RecNum&gt;&lt;DisplayText&gt;(Cremation Association of North America, n.d.)&lt;/DisplayText&gt;&lt;record&gt;&lt;rec-number&gt;2044&lt;/rec-number&gt;&lt;foreign-keys&gt;&lt;key app="EN" db-id="2pe9e00ros0veneeptspa5vhz0pw2az52v20" timestamp="1695430641" guid="12d87a2a-11a7-4619-b0ad-cee370c0ba18"&gt;2044&lt;/key&gt;&lt;/foreign-keys&gt;&lt;ref-type name="Web Page"&gt;12&lt;/ref-type&gt;&lt;contributors&gt;&lt;authors&gt;&lt;author&gt;Cremation Association of North America,&lt;/author&gt;&lt;/authors&gt;&lt;/contributors&gt;&lt;titles&gt;&lt;title&gt;History of Cremation&lt;/title&gt;&lt;/titles&gt;&lt;dates&gt;&lt;year&gt;n.d.&lt;/year&gt;&lt;/dates&gt;&lt;pub-location&gt;Cremation Association of North America&lt;/pub-location&gt;&lt;urls&gt;&lt;related-urls&gt;&lt;url&gt;https://www.cremationassociation.org/page/HistoryOfCremation&lt;/url&gt;&lt;/related-urls&gt;&lt;/urls&gt;&lt;/record&gt;&lt;/Cite&gt;&lt;/EndNote&gt;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(Cremation Association of North America, n.d.)</w:t>
      </w:r>
      <w:r w:rsidRPr="00F223BC">
        <w:rPr>
          <w:rFonts w:ascii="Times New Roman" w:hAnsi="Times New Roman" w:cs="Times New Roman"/>
        </w:rPr>
        <w:fldChar w:fldCharType="end"/>
      </w:r>
      <w:r w:rsidRPr="00F223BC">
        <w:rPr>
          <w:rFonts w:ascii="Times New Roman" w:hAnsi="Times New Roman" w:cs="Times New Roman"/>
        </w:rPr>
        <w:t xml:space="preserve">. This rate was close to 60 percent in 2022 and was projected to reach 80 percent in 2035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&lt;EndNote&gt;&lt;Cite&gt;&lt;Author&gt;Marsden-Ille&lt;/Author&gt;&lt;Year&gt;2023&lt;/Year&gt;&lt;RecNum&gt;2042&lt;/RecNum&gt;&lt;DisplayText&gt;(Marsden-Ille, 2023)&lt;/DisplayText&gt;&lt;record&gt;&lt;rec-number&gt;2042&lt;/rec-number&gt;&lt;foreign-keys&gt;&lt;key app="EN" db-id="2pe9e00ros0veneeptspa5vhz0pw2az52v20" timestamp="1695429614" guid="7cc420ce-3de7-4eac-9c10-3b382146fbec"&gt;2042&lt;/key&gt;&lt;/foreign-keys&gt;&lt;ref-type name="Web Page"&gt;12&lt;/ref-type&gt;&lt;contributors&gt;&lt;authors&gt;&lt;author&gt;Sara Marsden-Ille&lt;/author&gt;&lt;/authors&gt;&lt;/contributors&gt;&lt;titles&gt;&lt;title&gt;What is the 2023 Cremation Rate in the US? How is this affecting prices?&lt;/title&gt;&lt;/titles&gt;&lt;volume&gt;2023&lt;/volume&gt;&lt;number&gt;Sep. 22&lt;/number&gt;&lt;dates&gt;&lt;year&gt;2023&lt;/year&gt;&lt;/dates&gt;&lt;publisher&gt;US Funerals Online&lt;/publisher&gt;&lt;urls&gt;&lt;related-urls&gt;&lt;url&gt;https://www.us-funerals.com/2023-us-cremation-rate/&lt;/url&gt;&lt;/related-urls&gt;&lt;/urls&gt;&lt;/record&gt;&lt;/Cite&gt;&lt;/EndNote&gt;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(Marsden-Ille, 2023)</w:t>
      </w:r>
      <w:r w:rsidRPr="00F223BC">
        <w:rPr>
          <w:rFonts w:ascii="Times New Roman" w:hAnsi="Times New Roman" w:cs="Times New Roman"/>
        </w:rPr>
        <w:fldChar w:fldCharType="end"/>
      </w:r>
      <w:r w:rsidRPr="00F223BC">
        <w:rPr>
          <w:rFonts w:ascii="Times New Roman" w:hAnsi="Times New Roman" w:cs="Times New Roman"/>
        </w:rPr>
        <w:t xml:space="preserve">. Although cheaper than burial services, wealthy customers initially adopted cremations, and the reasons for the rise of cremation were complicated and profound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&lt;EndNote&gt;&lt;Cite&gt;&lt;Author&gt;Prothero&lt;/Author&gt;&lt;Year&gt;2001&lt;/Year&gt;&lt;RecNum&gt;2043&lt;/RecNum&gt;&lt;Prefix&gt;for details`, &lt;/Prefix&gt;&lt;DisplayText&gt;(for details, Prothero, 2001)&lt;/DisplayText&gt;&lt;record&gt;&lt;rec-number&gt;2043&lt;/rec-number&gt;&lt;foreign-keys&gt;&lt;key app="EN" db-id="2pe9e00ros0veneeptspa5vhz0pw2az52v20" timestamp="1695430103" guid="4e7b6513-5767-429f-a921-4a11d9af2872"&gt;2043&lt;/key&gt;&lt;/foreign-keys&gt;&lt;ref-type name="Book"&gt;6&lt;/ref-type&gt;&lt;contributors&gt;&lt;authors&gt;&lt;author&gt;Prothero, Stephen&lt;/author&gt;&lt;/authors&gt;&lt;/contributors&gt;&lt;titles&gt;&lt;title&gt;Purified by fire: A history of cremation in America&lt;/title&gt;&lt;/titles&gt;&lt;dates&gt;&lt;year&gt;2001&lt;/year&gt;&lt;/dates&gt;&lt;publisher&gt;Univ of California Press&lt;/publisher&gt;&lt;isbn&gt;0520929748&lt;/isbn&gt;&lt;urls&gt;&lt;/urls&gt;&lt;/record&gt;&lt;/Cite&gt;&lt;/EndNote&gt;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(for details, Prothero, 2001)</w:t>
      </w:r>
      <w:r w:rsidRPr="00F223BC">
        <w:rPr>
          <w:rFonts w:ascii="Times New Roman" w:hAnsi="Times New Roman" w:cs="Times New Roman"/>
        </w:rPr>
        <w:fldChar w:fldCharType="end"/>
      </w:r>
      <w:r w:rsidRPr="00F223BC">
        <w:rPr>
          <w:rFonts w:ascii="Times New Roman" w:hAnsi="Times New Roman" w:cs="Times New Roman"/>
        </w:rPr>
        <w:t xml:space="preserve">. Responding to consumers’ desire to annihilate the corpse quickly but remember life through rituals and </w:t>
      </w:r>
      <w:r w:rsidRPr="00F223BC">
        <w:rPr>
          <w:rFonts w:ascii="Times New Roman" w:hAnsi="Times New Roman" w:cs="Times New Roman"/>
        </w:rPr>
        <w:lastRenderedPageBreak/>
        <w:t xml:space="preserve">symbols, funeral directors modified cremation only by providing a memorial service before cremation </w:t>
      </w:r>
      <w:r w:rsidRPr="00F223BC">
        <w:rPr>
          <w:rFonts w:ascii="Times New Roman" w:hAnsi="Times New Roman" w:cs="Times New Roman"/>
        </w:rPr>
        <w:fldChar w:fldCharType="begin"/>
      </w:r>
      <w:r>
        <w:rPr>
          <w:rFonts w:ascii="Times New Roman" w:hAnsi="Times New Roman" w:cs="Times New Roman"/>
        </w:rPr>
        <w:instrText xml:space="preserve"> ADDIN EN.CITE &lt;EndNote&gt;&lt;Cite&gt;&lt;Author&gt;Kubasak&lt;/Author&gt;&lt;Year&gt;1990&lt;/Year&gt;&lt;RecNum&gt;2045&lt;/RecNum&gt;&lt;DisplayText&gt;(Kubasak, 1990)&lt;/DisplayText&gt;&lt;record&gt;&lt;rec-number&gt;2045&lt;/rec-number&gt;&lt;foreign-keys&gt;&lt;key app="EN" db-id="2pe9e00ros0veneeptspa5vhz0pw2az52v20" timestamp="1695431428" guid="7e896d21-984a-475a-bf2e-16f20d5323ed"&gt;2045&lt;/key&gt;&lt;/foreign-keys&gt;&lt;ref-type name="Book"&gt;6&lt;/ref-type&gt;&lt;contributors&gt;&lt;authors&gt;&lt;author&gt;Kubasak, Michael W&lt;/author&gt;&lt;/authors&gt;&lt;/contributors&gt;&lt;titles&gt;&lt;title&gt;Cremation and the funeral director: Successfully meeting the challenge&lt;/title&gt;&lt;/titles&gt;&lt;dates&gt;&lt;year&gt;1990&lt;/year&gt;&lt;/dates&gt;&lt;publisher&gt;Avalon Press&lt;/publisher&gt;&lt;isbn&gt;0962769207&lt;/isbn&gt;&lt;urls&gt;&lt;/urls&gt;&lt;/record&gt;&lt;/Cite&gt;&lt;/EndNote&gt;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(Kubasak, 1990)</w:t>
      </w:r>
      <w:r w:rsidRPr="00F223BC">
        <w:rPr>
          <w:rFonts w:ascii="Times New Roman" w:hAnsi="Times New Roman" w:cs="Times New Roman"/>
        </w:rPr>
        <w:fldChar w:fldCharType="end"/>
      </w:r>
      <w:r w:rsidRPr="00F223BC">
        <w:rPr>
          <w:rFonts w:ascii="Times New Roman" w:hAnsi="Times New Roman" w:cs="Times New Roman"/>
        </w:rPr>
        <w:t xml:space="preserve">.  </w:t>
      </w:r>
    </w:p>
    <w:p w14:paraId="627DF6C2" w14:textId="77777777" w:rsidR="00256B3D" w:rsidRPr="00F223BC" w:rsidRDefault="00256B3D" w:rsidP="00256B3D">
      <w:pPr>
        <w:spacing w:line="480" w:lineRule="auto"/>
        <w:ind w:firstLine="720"/>
        <w:rPr>
          <w:rFonts w:ascii="Times New Roman" w:hAnsi="Times New Roman" w:cs="Times New Roman"/>
        </w:rPr>
      </w:pPr>
      <w:r w:rsidRPr="00F223BC">
        <w:rPr>
          <w:rFonts w:ascii="Times New Roman" w:hAnsi="Times New Roman" w:cs="Times New Roman"/>
          <w:b/>
          <w:bCs/>
        </w:rPr>
        <w:t>Rising funeral corporate giants</w:t>
      </w:r>
      <w:r w:rsidRPr="00F223BC">
        <w:rPr>
          <w:rFonts w:ascii="Times New Roman" w:hAnsi="Times New Roman" w:cs="Times New Roman"/>
        </w:rPr>
        <w:t xml:space="preserve">. At the end of the 20th century, family-owned and operated funeral homes </w:t>
      </w:r>
      <w:r>
        <w:rPr>
          <w:rFonts w:ascii="Times New Roman" w:hAnsi="Times New Roman" w:cs="Times New Roman"/>
        </w:rPr>
        <w:t>experienced</w:t>
      </w:r>
      <w:r w:rsidRPr="00F223BC">
        <w:rPr>
          <w:rFonts w:ascii="Times New Roman" w:hAnsi="Times New Roman" w:cs="Times New Roman"/>
        </w:rPr>
        <w:t xml:space="preserve"> economic threats from funeral corporate giants’ mergers and acquisitions. Service Corporation International, North America’s most prominent funeral corporation, acquired the Alderwoods Group in 2006 and the Steward Enterprise in 2013, the second-largest and third-largest funeral corporation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&lt;EndNote&gt;&lt;Cite&gt;&lt;Author&gt;Federal Trade Commission&lt;/Author&gt;&lt;Year&gt;2013&lt;/Year&gt;&lt;RecNum&gt;2039&lt;/RecNum&gt;&lt;DisplayText&gt;(Federal Trade Commission, 2013)&lt;/DisplayText&gt;&lt;record&gt;&lt;rec-number&gt;2039&lt;/rec-number&gt;&lt;foreign-keys&gt;&lt;key app="EN" db-id="2pe9e00ros0veneeptspa5vhz0pw2az52v20" timestamp="1695427753" guid="0803678c-39a0-4888-953d-fa4b8254e9a9"&gt;2039&lt;/key&gt;&lt;/foreign-keys&gt;&lt;ref-type name="Web Page"&gt;12&lt;/ref-type&gt;&lt;contributors&gt;&lt;authors&gt;&lt;author&gt;Federal Trade Commission,&lt;/author&gt;&lt;/authors&gt;&lt;/contributors&gt;&lt;titles&gt;&lt;title&gt;FTC Puts Conditions on Service Corporation International’s Proposed $1.4 Billion Acquisition of Rival Funeral and Cemetery Services Provider&lt;/title&gt;&lt;/titles&gt;&lt;dates&gt;&lt;year&gt;2013&lt;/year&gt;&lt;/dates&gt;&lt;publisher&gt;Federal Trade Commission&lt;/publisher&gt;&lt;urls&gt;&lt;related-urls&gt;&lt;url&gt;https://www.ftc.gov/news-events/news/press-releases/2013/12/ftc-puts-conditions-service-corporation-internationals-proposed-14-billion-acquisition-rival-funeral&lt;/url&gt;&lt;/related-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(Federal Trade Commission, 2013)</w:t>
      </w:r>
      <w:r w:rsidRPr="00F223BC">
        <w:rPr>
          <w:rFonts w:ascii="Times New Roman" w:hAnsi="Times New Roman" w:cs="Times New Roman"/>
        </w:rPr>
        <w:fldChar w:fldCharType="end"/>
      </w:r>
      <w:r w:rsidRPr="00F223BC">
        <w:rPr>
          <w:rFonts w:ascii="Times New Roman" w:hAnsi="Times New Roman" w:cs="Times New Roman"/>
        </w:rPr>
        <w:t xml:space="preserve">. Currently, Service Corporation International has 1900 funeral homes and cemetery locations across 45 states in the US and eight provinces in Canada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&lt;EndNote&gt;&lt;Cite&gt;&lt;Author&gt;Service Corporation International&lt;/Author&gt;&lt;Year&gt;2023&lt;/Year&gt;&lt;RecNum&gt;2040&lt;/RecNum&gt;&lt;DisplayText&gt;(Service Corporation International, 2023b)&lt;/DisplayText&gt;&lt;record&gt;&lt;rec-number&gt;2040&lt;/rec-number&gt;&lt;foreign-keys&gt;&lt;key app="EN" db-id="2pe9e00ros0veneeptspa5vhz0pw2az52v20" timestamp="1695427945" guid="eddcda1d-4d7f-4a56-a8e2-130464b52a48"&gt;2040&lt;/key&gt;&lt;/foreign-keys&gt;&lt;ref-type name="Web Page"&gt;12&lt;/ref-type&gt;&lt;contributors&gt;&lt;authors&gt;&lt;author&gt;Service Corporation International,&lt;/author&gt;&lt;/authors&gt;&lt;/contributors&gt;&lt;titles&gt;&lt;title&gt;Our history&lt;/title&gt;&lt;/titles&gt;&lt;volume&gt;2023&lt;/volume&gt;&lt;number&gt;Sep. 22&lt;/number&gt;&lt;dates&gt;&lt;year&gt;2023&lt;/year&gt;&lt;/dates&gt;&lt;publisher&gt;Service Corporation International&lt;/publisher&gt;&lt;urls&gt;&lt;related-urls&gt;&lt;url&gt;https://www.sci-corp.com/about/history&lt;/url&gt;&lt;/related-urls&gt;&lt;/urls&gt;&lt;/record&gt;&lt;/Cite&gt;&lt;/EndNote&gt;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(Service Corporation International, 2023b)</w:t>
      </w:r>
      <w:r w:rsidRPr="00F223BC">
        <w:rPr>
          <w:rFonts w:ascii="Times New Roman" w:hAnsi="Times New Roman" w:cs="Times New Roman"/>
        </w:rPr>
        <w:fldChar w:fldCharType="end"/>
      </w:r>
      <w:r w:rsidRPr="00F223BC">
        <w:rPr>
          <w:rFonts w:ascii="Times New Roman" w:hAnsi="Times New Roman" w:cs="Times New Roman"/>
        </w:rPr>
        <w:t xml:space="preserve">. Well-known brands of Service Corporation International include </w:t>
      </w:r>
      <w:r w:rsidRPr="00F223BC">
        <w:rPr>
          <w:rFonts w:ascii="Times New Roman" w:hAnsi="Times New Roman" w:cs="Times New Roman"/>
          <w:i/>
          <w:iCs/>
        </w:rPr>
        <w:t>Dignity Memorial, Funeraria Del Angel, Caballero Rivero, Rose Hills, National Cremation</w:t>
      </w:r>
      <w:r w:rsidRPr="00F223BC">
        <w:rPr>
          <w:rFonts w:ascii="Times New Roman" w:hAnsi="Times New Roman" w:cs="Times New Roman"/>
        </w:rPr>
        <w:t xml:space="preserve">, and others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&lt;EndNote&gt;&lt;Cite&gt;&lt;Author&gt;Service Corporation International&lt;/Author&gt;&lt;Year&gt;2023&lt;/Year&gt;&lt;RecNum&gt;2041&lt;/RecNum&gt;&lt;DisplayText&gt;(Service Corporation International, 2023a)&lt;/DisplayText&gt;&lt;record&gt;&lt;rec-number&gt;2041&lt;/rec-number&gt;&lt;foreign-keys&gt;&lt;key app="EN" db-id="2pe9e00ros0veneeptspa5vhz0pw2az52v20" timestamp="1695428380" guid="9c74ebba-2759-4134-bce3-acb823b72675"&gt;2041&lt;/key&gt;&lt;/foreign-keys&gt;&lt;ref-type name="Web Page"&gt;12&lt;/ref-type&gt;&lt;contributors&gt;&lt;authors&gt;&lt;author&gt;Service Corporation International, &lt;/author&gt;&lt;/authors&gt;&lt;/contributors&gt;&lt;titles&gt;&lt;title&gt;Our Brands&lt;/title&gt;&lt;/titles&gt;&lt;volume&gt;2023&lt;/volume&gt;&lt;number&gt;Sep. 22&lt;/number&gt;&lt;dates&gt;&lt;year&gt;2023&lt;/year&gt;&lt;/dates&gt;&lt;publisher&gt;Service Corporation International&lt;/publisher&gt;&lt;urls&gt;&lt;related-urls&gt;&lt;url&gt;https://www.sci-corp.com/about/our-brands&lt;/url&gt;&lt;/related-urls&gt;&lt;/urls&gt;&lt;/record&gt;&lt;/Cite&gt;&lt;/EndNote&gt;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(Service Corporation International, 2023a)</w:t>
      </w:r>
      <w:r w:rsidRPr="00F223BC">
        <w:rPr>
          <w:rFonts w:ascii="Times New Roman" w:hAnsi="Times New Roman" w:cs="Times New Roman"/>
        </w:rPr>
        <w:fldChar w:fldCharType="end"/>
      </w:r>
      <w:r w:rsidRPr="00F223BC">
        <w:rPr>
          <w:rFonts w:ascii="Times New Roman" w:hAnsi="Times New Roman" w:cs="Times New Roman"/>
        </w:rPr>
        <w:t xml:space="preserve">. The rise of the funeral corporation giant facilitates preneed sales of funeral services. </w:t>
      </w:r>
    </w:p>
    <w:p w14:paraId="157057A8" w14:textId="77777777" w:rsidR="00256B3D" w:rsidRPr="00F223BC" w:rsidRDefault="00256B3D" w:rsidP="00256B3D">
      <w:pPr>
        <w:spacing w:line="480" w:lineRule="auto"/>
        <w:ind w:firstLine="720"/>
        <w:rPr>
          <w:rFonts w:ascii="Times New Roman" w:hAnsi="Times New Roman" w:cs="Times New Roman"/>
        </w:rPr>
      </w:pPr>
      <w:r w:rsidRPr="00F223BC">
        <w:rPr>
          <w:rFonts w:ascii="Times New Roman" w:hAnsi="Times New Roman" w:cs="Times New Roman"/>
          <w:b/>
          <w:bCs/>
        </w:rPr>
        <w:t xml:space="preserve">The </w:t>
      </w:r>
      <w:r>
        <w:rPr>
          <w:rFonts w:ascii="Times New Roman" w:hAnsi="Times New Roman" w:cs="Times New Roman"/>
          <w:b/>
          <w:bCs/>
        </w:rPr>
        <w:t>ubiquitousness</w:t>
      </w:r>
      <w:r w:rsidRPr="00F223BC">
        <w:rPr>
          <w:rFonts w:ascii="Times New Roman" w:hAnsi="Times New Roman" w:cs="Times New Roman"/>
          <w:b/>
          <w:bCs/>
        </w:rPr>
        <w:t xml:space="preserve"> of death in mass media</w:t>
      </w:r>
      <w:r w:rsidRPr="00F223BC">
        <w:rPr>
          <w:rFonts w:ascii="Times New Roman" w:hAnsi="Times New Roman" w:cs="Times New Roman"/>
        </w:rPr>
        <w:t xml:space="preserve">. Death abounds in the mass media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&lt;EndNote&gt;&lt;Cite&gt;&lt;Author&gt;Hanusch&lt;/Author&gt;&lt;Year&gt;2010&lt;/Year&gt;&lt;RecNum&gt;2036&lt;/RecNum&gt;&lt;DisplayText&gt;(Hanusch, 2010)&lt;/DisplayText&gt;&lt;record&gt;&lt;rec-number&gt;2036&lt;/rec-number&gt;&lt;foreign-keys&gt;&lt;key app="EN" db-id="2pe9e00ros0veneeptspa5vhz0pw2az52v20" timestamp="1695425411" guid="69d6fecb-f5ea-45be-8c30-5ba5166bfa55"&gt;2036&lt;/key&gt;&lt;/foreign-keys&gt;&lt;ref-type name="Book"&gt;6&lt;/ref-type&gt;&lt;contributors&gt;&lt;authors&gt;&lt;author&gt;Hanusch, Folker&lt;/author&gt;&lt;/authors&gt;&lt;/contributors&gt;&lt;titles&gt;&lt;title&gt;Representing death in the news: Journalism, media and mortality&lt;/title&gt;&lt;/titles&gt;&lt;dates&gt;&lt;year&gt;2010&lt;/year&gt;&lt;/dates&gt;&lt;publisher&gt;Springer&lt;/publisher&gt;&lt;isbn&gt;0230289762&lt;/isbn&gt;&lt;urls&gt;&lt;/urls&gt;&lt;/record&gt;&lt;/Cite&gt;&lt;/EndNote&gt;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(Hanusch, 2010)</w:t>
      </w:r>
      <w:r w:rsidRPr="00F223BC">
        <w:rPr>
          <w:rFonts w:ascii="Times New Roman" w:hAnsi="Times New Roman" w:cs="Times New Roman"/>
        </w:rPr>
        <w:fldChar w:fldCharType="end"/>
      </w:r>
      <w:r w:rsidRPr="00F223BC">
        <w:rPr>
          <w:rFonts w:ascii="Times New Roman" w:hAnsi="Times New Roman" w:cs="Times New Roman"/>
        </w:rPr>
        <w:t xml:space="preserve">, and Americans bring the dead to life for public consumption. For example, the image of death, the Grim Reaper, was a pervasive iconic fixture in American popular culture, such as the TV commercial for the Jeep Cherokee and the TV campaign for AIDS </w:t>
      </w:r>
      <w:r w:rsidRPr="00F223BC">
        <w:rPr>
          <w:rFonts w:ascii="Times New Roman" w:hAnsi="Times New Roman" w:cs="Times New Roman"/>
        </w:rPr>
        <w:fldChar w:fldCharType="begin"/>
      </w:r>
      <w:r>
        <w:rPr>
          <w:rFonts w:ascii="Times New Roman" w:hAnsi="Times New Roman" w:cs="Times New Roman"/>
        </w:rPr>
        <w:instrText xml:space="preserve"> ADDIN EN.CITE &lt;EndNote&gt;&lt;Cite&gt;&lt;Author&gt;Vitellone&lt;/Author&gt;&lt;Year&gt;2001&lt;/Year&gt;&lt;RecNum&gt;2035&lt;/RecNum&gt;&lt;DisplayText&gt;(Vitellone, 2001)&lt;/DisplayText&gt;&lt;record&gt;&lt;rec-number&gt;2035&lt;/rec-number&gt;&lt;foreign-keys&gt;&lt;key app="EN" db-id="2pe9e00ros0veneeptspa5vhz0pw2az52v20" timestamp="1695423979" guid="b529b84d-750c-40fb-8a25-5e5ad373ab58"&gt;2035&lt;/key&gt;&lt;/foreign-keys&gt;&lt;ref-type name="Journal Article"&gt;17&lt;/ref-type&gt;&lt;contributors&gt;&lt;authors&gt;&lt;author&gt;Vitellone, Nicole&lt;/author&gt;&lt;/authors&gt;&lt;/contributors&gt;&lt;titles&gt;&lt;title&gt;Watching AIDS, condoms and serial killers in the Australian &amp;apos;Grim Reaper&amp;apos; TV campaign&lt;/title&gt;&lt;secondary-title&gt;Continuum&lt;/secondary-title&gt;&lt;/titles&gt;&lt;periodical&gt;&lt;full-title&gt;Continuum&lt;/full-title&gt;&lt;/periodical&gt;&lt;pages&gt;33-48&lt;/pages&gt;&lt;volume&gt;15&lt;/volume&gt;&lt;number&gt;1&lt;/number&gt;&lt;dates&gt;&lt;year&gt;2001&lt;/year&gt;&lt;/dates&gt;&lt;publisher&gt;Routledge&lt;/publisher&gt;&lt;isbn&gt;1030-4312&lt;/isbn&gt;&lt;urls&gt;&lt;related-urls&gt;&lt;url&gt;https://doi.org/10.1080/713657768&lt;/url&gt;&lt;/related-urls&gt;&lt;/urls&gt;&lt;electronic-resource-num&gt;10.1080/713657768&lt;/electronic-resource-num&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(Vitellone, 2001)</w:t>
      </w:r>
      <w:r w:rsidRPr="00F223BC">
        <w:rPr>
          <w:rFonts w:ascii="Times New Roman" w:hAnsi="Times New Roman" w:cs="Times New Roman"/>
        </w:rPr>
        <w:fldChar w:fldCharType="end"/>
      </w:r>
      <w:r w:rsidRPr="00F223BC">
        <w:rPr>
          <w:rFonts w:ascii="Times New Roman" w:hAnsi="Times New Roman" w:cs="Times New Roman"/>
        </w:rPr>
        <w:t xml:space="preserve">. Similarly, mass media reporting frequently covered mass shootings </w:t>
      </w:r>
      <w:r w:rsidRPr="00F223BC">
        <w:rPr>
          <w:rFonts w:ascii="Times New Roman" w:hAnsi="Times New Roman" w:cs="Times New Roman"/>
        </w:rPr>
        <w:fldChar w:fldCharType="begin">
          <w:fldData xml:space="preserve">PEVuZE5vdGU+PENpdGU+PEF1dGhvcj5NdXJyYXk8L0F1dGhvcj48WWVhcj4yMDE3PC9ZZWFyPjxS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PEVuZE5vdGU+PENpdGU+PEF1dGhvcj5NdXJyYXk8L0F1dGhvcj48WWVhcj4yMDE3PC9ZZWFyPjxS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F223BC">
        <w:rPr>
          <w:rFonts w:ascii="Times New Roman" w:hAnsi="Times New Roman" w:cs="Times New Roman"/>
        </w:rPr>
      </w:r>
      <w:r w:rsidRPr="00F223BC">
        <w:rPr>
          <w:rFonts w:ascii="Times New Roman" w:hAnsi="Times New Roman" w:cs="Times New Roman"/>
        </w:rPr>
        <w:fldChar w:fldCharType="separate"/>
      </w:r>
      <w:r w:rsidRPr="00F223BC">
        <w:rPr>
          <w:rFonts w:ascii="Times New Roman" w:hAnsi="Times New Roman" w:cs="Times New Roman"/>
          <w:noProof/>
        </w:rPr>
        <w:t>(e.g., Dahmen, 2018; Murray, 2017)</w:t>
      </w:r>
      <w:r w:rsidRPr="00F223BC">
        <w:rPr>
          <w:rFonts w:ascii="Times New Roman" w:hAnsi="Times New Roman" w:cs="Times New Roman"/>
        </w:rPr>
        <w:fldChar w:fldCharType="end"/>
      </w:r>
      <w:r w:rsidRPr="00F223BC">
        <w:rPr>
          <w:rFonts w:ascii="Times New Roman" w:hAnsi="Times New Roman" w:cs="Times New Roman"/>
        </w:rPr>
        <w:t xml:space="preserve"> and terrorism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&lt;EndNote&gt;&lt;Cite&gt;&lt;Author&gt;Altheide&lt;/Author&gt;&lt;Year&gt;2007&lt;/Year&gt;&lt;RecNum&gt;2046&lt;/RecNum&gt;&lt;Prefix&gt;e.g.`, &lt;/Prefix&gt;&lt;DisplayText&gt;(e.g., Altheide, 2007)&lt;/DisplayText&gt;&lt;record&gt;&lt;rec-number&gt;2046&lt;/rec-number&gt;&lt;foreign-keys&gt;&lt;key app="EN" db-id="2pe9e00ros0veneeptspa5vhz0pw2az52v20" timestamp="1695431743" guid="46b9c2b5-c59a-4800-b2bc-6db500f2a796"&gt;2046&lt;/key&gt;&lt;/foreign-keys&gt;&lt;ref-type name="Journal Article"&gt;17&lt;/ref-type&gt;&lt;contributors&gt;&lt;authors&gt;&lt;author&gt;Altheide, David L.&lt;/author&gt;&lt;/authors&gt;&lt;/contributors&gt;&lt;titles&gt;&lt;title&gt;The mass media and terrorism&lt;/title&gt;&lt;secondary-title&gt;Discourse &amp;amp; Communication&lt;/secondary-title&gt;&lt;/titles&gt;&lt;periodical&gt;&lt;full-title&gt;Discourse &amp;amp; Communication&lt;/full-title&gt;&lt;/periodical&gt;&lt;pages&gt;287-308&lt;/pages&gt;&lt;volume&gt;1&lt;/volume&gt;&lt;number&gt;3&lt;/number&gt;&lt;keywords&gt;&lt;keyword&gt;fear,mass media,propaganda,qualitative media analysis,social control&lt;/keyword&gt;&lt;/keywords&gt;&lt;dates&gt;&lt;year&gt;2007&lt;/year&gt;&lt;/dates&gt;&lt;urls&gt;&lt;related-urls&gt;&lt;url&gt;https://journals.sagepub.com/doi/abs/10.1177/1750481307079207&lt;/url&gt;&lt;/related-urls&gt;&lt;/urls&gt;&lt;electronic-resource-num&gt;10.1177/1750481307079207&lt;/electronic-resource-num&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(e.g., Altheide, 2007)</w:t>
      </w:r>
      <w:r w:rsidRPr="00F223BC">
        <w:rPr>
          <w:rFonts w:ascii="Times New Roman" w:hAnsi="Times New Roman" w:cs="Times New Roman"/>
        </w:rPr>
        <w:fldChar w:fldCharType="end"/>
      </w:r>
      <w:r w:rsidRPr="00F223BC">
        <w:rPr>
          <w:rFonts w:ascii="Times New Roman" w:hAnsi="Times New Roman" w:cs="Times New Roman"/>
        </w:rPr>
        <w:t xml:space="preserve">, which evoked the consciousness of death in the public. </w:t>
      </w:r>
    </w:p>
    <w:p w14:paraId="11DF8015" w14:textId="77777777" w:rsidR="00256B3D" w:rsidRPr="00F223BC" w:rsidRDefault="00256B3D" w:rsidP="00256B3D">
      <w:pPr>
        <w:spacing w:line="480" w:lineRule="auto"/>
        <w:ind w:firstLine="720"/>
        <w:rPr>
          <w:rFonts w:ascii="Times New Roman" w:hAnsi="Times New Roman" w:cs="Times New Roman"/>
        </w:rPr>
      </w:pPr>
      <w:r w:rsidRPr="00F223BC">
        <w:rPr>
          <w:rFonts w:ascii="Times New Roman" w:hAnsi="Times New Roman" w:cs="Times New Roman"/>
          <w:b/>
          <w:bCs/>
        </w:rPr>
        <w:t>Funeral services in cyberspace</w:t>
      </w:r>
      <w:r w:rsidRPr="00F223BC">
        <w:rPr>
          <w:rFonts w:ascii="Times New Roman" w:hAnsi="Times New Roman" w:cs="Times New Roman"/>
        </w:rPr>
        <w:t xml:space="preserve">. The Web and Internet have been used as a medium to introduce innovative cyberspace that can affect dying, funerals, grief, and memorialization </w:t>
      </w:r>
      <w:r w:rsidRPr="00F223BC">
        <w:rPr>
          <w:rFonts w:ascii="Times New Roman" w:hAnsi="Times New Roman" w:cs="Times New Roman"/>
        </w:rPr>
        <w:fldChar w:fldCharType="begin"/>
      </w:r>
      <w:r>
        <w:rPr>
          <w:rFonts w:ascii="Times New Roman" w:hAnsi="Times New Roman" w:cs="Times New Roman"/>
        </w:rPr>
        <w:instrText xml:space="preserve"> ADDIN EN.CITE &lt;EndNote&gt;&lt;Cite&gt;&lt;Author&gt;Walter&lt;/Author&gt;&lt;Year&gt;2012&lt;/Year&gt;&lt;RecNum&gt;2048&lt;/RecNum&gt;&lt;DisplayText&gt;(Walter et al., 2012)&lt;/DisplayText&gt;&lt;record&gt;&lt;rec-number&gt;2048&lt;/rec-number&gt;&lt;foreign-keys&gt;&lt;key app="EN" db-id="2pe9e00ros0veneeptspa5vhz0pw2az52v20" timestamp="1695488324" guid="16ef0b82-0fe8-46d5-932b-0dc31262c9ea"&gt;2048&lt;/key&gt;&lt;/foreign-keys&gt;&lt;ref-type name="Journal Article"&gt;17&lt;/ref-type&gt;&lt;contributors&gt;&lt;authors&gt;&lt;author&gt;Walter, Tony&lt;/author&gt;&lt;author&gt;Hourizi, Rachid&lt;/author&gt;&lt;author&gt;Moncur, Wendy&lt;/author&gt;&lt;author&gt;Pitsillides, Stacey&lt;/author&gt;&lt;/authors&gt;&lt;/contributors&gt;&lt;titles&gt;&lt;title&gt;Does the Internet change how we die and mourn? Overview and analysis&lt;/title&gt;&lt;secondary-title&gt;OMEGA - Journal of Death and Dying&lt;/secondary-title&gt;&lt;/titles&gt;&lt;periodical&gt;&lt;full-title&gt;OMEGA - Journal of Death and Dying&lt;/full-title&gt;&lt;/periodical&gt;&lt;pages&gt;275-302&lt;/pages&gt;&lt;volume&gt;64&lt;/volume&gt;&lt;number&gt;4&lt;/number&gt;&lt;dates&gt;&lt;year&gt;2012&lt;/year&gt;&lt;/dates&gt;&lt;urls&gt;&lt;related-urls&gt;&lt;url&gt;https://journals.sagepub.com/doi/abs/10.2190/OM.64.4.a&lt;/url&gt;&lt;/related-urls&gt;&lt;/urls&gt;&lt;electronic-resource-num&gt;10.2190/OM.64.4.a&lt;/electronic-resource-num&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(Walter et al., 2012)</w:t>
      </w:r>
      <w:r w:rsidRPr="00F223BC">
        <w:rPr>
          <w:rFonts w:ascii="Times New Roman" w:hAnsi="Times New Roman" w:cs="Times New Roman"/>
        </w:rPr>
        <w:fldChar w:fldCharType="end"/>
      </w:r>
      <w:r w:rsidRPr="00F223BC">
        <w:rPr>
          <w:rFonts w:ascii="Times New Roman" w:hAnsi="Times New Roman" w:cs="Times New Roman"/>
        </w:rPr>
        <w:t xml:space="preserve">. Some studies examined online support groups to reduce grief-related </w:t>
      </w:r>
      <w:r w:rsidRPr="00F223BC">
        <w:rPr>
          <w:rFonts w:ascii="Times New Roman" w:hAnsi="Times New Roman" w:cs="Times New Roman"/>
        </w:rPr>
        <w:lastRenderedPageBreak/>
        <w:t xml:space="preserve">symptoms for grieving persons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&lt;EndNote&gt;&lt;Cite&gt;&lt;Author&gt;Robinson&lt;/Author&gt;&lt;Year&gt;2019&lt;/Year&gt;&lt;RecNum&gt;2051&lt;/RecNum&gt;&lt;Prefix&gt;e.g.`, &lt;/Prefix&gt;&lt;DisplayText&gt;(e.g., Robinson &amp;amp; Pond, 2019)&lt;/DisplayText&gt;&lt;record&gt;&lt;rec-number&gt;2051&lt;/rec-number&gt;&lt;foreign-keys&gt;&lt;key app="EN" db-id="2pe9e00ros0veneeptspa5vhz0pw2az52v20" timestamp="1695511310" guid="e83f5363-7558-4fb3-a799-36ef562531f9"&gt;2051&lt;/key&gt;&lt;/foreign-keys&gt;&lt;ref-type name="Journal Article"&gt;17&lt;/ref-type&gt;&lt;contributors&gt;&lt;authors&gt;&lt;author&gt;Robinson, Ceit&lt;/author&gt;&lt;author&gt;Pond, Dr Rachael&lt;/author&gt;&lt;/authors&gt;&lt;/contributors&gt;&lt;titles&gt;&lt;title&gt;Do online support groups for grief benefit the bereaved? Systematic review of the quantitative and qualitative literature&lt;/title&gt;&lt;secondary-title&gt;Computers in Human Behavior&lt;/secondary-title&gt;&lt;/titles&gt;&lt;periodical&gt;&lt;full-title&gt;Computers in Human Behavior&lt;/full-title&gt;&lt;/periodical&gt;&lt;pages&gt;48-59&lt;/pages&gt;&lt;volume&gt;100&lt;/volume&gt;&lt;keywords&gt;&lt;keyword&gt;Online support groups&lt;/keyword&gt;&lt;keyword&gt;Peer support&lt;/keyword&gt;&lt;keyword&gt;Grief&lt;/keyword&gt;&lt;keyword&gt;Bereavement&lt;/keyword&gt;&lt;keyword&gt;Systematic review&lt;/keyword&gt;&lt;/keywords&gt;&lt;dates&gt;&lt;year&gt;2019&lt;/year&gt;&lt;/dates&gt;&lt;isbn&gt;0747-5632&lt;/isbn&gt;&lt;urls&gt;&lt;related-urls&gt;&lt;url&gt;https://www.sciencedirect.com/science/article/pii/S0747563219302377&lt;/url&gt;&lt;/related-urls&gt;&lt;/urls&gt;&lt;electronic-resource-num&gt;10.1016/j.chb.2019.06.011&lt;/electronic-resource-num&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(e.g., Robinson &amp; Pond, 2019)</w:t>
      </w:r>
      <w:r w:rsidRPr="00F223BC">
        <w:rPr>
          <w:rFonts w:ascii="Times New Roman" w:hAnsi="Times New Roman" w:cs="Times New Roman"/>
        </w:rPr>
        <w:fldChar w:fldCharType="end"/>
      </w:r>
      <w:r w:rsidRPr="00F223BC">
        <w:rPr>
          <w:rFonts w:ascii="Times New Roman" w:hAnsi="Times New Roman" w:cs="Times New Roman"/>
        </w:rPr>
        <w:t xml:space="preserve"> and to improve the psychosocial adjustment of cancers </w:t>
      </w:r>
      <w:r w:rsidRPr="00F223BC">
        <w:rPr>
          <w:rFonts w:ascii="Times New Roman" w:hAnsi="Times New Roman" w:cs="Times New Roman"/>
        </w:rPr>
        <w:fldChar w:fldCharType="begin">
          <w:fldData xml:space="preserve">PEVuZE5vdGU+PENpdGU+PEF1dGhvcj5Iw7h5YnllPC9BdXRob3I+PFllYXI+MjAwNTwvWWVhcj48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</w:fldData>
        </w:fldChar>
      </w:r>
      <w:r w:rsidRPr="00F223BC">
        <w:rPr>
          <w:rFonts w:ascii="Times New Roman" w:hAnsi="Times New Roman" w:cs="Times New Roman"/>
        </w:rPr>
        <w:instrText xml:space="preserve"> ADDIN EN.CITE </w:instrText>
      </w:r>
      <w:r w:rsidRPr="00F223BC">
        <w:rPr>
          <w:rFonts w:ascii="Times New Roman" w:hAnsi="Times New Roman" w:cs="Times New Roman"/>
        </w:rPr>
        <w:fldChar w:fldCharType="begin">
          <w:fldData xml:space="preserve">PEVuZE5vdGU+PENpdGU+PEF1dGhvcj5Iw7h5YnllPC9BdXRob3I+PFllYXI+MjAwNTwvWWVhcj48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</w:fldData>
        </w:fldChar>
      </w:r>
      <w:r w:rsidRPr="00F223BC">
        <w:rPr>
          <w:rFonts w:ascii="Times New Roman" w:hAnsi="Times New Roman" w:cs="Times New Roman"/>
        </w:rPr>
        <w:instrText xml:space="preserve"> ADDIN EN.CITE.DATA </w:instrText>
      </w:r>
      <w:r w:rsidRPr="00F223BC">
        <w:rPr>
          <w:rFonts w:ascii="Times New Roman" w:hAnsi="Times New Roman" w:cs="Times New Roman"/>
        </w:rPr>
      </w:r>
      <w:r w:rsidRPr="00F223BC">
        <w:rPr>
          <w:rFonts w:ascii="Times New Roman" w:hAnsi="Times New Roman" w:cs="Times New Roman"/>
        </w:rPr>
        <w:fldChar w:fldCharType="end"/>
      </w:r>
      <w:r w:rsidRPr="00F223BC">
        <w:rPr>
          <w:rFonts w:ascii="Times New Roman" w:hAnsi="Times New Roman" w:cs="Times New Roman"/>
        </w:rPr>
      </w:r>
      <w:r w:rsidRPr="00F223BC">
        <w:rPr>
          <w:rFonts w:ascii="Times New Roman" w:hAnsi="Times New Roman" w:cs="Times New Roman"/>
        </w:rPr>
        <w:fldChar w:fldCharType="separate"/>
      </w:r>
      <w:r w:rsidRPr="00F223BC">
        <w:rPr>
          <w:rFonts w:ascii="Times New Roman" w:hAnsi="Times New Roman" w:cs="Times New Roman"/>
          <w:noProof/>
        </w:rPr>
        <w:t>(e.g., Hoey et al., 2008; Høybye et al., 2005)</w:t>
      </w:r>
      <w:r w:rsidRPr="00F223BC">
        <w:rPr>
          <w:rFonts w:ascii="Times New Roman" w:hAnsi="Times New Roman" w:cs="Times New Roman"/>
        </w:rPr>
        <w:fldChar w:fldCharType="end"/>
      </w:r>
      <w:r w:rsidRPr="00F223BC">
        <w:rPr>
          <w:rFonts w:ascii="Times New Roman" w:hAnsi="Times New Roman" w:cs="Times New Roman"/>
        </w:rPr>
        <w:t xml:space="preserve">. Also, the Web was utilized as an innovative channel for doing business in the funeral industry </w:t>
      </w:r>
      <w:r w:rsidRPr="00F223BC">
        <w:rPr>
          <w:rFonts w:ascii="Times New Roman" w:hAnsi="Times New Roman" w:cs="Times New Roman"/>
        </w:rPr>
        <w:fldChar w:fldCharType="begin">
          <w:fldData xml:space="preserve">PEVuZE5vdGU+PENpdGU+PEF1dGhvcj5CZWF1bm95ZXI8L0F1dGhvcj48WWVhcj4yMDIxPC9ZZWFy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</w:fldData>
        </w:fldChar>
      </w:r>
      <w:r w:rsidRPr="00F223BC">
        <w:rPr>
          <w:rFonts w:ascii="Times New Roman" w:hAnsi="Times New Roman" w:cs="Times New Roman"/>
        </w:rPr>
        <w:instrText xml:space="preserve"> ADDIN EN.CITE </w:instrText>
      </w:r>
      <w:r w:rsidRPr="00F223BC">
        <w:rPr>
          <w:rFonts w:ascii="Times New Roman" w:hAnsi="Times New Roman" w:cs="Times New Roman"/>
        </w:rPr>
        <w:fldChar w:fldCharType="begin">
          <w:fldData xml:space="preserve">PEVuZE5vdGU+PENpdGU+PEF1dGhvcj5CZWF1bm95ZXI8L0F1dGhvcj48WWVhcj4yMDIxPC9ZZWFy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</w:fldData>
        </w:fldChar>
      </w:r>
      <w:r w:rsidRPr="00F223BC">
        <w:rPr>
          <w:rFonts w:ascii="Times New Roman" w:hAnsi="Times New Roman" w:cs="Times New Roman"/>
        </w:rPr>
        <w:instrText xml:space="preserve"> ADDIN EN.CITE.DATA </w:instrText>
      </w:r>
      <w:r w:rsidRPr="00F223BC">
        <w:rPr>
          <w:rFonts w:ascii="Times New Roman" w:hAnsi="Times New Roman" w:cs="Times New Roman"/>
        </w:rPr>
      </w:r>
      <w:r w:rsidRPr="00F223BC">
        <w:rPr>
          <w:rFonts w:ascii="Times New Roman" w:hAnsi="Times New Roman" w:cs="Times New Roman"/>
        </w:rPr>
        <w:fldChar w:fldCharType="end"/>
      </w:r>
      <w:r w:rsidRPr="00F223BC">
        <w:rPr>
          <w:rFonts w:ascii="Times New Roman" w:hAnsi="Times New Roman" w:cs="Times New Roman"/>
        </w:rPr>
      </w:r>
      <w:r w:rsidRPr="00F223BC">
        <w:rPr>
          <w:rFonts w:ascii="Times New Roman" w:hAnsi="Times New Roman" w:cs="Times New Roman"/>
        </w:rPr>
        <w:fldChar w:fldCharType="separate"/>
      </w:r>
      <w:r w:rsidRPr="00F223BC">
        <w:rPr>
          <w:rFonts w:ascii="Times New Roman" w:hAnsi="Times New Roman" w:cs="Times New Roman"/>
          <w:noProof/>
        </w:rPr>
        <w:t>(e.g., Beard &amp; Burger, 2017; Beaunoyer &amp; Guitton, 2021)</w:t>
      </w:r>
      <w:r w:rsidRPr="00F223BC">
        <w:rPr>
          <w:rFonts w:ascii="Times New Roman" w:hAnsi="Times New Roman" w:cs="Times New Roman"/>
        </w:rPr>
        <w:fldChar w:fldCharType="end"/>
      </w:r>
      <w:r w:rsidRPr="00F223BC">
        <w:rPr>
          <w:rFonts w:ascii="Times New Roman" w:hAnsi="Times New Roman" w:cs="Times New Roman"/>
        </w:rPr>
        <w:t xml:space="preserve">, such as online casket selling, memorial web pages for leaving messages, and online obituary. Moreover, people could attend funerals online, especially in the COVID-19 pandemic </w:t>
      </w:r>
      <w:r w:rsidRPr="00F223BC">
        <w:rPr>
          <w:rFonts w:ascii="Times New Roman" w:hAnsi="Times New Roman" w:cs="Times New Roman"/>
        </w:rPr>
        <w:fldChar w:fldCharType="begin">
          <w:fldData xml:space="preserve">PEVuZE5vdGU+PENpdGU+PEF1dGhvcj5CZWF1bm95ZXI8L0F1dGhvcj48WWVhcj4yMDIyPC9ZZWFy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PEVuZE5vdGU+PENpdGU+PEF1dGhvcj5CZWF1bm95ZXI8L0F1dGhvcj48WWVhcj4yMDIyPC9ZZWFy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F223BC">
        <w:rPr>
          <w:rFonts w:ascii="Times New Roman" w:hAnsi="Times New Roman" w:cs="Times New Roman"/>
        </w:rPr>
      </w:r>
      <w:r w:rsidRPr="00F223BC">
        <w:rPr>
          <w:rFonts w:ascii="Times New Roman" w:hAnsi="Times New Roman" w:cs="Times New Roman"/>
        </w:rPr>
        <w:fldChar w:fldCharType="separate"/>
      </w:r>
      <w:r w:rsidRPr="00F223BC">
        <w:rPr>
          <w:rFonts w:ascii="Times New Roman" w:hAnsi="Times New Roman" w:cs="Times New Roman"/>
          <w:noProof/>
        </w:rPr>
        <w:t>(e.g., Beaunoyer et al., 2022; Riley et al., 2023)</w:t>
      </w:r>
      <w:r w:rsidRPr="00F223BC">
        <w:rPr>
          <w:rFonts w:ascii="Times New Roman" w:hAnsi="Times New Roman" w:cs="Times New Roman"/>
        </w:rPr>
        <w:fldChar w:fldCharType="end"/>
      </w:r>
      <w:r w:rsidRPr="00F223BC">
        <w:rPr>
          <w:rFonts w:ascii="Times New Roman" w:hAnsi="Times New Roman" w:cs="Times New Roman"/>
        </w:rPr>
        <w:t xml:space="preserve">, where it also enhanced their relationship with the dead and deepened their connections with others </w:t>
      </w:r>
      <w:r w:rsidRPr="00F223BC">
        <w:rPr>
          <w:rFonts w:ascii="Times New Roman" w:hAnsi="Times New Roman" w:cs="Times New Roman"/>
        </w:rPr>
        <w:fldChar w:fldCharType="begin"/>
      </w:r>
      <w:r>
        <w:rPr>
          <w:rFonts w:ascii="Times New Roman" w:hAnsi="Times New Roman" w:cs="Times New Roman"/>
        </w:rPr>
        <w:instrText xml:space="preserve"> ADDIN EN.CITE &lt;EndNote&gt;&lt;Cite&gt;&lt;Author&gt;Roberts&lt;/Author&gt;&lt;Year&gt;2004&lt;/Year&gt;&lt;RecNum&gt;2047&lt;/RecNum&gt;&lt;DisplayText&gt;(Roberts, 2004)&lt;/DisplayText&gt;&lt;record&gt;&lt;rec-number&gt;2047&lt;/rec-number&gt;&lt;foreign-keys&gt;&lt;key app="EN" db-id="2pe9e00ros0veneeptspa5vhz0pw2az52v20" timestamp="1695487920" guid="5e1b4490-b13b-44f8-9847-a9cc0aded3a8"&gt;2047&lt;/key&gt;&lt;/foreign-keys&gt;&lt;ref-type name="Journal Article"&gt;17&lt;/ref-type&gt;&lt;contributors&gt;&lt;authors&gt;&lt;author&gt;Roberts, Pamela&lt;/author&gt;&lt;/authors&gt;&lt;/contributors&gt;&lt;titles&gt;&lt;title&gt;The living and the dead: Community in the virtual cemetery&lt;/title&gt;&lt;secondary-title&gt;OMEGA - Journal of Death and Dying&lt;/secondary-title&gt;&lt;/titles&gt;&lt;periodical&gt;&lt;full-title&gt;OMEGA - Journal of Death and Dying&lt;/full-title&gt;&lt;/periodical&gt;&lt;pages&gt;57-76&lt;/pages&gt;&lt;volume&gt;49&lt;/volume&gt;&lt;number&gt;1&lt;/number&gt;&lt;dates&gt;&lt;year&gt;2004&lt;/year&gt;&lt;/dates&gt;&lt;urls&gt;&lt;related-urls&gt;&lt;url&gt;https://journals.sagepub.com/doi/abs/10.2190/D41T-YFNN-109K-WR4C&lt;/url&gt;&lt;/related-urls&gt;&lt;/urls&gt;&lt;electronic-resource-num&gt;10.2190/d41t-yfnn-109k-wr4c&lt;/electronic-resource-num&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(Roberts, 2004)</w:t>
      </w:r>
      <w:r w:rsidRPr="00F223BC">
        <w:rPr>
          <w:rFonts w:ascii="Times New Roman" w:hAnsi="Times New Roman" w:cs="Times New Roman"/>
        </w:rPr>
        <w:fldChar w:fldCharType="end"/>
      </w:r>
      <w:r w:rsidRPr="00F223BC">
        <w:rPr>
          <w:rFonts w:ascii="Times New Roman" w:hAnsi="Times New Roman" w:cs="Times New Roman"/>
        </w:rPr>
        <w:t xml:space="preserve">. </w:t>
      </w:r>
    </w:p>
    <w:p w14:paraId="522B3F1F" w14:textId="77777777" w:rsidR="003A3B62" w:rsidRDefault="003A3B62" w:rsidP="003A3B62">
      <w:pPr>
        <w:spacing w:line="480" w:lineRule="auto"/>
        <w:ind w:firstLine="720"/>
        <w:rPr>
          <w:rFonts w:ascii="Times New Roman" w:hAnsi="Times New Roman" w:cs="Times New Roman"/>
        </w:rPr>
      </w:pPr>
    </w:p>
    <w:p w14:paraId="60217A9A" w14:textId="77777777" w:rsidR="003A3B62" w:rsidRDefault="003A3B62" w:rsidP="003A3B62">
      <w:pPr>
        <w:spacing w:line="480" w:lineRule="auto"/>
        <w:ind w:firstLine="720"/>
        <w:rPr>
          <w:rFonts w:ascii="Times New Roman" w:hAnsi="Times New Roman" w:cs="Times New Roman"/>
        </w:rPr>
      </w:pPr>
    </w:p>
    <w:p w14:paraId="1BBEDA99" w14:textId="03D4D8E8" w:rsidR="00144CF7" w:rsidRDefault="00144CF7" w:rsidP="0053500B">
      <w:pPr>
        <w:spacing w:line="480" w:lineRule="auto"/>
        <w:ind w:firstLine="720"/>
        <w:rPr>
          <w:rFonts w:ascii="Times New Roman" w:hAnsi="Times New Roman" w:cs="Times New Roman"/>
        </w:rPr>
      </w:pPr>
    </w:p>
    <w:p w14:paraId="1791EE09" w14:textId="54659A1F" w:rsidR="00144CF7" w:rsidRDefault="00144CF7" w:rsidP="0053500B">
      <w:pPr>
        <w:spacing w:line="480" w:lineRule="auto"/>
        <w:ind w:firstLine="720"/>
        <w:rPr>
          <w:rFonts w:ascii="Times New Roman" w:hAnsi="Times New Roman" w:cs="Times New Roman"/>
        </w:rPr>
      </w:pPr>
    </w:p>
    <w:p w14:paraId="138BD0B0" w14:textId="75D1B372" w:rsidR="00144CF7" w:rsidRDefault="00144CF7" w:rsidP="0053500B">
      <w:pPr>
        <w:spacing w:line="480" w:lineRule="auto"/>
        <w:ind w:firstLine="720"/>
        <w:rPr>
          <w:rFonts w:ascii="Times New Roman" w:hAnsi="Times New Roman" w:cs="Times New Roman"/>
        </w:rPr>
      </w:pPr>
    </w:p>
    <w:p w14:paraId="08DE0F82" w14:textId="4A05A1B4" w:rsidR="00144CF7" w:rsidRDefault="00144CF7" w:rsidP="0053500B">
      <w:pPr>
        <w:spacing w:line="480" w:lineRule="auto"/>
        <w:ind w:firstLine="720"/>
        <w:rPr>
          <w:rFonts w:ascii="Times New Roman" w:hAnsi="Times New Roman" w:cs="Times New Roman"/>
        </w:rPr>
      </w:pPr>
    </w:p>
    <w:p w14:paraId="55194810" w14:textId="45EE6734" w:rsidR="00144CF7" w:rsidRDefault="00144CF7" w:rsidP="0053500B">
      <w:pPr>
        <w:spacing w:line="480" w:lineRule="auto"/>
        <w:ind w:firstLine="720"/>
        <w:rPr>
          <w:rFonts w:ascii="Times New Roman" w:hAnsi="Times New Roman" w:cs="Times New Roman"/>
        </w:rPr>
      </w:pPr>
    </w:p>
    <w:p w14:paraId="65FA041D" w14:textId="437CBEA7" w:rsidR="00144CF7" w:rsidRDefault="00144CF7" w:rsidP="0053500B">
      <w:pPr>
        <w:spacing w:line="480" w:lineRule="auto"/>
        <w:ind w:firstLine="720"/>
        <w:rPr>
          <w:rFonts w:ascii="Times New Roman" w:hAnsi="Times New Roman" w:cs="Times New Roman"/>
        </w:rPr>
      </w:pPr>
    </w:p>
    <w:p w14:paraId="23AAD8A6" w14:textId="6C4612D2" w:rsidR="00144CF7" w:rsidRDefault="00144CF7" w:rsidP="0053500B">
      <w:pPr>
        <w:spacing w:line="480" w:lineRule="auto"/>
        <w:ind w:firstLine="720"/>
        <w:rPr>
          <w:rFonts w:ascii="Times New Roman" w:hAnsi="Times New Roman" w:cs="Times New Roman"/>
        </w:rPr>
      </w:pPr>
    </w:p>
    <w:p w14:paraId="0FD158DC" w14:textId="1A22A3BB" w:rsidR="002A6254" w:rsidRDefault="002A6254" w:rsidP="0053500B">
      <w:pPr>
        <w:spacing w:line="480" w:lineRule="auto"/>
        <w:ind w:firstLine="720"/>
        <w:rPr>
          <w:rFonts w:ascii="Times New Roman" w:hAnsi="Times New Roman" w:cs="Times New Roman"/>
        </w:rPr>
      </w:pPr>
    </w:p>
    <w:p w14:paraId="3DF0046A" w14:textId="77777777" w:rsidR="00E41E3F" w:rsidRDefault="00E41E3F" w:rsidP="0053500B">
      <w:pPr>
        <w:spacing w:line="480" w:lineRule="auto"/>
        <w:ind w:firstLine="720"/>
        <w:rPr>
          <w:rFonts w:ascii="Times New Roman" w:hAnsi="Times New Roman" w:cs="Times New Roman"/>
        </w:rPr>
      </w:pPr>
    </w:p>
    <w:p w14:paraId="06ACC813" w14:textId="77777777" w:rsidR="00644996" w:rsidRDefault="00644996" w:rsidP="0053500B">
      <w:pPr>
        <w:spacing w:line="480" w:lineRule="auto"/>
        <w:ind w:firstLine="720"/>
        <w:rPr>
          <w:rFonts w:ascii="Times New Roman" w:hAnsi="Times New Roman" w:cs="Times New Roman"/>
        </w:rPr>
      </w:pPr>
    </w:p>
    <w:p w14:paraId="56D4596C" w14:textId="2B7777DA" w:rsidR="00E75559" w:rsidRDefault="00E75559" w:rsidP="0053500B">
      <w:pPr>
        <w:spacing w:line="480" w:lineRule="auto"/>
        <w:ind w:firstLine="720"/>
        <w:rPr>
          <w:rFonts w:ascii="Times New Roman" w:hAnsi="Times New Roman" w:cs="Times New Roman"/>
        </w:rPr>
      </w:pPr>
    </w:p>
    <w:p w14:paraId="6A4099B5" w14:textId="77777777" w:rsidR="00097102" w:rsidRDefault="00097102">
      <w:pPr>
        <w:rPr>
          <w:rFonts w:ascii="Times New Roman" w:hAnsi="Times New Roman" w:cs="Times New Roman"/>
          <w:b/>
          <w:bCs/>
        </w:rPr>
      </w:pPr>
      <w:r>
        <w:rPr>
          <w:rFonts w:ascii="Times New Roman" w:hAnsi="Times New Roman" w:cs="Times New Roman"/>
          <w:b/>
          <w:bCs/>
        </w:rPr>
        <w:br w:type="page"/>
      </w:r>
    </w:p>
    <w:p w14:paraId="195DE584" w14:textId="77777777" w:rsidR="00256B3D" w:rsidRPr="00044165" w:rsidRDefault="00256B3D" w:rsidP="00256B3D">
      <w:pPr>
        <w:spacing w:line="480" w:lineRule="auto"/>
        <w:ind w:firstLine="720"/>
        <w:jc w:val="center"/>
        <w:rPr>
          <w:rFonts w:ascii="Times New Roman" w:hAnsi="Times New Roman" w:cs="Times New Roman"/>
        </w:rPr>
      </w:pPr>
      <w:r>
        <w:rPr>
          <w:rFonts w:ascii="Times New Roman" w:hAnsi="Times New Roman" w:cs="Times New Roman"/>
          <w:b/>
          <w:bCs/>
        </w:rPr>
        <w:lastRenderedPageBreak/>
        <w:t xml:space="preserve">Chapter 3: Literature Review: </w:t>
      </w:r>
      <w:r w:rsidRPr="00044165">
        <w:rPr>
          <w:rFonts w:ascii="Times New Roman" w:hAnsi="Times New Roman" w:cs="Times New Roman"/>
          <w:b/>
          <w:bCs/>
        </w:rPr>
        <w:t>Relational Dialectics Theory 2.0</w:t>
      </w:r>
    </w:p>
    <w:p w14:paraId="423AB6C5" w14:textId="45BCE7DD" w:rsidR="00256B3D" w:rsidRPr="00044165" w:rsidRDefault="00256B3D" w:rsidP="00256B3D">
      <w:pPr>
        <w:spacing w:line="480" w:lineRule="auto"/>
        <w:ind w:firstLine="720"/>
        <w:rPr>
          <w:rFonts w:ascii="Times New Roman" w:hAnsi="Times New Roman" w:cs="Times New Roman"/>
          <w:noProof/>
        </w:rPr>
      </w:pPr>
      <w:r w:rsidRPr="00044165">
        <w:rPr>
          <w:rFonts w:ascii="Times New Roman" w:hAnsi="Times New Roman" w:cs="Times New Roman"/>
        </w:rPr>
        <w:fldChar w:fldCharType="begin"/>
      </w:r>
      <w:r>
        <w:rPr>
          <w:rFonts w:ascii="Times New Roman" w:hAnsi="Times New Roman" w:cs="Times New Roman"/>
        </w:rPr>
        <w:instrText xml:space="preserve"> ADDIN EN.CITE &lt;EndNote&gt;&lt;Cite AuthorYear="1"&gt;&lt;Author&gt;Baxter&lt;/Author&gt;&lt;Year&gt;2011&lt;/Year&gt;&lt;RecNum&gt;1633&lt;/RecNum&gt;&lt;DisplayText&gt;Baxter (2011)&lt;/DisplayText&gt;&lt;record&gt;&lt;rec-number&gt;1633&lt;/rec-number&gt;&lt;foreign-keys&gt;&lt;key app="EN" db-id="2pe9e00ros0veneeptspa5vhz0pw2az52v20" timestamp="1651286064" guid="faff47c4-c762-4121-b9c8-9978bd77054b"&gt;1633&lt;/key&gt;&lt;/foreign-keys&gt;&lt;ref-type name="Book"&gt;6&lt;/ref-type&gt;&lt;contributors&gt;&lt;authors&gt;&lt;author&gt;Baxter, Leslie A.&lt;/author&gt;&lt;/authors&gt;&lt;/contributors&gt;&lt;titles&gt;&lt;title&gt;Voicing relationships: a dialogic perspective&lt;/title&gt;&lt;/titles&gt;&lt;keywords&gt;&lt;keyword&gt;Bakhtin, M. M. (Mikhail Mikhaĭlovich), 1895-1975&lt;/keyword&gt;&lt;keyword&gt;Interpersonal relations&lt;/keyword&gt;&lt;keyword&gt;Dialogue analysis&lt;/keyword&gt;&lt;/keywords&gt;&lt;dates&gt;&lt;year&gt;2011&lt;/year&gt;&lt;/dates&gt;&lt;pub-location&gt;Thousand Oaks, Calif.&lt;/pub-location&gt;&lt;publisher&gt;SAGE Publications, Inc&lt;/publisher&gt;&lt;urls&gt;&lt;/urls&gt;&lt;/record&gt;&lt;/Cite&gt;&lt;/EndNote&gt;</w:instrText>
      </w:r>
      <w:r w:rsidRPr="00044165">
        <w:rPr>
          <w:rFonts w:ascii="Times New Roman" w:hAnsi="Times New Roman" w:cs="Times New Roman"/>
        </w:rPr>
        <w:fldChar w:fldCharType="separate"/>
      </w:r>
      <w:r>
        <w:rPr>
          <w:rFonts w:ascii="Times New Roman" w:hAnsi="Times New Roman" w:cs="Times New Roman"/>
          <w:noProof/>
        </w:rPr>
        <w:t>Baxter (2011)</w:t>
      </w:r>
      <w:r w:rsidRPr="00044165">
        <w:rPr>
          <w:rFonts w:ascii="Times New Roman" w:hAnsi="Times New Roman" w:cs="Times New Roman"/>
        </w:rPr>
        <w:fldChar w:fldCharType="end"/>
      </w:r>
      <w:r>
        <w:rPr>
          <w:rFonts w:ascii="Times New Roman" w:hAnsi="Times New Roman" w:cs="Times New Roman"/>
        </w:rPr>
        <w:t xml:space="preserve"> </w:t>
      </w:r>
      <w:r w:rsidRPr="00044165">
        <w:rPr>
          <w:rFonts w:ascii="Times New Roman" w:hAnsi="Times New Roman" w:cs="Times New Roman"/>
        </w:rPr>
        <w:t>rearticulates relational dialectics theory (RDT) as a dialogically grounded theory of relational meaning-making</w:t>
      </w:r>
      <w:r>
        <w:rPr>
          <w:rFonts w:ascii="Times New Roman" w:hAnsi="Times New Roman" w:cs="Times New Roman"/>
        </w:rPr>
        <w:t>,</w:t>
      </w:r>
      <w:r w:rsidRPr="00E377A7">
        <w:rPr>
          <w:rFonts w:ascii="Times New Roman" w:hAnsi="Times New Roman" w:cs="Times New Roman"/>
        </w:rPr>
        <w:t xml:space="preserve"> </w:t>
      </w:r>
      <w:r w:rsidRPr="00044165">
        <w:rPr>
          <w:rFonts w:ascii="Times New Roman" w:hAnsi="Times New Roman" w:cs="Times New Roman"/>
        </w:rPr>
        <w:t xml:space="preserve">developing the earlier work </w:t>
      </w:r>
      <w:r w:rsidRPr="00044165">
        <w:rPr>
          <w:rFonts w:ascii="Times New Roman" w:hAnsi="Times New Roman" w:cs="Times New Roman"/>
          <w:i/>
          <w:iCs/>
        </w:rPr>
        <w:t>Relating: Dialogues and Dialectics</w:t>
      </w:r>
      <w:r w:rsidRPr="00044165">
        <w:rPr>
          <w:rFonts w:ascii="Times New Roman" w:hAnsi="Times New Roman" w:cs="Times New Roman"/>
        </w:rPr>
        <w:t xml:space="preserve"> </w:t>
      </w:r>
      <w:r w:rsidRPr="00044165">
        <w:rPr>
          <w:rFonts w:ascii="Times New Roman" w:hAnsi="Times New Roman" w:cs="Times New Roman"/>
        </w:rPr>
        <w:fldChar w:fldCharType="begin"/>
      </w:r>
      <w:r w:rsidRPr="00044165">
        <w:rPr>
          <w:rFonts w:ascii="Times New Roman" w:hAnsi="Times New Roman" w:cs="Times New Roman"/>
        </w:rPr>
        <w:instrText xml:space="preserve"> ADDIN EN.CITE &lt;EndNote&gt;&lt;Cite&gt;&lt;Author&gt;Baxter&lt;/Author&gt;&lt;Year&gt;1996&lt;/Year&gt;&lt;RecNum&gt;1248&lt;/RecNum&gt;&lt;DisplayText&gt;(Baxter &amp;amp; Montgomery, 1996)&lt;/DisplayText&gt;&lt;record&gt;&lt;rec-number&gt;1248&lt;/rec-number&gt;&lt;foreign-keys&gt;&lt;key app="EN" db-id="2pe9e00ros0veneeptspa5vhz0pw2az52v20" timestamp="1610695201" guid="9076931a-53d8-48c6-8f62-b14ca4e58efb"&gt;1248&lt;/key&gt;&lt;/foreign-keys&gt;&lt;ref-type name="Book"&gt;6&lt;/ref-type&gt;&lt;contributors&gt;&lt;authors&gt;&lt;author&gt;Baxter, Leslie A&lt;/author&gt;&lt;author&gt;Montgomery, Barbara M&lt;/author&gt;&lt;/authors&gt;&lt;/contributors&gt;&lt;titles&gt;&lt;title&gt;Relating: Dialogues and dialectics&lt;/title&gt;&lt;/titles&gt;&lt;dates&gt;&lt;year&gt;1996&lt;/year&gt;&lt;/dates&gt;&lt;publisher&gt;Guilford Press&lt;/publisher&gt;&lt;isbn&gt;1572301015&lt;/isbn&gt;&lt;urls&gt;&lt;/urls&gt;&lt;/record&gt;&lt;/Cite&gt;&lt;/EndNote&gt;</w:instrText>
      </w:r>
      <w:r w:rsidRPr="00044165">
        <w:rPr>
          <w:rFonts w:ascii="Times New Roman" w:hAnsi="Times New Roman" w:cs="Times New Roman"/>
        </w:rPr>
        <w:fldChar w:fldCharType="separate"/>
      </w:r>
      <w:r w:rsidRPr="00044165">
        <w:rPr>
          <w:rFonts w:ascii="Times New Roman" w:hAnsi="Times New Roman" w:cs="Times New Roman"/>
          <w:noProof/>
        </w:rPr>
        <w:t>(Baxter &amp; Montgomery, 1996)</w:t>
      </w:r>
      <w:r w:rsidRPr="00044165">
        <w:rPr>
          <w:rFonts w:ascii="Times New Roman" w:hAnsi="Times New Roman" w:cs="Times New Roman"/>
        </w:rPr>
        <w:fldChar w:fldCharType="end"/>
      </w:r>
      <w:r w:rsidRPr="00044165">
        <w:rPr>
          <w:rFonts w:ascii="Times New Roman" w:hAnsi="Times New Roman" w:cs="Times New Roman"/>
        </w:rPr>
        <w:t xml:space="preserve">. </w:t>
      </w:r>
      <w:r>
        <w:rPr>
          <w:rFonts w:ascii="Times New Roman" w:hAnsi="Times New Roman" w:cs="Times New Roman"/>
        </w:rPr>
        <w:t xml:space="preserve">RDT is a theory of addressing the relational meaning-making process </w:t>
      </w:r>
      <w:r w:rsidRPr="00044165">
        <w:rPr>
          <w:rFonts w:ascii="Times New Roman" w:hAnsi="Times New Roman" w:cs="Times New Roman"/>
          <w:noProof/>
        </w:rPr>
        <w:fldChar w:fldCharType="begin"/>
      </w:r>
      <w:r w:rsidRPr="00044165">
        <w:rPr>
          <w:rFonts w:ascii="Times New Roman" w:hAnsi="Times New Roman" w:cs="Times New Roman"/>
          <w:noProof/>
        </w:rPr>
        <w:instrText xml:space="preserve"> ADDIN EN.CITE &lt;EndNote&gt;&lt;Cite&gt;&lt;Author&gt;Baxter&lt;/Author&gt;&lt;Year&gt;2021&lt;/Year&gt;&lt;RecNum&gt;1635&lt;/RecNum&gt;&lt;DisplayText&gt;(Baxter et al., 2021)&lt;/DisplayText&gt;&lt;record&gt;&lt;rec-number&gt;1635&lt;/rec-number&gt;&lt;foreign-keys&gt;&lt;key app="EN" db-id="2pe9e00ros0veneeptspa5vhz0pw2az52v20" timestamp="1651291792" guid="9386a910-98ed-4546-a0ef-92560d132ee4"&gt;1635&lt;/key&gt;&lt;/foreign-keys&gt;&lt;ref-type name="Journal Article"&gt;17&lt;/ref-type&gt;&lt;contributors&gt;&lt;authors&gt;&lt;author&gt;Baxter, Leslie A&lt;/author&gt;&lt;author&gt;Scharp, Kristina M&lt;/author&gt;&lt;author&gt;Thomas, Lindsey J&lt;/author&gt;&lt;/authors&gt;&lt;/contributors&gt;&lt;titles&gt;&lt;title&gt;Relational dialectics theory&lt;/title&gt;&lt;secondary-title&gt;Journal of Family Theory &amp;amp; Review&lt;/secondary-title&gt;&lt;/titles&gt;&lt;periodical&gt;&lt;full-title&gt;Journal of Family Theory &amp;amp; Review&lt;/full-title&gt;&lt;/periodical&gt;&lt;pages&gt;7-20&lt;/pages&gt;&lt;volume&gt;13&lt;/volume&gt;&lt;number&gt;1&lt;/number&gt;&lt;dates&gt;&lt;year&gt;2021&lt;/year&gt;&lt;/dates&gt;&lt;isbn&gt;1756-2570&lt;/isbn&gt;&lt;urls&gt;&lt;/urls&gt;&lt;electronic-resource-num&gt;10.1111/jftr.12405&lt;/electronic-resource-num&gt;&lt;/record&gt;&lt;/Cite&gt;&lt;/EndNote&gt;</w:instrText>
      </w:r>
      <w:r w:rsidRPr="00044165">
        <w:rPr>
          <w:rFonts w:ascii="Times New Roman" w:hAnsi="Times New Roman" w:cs="Times New Roman"/>
          <w:noProof/>
        </w:rPr>
        <w:fldChar w:fldCharType="separate"/>
      </w:r>
      <w:r w:rsidRPr="00044165">
        <w:rPr>
          <w:rFonts w:ascii="Times New Roman" w:hAnsi="Times New Roman" w:cs="Times New Roman"/>
          <w:noProof/>
        </w:rPr>
        <w:t>(Baxter et al., 2021)</w:t>
      </w:r>
      <w:r w:rsidRPr="00044165">
        <w:rPr>
          <w:rFonts w:ascii="Times New Roman" w:hAnsi="Times New Roman" w:cs="Times New Roman"/>
          <w:noProof/>
        </w:rPr>
        <w:fldChar w:fldCharType="end"/>
      </w:r>
      <w:r>
        <w:rPr>
          <w:rFonts w:ascii="Times New Roman" w:hAnsi="Times New Roman" w:cs="Times New Roman"/>
          <w:noProof/>
        </w:rPr>
        <w:t xml:space="preserve"> – that is, “how the meanings surrounding individual and relationship identities are constructed through language use” </w:t>
      </w:r>
      <w:r>
        <w:rPr>
          <w:rFonts w:ascii="Times New Roman" w:hAnsi="Times New Roman" w:cs="Times New Roman"/>
          <w:noProof/>
        </w:rPr>
        <w:fldChar w:fldCharType="begin"/>
      </w:r>
      <w:r>
        <w:rPr>
          <w:rFonts w:ascii="Times New Roman" w:hAnsi="Times New Roman" w:cs="Times New Roman"/>
          <w:noProof/>
        </w:rPr>
        <w:instrText xml:space="preserve"> ADDIN EN.CITE &lt;EndNote&gt;&lt;Cite&gt;&lt;Author&gt;Baxter&lt;/Author&gt;&lt;Year&gt;2011&lt;/Year&gt;&lt;RecNum&gt;1633&lt;/RecNum&gt;&lt;Pages&gt;2&lt;/Pages&gt;&lt;DisplayText&gt;(Baxter, 2011, p. 2)&lt;/DisplayText&gt;&lt;record&gt;&lt;rec-number&gt;1633&lt;/rec-number&gt;&lt;foreign-keys&gt;&lt;key app="EN" db-id="2pe9e00ros0veneeptspa5vhz0pw2az52v20" timestamp="1651286064" guid="faff47c4-c762-4121-b9c8-9978bd77054b"&gt;1633&lt;/key&gt;&lt;/foreign-keys&gt;&lt;ref-type name="Book"&gt;6&lt;/ref-type&gt;&lt;contributors&gt;&lt;authors&gt;&lt;author&gt;Baxter, Leslie A.&lt;/author&gt;&lt;/authors&gt;&lt;/contributors&gt;&lt;titles&gt;&lt;title&gt;Voicing relationships: a dialogic perspective&lt;/title&gt;&lt;/titles&gt;&lt;keywords&gt;&lt;keyword&gt;Bakhtin, M. M. (Mikhail Mikhaĭlovich), 1895-1975&lt;/keyword&gt;&lt;keyword&gt;Interpersonal relations&lt;/keyword&gt;&lt;keyword&gt;Dialogue analysis&lt;/keyword&gt;&lt;/keywords&gt;&lt;dates&gt;&lt;year&gt;2011&lt;/year&gt;&lt;/dates&gt;&lt;pub-location&gt;Thousand Oaks, Calif.&lt;/pub-location&gt;&lt;publisher&gt;SAGE Publications, Inc&lt;/publisher&gt;&lt;urls&gt;&lt;/urls&gt;&lt;/record&gt;&lt;/Cite&gt;&lt;/EndNote&gt;</w:instrText>
      </w:r>
      <w:r>
        <w:rPr>
          <w:rFonts w:ascii="Times New Roman" w:hAnsi="Times New Roman" w:cs="Times New Roman"/>
          <w:noProof/>
        </w:rPr>
        <w:fldChar w:fldCharType="separate"/>
      </w:r>
      <w:r>
        <w:rPr>
          <w:rFonts w:ascii="Times New Roman" w:hAnsi="Times New Roman" w:cs="Times New Roman"/>
          <w:noProof/>
        </w:rPr>
        <w:t>(Baxter, 2011, p. 2)</w:t>
      </w:r>
      <w:r>
        <w:rPr>
          <w:rFonts w:ascii="Times New Roman" w:hAnsi="Times New Roman" w:cs="Times New Roman"/>
          <w:noProof/>
        </w:rPr>
        <w:fldChar w:fldCharType="end"/>
      </w:r>
      <w:r>
        <w:rPr>
          <w:rFonts w:ascii="Times New Roman" w:hAnsi="Times New Roman" w:cs="Times New Roman"/>
          <w:noProof/>
        </w:rPr>
        <w:t xml:space="preserve">. </w:t>
      </w:r>
      <w:r w:rsidRPr="00044165">
        <w:rPr>
          <w:rFonts w:ascii="Times New Roman" w:hAnsi="Times New Roman" w:cs="Times New Roman"/>
        </w:rPr>
        <w:t>The core premise of RDT is that meanings are</w:t>
      </w:r>
      <w:r>
        <w:rPr>
          <w:rFonts w:ascii="Times New Roman" w:hAnsi="Times New Roman" w:cs="Times New Roman"/>
        </w:rPr>
        <w:t xml:space="preserve"> generated</w:t>
      </w:r>
      <w:r w:rsidRPr="00044165">
        <w:rPr>
          <w:rFonts w:ascii="Times New Roman" w:hAnsi="Times New Roman" w:cs="Times New Roman"/>
        </w:rPr>
        <w:t xml:space="preserve"> from the struggle of competing discourses, and the core RDT principle is that meanings </w:t>
      </w:r>
      <w:proofErr w:type="gramStart"/>
      <w:r w:rsidRPr="00044165">
        <w:rPr>
          <w:rFonts w:ascii="Times New Roman" w:hAnsi="Times New Roman" w:cs="Times New Roman"/>
        </w:rPr>
        <w:t>at the moment</w:t>
      </w:r>
      <w:proofErr w:type="gramEnd"/>
      <w:r w:rsidRPr="00044165">
        <w:rPr>
          <w:rFonts w:ascii="Times New Roman" w:hAnsi="Times New Roman" w:cs="Times New Roman"/>
        </w:rPr>
        <w:t xml:space="preserve"> are the result of the interplay of competing discourses rather than isolated, unitary</w:t>
      </w:r>
      <w:r>
        <w:rPr>
          <w:rFonts w:ascii="Times New Roman" w:hAnsi="Times New Roman" w:cs="Times New Roman"/>
        </w:rPr>
        <w:t xml:space="preserve">, and monologic </w:t>
      </w:r>
      <w:r w:rsidRPr="00044165">
        <w:rPr>
          <w:rFonts w:ascii="Times New Roman" w:hAnsi="Times New Roman" w:cs="Times New Roman"/>
        </w:rPr>
        <w:t xml:space="preserve">discourses. A </w:t>
      </w:r>
      <w:r w:rsidRPr="00044165">
        <w:rPr>
          <w:rFonts w:ascii="Times New Roman" w:hAnsi="Times New Roman" w:cs="Times New Roman"/>
          <w:i/>
          <w:iCs/>
        </w:rPr>
        <w:t>discourse</w:t>
      </w:r>
      <w:r w:rsidRPr="00044165">
        <w:rPr>
          <w:rFonts w:ascii="Times New Roman" w:hAnsi="Times New Roman" w:cs="Times New Roman"/>
        </w:rPr>
        <w:t xml:space="preserve"> is a system of meaning, “a set of propositions that cohere around a given object of meaning” </w:t>
      </w:r>
      <w:r w:rsidRPr="00044165">
        <w:rPr>
          <w:rFonts w:ascii="Times New Roman" w:hAnsi="Times New Roman" w:cs="Times New Roman"/>
        </w:rPr>
        <w:fldChar w:fldCharType="begin"/>
      </w:r>
      <w:r>
        <w:rPr>
          <w:rFonts w:ascii="Times New Roman" w:hAnsi="Times New Roman" w:cs="Times New Roman"/>
        </w:rPr>
        <w:instrText xml:space="preserve"> ADDIN EN.CITE &lt;EndNote&gt;&lt;Cite&gt;&lt;Author&gt;Baxter&lt;/Author&gt;&lt;Year&gt;2011&lt;/Year&gt;&lt;RecNum&gt;1633&lt;/RecNum&gt;&lt;Pages&gt;2&lt;/Pages&gt;&lt;DisplayText&gt;(Baxter, 2011, p. 2)&lt;/DisplayText&gt;&lt;record&gt;&lt;rec-number&gt;1633&lt;/rec-number&gt;&lt;foreign-keys&gt;&lt;key app="EN" db-id="2pe9e00ros0veneeptspa5vhz0pw2az52v20" timestamp="1651286064" guid="faff47c4-c762-4121-b9c8-9978bd77054b"&gt;1633&lt;/key&gt;&lt;/foreign-keys&gt;&lt;ref-type name="Book"&gt;6&lt;/ref-type&gt;&lt;contributors&gt;&lt;authors&gt;&lt;author&gt;Baxter, Leslie A.&lt;/author&gt;&lt;/authors&gt;&lt;/contributors&gt;&lt;titles&gt;&lt;title&gt;Voicing relationships: a dialogic perspective&lt;/title&gt;&lt;/titles&gt;&lt;keywords&gt;&lt;keyword&gt;Bakhtin, M. M. (Mikhail Mikhaĭlovich), 1895-1975&lt;/keyword&gt;&lt;keyword&gt;Interpersonal relations&lt;/keyword&gt;&lt;keyword&gt;Dialogue analysis&lt;/keyword&gt;&lt;/keywords&gt;&lt;dates&gt;&lt;year&gt;2011&lt;/year&gt;&lt;/dates&gt;&lt;pub-location&gt;Thousand Oaks, Calif.&lt;/pub-location&gt;&lt;publisher&gt;SAGE Publications, Inc&lt;/publisher&gt;&lt;urls&gt;&lt;/urls&gt;&lt;/record&gt;&lt;/Cite&gt;&lt;/EndNote&gt;</w:instrText>
      </w:r>
      <w:r w:rsidRPr="00044165">
        <w:rPr>
          <w:rFonts w:ascii="Times New Roman" w:hAnsi="Times New Roman" w:cs="Times New Roman"/>
        </w:rPr>
        <w:fldChar w:fldCharType="separate"/>
      </w:r>
      <w:r>
        <w:rPr>
          <w:rFonts w:ascii="Times New Roman" w:hAnsi="Times New Roman" w:cs="Times New Roman"/>
          <w:noProof/>
        </w:rPr>
        <w:t>(Baxter, 2011, p. 2)</w:t>
      </w:r>
      <w:r w:rsidRPr="00044165">
        <w:rPr>
          <w:rFonts w:ascii="Times New Roman" w:hAnsi="Times New Roman" w:cs="Times New Roman"/>
        </w:rPr>
        <w:fldChar w:fldCharType="end"/>
      </w:r>
      <w:r w:rsidRPr="00044165">
        <w:rPr>
          <w:rFonts w:ascii="Times New Roman" w:hAnsi="Times New Roman" w:cs="Times New Roman"/>
        </w:rPr>
        <w:t xml:space="preserve">. This section reviews the RDT literature by explicating the book </w:t>
      </w:r>
      <w:r w:rsidRPr="00044165">
        <w:rPr>
          <w:rFonts w:ascii="Times New Roman" w:hAnsi="Times New Roman" w:cs="Times New Roman"/>
          <w:i/>
          <w:iCs/>
        </w:rPr>
        <w:t xml:space="preserve">Voicing Relationships: A Dialogic Perspective </w:t>
      </w:r>
      <w:r w:rsidRPr="00044165">
        <w:rPr>
          <w:rFonts w:ascii="Times New Roman" w:hAnsi="Times New Roman" w:cs="Times New Roman"/>
        </w:rPr>
        <w:t xml:space="preserve">comprehensively </w:t>
      </w:r>
      <w:r w:rsidRPr="00044165">
        <w:rPr>
          <w:rFonts w:ascii="Times New Roman" w:hAnsi="Times New Roman" w:cs="Times New Roman"/>
        </w:rPr>
        <w:fldChar w:fldCharType="begin"/>
      </w:r>
      <w:r>
        <w:rPr>
          <w:rFonts w:ascii="Times New Roman" w:hAnsi="Times New Roman" w:cs="Times New Roman"/>
        </w:rPr>
        <w:instrText xml:space="preserve"> ADDIN EN.CITE &lt;EndNote&gt;&lt;Cite&gt;&lt;Author&gt;Baxter&lt;/Author&gt;&lt;Year&gt;2011&lt;/Year&gt;&lt;RecNum&gt;1633&lt;/RecNum&gt;&lt;DisplayText&gt;(Baxter, 2011)&lt;/DisplayText&gt;&lt;record&gt;&lt;rec-number&gt;1633&lt;/rec-number&gt;&lt;foreign-keys&gt;&lt;key app="EN" db-id="2pe9e00ros0veneeptspa5vhz0pw2az52v20" timestamp="1651286064" guid="faff47c4-c762-4121-b9c8-9978bd77054b"&gt;1633&lt;/key&gt;&lt;/foreign-keys&gt;&lt;ref-type name="Book"&gt;6&lt;/ref-type&gt;&lt;contributors&gt;&lt;authors&gt;&lt;author&gt;Baxter, Leslie A.&lt;/author&gt;&lt;/authors&gt;&lt;/contributors&gt;&lt;titles&gt;&lt;title&gt;Voicing relationships: a dialogic perspective&lt;/title&gt;&lt;/titles&gt;&lt;keywords&gt;&lt;keyword&gt;Bakhtin, M. M. (Mikhail Mikhaĭlovich), 1895-1975&lt;/keyword&gt;&lt;keyword&gt;Interpersonal relations&lt;/keyword&gt;&lt;keyword&gt;Dialogue analysis&lt;/keyword&gt;&lt;/keywords&gt;&lt;dates&gt;&lt;year&gt;2011&lt;/year&gt;&lt;/dates&gt;&lt;pub-location&gt;Thousand Oaks, Calif.&lt;/pub-location&gt;&lt;publisher&gt;SAGE Publications, Inc&lt;/publisher&gt;&lt;urls&gt;&lt;/urls&gt;&lt;/record&gt;&lt;/Cite&gt;&lt;/EndNote&gt;</w:instrText>
      </w:r>
      <w:r w:rsidRPr="00044165">
        <w:rPr>
          <w:rFonts w:ascii="Times New Roman" w:hAnsi="Times New Roman" w:cs="Times New Roman"/>
        </w:rPr>
        <w:fldChar w:fldCharType="separate"/>
      </w:r>
      <w:r>
        <w:rPr>
          <w:rFonts w:ascii="Times New Roman" w:hAnsi="Times New Roman" w:cs="Times New Roman"/>
          <w:noProof/>
        </w:rPr>
        <w:t>(Baxter, 2011)</w:t>
      </w:r>
      <w:r w:rsidRPr="00044165">
        <w:rPr>
          <w:rFonts w:ascii="Times New Roman" w:hAnsi="Times New Roman" w:cs="Times New Roman"/>
        </w:rPr>
        <w:fldChar w:fldCharType="end"/>
      </w:r>
      <w:r>
        <w:rPr>
          <w:rFonts w:ascii="Times New Roman" w:hAnsi="Times New Roman" w:cs="Times New Roman"/>
        </w:rPr>
        <w:t xml:space="preserve"> and reviewing </w:t>
      </w:r>
      <w:r w:rsidRPr="00044165">
        <w:rPr>
          <w:rFonts w:ascii="Times New Roman" w:hAnsi="Times New Roman" w:cs="Times New Roman"/>
        </w:rPr>
        <w:t xml:space="preserve">recent </w:t>
      </w:r>
      <w:r>
        <w:rPr>
          <w:rFonts w:ascii="Times New Roman" w:hAnsi="Times New Roman" w:cs="Times New Roman"/>
        </w:rPr>
        <w:t xml:space="preserve">RDT </w:t>
      </w:r>
      <w:r w:rsidRPr="00044165">
        <w:rPr>
          <w:rFonts w:ascii="Times New Roman" w:hAnsi="Times New Roman" w:cs="Times New Roman"/>
        </w:rPr>
        <w:t>studies</w:t>
      </w:r>
      <w:r>
        <w:rPr>
          <w:rFonts w:ascii="Times New Roman" w:hAnsi="Times New Roman" w:cs="Times New Roman"/>
        </w:rPr>
        <w:t xml:space="preserve">. </w:t>
      </w:r>
      <w:r w:rsidRPr="00044165">
        <w:rPr>
          <w:rFonts w:ascii="Times New Roman" w:hAnsi="Times New Roman" w:cs="Times New Roman"/>
        </w:rPr>
        <w:t xml:space="preserve">The following paragraphs include RDT </w:t>
      </w:r>
      <w:r>
        <w:rPr>
          <w:rFonts w:ascii="Times New Roman" w:hAnsi="Times New Roman" w:cs="Times New Roman"/>
        </w:rPr>
        <w:t>assumptions</w:t>
      </w:r>
      <w:r w:rsidRPr="00044165">
        <w:rPr>
          <w:rFonts w:ascii="Times New Roman" w:hAnsi="Times New Roman" w:cs="Times New Roman"/>
        </w:rPr>
        <w:t xml:space="preserve">, Bakhtin’s dialogism, discursive struggles, centripetal-centrifugal struggle, </w:t>
      </w:r>
      <w:r>
        <w:rPr>
          <w:rFonts w:ascii="Times New Roman" w:hAnsi="Times New Roman" w:cs="Times New Roman"/>
        </w:rPr>
        <w:t>and recent RDT</w:t>
      </w:r>
      <w:r w:rsidRPr="00044165">
        <w:rPr>
          <w:rFonts w:ascii="Times New Roman" w:hAnsi="Times New Roman" w:cs="Times New Roman"/>
        </w:rPr>
        <w:t xml:space="preserve"> studies</w:t>
      </w:r>
      <w:r w:rsidR="00667FF5">
        <w:rPr>
          <w:rFonts w:ascii="Times New Roman" w:hAnsi="Times New Roman" w:cs="Times New Roman"/>
        </w:rPr>
        <w:t>.</w:t>
      </w:r>
      <w:r>
        <w:rPr>
          <w:rFonts w:ascii="Times New Roman" w:hAnsi="Times New Roman" w:cs="Times New Roman"/>
        </w:rPr>
        <w:t xml:space="preserve"> </w:t>
      </w:r>
    </w:p>
    <w:p w14:paraId="618277C9" w14:textId="77777777" w:rsidR="00256B3D" w:rsidRPr="00044165" w:rsidRDefault="00256B3D" w:rsidP="00256B3D">
      <w:pPr>
        <w:spacing w:line="480" w:lineRule="auto"/>
        <w:rPr>
          <w:rFonts w:ascii="Times New Roman" w:hAnsi="Times New Roman" w:cs="Times New Roman"/>
        </w:rPr>
      </w:pPr>
      <w:r w:rsidRPr="00044165">
        <w:rPr>
          <w:rFonts w:ascii="Times New Roman" w:hAnsi="Times New Roman" w:cs="Times New Roman"/>
          <w:b/>
          <w:bCs/>
        </w:rPr>
        <w:t xml:space="preserve">RDT </w:t>
      </w:r>
      <w:r>
        <w:rPr>
          <w:rFonts w:ascii="Times New Roman" w:hAnsi="Times New Roman" w:cs="Times New Roman"/>
          <w:b/>
          <w:bCs/>
        </w:rPr>
        <w:t>Assumptions</w:t>
      </w:r>
    </w:p>
    <w:p w14:paraId="653A3A27" w14:textId="77777777" w:rsidR="00256B3D" w:rsidRPr="00044165" w:rsidRDefault="00256B3D" w:rsidP="00256B3D">
      <w:pPr>
        <w:spacing w:line="480" w:lineRule="auto"/>
        <w:ind w:firstLine="720"/>
        <w:rPr>
          <w:rFonts w:ascii="Times New Roman" w:hAnsi="Times New Roman" w:cs="Times New Roman"/>
        </w:rPr>
      </w:pPr>
      <w:r w:rsidRPr="00044165">
        <w:rPr>
          <w:rFonts w:ascii="Times New Roman" w:hAnsi="Times New Roman" w:cs="Times New Roman"/>
        </w:rPr>
        <w:t xml:space="preserve">RDT is one of several theories in the dialectical family, and its uniqueness is </w:t>
      </w:r>
      <w:r>
        <w:rPr>
          <w:rFonts w:ascii="Times New Roman" w:hAnsi="Times New Roman" w:cs="Times New Roman"/>
        </w:rPr>
        <w:t xml:space="preserve">explicitly </w:t>
      </w:r>
      <w:r w:rsidRPr="00044165">
        <w:rPr>
          <w:rFonts w:ascii="Times New Roman" w:hAnsi="Times New Roman" w:cs="Times New Roman"/>
        </w:rPr>
        <w:t xml:space="preserve">grounded in Bakhtin’s theory of dialogism. </w:t>
      </w:r>
      <w:r>
        <w:rPr>
          <w:rFonts w:ascii="Times New Roman" w:hAnsi="Times New Roman" w:cs="Times New Roman"/>
        </w:rPr>
        <w:t xml:space="preserve">One </w:t>
      </w:r>
      <w:r w:rsidRPr="00044165">
        <w:rPr>
          <w:rFonts w:ascii="Times New Roman" w:hAnsi="Times New Roman" w:cs="Times New Roman"/>
        </w:rPr>
        <w:t xml:space="preserve">core </w:t>
      </w:r>
      <w:r>
        <w:rPr>
          <w:rFonts w:ascii="Times New Roman" w:hAnsi="Times New Roman" w:cs="Times New Roman"/>
        </w:rPr>
        <w:t>attribute (or feature)</w:t>
      </w:r>
      <w:r w:rsidRPr="00044165">
        <w:rPr>
          <w:rFonts w:ascii="Times New Roman" w:hAnsi="Times New Roman" w:cs="Times New Roman"/>
        </w:rPr>
        <w:t xml:space="preserve"> of RDT is descriptive/sensitive, </w:t>
      </w:r>
      <w:r>
        <w:rPr>
          <w:rFonts w:ascii="Times New Roman" w:hAnsi="Times New Roman" w:cs="Times New Roman"/>
        </w:rPr>
        <w:t xml:space="preserve">which </w:t>
      </w:r>
      <w:r w:rsidRPr="00224EB9">
        <w:rPr>
          <w:rFonts w:ascii="Times New Roman" w:hAnsi="Times New Roman" w:cs="Times New Roman"/>
        </w:rPr>
        <w:t>indicates RDT</w:t>
      </w:r>
      <w:r>
        <w:rPr>
          <w:rFonts w:ascii="Times New Roman" w:hAnsi="Times New Roman" w:cs="Times New Roman"/>
        </w:rPr>
        <w:t xml:space="preserve"> has a strong heuristic capacity to provide</w:t>
      </w:r>
      <w:r w:rsidRPr="00224EB9">
        <w:rPr>
          <w:rFonts w:ascii="Times New Roman" w:hAnsi="Times New Roman" w:cs="Times New Roman"/>
        </w:rPr>
        <w:t xml:space="preserve"> </w:t>
      </w:r>
      <w:r>
        <w:rPr>
          <w:rFonts w:ascii="Times New Roman" w:hAnsi="Times New Roman" w:cs="Times New Roman"/>
        </w:rPr>
        <w:t xml:space="preserve">an </w:t>
      </w:r>
      <w:r w:rsidRPr="00224EB9">
        <w:rPr>
          <w:rFonts w:ascii="Times New Roman" w:hAnsi="Times New Roman" w:cs="Times New Roman"/>
        </w:rPr>
        <w:t xml:space="preserve">alternative lens to </w:t>
      </w:r>
      <w:r>
        <w:rPr>
          <w:rFonts w:ascii="Times New Roman" w:hAnsi="Times New Roman" w:cs="Times New Roman"/>
        </w:rPr>
        <w:t xml:space="preserve">understand </w:t>
      </w:r>
      <w:r w:rsidRPr="00224EB9">
        <w:rPr>
          <w:rFonts w:ascii="Times New Roman" w:hAnsi="Times New Roman" w:cs="Times New Roman"/>
        </w:rPr>
        <w:t>phenomena</w:t>
      </w:r>
      <w:r>
        <w:rPr>
          <w:rFonts w:ascii="Times New Roman" w:hAnsi="Times New Roman" w:cs="Times New Roman"/>
        </w:rPr>
        <w:t xml:space="preserve"> </w:t>
      </w:r>
      <w:r w:rsidRPr="00044165">
        <w:rPr>
          <w:rFonts w:ascii="Times New Roman" w:hAnsi="Times New Roman" w:cs="Times New Roman"/>
        </w:rPr>
        <w:fldChar w:fldCharType="begin"/>
      </w:r>
      <w:r w:rsidRPr="00044165">
        <w:rPr>
          <w:rFonts w:ascii="Times New Roman" w:hAnsi="Times New Roman" w:cs="Times New Roman"/>
        </w:rPr>
        <w:instrText xml:space="preserve"> ADDIN EN.CITE &lt;EndNote&gt;&lt;Cite&gt;&lt;Author&gt;Littlejohn&lt;/Author&gt;&lt;Year&gt;2021&lt;/Year&gt;&lt;RecNum&gt;1404&lt;/RecNum&gt;&lt;DisplayText&gt;(Littlejohn et al., 2021)&lt;/DisplayText&gt;&lt;record&gt;&lt;rec-number&gt;1404&lt;/rec-number&gt;&lt;foreign-keys&gt;&lt;key app="EN" db-id="2pe9e00ros0veneeptspa5vhz0pw2az52v20" timestamp="1635621972" guid="bb712a2c-ae25-4ab1-8988-e4754f4f68e0"&gt;1404&lt;/key&gt;&lt;/foreign-keys&gt;&lt;ref-type name="Book"&gt;6&lt;/ref-type&gt;&lt;contributors&gt;&lt;authors&gt;&lt;author&gt;Littlejohn, Stephen W&lt;/author&gt;&lt;author&gt;Foss, Karen A&lt;/author&gt;&lt;author&gt;Oetzel, John G&lt;/author&gt;&lt;/authors&gt;&lt;/contributors&gt;&lt;titles&gt;&lt;title&gt;Theories of human communication&lt;/title&gt;&lt;/titles&gt;&lt;dates&gt;&lt;year&gt;2021&lt;/year&gt;&lt;/dates&gt;&lt;publisher&gt;Waveland press&lt;/publisher&gt;&lt;isbn&gt;1478609397&lt;/isbn&gt;&lt;urls&gt;&lt;/urls&gt;&lt;/record&gt;&lt;/Cite&gt;&lt;/EndNote&gt;</w:instrText>
      </w:r>
      <w:r w:rsidRPr="00044165">
        <w:rPr>
          <w:rFonts w:ascii="Times New Roman" w:hAnsi="Times New Roman" w:cs="Times New Roman"/>
        </w:rPr>
        <w:fldChar w:fldCharType="separate"/>
      </w:r>
      <w:r w:rsidRPr="00044165">
        <w:rPr>
          <w:rFonts w:ascii="Times New Roman" w:hAnsi="Times New Roman" w:cs="Times New Roman"/>
          <w:noProof/>
        </w:rPr>
        <w:t>(Littlejohn et al., 2021)</w:t>
      </w:r>
      <w:r w:rsidRPr="00044165">
        <w:rPr>
          <w:rFonts w:ascii="Times New Roman" w:hAnsi="Times New Roman" w:cs="Times New Roman"/>
        </w:rPr>
        <w:fldChar w:fldCharType="end"/>
      </w:r>
      <w:r w:rsidRPr="00044165">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 AuthorYear="1"&gt;&lt;Author&gt;Baxter&lt;/Author&gt;&lt;Year&gt;2011&lt;/Year&gt;&lt;RecNum&gt;1633&lt;/RecNum&gt;&lt;DisplayText&gt;Baxter (2011)&lt;/DisplayText&gt;&lt;record&gt;&lt;rec-number&gt;1633&lt;/rec-number&gt;&lt;foreign-keys&gt;&lt;key app="EN" db-id="2pe9e00ros0veneeptspa5vhz0pw2az52v20" timestamp="1651286064" guid="faff47c4-c762-4121-b9c8-9978bd77054b"&gt;1633&lt;/key&gt;&lt;/foreign-keys&gt;&lt;ref-type name="Book"&gt;6&lt;/ref-type&gt;&lt;contributors&gt;&lt;authors&gt;&lt;author&gt;Baxter, Leslie A.&lt;/author&gt;&lt;/authors&gt;&lt;/contributors&gt;&lt;titles&gt;&lt;title&gt;Voicing relationships: a dialogic perspective&lt;/title&gt;&lt;/titles&gt;&lt;keywords&gt;&lt;keyword&gt;Bakhtin, M. M. (Mikhail Mikhaĭlovich), 1895-1975&lt;/keyword&gt;&lt;keyword&gt;Interpersonal relations&lt;/keyword&gt;&lt;keyword&gt;Dialogue analysis&lt;/keyword&gt;&lt;/keywords&gt;&lt;dates&gt;&lt;year&gt;2011&lt;/year&gt;&lt;/dates&gt;&lt;pub-location&gt;Thousand Oaks, Calif.&lt;/pub-location&gt;&lt;publisher&gt;SAGE Publications, Inc&lt;/publisher&gt;&lt;urls&gt;&lt;/urls&gt;&lt;/record&gt;&lt;/Cite&gt;&lt;/EndNote&gt;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Baxter (2011)</w:t>
      </w:r>
      <w:r>
        <w:rPr>
          <w:rFonts w:ascii="Times New Roman" w:hAnsi="Times New Roman" w:cs="Times New Roman"/>
        </w:rPr>
        <w:fldChar w:fldCharType="end"/>
      </w:r>
      <w:r>
        <w:rPr>
          <w:rFonts w:ascii="Times New Roman" w:hAnsi="Times New Roman" w:cs="Times New Roman"/>
        </w:rPr>
        <w:t xml:space="preserve"> </w:t>
      </w:r>
      <w:r w:rsidRPr="00044165">
        <w:rPr>
          <w:rFonts w:ascii="Times New Roman" w:hAnsi="Times New Roman" w:cs="Times New Roman"/>
        </w:rPr>
        <w:t xml:space="preserve">applied the core principle of RDT – </w:t>
      </w:r>
      <w:r>
        <w:rPr>
          <w:rFonts w:ascii="Times New Roman" w:hAnsi="Times New Roman" w:cs="Times New Roman"/>
        </w:rPr>
        <w:t xml:space="preserve">that is, </w:t>
      </w:r>
      <w:r w:rsidRPr="00044165">
        <w:rPr>
          <w:rFonts w:ascii="Times New Roman" w:hAnsi="Times New Roman" w:cs="Times New Roman"/>
        </w:rPr>
        <w:t>meanings emerg</w:t>
      </w:r>
      <w:r>
        <w:rPr>
          <w:rFonts w:ascii="Times New Roman" w:hAnsi="Times New Roman" w:cs="Times New Roman"/>
        </w:rPr>
        <w:t>e</w:t>
      </w:r>
      <w:r w:rsidRPr="00044165">
        <w:rPr>
          <w:rFonts w:ascii="Times New Roman" w:hAnsi="Times New Roman" w:cs="Times New Roman"/>
        </w:rPr>
        <w:t xml:space="preserve"> from the interplay of competing discourses – and </w:t>
      </w:r>
      <w:r>
        <w:rPr>
          <w:rFonts w:ascii="Times New Roman" w:hAnsi="Times New Roman" w:cs="Times New Roman"/>
        </w:rPr>
        <w:t>then modified</w:t>
      </w:r>
      <w:r w:rsidRPr="00044165">
        <w:rPr>
          <w:rFonts w:ascii="Times New Roman" w:hAnsi="Times New Roman" w:cs="Times New Roman"/>
        </w:rPr>
        <w:t xml:space="preserve"> five</w:t>
      </w:r>
      <w:r>
        <w:rPr>
          <w:rFonts w:ascii="Times New Roman" w:hAnsi="Times New Roman" w:cs="Times New Roman"/>
        </w:rPr>
        <w:t xml:space="preserve"> key</w:t>
      </w:r>
      <w:r w:rsidRPr="00044165">
        <w:rPr>
          <w:rFonts w:ascii="Times New Roman" w:hAnsi="Times New Roman" w:cs="Times New Roman"/>
        </w:rPr>
        <w:t xml:space="preserve"> constructs in interpersonal </w:t>
      </w:r>
      <w:r>
        <w:rPr>
          <w:rFonts w:ascii="Times New Roman" w:hAnsi="Times New Roman" w:cs="Times New Roman"/>
        </w:rPr>
        <w:t xml:space="preserve">and family </w:t>
      </w:r>
      <w:r w:rsidRPr="00044165">
        <w:rPr>
          <w:rFonts w:ascii="Times New Roman" w:hAnsi="Times New Roman" w:cs="Times New Roman"/>
        </w:rPr>
        <w:t>communication: public/private, uncertainty, interactant, power, and relationship</w:t>
      </w:r>
      <w:r>
        <w:rPr>
          <w:rFonts w:ascii="Times New Roman" w:hAnsi="Times New Roman" w:cs="Times New Roman"/>
        </w:rPr>
        <w:t xml:space="preserve">. These modifications could be considered RDT assumptions for interpersonal and family interactions. </w:t>
      </w:r>
    </w:p>
    <w:p w14:paraId="05D5C5BC" w14:textId="77777777" w:rsidR="00256B3D" w:rsidRPr="00044165" w:rsidRDefault="00256B3D" w:rsidP="00256B3D">
      <w:pPr>
        <w:spacing w:line="480" w:lineRule="auto"/>
        <w:ind w:firstLine="720"/>
        <w:rPr>
          <w:rFonts w:ascii="Times New Roman" w:hAnsi="Times New Roman" w:cs="Times New Roman"/>
        </w:rPr>
      </w:pPr>
      <w:r w:rsidRPr="00044165">
        <w:rPr>
          <w:rFonts w:ascii="Times New Roman" w:hAnsi="Times New Roman" w:cs="Times New Roman"/>
        </w:rPr>
        <w:lastRenderedPageBreak/>
        <w:t xml:space="preserve">First, </w:t>
      </w:r>
      <w:r>
        <w:rPr>
          <w:rFonts w:ascii="Times New Roman" w:hAnsi="Times New Roman" w:cs="Times New Roman"/>
        </w:rPr>
        <w:t xml:space="preserve">according to RDT, </w:t>
      </w:r>
      <w:r w:rsidRPr="00044165">
        <w:rPr>
          <w:rFonts w:ascii="Times New Roman" w:hAnsi="Times New Roman" w:cs="Times New Roman"/>
        </w:rPr>
        <w:t>public and</w:t>
      </w:r>
      <w:r>
        <w:rPr>
          <w:rFonts w:ascii="Times New Roman" w:hAnsi="Times New Roman" w:cs="Times New Roman"/>
        </w:rPr>
        <w:t xml:space="preserve"> </w:t>
      </w:r>
      <w:r w:rsidRPr="00044165">
        <w:rPr>
          <w:rFonts w:ascii="Times New Roman" w:hAnsi="Times New Roman" w:cs="Times New Roman"/>
        </w:rPr>
        <w:t>private</w:t>
      </w:r>
      <w:r>
        <w:rPr>
          <w:rFonts w:ascii="Times New Roman" w:hAnsi="Times New Roman" w:cs="Times New Roman"/>
        </w:rPr>
        <w:t xml:space="preserve"> are</w:t>
      </w:r>
      <w:r w:rsidRPr="00044165">
        <w:rPr>
          <w:rFonts w:ascii="Times New Roman" w:hAnsi="Times New Roman" w:cs="Times New Roman"/>
        </w:rPr>
        <w:t xml:space="preserve"> interpenetrate</w:t>
      </w:r>
      <w:r>
        <w:rPr>
          <w:rFonts w:ascii="Times New Roman" w:hAnsi="Times New Roman" w:cs="Times New Roman"/>
        </w:rPr>
        <w:t>d</w:t>
      </w:r>
      <w:r w:rsidRPr="00044165">
        <w:rPr>
          <w:rFonts w:ascii="Times New Roman" w:hAnsi="Times New Roman" w:cs="Times New Roman"/>
        </w:rPr>
        <w:t xml:space="preserve"> instead of the binary of public and private. A</w:t>
      </w:r>
      <w:r w:rsidRPr="00044165">
        <w:rPr>
          <w:rFonts w:ascii="Times New Roman" w:hAnsi="Times New Roman" w:cs="Times New Roman"/>
          <w:i/>
          <w:iCs/>
        </w:rPr>
        <w:t xml:space="preserve"> public</w:t>
      </w:r>
      <w:r w:rsidRPr="00044165">
        <w:rPr>
          <w:rFonts w:ascii="Times New Roman" w:hAnsi="Times New Roman" w:cs="Times New Roman"/>
        </w:rPr>
        <w:t xml:space="preserve"> </w:t>
      </w:r>
      <w:r w:rsidRPr="00044165">
        <w:rPr>
          <w:rFonts w:ascii="Times New Roman" w:hAnsi="Times New Roman" w:cs="Times New Roman"/>
          <w:i/>
          <w:iCs/>
        </w:rPr>
        <w:t>sphere</w:t>
      </w:r>
      <w:r w:rsidRPr="00044165">
        <w:rPr>
          <w:rFonts w:ascii="Times New Roman" w:hAnsi="Times New Roman" w:cs="Times New Roman"/>
        </w:rPr>
        <w:t xml:space="preserve"> is “a discursive space in which individuals and groups congregate to discuss matters of mutual interest and, where possible, to reach a common judgment” </w:t>
      </w:r>
      <w:r w:rsidRPr="00044165">
        <w:rPr>
          <w:rFonts w:ascii="Times New Roman" w:hAnsi="Times New Roman" w:cs="Times New Roman"/>
        </w:rPr>
        <w:fldChar w:fldCharType="begin"/>
      </w:r>
      <w:r w:rsidRPr="00044165">
        <w:rPr>
          <w:rFonts w:ascii="Times New Roman" w:hAnsi="Times New Roman" w:cs="Times New Roman"/>
        </w:rPr>
        <w:instrText xml:space="preserve"> ADDIN EN.CITE &lt;EndNote&gt;&lt;Cite&gt;&lt;Author&gt;Hauser&lt;/Author&gt;&lt;Year&gt;1998&lt;/Year&gt;&lt;RecNum&gt;2119&lt;/RecNum&gt;&lt;Pages&gt;86&lt;/Pages&gt;&lt;DisplayText&gt;(Hauser, 1998, p. 86)&lt;/DisplayText&gt;&lt;record&gt;&lt;rec-number&gt;2119&lt;/rec-number&gt;&lt;foreign-keys&gt;&lt;key app="EN" db-id="2pe9e00ros0veneeptspa5vhz0pw2az52v20" timestamp="1697155289" guid="49d887fe-8c33-44bf-a8e7-8de563725990"&gt;2119&lt;/key&gt;&lt;/foreign-keys&gt;&lt;ref-type name="Journal Article"&gt;17&lt;/ref-type&gt;&lt;contributors&gt;&lt;authors&gt;&lt;author&gt;Hauser, Gerard A.&lt;/author&gt;&lt;/authors&gt;&lt;/contributors&gt;&lt;titles&gt;&lt;title&gt;Vernacular dialogue and the rhetoricality of public opinion&lt;/title&gt;&lt;secondary-title&gt;Communication Monographs&lt;/secondary-title&gt;&lt;/titles&gt;&lt;periodical&gt;&lt;full-title&gt;Communication Monographs&lt;/full-title&gt;&lt;/periodical&gt;&lt;pages&gt;83-107&lt;/pages&gt;&lt;volume&gt;65&lt;/volume&gt;&lt;number&gt;2&lt;/number&gt;&lt;dates&gt;&lt;year&gt;1998&lt;/year&gt;&lt;/dates&gt;&lt;publisher&gt;Routledge&lt;/publisher&gt;&lt;isbn&gt;0363-7751&lt;/isbn&gt;&lt;urls&gt;&lt;related-urls&gt;&lt;url&gt;https://doi.org/10.1080/03637759809376439&lt;/url&gt;&lt;/related-urls&gt;&lt;/urls&gt;&lt;electronic-resource-num&gt;10.1080/03637759809376439&lt;/electronic-resource-num&gt;&lt;/record&gt;&lt;/Cite&gt;&lt;/EndNote&gt;</w:instrText>
      </w:r>
      <w:r w:rsidRPr="00044165">
        <w:rPr>
          <w:rFonts w:ascii="Times New Roman" w:hAnsi="Times New Roman" w:cs="Times New Roman"/>
        </w:rPr>
        <w:fldChar w:fldCharType="separate"/>
      </w:r>
      <w:r w:rsidRPr="00044165">
        <w:rPr>
          <w:rFonts w:ascii="Times New Roman" w:hAnsi="Times New Roman" w:cs="Times New Roman"/>
          <w:noProof/>
        </w:rPr>
        <w:t>(Hauser, 1998, p. 86)</w:t>
      </w:r>
      <w:r w:rsidRPr="00044165">
        <w:rPr>
          <w:rFonts w:ascii="Times New Roman" w:hAnsi="Times New Roman" w:cs="Times New Roman"/>
        </w:rPr>
        <w:fldChar w:fldCharType="end"/>
      </w:r>
      <w:r w:rsidRPr="00044165">
        <w:rPr>
          <w:rFonts w:ascii="Times New Roman" w:hAnsi="Times New Roman" w:cs="Times New Roman"/>
        </w:rPr>
        <w:t xml:space="preserve">. People are expected to play designated social roles in the public sphere, such as workers, neighbors, and citizens. By contrast, </w:t>
      </w:r>
      <w:r w:rsidRPr="00044165">
        <w:rPr>
          <w:rFonts w:ascii="Times New Roman" w:hAnsi="Times New Roman" w:cs="Times New Roman"/>
          <w:i/>
          <w:iCs/>
        </w:rPr>
        <w:t>private</w:t>
      </w:r>
      <w:r w:rsidRPr="00044165">
        <w:rPr>
          <w:rFonts w:ascii="Times New Roman" w:hAnsi="Times New Roman" w:cs="Times New Roman"/>
        </w:rPr>
        <w:t xml:space="preserve"> in the social world is aligned with individual, home, sentiment, love, and self-interest </w:t>
      </w:r>
      <w:r w:rsidRPr="00044165">
        <w:rPr>
          <w:rFonts w:ascii="Times New Roman" w:hAnsi="Times New Roman" w:cs="Times New Roman"/>
        </w:rPr>
        <w:fldChar w:fldCharType="begin"/>
      </w:r>
      <w:r>
        <w:rPr>
          <w:rFonts w:ascii="Times New Roman" w:hAnsi="Times New Roman" w:cs="Times New Roman"/>
        </w:rPr>
        <w:instrText xml:space="preserve"> ADDIN EN.CITE &lt;EndNote&gt;&lt;Cite&gt;&lt;Author&gt;Gal&lt;/Author&gt;&lt;Year&gt;2005&lt;/Year&gt;&lt;RecNum&gt;2120&lt;/RecNum&gt;&lt;DisplayText&gt;(Gal, 2005)&lt;/DisplayText&gt;&lt;record&gt;&lt;rec-number&gt;2120&lt;/rec-number&gt;&lt;foreign-keys&gt;&lt;key app="EN" db-id="2pe9e00ros0veneeptspa5vhz0pw2az52v20" timestamp="1697157302" guid="14574a87-4011-4d82-8614-feb96c61f4a6"&gt;2120&lt;/key&gt;&lt;/foreign-keys&gt;&lt;ref-type name="Journal Article"&gt;17&lt;/ref-type&gt;&lt;contributors&gt;&lt;authors&gt;&lt;author&gt;Gal, Susan&lt;/author&gt;&lt;/authors&gt;&lt;/contributors&gt;&lt;titles&gt;&lt;title&gt;Language ideologies compared&lt;/title&gt;&lt;secondary-title&gt;Journal of Linguistic Anthropology&lt;/secondary-title&gt;&lt;/titles&gt;&lt;periodical&gt;&lt;full-title&gt;Journal of Linguistic Anthropology&lt;/full-title&gt;&lt;/periodical&gt;&lt;pages&gt;23-37&lt;/pages&gt;&lt;volume&gt;15&lt;/volume&gt;&lt;number&gt;1&lt;/number&gt;&lt;dates&gt;&lt;year&gt;2005&lt;/year&gt;&lt;/dates&gt;&lt;isbn&gt;1055-1360&lt;/isbn&gt;&lt;urls&gt;&lt;related-urls&gt;&lt;url&gt;https://anthrosource.onlinelibrary.wiley.com/doi/abs/10.1525/jlin.2005.15.1.23&lt;/url&gt;&lt;/related-urls&gt;&lt;/urls&gt;&lt;electronic-resource-num&gt;https://doi.org/10.1525/jlin.2005.15.1.23&lt;/electronic-resource-num&gt;&lt;/record&gt;&lt;/Cite&gt;&lt;/EndNote&gt;</w:instrText>
      </w:r>
      <w:r w:rsidRPr="00044165">
        <w:rPr>
          <w:rFonts w:ascii="Times New Roman" w:hAnsi="Times New Roman" w:cs="Times New Roman"/>
        </w:rPr>
        <w:fldChar w:fldCharType="separate"/>
      </w:r>
      <w:r w:rsidRPr="00044165">
        <w:rPr>
          <w:rFonts w:ascii="Times New Roman" w:hAnsi="Times New Roman" w:cs="Times New Roman"/>
          <w:noProof/>
        </w:rPr>
        <w:t>(Gal, 2005)</w:t>
      </w:r>
      <w:r w:rsidRPr="00044165">
        <w:rPr>
          <w:rFonts w:ascii="Times New Roman" w:hAnsi="Times New Roman" w:cs="Times New Roman"/>
        </w:rPr>
        <w:fldChar w:fldCharType="end"/>
      </w:r>
      <w:r w:rsidRPr="00044165">
        <w:rPr>
          <w:rFonts w:ascii="Times New Roman" w:hAnsi="Times New Roman" w:cs="Times New Roman"/>
        </w:rPr>
        <w:t xml:space="preserve">. The dialogical grounding of RDT argues the interpenetration of public spheres and private life, where people constitute their dialogue among multiple discourses. For example, when a person is doing an inner dialogue of intrapersonal communication in one’s mind, the person also integrates cultural and social contexts into the dialogue. </w:t>
      </w:r>
    </w:p>
    <w:p w14:paraId="750F6F6C" w14:textId="77777777" w:rsidR="00256B3D" w:rsidRPr="00044165" w:rsidRDefault="00256B3D" w:rsidP="00256B3D">
      <w:pPr>
        <w:spacing w:line="480" w:lineRule="auto"/>
        <w:ind w:firstLine="720"/>
        <w:rPr>
          <w:rFonts w:ascii="Times New Roman" w:hAnsi="Times New Roman" w:cs="Times New Roman"/>
        </w:rPr>
      </w:pPr>
      <w:r w:rsidRPr="00044165">
        <w:rPr>
          <w:rFonts w:ascii="Times New Roman" w:hAnsi="Times New Roman" w:cs="Times New Roman"/>
        </w:rPr>
        <w:t xml:space="preserve">Second, </w:t>
      </w:r>
      <w:r>
        <w:rPr>
          <w:rFonts w:ascii="Times New Roman" w:hAnsi="Times New Roman" w:cs="Times New Roman"/>
        </w:rPr>
        <w:t xml:space="preserve">the theory states that </w:t>
      </w:r>
      <w:r w:rsidRPr="00044165">
        <w:rPr>
          <w:rFonts w:ascii="Times New Roman" w:hAnsi="Times New Roman" w:cs="Times New Roman"/>
        </w:rPr>
        <w:t>uncertainty is</w:t>
      </w:r>
      <w:r>
        <w:rPr>
          <w:rFonts w:ascii="Times New Roman" w:hAnsi="Times New Roman" w:cs="Times New Roman"/>
        </w:rPr>
        <w:t xml:space="preserve"> conceived as</w:t>
      </w:r>
      <w:r w:rsidRPr="00044165">
        <w:rPr>
          <w:rFonts w:ascii="Times New Roman" w:hAnsi="Times New Roman" w:cs="Times New Roman"/>
        </w:rPr>
        <w:t xml:space="preserve"> a normal state rather than a</w:t>
      </w:r>
      <w:r>
        <w:rPr>
          <w:rFonts w:ascii="Times New Roman" w:hAnsi="Times New Roman" w:cs="Times New Roman"/>
        </w:rPr>
        <w:t>n aberration or as a</w:t>
      </w:r>
      <w:r w:rsidRPr="00044165">
        <w:rPr>
          <w:rFonts w:ascii="Times New Roman" w:hAnsi="Times New Roman" w:cs="Times New Roman"/>
        </w:rPr>
        <w:t xml:space="preserve"> subject to be handled. Uncertainty is primarily discussed in uncertainty reduction theory </w:t>
      </w:r>
      <w:r w:rsidRPr="00044165">
        <w:rPr>
          <w:rFonts w:ascii="Times New Roman" w:hAnsi="Times New Roman" w:cs="Times New Roman"/>
        </w:rPr>
        <w:fldChar w:fldCharType="begin"/>
      </w:r>
      <w:r w:rsidRPr="00044165">
        <w:rPr>
          <w:rFonts w:ascii="Times New Roman" w:hAnsi="Times New Roman" w:cs="Times New Roman"/>
        </w:rPr>
        <w:instrText xml:space="preserve"> ADDIN EN.CITE &lt;EndNote&gt;&lt;Cite&gt;&lt;Author&gt;Berger&lt;/Author&gt;&lt;Year&gt;1975&lt;/Year&gt;&lt;RecNum&gt;2122&lt;/RecNum&gt;&lt;DisplayText&gt;(Berger &amp;amp; Calabrese, 1975)&lt;/DisplayText&gt;&lt;record&gt;&lt;rec-number&gt;2122&lt;/rec-number&gt;&lt;foreign-keys&gt;&lt;key app="EN" db-id="2pe9e00ros0veneeptspa5vhz0pw2az52v20" timestamp="1697210360" guid="c2e4278e-d696-418a-804f-5710054ddab7"&gt;2122&lt;/key&gt;&lt;/foreign-keys&gt;&lt;ref-type name="Journal Article"&gt;17&lt;/ref-type&gt;&lt;contributors&gt;&lt;authors&gt;&lt;author&gt;Berger, Charles R.&lt;/author&gt;&lt;author&gt;Calabrese, Richard J.&lt;/author&gt;&lt;/authors&gt;&lt;/contributors&gt;&lt;titles&gt;&lt;title&gt;Some explorations in initial interaction and beyond: Toward a developmental theory of interpersonal communication&lt;/title&gt;&lt;secondary-title&gt;Human Communication Research&lt;/secondary-title&gt;&lt;/titles&gt;&lt;periodical&gt;&lt;full-title&gt;Human Communication Research&lt;/full-title&gt;&lt;/periodical&gt;&lt;pages&gt;99-112&lt;/pages&gt;&lt;volume&gt;1&lt;/volume&gt;&lt;number&gt;2&lt;/number&gt;&lt;keywords&gt;&lt;keyword&gt;*Developmental Stages&lt;/keyword&gt;&lt;keyword&gt;*Interpersonal Communication&lt;/keyword&gt;&lt;keyword&gt;*Uncertainty&lt;/keyword&gt;&lt;keyword&gt;Interpersonal Relationships&lt;/keyword&gt;&lt;/keywords&gt;&lt;dates&gt;&lt;year&gt;1975&lt;/year&gt;&lt;/dates&gt;&lt;pub-location&gt;United Kingdom&lt;/pub-location&gt;&lt;publisher&gt;Oxford University Press&lt;/publisher&gt;&lt;isbn&gt;1468-2958(Electronic),0360-3989(Print)&lt;/isbn&gt;&lt;urls&gt;&lt;/urls&gt;&lt;electronic-resource-num&gt;10.1111/j.1468-2958.1975.tb00258.x&lt;/electronic-resource-num&gt;&lt;/record&gt;&lt;/Cite&gt;&lt;/EndNote&gt;</w:instrText>
      </w:r>
      <w:r w:rsidRPr="00044165">
        <w:rPr>
          <w:rFonts w:ascii="Times New Roman" w:hAnsi="Times New Roman" w:cs="Times New Roman"/>
        </w:rPr>
        <w:fldChar w:fldCharType="separate"/>
      </w:r>
      <w:r w:rsidRPr="00044165">
        <w:rPr>
          <w:rFonts w:ascii="Times New Roman" w:hAnsi="Times New Roman" w:cs="Times New Roman"/>
          <w:noProof/>
        </w:rPr>
        <w:t>(Berger &amp; Calabrese, 1975)</w:t>
      </w:r>
      <w:r w:rsidRPr="00044165">
        <w:rPr>
          <w:rFonts w:ascii="Times New Roman" w:hAnsi="Times New Roman" w:cs="Times New Roman"/>
        </w:rPr>
        <w:fldChar w:fldCharType="end"/>
      </w:r>
      <w:r w:rsidRPr="00044165">
        <w:rPr>
          <w:rFonts w:ascii="Times New Roman" w:hAnsi="Times New Roman" w:cs="Times New Roman"/>
        </w:rPr>
        <w:t xml:space="preserve"> and uncertainty management theory </w:t>
      </w:r>
      <w:r w:rsidRPr="00044165">
        <w:rPr>
          <w:rFonts w:ascii="Times New Roman" w:hAnsi="Times New Roman" w:cs="Times New Roman"/>
        </w:rPr>
        <w:fldChar w:fldCharType="begin"/>
      </w:r>
      <w:r w:rsidRPr="00044165">
        <w:rPr>
          <w:rFonts w:ascii="Times New Roman" w:hAnsi="Times New Roman" w:cs="Times New Roman"/>
        </w:rPr>
        <w:instrText xml:space="preserve"> ADDIN EN.CITE &lt;EndNote&gt;&lt;Cite&gt;&lt;Author&gt;Brashers&lt;/Author&gt;&lt;Year&gt;2001&lt;/Year&gt;&lt;RecNum&gt;1343&lt;/RecNum&gt;&lt;DisplayText&gt;(Brashers, 2001)&lt;/DisplayText&gt;&lt;record&gt;&lt;rec-number&gt;1343&lt;/rec-number&gt;&lt;foreign-keys&gt;&lt;key app="EN" db-id="2pe9e00ros0veneeptspa5vhz0pw2az52v20" timestamp="1622388393" guid="573f5669-f820-4eae-ba18-697e3e089de9"&gt;1343&lt;/key&gt;&lt;/foreign-keys&gt;&lt;ref-type name="Journal Article"&gt;17&lt;/ref-type&gt;&lt;contributors&gt;&lt;authors&gt;&lt;author&gt;Brashers, Dale E&lt;/author&gt;&lt;/authors&gt;&lt;/contributors&gt;&lt;titles&gt;&lt;title&gt;Communication and uncertainty management&lt;/title&gt;&lt;secondary-title&gt;Journal of communication&lt;/secondary-title&gt;&lt;/titles&gt;&lt;periodical&gt;&lt;full-title&gt;Journal of communication&lt;/full-title&gt;&lt;/periodical&gt;&lt;pages&gt;477-497&lt;/pages&gt;&lt;volume&gt;51&lt;/volume&gt;&lt;number&gt;3&lt;/number&gt;&lt;dates&gt;&lt;year&gt;2001&lt;/year&gt;&lt;/dates&gt;&lt;isbn&gt;0021-9916&lt;/isbn&gt;&lt;urls&gt;&lt;/urls&gt;&lt;electronic-resource-num&gt;10.1111/j.1460-2466.2001.tb02892.x&lt;/electronic-resource-num&gt;&lt;/record&gt;&lt;/Cite&gt;&lt;/EndNote&gt;</w:instrText>
      </w:r>
      <w:r w:rsidRPr="00044165">
        <w:rPr>
          <w:rFonts w:ascii="Times New Roman" w:hAnsi="Times New Roman" w:cs="Times New Roman"/>
        </w:rPr>
        <w:fldChar w:fldCharType="separate"/>
      </w:r>
      <w:r w:rsidRPr="00044165">
        <w:rPr>
          <w:rFonts w:ascii="Times New Roman" w:hAnsi="Times New Roman" w:cs="Times New Roman"/>
          <w:noProof/>
        </w:rPr>
        <w:t>(Brashers, 2001)</w:t>
      </w:r>
      <w:r w:rsidRPr="00044165">
        <w:rPr>
          <w:rFonts w:ascii="Times New Roman" w:hAnsi="Times New Roman" w:cs="Times New Roman"/>
        </w:rPr>
        <w:fldChar w:fldCharType="end"/>
      </w:r>
      <w:r w:rsidRPr="00044165">
        <w:rPr>
          <w:rFonts w:ascii="Times New Roman" w:hAnsi="Times New Roman" w:cs="Times New Roman"/>
        </w:rPr>
        <w:t>. These theories privilege uncertainty as a central subject for either reduction or management.</w:t>
      </w:r>
      <w:r>
        <w:rPr>
          <w:rFonts w:ascii="Times New Roman" w:hAnsi="Times New Roman" w:cs="Times New Roman"/>
        </w:rPr>
        <w:t xml:space="preserve"> In contrast, t</w:t>
      </w:r>
      <w:r w:rsidRPr="00044165">
        <w:rPr>
          <w:rFonts w:ascii="Times New Roman" w:hAnsi="Times New Roman" w:cs="Times New Roman"/>
        </w:rPr>
        <w:t xml:space="preserve">he dialogical grounding assumes emergent meaning in which uncertainty is somewhat undermined and considered a natural state. </w:t>
      </w:r>
      <w:r>
        <w:rPr>
          <w:rFonts w:ascii="Times New Roman" w:hAnsi="Times New Roman" w:cs="Times New Roman"/>
        </w:rPr>
        <w:t>While</w:t>
      </w:r>
      <w:r w:rsidRPr="00044165">
        <w:rPr>
          <w:rFonts w:ascii="Times New Roman" w:hAnsi="Times New Roman" w:cs="Times New Roman"/>
        </w:rPr>
        <w:t xml:space="preserve"> uncertainty </w:t>
      </w:r>
      <w:r>
        <w:rPr>
          <w:rFonts w:ascii="Times New Roman" w:hAnsi="Times New Roman" w:cs="Times New Roman"/>
        </w:rPr>
        <w:t xml:space="preserve">can have </w:t>
      </w:r>
      <w:r w:rsidRPr="00044165">
        <w:rPr>
          <w:rFonts w:ascii="Times New Roman" w:hAnsi="Times New Roman" w:cs="Times New Roman"/>
        </w:rPr>
        <w:t xml:space="preserve">a negative connotation in existing research and daily life conversations, the dialogical grounding of RDT designates a neutral (or positive) connotation </w:t>
      </w:r>
      <w:r>
        <w:rPr>
          <w:rFonts w:ascii="Times New Roman" w:hAnsi="Times New Roman" w:cs="Times New Roman"/>
        </w:rPr>
        <w:t>to</w:t>
      </w:r>
      <w:r w:rsidRPr="00044165">
        <w:rPr>
          <w:rFonts w:ascii="Times New Roman" w:hAnsi="Times New Roman" w:cs="Times New Roman"/>
        </w:rPr>
        <w:t xml:space="preserve"> uncertainty. </w:t>
      </w:r>
    </w:p>
    <w:p w14:paraId="6C326FED" w14:textId="77777777" w:rsidR="00256B3D" w:rsidRPr="00044165" w:rsidRDefault="00256B3D" w:rsidP="00256B3D">
      <w:pPr>
        <w:spacing w:line="480" w:lineRule="auto"/>
        <w:ind w:firstLine="720"/>
        <w:rPr>
          <w:rFonts w:ascii="Times New Roman" w:hAnsi="Times New Roman" w:cs="Times New Roman"/>
        </w:rPr>
      </w:pPr>
      <w:r w:rsidRPr="00044165">
        <w:rPr>
          <w:rFonts w:ascii="Times New Roman" w:hAnsi="Times New Roman" w:cs="Times New Roman"/>
        </w:rPr>
        <w:t xml:space="preserve">Third, </w:t>
      </w:r>
      <w:r>
        <w:rPr>
          <w:rFonts w:ascii="Times New Roman" w:hAnsi="Times New Roman" w:cs="Times New Roman"/>
        </w:rPr>
        <w:t xml:space="preserve">RDT states that </w:t>
      </w:r>
      <w:r w:rsidRPr="00044165">
        <w:rPr>
          <w:rFonts w:ascii="Times New Roman" w:hAnsi="Times New Roman" w:cs="Times New Roman"/>
        </w:rPr>
        <w:t xml:space="preserve">an interactant is not a </w:t>
      </w:r>
      <w:r>
        <w:rPr>
          <w:rFonts w:ascii="Times New Roman" w:hAnsi="Times New Roman" w:cs="Times New Roman"/>
        </w:rPr>
        <w:t xml:space="preserve">component </w:t>
      </w:r>
      <w:r w:rsidRPr="00044165">
        <w:rPr>
          <w:rFonts w:ascii="Times New Roman" w:hAnsi="Times New Roman" w:cs="Times New Roman"/>
        </w:rPr>
        <w:t xml:space="preserve">embedded </w:t>
      </w:r>
      <w:r>
        <w:rPr>
          <w:rFonts w:ascii="Times New Roman" w:hAnsi="Times New Roman" w:cs="Times New Roman"/>
        </w:rPr>
        <w:t>with</w:t>
      </w:r>
      <w:r w:rsidRPr="00044165">
        <w:rPr>
          <w:rFonts w:ascii="Times New Roman" w:hAnsi="Times New Roman" w:cs="Times New Roman"/>
        </w:rPr>
        <w:t xml:space="preserve">in communication but is a </w:t>
      </w:r>
      <w:r>
        <w:rPr>
          <w:rFonts w:ascii="Times New Roman" w:hAnsi="Times New Roman" w:cs="Times New Roman"/>
        </w:rPr>
        <w:t xml:space="preserve">constituent </w:t>
      </w:r>
      <w:r w:rsidRPr="00044165">
        <w:rPr>
          <w:rFonts w:ascii="Times New Roman" w:hAnsi="Times New Roman" w:cs="Times New Roman"/>
        </w:rPr>
        <w:t>animat</w:t>
      </w:r>
      <w:r>
        <w:rPr>
          <w:rFonts w:ascii="Times New Roman" w:hAnsi="Times New Roman" w:cs="Times New Roman"/>
        </w:rPr>
        <w:t>or</w:t>
      </w:r>
      <w:r w:rsidRPr="00044165">
        <w:rPr>
          <w:rFonts w:ascii="Times New Roman" w:hAnsi="Times New Roman" w:cs="Times New Roman"/>
        </w:rPr>
        <w:t xml:space="preserve"> in competing discourses. </w:t>
      </w:r>
      <w:r w:rsidRPr="00044165">
        <w:rPr>
          <w:rFonts w:ascii="Times New Roman" w:hAnsi="Times New Roman" w:cs="Times New Roman"/>
        </w:rPr>
        <w:fldChar w:fldCharType="begin"/>
      </w:r>
      <w:r w:rsidRPr="00044165">
        <w:rPr>
          <w:rFonts w:ascii="Times New Roman" w:hAnsi="Times New Roman" w:cs="Times New Roman"/>
        </w:rPr>
        <w:instrText xml:space="preserve"> ADDIN EN.CITE &lt;EndNote&gt;&lt;Cite AuthorYear="1"&gt;&lt;Author&gt;Hewes&lt;/Author&gt;&lt;Year&gt;1987&lt;/Year&gt;&lt;RecNum&gt;2124&lt;/RecNum&gt;&lt;DisplayText&gt;Hewes and Planalp (1987)&lt;/DisplayText&gt;&lt;record&gt;&lt;rec-number&gt;2124&lt;/rec-number&gt;&lt;foreign-keys&gt;&lt;key app="EN" db-id="2pe9e00ros0veneeptspa5vhz0pw2az52v20" timestamp="1697243829" guid="e794d8f0-cc97-4aaa-b4e1-7e8172637f08"&gt;2124&lt;/key&gt;&lt;/foreign-keys&gt;&lt;ref-type name="Book Section"&gt;5&lt;/ref-type&gt;&lt;contributors&gt;&lt;authors&gt;&lt;author&gt;Hewes, DE&lt;/author&gt;&lt;author&gt;Planalp, S&lt;/author&gt;&lt;/authors&gt;&lt;secondary-authors&gt;&lt;author&gt;Berger, C. R., &amp;amp; Chaffee, S. H.&lt;/author&gt;&lt;/secondary-authors&gt;&lt;/contributors&gt;&lt;titles&gt;&lt;title&gt;The individual&amp;apos;s place in communication science&lt;/title&gt;&lt;secondary-title&gt;Handbook of communication science&lt;/secondary-title&gt;&lt;/titles&gt;&lt;periodical&gt;&lt;full-title&gt;Handbook of communication science&lt;/full-title&gt;&lt;/periodical&gt;&lt;pages&gt;146-183&lt;/pages&gt;&lt;dates&gt;&lt;year&gt;1987&lt;/year&gt;&lt;/dates&gt;&lt;pub-location&gt;Newbury Park, CA &lt;/pub-location&gt;&lt;publisher&gt;Sage&lt;/publisher&gt;&lt;urls&gt;&lt;/urls&gt;&lt;/record&gt;&lt;/Cite&gt;&lt;/EndNote&gt;</w:instrText>
      </w:r>
      <w:r w:rsidRPr="00044165">
        <w:rPr>
          <w:rFonts w:ascii="Times New Roman" w:hAnsi="Times New Roman" w:cs="Times New Roman"/>
        </w:rPr>
        <w:fldChar w:fldCharType="separate"/>
      </w:r>
      <w:r w:rsidRPr="00044165">
        <w:rPr>
          <w:rFonts w:ascii="Times New Roman" w:hAnsi="Times New Roman" w:cs="Times New Roman"/>
          <w:noProof/>
        </w:rPr>
        <w:t>Hewes and Planalp (1987)</w:t>
      </w:r>
      <w:r w:rsidRPr="00044165">
        <w:rPr>
          <w:rFonts w:ascii="Times New Roman" w:hAnsi="Times New Roman" w:cs="Times New Roman"/>
        </w:rPr>
        <w:fldChar w:fldCharType="end"/>
      </w:r>
      <w:r w:rsidRPr="00044165">
        <w:rPr>
          <w:rFonts w:ascii="Times New Roman" w:hAnsi="Times New Roman" w:cs="Times New Roman"/>
        </w:rPr>
        <w:t xml:space="preserve"> stated that </w:t>
      </w:r>
      <w:r>
        <w:rPr>
          <w:rFonts w:ascii="Times New Roman" w:hAnsi="Times New Roman" w:cs="Times New Roman"/>
        </w:rPr>
        <w:t>effect</w:t>
      </w:r>
      <w:r w:rsidRPr="00044165">
        <w:rPr>
          <w:rFonts w:ascii="Times New Roman" w:hAnsi="Times New Roman" w:cs="Times New Roman"/>
        </w:rPr>
        <w:t xml:space="preserve"> and intersubjectivity were foundational properties of communication. In other words, interactants </w:t>
      </w:r>
      <w:r>
        <w:rPr>
          <w:rFonts w:ascii="Times New Roman" w:hAnsi="Times New Roman" w:cs="Times New Roman"/>
        </w:rPr>
        <w:t>influence</w:t>
      </w:r>
      <w:r w:rsidRPr="00044165">
        <w:rPr>
          <w:rFonts w:ascii="Times New Roman" w:hAnsi="Times New Roman" w:cs="Times New Roman"/>
        </w:rPr>
        <w:t xml:space="preserve"> others in communication and shared knowledge between interactants is necessary to generate intersubjective meanings from communication. Within the </w:t>
      </w:r>
      <w:r w:rsidRPr="00044165">
        <w:rPr>
          <w:rFonts w:ascii="Times New Roman" w:hAnsi="Times New Roman" w:cs="Times New Roman"/>
        </w:rPr>
        <w:lastRenderedPageBreak/>
        <w:t xml:space="preserve">dialogical grounding, interactants constitute </w:t>
      </w:r>
      <w:r>
        <w:rPr>
          <w:rFonts w:ascii="Times New Roman" w:hAnsi="Times New Roman" w:cs="Times New Roman"/>
        </w:rPr>
        <w:t xml:space="preserve">a </w:t>
      </w:r>
      <w:r w:rsidRPr="00044165">
        <w:rPr>
          <w:rFonts w:ascii="Times New Roman" w:hAnsi="Times New Roman" w:cs="Times New Roman"/>
        </w:rPr>
        <w:t xml:space="preserve">communication animating in competing discourses. In other words, interactants are participatory, and competing discourses circulate in communication. </w:t>
      </w:r>
    </w:p>
    <w:p w14:paraId="65FCD44D" w14:textId="77777777" w:rsidR="00256B3D" w:rsidRPr="00134449" w:rsidRDefault="00256B3D" w:rsidP="00256B3D">
      <w:pPr>
        <w:spacing w:line="480" w:lineRule="auto"/>
        <w:ind w:firstLine="720"/>
        <w:rPr>
          <w:rFonts w:ascii="Times New Roman" w:eastAsia="Times New Roman" w:hAnsi="Times New Roman" w:cs="Times New Roman"/>
          <w:color w:val="000000"/>
        </w:rPr>
      </w:pPr>
      <w:r w:rsidRPr="00044165">
        <w:rPr>
          <w:rFonts w:ascii="Times New Roman" w:hAnsi="Times New Roman" w:cs="Times New Roman"/>
        </w:rPr>
        <w:t xml:space="preserve"> Fourth, </w:t>
      </w:r>
      <w:r>
        <w:rPr>
          <w:rFonts w:ascii="Times New Roman" w:hAnsi="Times New Roman" w:cs="Times New Roman"/>
        </w:rPr>
        <w:t xml:space="preserve">the theory assumes that </w:t>
      </w:r>
      <w:r w:rsidRPr="00044165">
        <w:rPr>
          <w:rFonts w:ascii="Times New Roman" w:hAnsi="Times New Roman" w:cs="Times New Roman"/>
        </w:rPr>
        <w:t>power is in discourse, not individual</w:t>
      </w:r>
      <w:r>
        <w:rPr>
          <w:rFonts w:ascii="Times New Roman" w:hAnsi="Times New Roman" w:cs="Times New Roman"/>
        </w:rPr>
        <w:t>s</w:t>
      </w:r>
      <w:r w:rsidRPr="00044165">
        <w:rPr>
          <w:rFonts w:ascii="Times New Roman" w:hAnsi="Times New Roman" w:cs="Times New Roman"/>
        </w:rPr>
        <w:t xml:space="preserve">. </w:t>
      </w:r>
      <w:r>
        <w:rPr>
          <w:rFonts w:ascii="Times New Roman" w:hAnsi="Times New Roman" w:cs="Times New Roman"/>
        </w:rPr>
        <w:t xml:space="preserve">From the action-oriented perspective, power refers to “the ability to control resources, own and others’, without social interference” </w:t>
      </w:r>
      <w:r>
        <w:rPr>
          <w:rFonts w:ascii="Times New Roman" w:hAnsi="Times New Roman" w:cs="Times New Roman"/>
        </w:rPr>
        <w:fldChar w:fldCharType="begin"/>
      </w:r>
      <w:r>
        <w:rPr>
          <w:rFonts w:ascii="Times New Roman" w:hAnsi="Times New Roman" w:cs="Times New Roman"/>
        </w:rPr>
        <w:instrText xml:space="preserve"> ADDIN EN.CITE &lt;EndNote&gt;&lt;Cite&gt;&lt;Author&gt;Galinsky&lt;/Author&gt;&lt;Year&gt;2003&lt;/Year&gt;&lt;RecNum&gt;2239&lt;/RecNum&gt;&lt;Pages&gt;454&lt;/Pages&gt;&lt;DisplayText&gt;(Galinsky et al., 2003, p. 454)&lt;/DisplayText&gt;&lt;record&gt;&lt;rec-number&gt;2239&lt;/rec-number&gt;&lt;foreign-keys&gt;&lt;key app="EN" db-id="2pe9e00ros0veneeptspa5vhz0pw2az52v20" timestamp="1699123426" guid="64c5ff58-1849-4674-a298-f8c835bef44d"&gt;2239&lt;/key&gt;&lt;/foreign-keys&gt;&lt;ref-type name="Journal Article"&gt;17&lt;/ref-type&gt;&lt;contributors&gt;&lt;authors&gt;&lt;author&gt;Galinsky, Adam D.&lt;/author&gt;&lt;author&gt;Gruenfeld, Deborah H.&lt;/author&gt;&lt;author&gt;Magee, Joe C.&lt;/author&gt;&lt;/authors&gt;&lt;/contributors&gt;&lt;auth-address&gt;Galinsky, Adam D.: Management and Organizations Department, Kellogg School of Management, Northwestern University, Evanston, IL, US, 60208, agalinsky@northwestern.edu&lt;/auth-address&gt;&lt;titles&gt;&lt;title&gt;From power to action&lt;/title&gt;&lt;secondary-title&gt;Journal of Personality and Social Psychology&lt;/secondary-title&gt;&lt;/titles&gt;&lt;periodical&gt;&lt;full-title&gt;Journal of personality and social psychology&lt;/full-title&gt;&lt;/periodical&gt;&lt;pages&gt;453-466&lt;/pages&gt;&lt;volume&gt;85&lt;/volume&gt;&lt;number&gt;3&lt;/number&gt;&lt;keywords&gt;&lt;keyword&gt;*Behavior&lt;/keyword&gt;&lt;keyword&gt;*Interpersonal Control&lt;/keyword&gt;&lt;keyword&gt;Goals&lt;/keyword&gt;&lt;keyword&gt;Priming&lt;/keyword&gt;&lt;keyword&gt;Social Dilemma&lt;/keyword&gt;&lt;keyword&gt;Consequence&lt;/keyword&gt;&lt;/keywords&gt;&lt;dates&gt;&lt;year&gt;2003&lt;/year&gt;&lt;/dates&gt;&lt;pub-location&gt;US&lt;/pub-location&gt;&lt;publisher&gt;American Psychological Association&lt;/publisher&gt;&lt;isbn&gt;1939-1315(Electronic),0022-3514(Print)&lt;/isbn&gt;&lt;urls&gt;&lt;/urls&gt;&lt;electronic-resource-num&gt;10.1037/0022-3514.85.3.453&lt;/electronic-resource-num&gt;&lt;/record&gt;&lt;/Cite&gt;&lt;/EndNote&gt;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(Galinsky et al., 2003, p. 454)</w:t>
      </w:r>
      <w:r>
        <w:rPr>
          <w:rFonts w:ascii="Times New Roman" w:hAnsi="Times New Roman" w:cs="Times New Roman"/>
        </w:rPr>
        <w:fldChar w:fldCharType="end"/>
      </w:r>
      <w:r>
        <w:rPr>
          <w:rFonts w:ascii="Times New Roman" w:hAnsi="Times New Roman" w:cs="Times New Roman"/>
        </w:rPr>
        <w:t xml:space="preserve">. </w:t>
      </w:r>
      <w:r w:rsidRPr="00044165">
        <w:rPr>
          <w:rFonts w:ascii="Times New Roman" w:hAnsi="Times New Roman" w:cs="Times New Roman"/>
        </w:rPr>
        <w:t>I</w:t>
      </w:r>
      <w:r w:rsidRPr="00044165">
        <w:rPr>
          <w:rFonts w:ascii="Times New Roman" w:eastAsia="Times New Roman" w:hAnsi="Times New Roman" w:cs="Times New Roman"/>
          <w:color w:val="000000"/>
        </w:rPr>
        <w:t>ndividuals have three categories of power</w:t>
      </w:r>
      <w:r>
        <w:rPr>
          <w:rFonts w:ascii="Times New Roman" w:eastAsia="Times New Roman" w:hAnsi="Times New Roman" w:cs="Times New Roman"/>
          <w:color w:val="000000"/>
        </w:rPr>
        <w:t xml:space="preserve"> (or control)</w:t>
      </w:r>
      <w:r w:rsidRPr="00044165">
        <w:rPr>
          <w:rFonts w:ascii="Times New Roman" w:eastAsia="Times New Roman" w:hAnsi="Times New Roman" w:cs="Times New Roman"/>
          <w:color w:val="000000"/>
        </w:rPr>
        <w:t xml:space="preserve">: traditional power, charismatic power, and legal-bureaucratic power </w:t>
      </w:r>
      <w:r w:rsidRPr="00044165">
        <w:rPr>
          <w:rFonts w:ascii="Times New Roman" w:eastAsia="Times New Roman" w:hAnsi="Times New Roman" w:cs="Times New Roman"/>
          <w:color w:val="000000"/>
        </w:rPr>
        <w:fldChar w:fldCharType="begin"/>
      </w:r>
      <w:r w:rsidRPr="00044165">
        <w:rPr>
          <w:rFonts w:ascii="Times New Roman" w:eastAsia="Times New Roman" w:hAnsi="Times New Roman" w:cs="Times New Roman"/>
          <w:color w:val="000000"/>
        </w:rPr>
        <w:instrText xml:space="preserve"> ADDIN EN.CITE &lt;EndNote&gt;&lt;Cite&gt;&lt;Author&gt;Gerth&lt;/Author&gt;&lt;Year&gt;1958&lt;/Year&gt;&lt;RecNum&gt;2126&lt;/RecNum&gt;&lt;DisplayText&gt;(Gerth &amp;amp; Mills, 1958)&lt;/DisplayText&gt;&lt;record&gt;&lt;rec-number&gt;2126&lt;/rec-number&gt;&lt;foreign-keys&gt;&lt;key app="EN" db-id="2pe9e00ros0veneeptspa5vhz0pw2az52v20" timestamp="1697247800" guid="ab1eeb6a-48b8-4be0-9d53-da988261b336"&gt;2126&lt;/key&gt;&lt;/foreign-keys&gt;&lt;ref-type name="Book"&gt;6&lt;/ref-type&gt;&lt;contributors&gt;&lt;authors&gt;&lt;author&gt;Gerth, Hans&lt;/author&gt;&lt;author&gt;Mills, C. Wright&lt;/author&gt;&lt;/authors&gt;&lt;/contributors&gt;&lt;titles&gt;&lt;title&gt;From Max Weber : essays in sociology&lt;/title&gt;&lt;secondary-title&gt;A galaxy book&lt;/secondary-title&gt;&lt;/titles&gt;&lt;section&gt;xi, 490 pages : illustrations ; 22 cm.&lt;/section&gt;&lt;dates&gt;&lt;year&gt;1958&lt;/year&gt;&lt;/dates&gt;&lt;pub-location&gt;New York&lt;/pub-location&gt;&lt;publisher&gt;Oxford University Press&lt;/publisher&gt;&lt;isbn&gt;0195004620 9780195004625&lt;/isbn&gt;&lt;urls&gt;&lt;/urls&gt;&lt;remote-database-name&gt;WorldCat.org&lt;/remote-database-name&gt;&lt;language&gt;English&lt;/language&gt;&lt;/record&gt;&lt;/Cite&gt;&lt;/EndNote&gt;</w:instrText>
      </w:r>
      <w:r w:rsidRPr="00044165">
        <w:rPr>
          <w:rFonts w:ascii="Times New Roman" w:eastAsia="Times New Roman" w:hAnsi="Times New Roman" w:cs="Times New Roman"/>
          <w:color w:val="000000"/>
        </w:rPr>
        <w:fldChar w:fldCharType="separate"/>
      </w:r>
      <w:r w:rsidRPr="00044165">
        <w:rPr>
          <w:rFonts w:ascii="Times New Roman" w:eastAsia="Times New Roman" w:hAnsi="Times New Roman" w:cs="Times New Roman"/>
          <w:noProof/>
          <w:color w:val="000000"/>
        </w:rPr>
        <w:t>(Gerth &amp; Mills, 1958)</w:t>
      </w:r>
      <w:r w:rsidRPr="00044165">
        <w:rPr>
          <w:rFonts w:ascii="Times New Roman" w:eastAsia="Times New Roman" w:hAnsi="Times New Roman" w:cs="Times New Roman"/>
          <w:color w:val="000000"/>
        </w:rPr>
        <w:fldChar w:fldCharType="end"/>
      </w:r>
      <w:r w:rsidRPr="00044165">
        <w:rPr>
          <w:rFonts w:ascii="Times New Roman" w:eastAsia="Times New Roman" w:hAnsi="Times New Roman" w:cs="Times New Roman"/>
          <w:color w:val="000000"/>
        </w:rPr>
        <w:t xml:space="preserve">. Traditional power is related to customs, traditions, and cultures. Charismatic power is about idolized, inherited, and moral power. Legal-bureaucratic power refers to institutions, laws, regulations, and rules. </w:t>
      </w:r>
      <w:r>
        <w:rPr>
          <w:rFonts w:ascii="Times New Roman" w:eastAsia="Times New Roman" w:hAnsi="Times New Roman" w:cs="Times New Roman"/>
          <w:color w:val="000000"/>
        </w:rPr>
        <w:t xml:space="preserve">In contrast, power in discourse suggests that power resides in discourse and has the </w:t>
      </w:r>
      <w:r w:rsidRPr="00C52F4A">
        <w:rPr>
          <w:rFonts w:ascii="Times New Roman" w:hAnsi="Times New Roman" w:cs="Times New Roman"/>
        </w:rPr>
        <w:t>discursive capacity to define social reality</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&lt;EndNote&gt;&lt;Cite&gt;&lt;Author&gt;Van Dijk&lt;/Author&gt;&lt;Year&gt;1995&lt;/Year&gt;&lt;RecNum&gt;2240&lt;/RecNum&gt;&lt;DisplayText&gt;(Van Dijk, 1995)&lt;/DisplayText&gt;&lt;record&gt;&lt;rec-number&gt;2240&lt;/rec-number&gt;&lt;foreign-keys&gt;&lt;key app="EN" db-id="2pe9e00ros0veneeptspa5vhz0pw2az52v20" timestamp="1699126156" guid="386966cb-dbad-4472-b92b-595a70b8a7c2"&gt;2240&lt;/key&gt;&lt;/foreign-keys&gt;&lt;ref-type name="Book Section"&gt;5&lt;/ref-type&gt;&lt;contributors&gt;&lt;authors&gt;&lt;author&gt;Van Dijk, Teun A&lt;/author&gt;&lt;/authors&gt;&lt;secondary-authors&gt;&lt;author&gt;Caldas-Coulthard, C.R., &amp;amp; Coulthard, M.&lt;/author&gt;&lt;/secondary-authors&gt;&lt;/contributors&gt;&lt;titles&gt;&lt;title&gt;Discourse, power and access&lt;/title&gt;&lt;secondary-title&gt;Texts and Practices: Readings in Critical Discourse Analysis&lt;/secondary-title&gt;&lt;/titles&gt;&lt;pages&gt;93-113&lt;/pages&gt;&lt;dates&gt;&lt;year&gt;1995&lt;/year&gt;&lt;/dates&gt;&lt;publisher&gt;Routledge&lt;/publisher&gt;&lt;urls&gt;&lt;/urls&gt;&lt;/record&gt;&lt;/Cite&gt;&lt;/EndNote&gt;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(Van Dijk, 1995)</w:t>
      </w:r>
      <w:r>
        <w:rPr>
          <w:rFonts w:ascii="Times New Roman" w:hAnsi="Times New Roman" w:cs="Times New Roman"/>
        </w:rPr>
        <w:fldChar w:fldCharType="end"/>
      </w:r>
      <w:r>
        <w:rPr>
          <w:rFonts w:ascii="Times New Roman" w:hAnsi="Times New Roman" w:cs="Times New Roman"/>
        </w:rPr>
        <w:t>.</w:t>
      </w:r>
      <w:r>
        <w:rPr>
          <w:rFonts w:ascii="Times New Roman" w:eastAsia="Times New Roman" w:hAnsi="Times New Roman" w:cs="Times New Roman"/>
          <w:color w:val="000000"/>
        </w:rPr>
        <w:t xml:space="preserve"> T</w:t>
      </w:r>
      <w:r w:rsidRPr="004B6B47">
        <w:rPr>
          <w:rFonts w:ascii="Times New Roman" w:eastAsia="Times New Roman" w:hAnsi="Times New Roman" w:cs="Times New Roman"/>
          <w:color w:val="000000"/>
        </w:rPr>
        <w:t xml:space="preserve">he configuration of </w:t>
      </w:r>
      <w:r>
        <w:rPr>
          <w:rFonts w:ascii="Times New Roman" w:eastAsia="Times New Roman" w:hAnsi="Times New Roman" w:cs="Times New Roman"/>
          <w:color w:val="000000"/>
        </w:rPr>
        <w:t xml:space="preserve">power in discourse </w:t>
      </w:r>
      <w:r w:rsidRPr="004B6B47">
        <w:rPr>
          <w:rFonts w:ascii="Times New Roman" w:eastAsia="Times New Roman" w:hAnsi="Times New Roman" w:cs="Times New Roman"/>
          <w:color w:val="000000"/>
        </w:rPr>
        <w:t xml:space="preserve">is just as much the result of a discursive struggle over the meaning of </w:t>
      </w:r>
      <w:r>
        <w:rPr>
          <w:rFonts w:ascii="Times New Roman" w:eastAsia="Times New Roman" w:hAnsi="Times New Roman" w:cs="Times New Roman"/>
          <w:color w:val="000000"/>
        </w:rPr>
        <w:t xml:space="preserve">social practices </w:t>
      </w: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 xml:space="preserve"> ADDIN EN.CITE &lt;EndNote&gt;&lt;Cite&gt;&lt;Author&gt;Deetz&lt;/Author&gt;&lt;Year&gt;1990&lt;/Year&gt;&lt;RecNum&gt;2238&lt;/RecNum&gt;&lt;DisplayText&gt;(Deetz &amp;amp; Mumby, 1990)&lt;/DisplayText&gt;&lt;record&gt;&lt;rec-number&gt;2238&lt;/rec-number&gt;&lt;foreign-keys&gt;&lt;key app="EN" db-id="2pe9e00ros0veneeptspa5vhz0pw2az52v20" timestamp="1699119651" guid="86be70c6-2f78-4c0a-b92a-730a9a885303"&gt;2238&lt;/key&gt;&lt;/foreign-keys&gt;&lt;ref-type name="Journal Article"&gt;17&lt;/ref-type&gt;&lt;contributors&gt;&lt;authors&gt;&lt;author&gt;Deetz, Stanley&lt;/author&gt;&lt;author&gt;Mumby, Dennis K.&lt;/author&gt;&lt;/authors&gt;&lt;/contributors&gt;&lt;titles&gt;&lt;title&gt;Power, discourse, and the workplace: Reclaiming the critical tradition&lt;/title&gt;&lt;secondary-title&gt;Annals of the International Communication Association&lt;/secondary-title&gt;&lt;/titles&gt;&lt;periodical&gt;&lt;full-title&gt;Annals of the International Communication Association&lt;/full-title&gt;&lt;/periodical&gt;&lt;pages&gt;18-47&lt;/pages&gt;&lt;volume&gt;13&lt;/volume&gt;&lt;number&gt;1&lt;/number&gt;&lt;dates&gt;&lt;year&gt;1990&lt;/year&gt;&lt;/dates&gt;&lt;publisher&gt;Routledge&lt;/publisher&gt;&lt;isbn&gt;2380-8985&lt;/isbn&gt;&lt;urls&gt;&lt;related-urls&gt;&lt;url&gt;https://doi.org/10.1080/23808985.1990.11678743&lt;/url&gt;&lt;/related-urls&gt;&lt;/urls&gt;&lt;electronic-resource-num&gt;10.1080/23808985.1990.11678743&lt;/electronic-resource-num&gt;&lt;/record&gt;&lt;/Cite&gt;&lt;/EndNote&gt;</w:instrText>
      </w:r>
      <w:r>
        <w:rPr>
          <w:rFonts w:ascii="Times New Roman" w:eastAsia="Times New Roman" w:hAnsi="Times New Roman" w:cs="Times New Roman"/>
          <w:color w:val="000000"/>
        </w:rPr>
        <w:fldChar w:fldCharType="separate"/>
      </w:r>
      <w:r>
        <w:rPr>
          <w:rFonts w:ascii="Times New Roman" w:eastAsia="Times New Roman" w:hAnsi="Times New Roman" w:cs="Times New Roman"/>
          <w:noProof/>
          <w:color w:val="000000"/>
        </w:rPr>
        <w:t>(Deetz &amp; Mumby, 1990)</w:t>
      </w:r>
      <w:r>
        <w:rPr>
          <w:rFonts w:ascii="Times New Roman" w:eastAsia="Times New Roman" w:hAnsi="Times New Roman" w:cs="Times New Roman"/>
          <w:color w:val="000000"/>
        </w:rPr>
        <w:fldChar w:fldCharType="end"/>
      </w:r>
      <w:r>
        <w:rPr>
          <w:rFonts w:ascii="Times New Roman" w:eastAsia="Times New Roman" w:hAnsi="Times New Roman" w:cs="Times New Roman"/>
          <w:color w:val="000000"/>
        </w:rPr>
        <w:t xml:space="preserve">. Therefore, </w:t>
      </w:r>
      <w:r>
        <w:rPr>
          <w:rFonts w:ascii="Times New Roman" w:hAnsi="Times New Roman" w:cs="Times New Roman"/>
        </w:rPr>
        <w:t>t</w:t>
      </w:r>
      <w:r w:rsidRPr="00044165">
        <w:rPr>
          <w:rFonts w:ascii="Times New Roman" w:hAnsi="Times New Roman" w:cs="Times New Roman"/>
        </w:rPr>
        <w:t>he dialogical grounding assumes power is conceived as a relation between discourses.</w:t>
      </w:r>
      <w:r>
        <w:rPr>
          <w:rFonts w:ascii="Times New Roman" w:eastAsia="Times New Roman" w:hAnsi="Times New Roman" w:cs="Times New Roman"/>
          <w:color w:val="000000"/>
        </w:rPr>
        <w:t xml:space="preserve"> </w:t>
      </w:r>
    </w:p>
    <w:p w14:paraId="2F697BE5" w14:textId="77777777" w:rsidR="00256B3D" w:rsidRPr="00044165" w:rsidRDefault="00256B3D" w:rsidP="00256B3D">
      <w:pPr>
        <w:spacing w:line="480" w:lineRule="auto"/>
        <w:ind w:firstLine="720"/>
        <w:rPr>
          <w:rFonts w:ascii="Times New Roman" w:hAnsi="Times New Roman" w:cs="Times New Roman"/>
        </w:rPr>
      </w:pPr>
      <w:r w:rsidRPr="00044165">
        <w:rPr>
          <w:rFonts w:ascii="Times New Roman" w:hAnsi="Times New Roman" w:cs="Times New Roman"/>
        </w:rPr>
        <w:t>Fifth,</w:t>
      </w:r>
      <w:r>
        <w:rPr>
          <w:rFonts w:ascii="Times New Roman" w:hAnsi="Times New Roman" w:cs="Times New Roman"/>
        </w:rPr>
        <w:t xml:space="preserve"> according to RDT,</w:t>
      </w:r>
      <w:r w:rsidRPr="00044165">
        <w:rPr>
          <w:rFonts w:ascii="Times New Roman" w:hAnsi="Times New Roman" w:cs="Times New Roman"/>
        </w:rPr>
        <w:t xml:space="preserve"> relationships are not static container</w:t>
      </w:r>
      <w:r>
        <w:rPr>
          <w:rFonts w:ascii="Times New Roman" w:hAnsi="Times New Roman" w:cs="Times New Roman"/>
        </w:rPr>
        <w:t>s</w:t>
      </w:r>
      <w:r w:rsidRPr="00044165">
        <w:rPr>
          <w:rFonts w:ascii="Times New Roman" w:hAnsi="Times New Roman" w:cs="Times New Roman"/>
        </w:rPr>
        <w:t xml:space="preserve"> in which communication occurs but are constituted through communication practices. </w:t>
      </w:r>
      <w:r>
        <w:rPr>
          <w:rFonts w:ascii="Times New Roman" w:hAnsi="Times New Roman" w:cs="Times New Roman"/>
        </w:rPr>
        <w:t>Several decades ago, some</w:t>
      </w:r>
      <w:r w:rsidRPr="00044165">
        <w:rPr>
          <w:rFonts w:ascii="Times New Roman" w:hAnsi="Times New Roman" w:cs="Times New Roman"/>
        </w:rPr>
        <w:t xml:space="preserve"> scholars </w:t>
      </w:r>
      <w:r>
        <w:rPr>
          <w:rFonts w:ascii="Times New Roman" w:hAnsi="Times New Roman" w:cs="Times New Roman"/>
        </w:rPr>
        <w:t xml:space="preserve">assumed relationships were static containers of communicating parties, studying </w:t>
      </w:r>
      <w:r w:rsidRPr="00044165">
        <w:rPr>
          <w:rFonts w:ascii="Times New Roman" w:hAnsi="Times New Roman" w:cs="Times New Roman"/>
        </w:rPr>
        <w:t>friendships, marriages, cohort relationships, leader-member relationships, and inter-organization</w:t>
      </w:r>
      <w:r>
        <w:rPr>
          <w:rFonts w:ascii="Times New Roman" w:hAnsi="Times New Roman" w:cs="Times New Roman"/>
        </w:rPr>
        <w:t>al</w:t>
      </w:r>
      <w:r w:rsidRPr="00044165">
        <w:rPr>
          <w:rFonts w:ascii="Times New Roman" w:hAnsi="Times New Roman" w:cs="Times New Roman"/>
        </w:rPr>
        <w:t xml:space="preserve"> relationships </w:t>
      </w:r>
      <w:r w:rsidRPr="00044165">
        <w:rPr>
          <w:rFonts w:ascii="Times New Roman" w:hAnsi="Times New Roman" w:cs="Times New Roman"/>
        </w:rPr>
        <w:fldChar w:fldCharType="begin"/>
      </w:r>
      <w:r>
        <w:rPr>
          <w:rFonts w:ascii="Times New Roman" w:hAnsi="Times New Roman" w:cs="Times New Roman"/>
        </w:rPr>
        <w:instrText xml:space="preserve"> ADDIN EN.CITE &lt;EndNote&gt;&lt;Cite&gt;&lt;Author&gt;Oliver&lt;/Author&gt;&lt;Year&gt;1990&lt;/Year&gt;&lt;RecNum&gt;2127&lt;/RecNum&gt;&lt;Prefix&gt;e.g.`, &lt;/Prefix&gt;&lt;DisplayText&gt;(e.g., Oliver, 1990)&lt;/DisplayText&gt;&lt;record&gt;&lt;rec-number&gt;2127&lt;/rec-number&gt;&lt;foreign-keys&gt;&lt;key app="EN" db-id="2pe9e00ros0veneeptspa5vhz0pw2az52v20" timestamp="1697250610" guid="9451c472-47ff-41fd-acd4-50fb063e22bb"&gt;2127&lt;/key&gt;&lt;/foreign-keys&gt;&lt;ref-type name="Journal Article"&gt;17&lt;/ref-type&gt;&lt;contributors&gt;&lt;authors&gt;&lt;author&gt;Christine Oliver&lt;/author&gt;&lt;/authors&gt;&lt;/contributors&gt;&lt;titles&gt;&lt;title&gt;Determinants of interorganizational relationships: Integration and future directions&lt;/title&gt;&lt;secondary-title&gt;Academy of Management Review&lt;/secondary-title&gt;&lt;/titles&gt;&lt;periodical&gt;&lt;full-title&gt;Academy of management review&lt;/full-title&gt;&lt;/periodical&gt;&lt;pages&gt;241-265&lt;/pages&gt;&lt;volume&gt;15&lt;/volume&gt;&lt;number&gt;2&lt;/number&gt;&lt;keywords&gt;&lt;keyword&gt;INTERORGANIZATIONAL relations,INTERGROUP relations,COMPLEX organizations,BUSINESS enterprises,SOCIAL interaction,MANAGEMENT,INDUSTRIAL organization,ORGANIZATIONAL effectiveness,ORGANIZATIONAL structure,ORGANIZATIONAL behavior&lt;/keyword&gt;&lt;/keywords&gt;&lt;dates&gt;&lt;year&gt;1990&lt;/year&gt;&lt;/dates&gt;&lt;urls&gt;&lt;related-urls&gt;&lt;url&gt;https://journals.aom.org/doi/abs/10.5465/amr.1990.4308156&lt;/url&gt;&lt;/related-urls&gt;&lt;/urls&gt;&lt;electronic-resource-num&gt;10.5465/amr.1990.4308156&lt;/electronic-resource-num&gt;&lt;/record&gt;&lt;/Cite&gt;&lt;/EndNote&gt;</w:instrText>
      </w:r>
      <w:r w:rsidRPr="00044165">
        <w:rPr>
          <w:rFonts w:ascii="Times New Roman" w:hAnsi="Times New Roman" w:cs="Times New Roman"/>
        </w:rPr>
        <w:fldChar w:fldCharType="separate"/>
      </w:r>
      <w:r w:rsidRPr="00044165">
        <w:rPr>
          <w:rFonts w:ascii="Times New Roman" w:hAnsi="Times New Roman" w:cs="Times New Roman"/>
          <w:noProof/>
        </w:rPr>
        <w:t>(e.g., Oliver, 1990)</w:t>
      </w:r>
      <w:r w:rsidRPr="00044165">
        <w:rPr>
          <w:rFonts w:ascii="Times New Roman" w:hAnsi="Times New Roman" w:cs="Times New Roman"/>
        </w:rPr>
        <w:fldChar w:fldCharType="end"/>
      </w:r>
      <w:r w:rsidRPr="00044165">
        <w:rPr>
          <w:rFonts w:ascii="Times New Roman" w:hAnsi="Times New Roman" w:cs="Times New Roman"/>
        </w:rPr>
        <w:t xml:space="preserve">. The dialogical </w:t>
      </w:r>
      <w:r>
        <w:rPr>
          <w:rFonts w:ascii="Times New Roman" w:hAnsi="Times New Roman" w:cs="Times New Roman"/>
        </w:rPr>
        <w:t>perspective</w:t>
      </w:r>
      <w:r w:rsidRPr="00044165">
        <w:rPr>
          <w:rFonts w:ascii="Times New Roman" w:hAnsi="Times New Roman" w:cs="Times New Roman"/>
        </w:rPr>
        <w:t xml:space="preserve"> assumes relationships are meaning-making outcomes of communication practices in the interplay of competing discourses.</w:t>
      </w:r>
    </w:p>
    <w:p w14:paraId="7CC2C592" w14:textId="77777777" w:rsidR="00256B3D" w:rsidRDefault="00256B3D" w:rsidP="00256B3D">
      <w:pPr>
        <w:rPr>
          <w:rFonts w:ascii="Times New Roman" w:hAnsi="Times New Roman" w:cs="Times New Roman"/>
          <w:b/>
          <w:bCs/>
        </w:rPr>
      </w:pPr>
      <w:r>
        <w:rPr>
          <w:rFonts w:ascii="Times New Roman" w:hAnsi="Times New Roman" w:cs="Times New Roman"/>
          <w:b/>
          <w:bCs/>
        </w:rPr>
        <w:br w:type="page"/>
      </w:r>
    </w:p>
    <w:p w14:paraId="572279E2" w14:textId="77777777" w:rsidR="00256B3D" w:rsidRPr="00044165" w:rsidRDefault="00256B3D" w:rsidP="00256B3D">
      <w:pPr>
        <w:spacing w:line="480" w:lineRule="auto"/>
        <w:rPr>
          <w:rFonts w:ascii="Times New Roman" w:hAnsi="Times New Roman" w:cs="Times New Roman"/>
          <w:b/>
          <w:bCs/>
        </w:rPr>
      </w:pPr>
      <w:r w:rsidRPr="00044165">
        <w:rPr>
          <w:rFonts w:ascii="Times New Roman" w:hAnsi="Times New Roman" w:cs="Times New Roman"/>
          <w:b/>
          <w:bCs/>
        </w:rPr>
        <w:lastRenderedPageBreak/>
        <w:t>Bakhtin’s Dialogism</w:t>
      </w:r>
    </w:p>
    <w:p w14:paraId="60AAB914" w14:textId="77777777" w:rsidR="00256B3D" w:rsidRPr="00044165" w:rsidRDefault="00256B3D" w:rsidP="00256B3D">
      <w:pPr>
        <w:spacing w:line="480" w:lineRule="auto"/>
        <w:ind w:firstLine="720"/>
        <w:rPr>
          <w:rFonts w:ascii="Times New Roman" w:hAnsi="Times New Roman" w:cs="Times New Roman"/>
        </w:rPr>
      </w:pPr>
      <w:r w:rsidRPr="00044165">
        <w:rPr>
          <w:rFonts w:ascii="Times New Roman" w:hAnsi="Times New Roman" w:cs="Times New Roman"/>
        </w:rPr>
        <w:t xml:space="preserve">This section </w:t>
      </w:r>
      <w:r>
        <w:rPr>
          <w:rFonts w:ascii="Times New Roman" w:hAnsi="Times New Roman" w:cs="Times New Roman"/>
        </w:rPr>
        <w:t xml:space="preserve">explains Bakhtin’s dialogism, which is a </w:t>
      </w:r>
      <w:r w:rsidRPr="00044165">
        <w:rPr>
          <w:rFonts w:ascii="Times New Roman" w:hAnsi="Times New Roman" w:cs="Times New Roman"/>
        </w:rPr>
        <w:t>foundation</w:t>
      </w:r>
      <w:r>
        <w:rPr>
          <w:rFonts w:ascii="Times New Roman" w:hAnsi="Times New Roman" w:cs="Times New Roman"/>
        </w:rPr>
        <w:t xml:space="preserve">al inspiration for </w:t>
      </w:r>
      <w:r w:rsidRPr="00044165">
        <w:rPr>
          <w:rFonts w:ascii="Times New Roman" w:hAnsi="Times New Roman" w:cs="Times New Roman"/>
        </w:rPr>
        <w:t xml:space="preserve">Baxter’s relational dialectics theory. In short, RDT is developed from the theory of dialogism, structured by Mikhail Bakhtin, one of the most influential thinkers in the twentieth century </w:t>
      </w:r>
      <w:r w:rsidRPr="00044165">
        <w:rPr>
          <w:rFonts w:ascii="Times New Roman" w:hAnsi="Times New Roman" w:cs="Times New Roman"/>
        </w:rPr>
        <w:fldChar w:fldCharType="begin"/>
      </w:r>
      <w:r w:rsidRPr="00044165">
        <w:rPr>
          <w:rFonts w:ascii="Times New Roman" w:hAnsi="Times New Roman" w:cs="Times New Roman"/>
        </w:rPr>
        <w:instrText xml:space="preserve"> ADDIN EN.CITE &lt;EndNote&gt;&lt;Cite&gt;&lt;Author&gt;Emerson&lt;/Author&gt;&lt;Year&gt;2000&lt;/Year&gt;&lt;RecNum&gt;2128&lt;/RecNum&gt;&lt;Prefix&gt;e.g.`, &lt;/Prefix&gt;&lt;DisplayText&gt;(e.g., Emerson, 2000; Holquist, 2003)&lt;/DisplayText&gt;&lt;record&gt;&lt;rec-number&gt;2128&lt;/rec-number&gt;&lt;foreign-keys&gt;&lt;key app="EN" db-id="2pe9e00ros0veneeptspa5vhz0pw2az52v20" timestamp="1697560736" guid="fc7097ef-8a45-4937-bdc1-afa5a88501c2"&gt;2128&lt;/key&gt;&lt;/foreign-keys&gt;&lt;ref-type name="Book"&gt;6&lt;/ref-type&gt;&lt;contributors&gt;&lt;authors&gt;&lt;author&gt;Emerson, Caryl&lt;/author&gt;&lt;/authors&gt;&lt;/contributors&gt;&lt;titles&gt;&lt;title&gt;The first hundred years of Mikhail Bakhtin&lt;/title&gt;&lt;/titles&gt;&lt;dates&gt;&lt;year&gt;2000&lt;/year&gt;&lt;/dates&gt;&lt;publisher&gt;Princeton University Press&lt;/publisher&gt;&lt;isbn&gt;069105049X&lt;/isbn&gt;&lt;urls&gt;&lt;/urls&gt;&lt;/record&gt;&lt;/Cite&gt;&lt;Cite&gt;&lt;Author&gt;Holquist&lt;/Author&gt;&lt;Year&gt;2003&lt;/Year&gt;&lt;RecNum&gt;2129&lt;/RecNum&gt;&lt;record&gt;&lt;rec-number&gt;2129&lt;/rec-number&gt;&lt;foreign-keys&gt;&lt;key app="EN" db-id="2pe9e00ros0veneeptspa5vhz0pw2az52v20" timestamp="1697560777" guid="15831014-79ee-4501-8f11-a55f02b32a55"&gt;2129&lt;/key&gt;&lt;/foreign-keys&gt;&lt;ref-type name="Book"&gt;6&lt;/ref-type&gt;&lt;contributors&gt;&lt;authors&gt;&lt;author&gt;Holquist, Michael&lt;/author&gt;&lt;/authors&gt;&lt;/contributors&gt;&lt;titles&gt;&lt;title&gt;Dialogism: Bakhtin and his world&lt;/title&gt;&lt;/titles&gt;&lt;dates&gt;&lt;year&gt;2003&lt;/year&gt;&lt;/dates&gt;&lt;publisher&gt;Routledge&lt;/publisher&gt;&lt;isbn&gt;0203425855&lt;/isbn&gt;&lt;urls&gt;&lt;/urls&gt;&lt;/record&gt;&lt;/Cite&gt;&lt;/EndNote&gt;</w:instrText>
      </w:r>
      <w:r w:rsidRPr="00044165">
        <w:rPr>
          <w:rFonts w:ascii="Times New Roman" w:hAnsi="Times New Roman" w:cs="Times New Roman"/>
        </w:rPr>
        <w:fldChar w:fldCharType="separate"/>
      </w:r>
      <w:r w:rsidRPr="00044165">
        <w:rPr>
          <w:rFonts w:ascii="Times New Roman" w:hAnsi="Times New Roman" w:cs="Times New Roman"/>
          <w:noProof/>
        </w:rPr>
        <w:t>(e.g., Emerson, 2000; Holquist, 2003)</w:t>
      </w:r>
      <w:r w:rsidRPr="00044165">
        <w:rPr>
          <w:rFonts w:ascii="Times New Roman" w:hAnsi="Times New Roman" w:cs="Times New Roman"/>
        </w:rPr>
        <w:fldChar w:fldCharType="end"/>
      </w:r>
      <w:r w:rsidRPr="00044165">
        <w:rPr>
          <w:rFonts w:ascii="Times New Roman" w:hAnsi="Times New Roman" w:cs="Times New Roman"/>
        </w:rPr>
        <w:t xml:space="preserve">. The following paragraphs </w:t>
      </w:r>
      <w:r>
        <w:rPr>
          <w:rFonts w:ascii="Times New Roman" w:hAnsi="Times New Roman" w:cs="Times New Roman"/>
        </w:rPr>
        <w:t>review details of</w:t>
      </w:r>
      <w:r w:rsidRPr="00044165">
        <w:rPr>
          <w:rFonts w:ascii="Times New Roman" w:hAnsi="Times New Roman" w:cs="Times New Roman"/>
        </w:rPr>
        <w:t xml:space="preserve"> Bakhtin’s life, dialogism in pre-1924, dialogism in post-1924, locating Bakhtin’s dialogism in communication research, and locating RDT in Bakhtin dialogism.  </w:t>
      </w:r>
    </w:p>
    <w:p w14:paraId="108B1646" w14:textId="77777777" w:rsidR="00256B3D" w:rsidRPr="00044165" w:rsidRDefault="00256B3D" w:rsidP="00256B3D">
      <w:pPr>
        <w:spacing w:line="480" w:lineRule="auto"/>
        <w:ind w:firstLine="720"/>
        <w:rPr>
          <w:rFonts w:ascii="Times New Roman" w:hAnsi="Times New Roman" w:cs="Times New Roman"/>
        </w:rPr>
      </w:pPr>
      <w:r w:rsidRPr="00044165">
        <w:rPr>
          <w:rFonts w:ascii="Times New Roman" w:hAnsi="Times New Roman" w:cs="Times New Roman"/>
          <w:b/>
          <w:bCs/>
        </w:rPr>
        <w:t>Bakhtin’s life</w:t>
      </w:r>
      <w:r w:rsidRPr="00044165">
        <w:rPr>
          <w:rFonts w:ascii="Times New Roman" w:hAnsi="Times New Roman" w:cs="Times New Roman"/>
        </w:rPr>
        <w:t xml:space="preserve">. Bakhtin was born in the small Russian town of Odessa and studied classics, philosophy, and literature at St. Petersburg University. In his lifespan of 1895-1975, he experienced the Russian Revolution, the Stalinist political times, and the Marxist regime in the Soviet Union. He was in political </w:t>
      </w:r>
      <w:r>
        <w:rPr>
          <w:rFonts w:ascii="Times New Roman" w:hAnsi="Times New Roman" w:cs="Times New Roman"/>
        </w:rPr>
        <w:t>trouble</w:t>
      </w:r>
      <w:r w:rsidRPr="00044165">
        <w:rPr>
          <w:rFonts w:ascii="Times New Roman" w:hAnsi="Times New Roman" w:cs="Times New Roman"/>
        </w:rPr>
        <w:t xml:space="preserve"> for exploring </w:t>
      </w:r>
      <w:r>
        <w:rPr>
          <w:rFonts w:ascii="Times New Roman" w:hAnsi="Times New Roman" w:cs="Times New Roman"/>
        </w:rPr>
        <w:t xml:space="preserve">and advocating </w:t>
      </w:r>
      <w:r w:rsidRPr="00044165">
        <w:rPr>
          <w:rFonts w:ascii="Times New Roman" w:hAnsi="Times New Roman" w:cs="Times New Roman"/>
        </w:rPr>
        <w:t>diverse voices in a society</w:t>
      </w:r>
      <w:r>
        <w:rPr>
          <w:rFonts w:ascii="Times New Roman" w:hAnsi="Times New Roman" w:cs="Times New Roman"/>
        </w:rPr>
        <w:t xml:space="preserve"> of a monologic voice</w:t>
      </w:r>
      <w:r w:rsidRPr="00044165">
        <w:rPr>
          <w:rFonts w:ascii="Times New Roman" w:hAnsi="Times New Roman" w:cs="Times New Roman"/>
        </w:rPr>
        <w:t xml:space="preserve">. His earlier work on dialogism concentrated on the aesthetics of creative art, consciousness, and ethics, as shown in the volume </w:t>
      </w:r>
      <w:r w:rsidRPr="00044165">
        <w:rPr>
          <w:rFonts w:ascii="Times New Roman" w:hAnsi="Times New Roman" w:cs="Times New Roman"/>
          <w:i/>
          <w:iCs/>
        </w:rPr>
        <w:t xml:space="preserve">Art and Answerability: Early Philosophical Essays </w:t>
      </w:r>
      <w:r w:rsidRPr="00044165">
        <w:rPr>
          <w:rFonts w:ascii="Times New Roman" w:hAnsi="Times New Roman" w:cs="Times New Roman"/>
        </w:rPr>
        <w:fldChar w:fldCharType="begin"/>
      </w:r>
      <w:r w:rsidRPr="00044165">
        <w:rPr>
          <w:rFonts w:ascii="Times New Roman" w:hAnsi="Times New Roman" w:cs="Times New Roman"/>
        </w:rPr>
        <w:instrText xml:space="preserve"> ADDIN EN.CITE &lt;EndNote&gt;&lt;Cite&gt;&lt;Author&gt;Bakhtin&lt;/Author&gt;&lt;Year&gt;1990&lt;/Year&gt;&lt;RecNum&gt;2131&lt;/RecNum&gt;&lt;DisplayText&gt;(Bakhtin, 1990)&lt;/DisplayText&gt;&lt;record&gt;&lt;rec-number&gt;2131&lt;/rec-number&gt;&lt;foreign-keys&gt;&lt;key app="EN" db-id="2pe9e00ros0veneeptspa5vhz0pw2az52v20" timestamp="1697580889" guid="02dc6da2-e496-4c13-b3fb-1db2d7803c76"&gt;2131&lt;/key&gt;&lt;/foreign-keys&gt;&lt;ref-type name="Book"&gt;6&lt;/ref-type&gt;&lt;contributors&gt;&lt;authors&gt;&lt;author&gt;Bakhtin, Mikhail Mikhaĭlovich&lt;/author&gt;&lt;/authors&gt;&lt;subsidiary-authors&gt;&lt;author&gt;Vadim Liapunov&lt;/author&gt;&lt;/subsidiary-authors&gt;&lt;/contributors&gt;&lt;titles&gt;&lt;title&gt;Art and answerability: Early philosophical essays&lt;/title&gt;&lt;/titles&gt;&lt;dates&gt;&lt;year&gt;1990&lt;/year&gt;&lt;/dates&gt;&lt;publisher&gt;University of Texas Press&lt;/publisher&gt;&lt;isbn&gt;0292792131&lt;/isbn&gt;&lt;urls&gt;&lt;/urls&gt;&lt;/record&gt;&lt;/Cite&gt;&lt;/EndNote&gt;</w:instrText>
      </w:r>
      <w:r w:rsidRPr="00044165">
        <w:rPr>
          <w:rFonts w:ascii="Times New Roman" w:hAnsi="Times New Roman" w:cs="Times New Roman"/>
        </w:rPr>
        <w:fldChar w:fldCharType="separate"/>
      </w:r>
      <w:r w:rsidRPr="00044165">
        <w:rPr>
          <w:rFonts w:ascii="Times New Roman" w:hAnsi="Times New Roman" w:cs="Times New Roman"/>
          <w:noProof/>
        </w:rPr>
        <w:t>(Bakhtin, 1990)</w:t>
      </w:r>
      <w:r w:rsidRPr="00044165">
        <w:rPr>
          <w:rFonts w:ascii="Times New Roman" w:hAnsi="Times New Roman" w:cs="Times New Roman"/>
        </w:rPr>
        <w:fldChar w:fldCharType="end"/>
      </w:r>
      <w:r w:rsidRPr="00044165">
        <w:rPr>
          <w:rFonts w:ascii="Times New Roman" w:hAnsi="Times New Roman" w:cs="Times New Roman"/>
        </w:rPr>
        <w:t xml:space="preserve">. His later dialogism work was about the struggle of competing discourses, as seen in the book </w:t>
      </w:r>
      <w:r w:rsidRPr="00044165">
        <w:rPr>
          <w:rFonts w:ascii="Times New Roman" w:hAnsi="Times New Roman" w:cs="Times New Roman"/>
          <w:i/>
          <w:iCs/>
        </w:rPr>
        <w:t>The Dialogic Imagination: Four Essays</w:t>
      </w:r>
      <w:r w:rsidRPr="00044165">
        <w:rPr>
          <w:rFonts w:ascii="Times New Roman" w:hAnsi="Times New Roman" w:cs="Times New Roman"/>
        </w:rPr>
        <w:t xml:space="preserve"> </w:t>
      </w:r>
      <w:r w:rsidRPr="00044165">
        <w:rPr>
          <w:rFonts w:ascii="Times New Roman" w:hAnsi="Times New Roman" w:cs="Times New Roman"/>
        </w:rPr>
        <w:fldChar w:fldCharType="begin"/>
      </w:r>
      <w:r>
        <w:rPr>
          <w:rFonts w:ascii="Times New Roman" w:hAnsi="Times New Roman" w:cs="Times New Roman"/>
        </w:rPr>
        <w:instrText xml:space="preserve"> ADDIN EN.CITE &lt;EndNote&gt;&lt;Cite&gt;&lt;Author&gt;Bakhtin&lt;/Author&gt;&lt;Year&gt;1981&lt;/Year&gt;&lt;RecNum&gt;2130&lt;/RecNum&gt;&lt;DisplayText&gt;(Bakhtin, 1981a)&lt;/DisplayText&gt;&lt;record&gt;&lt;rec-number&gt;2130&lt;/rec-number&gt;&lt;foreign-keys&gt;&lt;key app="EN" db-id="2pe9e00ros0veneeptspa5vhz0pw2az52v20" timestamp="1697580216" guid="e94c82a1-54e0-4953-a495-75893e5e4df1"&gt;2130&lt;/key&gt;&lt;/foreign-keys&gt;&lt;ref-type name="Book"&gt;6&lt;/ref-type&gt;&lt;contributors&gt;&lt;authors&gt;&lt;author&gt;Bakhtin, Mikhail Mikhaĭlovich&lt;/author&gt;&lt;/authors&gt;&lt;subsidiary-authors&gt;&lt;author&gt;C. Emerson &lt;/author&gt;&lt;author&gt;M. Holquist&lt;/author&gt;&lt;/subsidiary-authors&gt;&lt;/contributors&gt;&lt;titles&gt;&lt;title&gt;The dialogic imagination: Four essays&lt;/title&gt;&lt;/titles&gt;&lt;dates&gt;&lt;year&gt;1981&lt;/year&gt;&lt;/dates&gt;&lt;publisher&gt;University of Texas Press&lt;/publisher&gt;&lt;isbn&gt;0292782861&lt;/isbn&gt;&lt;urls&gt;&lt;/urls&gt;&lt;/record&gt;&lt;/Cite&gt;&lt;/EndNote&gt;</w:instrText>
      </w:r>
      <w:r w:rsidRPr="00044165">
        <w:rPr>
          <w:rFonts w:ascii="Times New Roman" w:hAnsi="Times New Roman" w:cs="Times New Roman"/>
        </w:rPr>
        <w:fldChar w:fldCharType="separate"/>
      </w:r>
      <w:r>
        <w:rPr>
          <w:rFonts w:ascii="Times New Roman" w:hAnsi="Times New Roman" w:cs="Times New Roman"/>
          <w:noProof/>
        </w:rPr>
        <w:t>(Bakhtin, 1981a)</w:t>
      </w:r>
      <w:r w:rsidRPr="00044165">
        <w:rPr>
          <w:rFonts w:ascii="Times New Roman" w:hAnsi="Times New Roman" w:cs="Times New Roman"/>
        </w:rPr>
        <w:fldChar w:fldCharType="end"/>
      </w:r>
      <w:r w:rsidRPr="00044165">
        <w:rPr>
          <w:rFonts w:ascii="Times New Roman" w:hAnsi="Times New Roman" w:cs="Times New Roman"/>
        </w:rPr>
        <w:t xml:space="preserve">. Another substantial work is </w:t>
      </w:r>
      <w:r w:rsidRPr="00044165">
        <w:rPr>
          <w:rFonts w:ascii="Times New Roman" w:hAnsi="Times New Roman" w:cs="Times New Roman"/>
          <w:i/>
          <w:iCs/>
        </w:rPr>
        <w:t>Speech Genres and Other Late Essays</w:t>
      </w:r>
      <w:r w:rsidRPr="00044165">
        <w:rPr>
          <w:rFonts w:ascii="Times New Roman" w:hAnsi="Times New Roman" w:cs="Times New Roman"/>
        </w:rPr>
        <w:t xml:space="preserve"> </w:t>
      </w:r>
      <w:r w:rsidRPr="00044165">
        <w:rPr>
          <w:rFonts w:ascii="Times New Roman" w:hAnsi="Times New Roman" w:cs="Times New Roman"/>
        </w:rPr>
        <w:fldChar w:fldCharType="begin"/>
      </w:r>
      <w:r w:rsidRPr="00044165">
        <w:rPr>
          <w:rFonts w:ascii="Times New Roman" w:hAnsi="Times New Roman" w:cs="Times New Roman"/>
        </w:rPr>
        <w:instrText xml:space="preserve"> ADDIN EN.CITE &lt;EndNote&gt;&lt;Cite&gt;&lt;Author&gt;Bakhtin&lt;/Author&gt;&lt;Year&gt;1986&lt;/Year&gt;&lt;RecNum&gt;2132&lt;/RecNum&gt;&lt;DisplayText&gt;(Bakhtin, 1986)&lt;/DisplayText&gt;&lt;record&gt;&lt;rec-number&gt;2132&lt;/rec-number&gt;&lt;foreign-keys&gt;&lt;key app="EN" db-id="2pe9e00ros0veneeptspa5vhz0pw2az52v20" timestamp="1697581283" guid="21362f54-b464-49e3-9b73-19a74e00be0a"&gt;2132&lt;/key&gt;&lt;/foreign-keys&gt;&lt;ref-type name="Book"&gt;6&lt;/ref-type&gt;&lt;contributors&gt;&lt;authors&gt;&lt;author&gt;Bakhtin, Mikhail Mikhaĭlovich&lt;/author&gt;&lt;/authors&gt;&lt;subsidiary-authors&gt;&lt;author&gt;V. W. McGee&lt;/author&gt;&lt;/subsidiary-authors&gt;&lt;/contributors&gt;&lt;titles&gt;&lt;title&gt;Speech genres and other late essays&lt;/title&gt;&lt;/titles&gt;&lt;dates&gt;&lt;year&gt;1986&lt;/year&gt;&lt;/dates&gt;&lt;publisher&gt;University of Texas Press&lt;/publisher&gt;&lt;isbn&gt;029278287X&lt;/isbn&gt;&lt;urls&gt;&lt;/urls&gt;&lt;/record&gt;&lt;/Cite&gt;&lt;/EndNote&gt;</w:instrText>
      </w:r>
      <w:r w:rsidRPr="00044165">
        <w:rPr>
          <w:rFonts w:ascii="Times New Roman" w:hAnsi="Times New Roman" w:cs="Times New Roman"/>
        </w:rPr>
        <w:fldChar w:fldCharType="separate"/>
      </w:r>
      <w:r w:rsidRPr="00044165">
        <w:rPr>
          <w:rFonts w:ascii="Times New Roman" w:hAnsi="Times New Roman" w:cs="Times New Roman"/>
          <w:noProof/>
        </w:rPr>
        <w:t>(Bakhtin, 1986)</w:t>
      </w:r>
      <w:r w:rsidRPr="00044165">
        <w:rPr>
          <w:rFonts w:ascii="Times New Roman" w:hAnsi="Times New Roman" w:cs="Times New Roman"/>
        </w:rPr>
        <w:fldChar w:fldCharType="end"/>
      </w:r>
      <w:r w:rsidRPr="00044165">
        <w:rPr>
          <w:rFonts w:ascii="Times New Roman" w:hAnsi="Times New Roman" w:cs="Times New Roman"/>
        </w:rPr>
        <w:t xml:space="preserve">, which teaches the core dialogic concepts of the utterance chain and genre. Interestingly, his work remained primarily hidden until 1963, when Dostoevsky and Rabelais discovered and were impressed with his work. </w:t>
      </w:r>
    </w:p>
    <w:p w14:paraId="42E24562" w14:textId="77777777" w:rsidR="00256B3D" w:rsidRPr="00044165" w:rsidRDefault="00256B3D" w:rsidP="00256B3D">
      <w:pPr>
        <w:spacing w:line="480" w:lineRule="auto"/>
        <w:ind w:firstLine="720"/>
        <w:rPr>
          <w:rFonts w:ascii="Times New Roman" w:hAnsi="Times New Roman" w:cs="Times New Roman"/>
        </w:rPr>
      </w:pPr>
      <w:r w:rsidRPr="00044165">
        <w:rPr>
          <w:rFonts w:ascii="Times New Roman" w:hAnsi="Times New Roman" w:cs="Times New Roman"/>
          <w:b/>
          <w:bCs/>
        </w:rPr>
        <w:t>Dialogism in pre-1924</w:t>
      </w:r>
      <w:r w:rsidRPr="00044165">
        <w:rPr>
          <w:rFonts w:ascii="Times New Roman" w:hAnsi="Times New Roman" w:cs="Times New Roman"/>
        </w:rPr>
        <w:t xml:space="preserve">. For this period, Bakhtin did not </w:t>
      </w:r>
      <w:r>
        <w:rPr>
          <w:rFonts w:ascii="Times New Roman" w:hAnsi="Times New Roman" w:cs="Times New Roman"/>
        </w:rPr>
        <w:t>concentrate on</w:t>
      </w:r>
      <w:r w:rsidRPr="00044165">
        <w:rPr>
          <w:rFonts w:ascii="Times New Roman" w:hAnsi="Times New Roman" w:cs="Times New Roman"/>
        </w:rPr>
        <w:t xml:space="preserve"> language and discourse. Instead, he focused on consciousness, ethics, and aesthetics. The philosophical assumption is that art and life are not discrete domains of humanity, and the consummation of art and life is aesthetic. In other words, everyday life is prosaic– an ordinary, taken-for-granted </w:t>
      </w:r>
      <w:r w:rsidRPr="00044165">
        <w:rPr>
          <w:rFonts w:ascii="Times New Roman" w:hAnsi="Times New Roman" w:cs="Times New Roman"/>
        </w:rPr>
        <w:lastRenderedPageBreak/>
        <w:t>process of living – but not free of creative activity and art, and the fusion of prosaic life and creative art is aesthetic. The three constructs – consciousness, ethics, and aesthetics – are discussed, and they are intertwined as well as advanced.</w:t>
      </w:r>
    </w:p>
    <w:p w14:paraId="7D8CA527" w14:textId="77777777" w:rsidR="00256B3D" w:rsidRDefault="00256B3D" w:rsidP="00256B3D">
      <w:pPr>
        <w:spacing w:line="480" w:lineRule="auto"/>
        <w:ind w:firstLine="720"/>
        <w:rPr>
          <w:rFonts w:ascii="Times New Roman" w:hAnsi="Times New Roman" w:cs="Times New Roman"/>
        </w:rPr>
      </w:pPr>
      <w:r>
        <w:rPr>
          <w:rFonts w:ascii="Times New Roman" w:hAnsi="Times New Roman" w:cs="Times New Roman"/>
        </w:rPr>
        <w:t xml:space="preserve">According to </w:t>
      </w:r>
      <w:r>
        <w:rPr>
          <w:rFonts w:ascii="Times New Roman" w:hAnsi="Times New Roman" w:cs="Times New Roman"/>
        </w:rPr>
        <w:fldChar w:fldCharType="begin"/>
      </w:r>
      <w:r>
        <w:rPr>
          <w:rFonts w:ascii="Times New Roman" w:hAnsi="Times New Roman" w:cs="Times New Roman"/>
        </w:rPr>
        <w:instrText xml:space="preserve"> ADDIN EN.CITE &lt;EndNote&gt;&lt;Cite AuthorYear="1"&gt;&lt;Author&gt;Bakhtin&lt;/Author&gt;&lt;Year&gt;1984&lt;/Year&gt;&lt;RecNum&gt;2135&lt;/RecNum&gt;&lt;DisplayText&gt;Bakhtin (1984)&lt;/DisplayText&gt;&lt;record&gt;&lt;rec-number&gt;2135&lt;/rec-number&gt;&lt;foreign-keys&gt;&lt;key app="EN" db-id="2pe9e00ros0veneeptspa5vhz0pw2az52v20" timestamp="1697746247" guid="51b14384-8e36-44c0-8472-772dfb203d9c"&gt;2135&lt;/key&gt;&lt;/foreign-keys&gt;&lt;ref-type name="Book"&gt;6&lt;/ref-type&gt;&lt;contributors&gt;&lt;authors&gt;&lt;author&gt;Mikhail M. Bakhtin&lt;/author&gt;&lt;/authors&gt;&lt;tertiary-authors&gt;&lt;author&gt;Caryl Emerson&lt;/author&gt;&lt;/tertiary-authors&gt;&lt;subsidiary-authors&gt;&lt;author&gt;Caryl Emerson&lt;/author&gt;&lt;/subsidiary-authors&gt;&lt;/contributors&gt;&lt;titles&gt;&lt;title&gt;Problems of Dostoevsky’s Poetics&lt;/title&gt;&lt;/titles&gt;&lt;dates&gt;&lt;year&gt;1984&lt;/year&gt;&lt;/dates&gt;&lt;publisher&gt;University of Minnesota Press&lt;/publisher&gt;&lt;urls&gt;&lt;/urls&gt;&lt;/record&gt;&lt;/Cite&gt;&lt;/EndNote&gt;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Bakhtin (1984)</w:t>
      </w:r>
      <w:r>
        <w:rPr>
          <w:rFonts w:ascii="Times New Roman" w:hAnsi="Times New Roman" w:cs="Times New Roman"/>
        </w:rPr>
        <w:fldChar w:fldCharType="end"/>
      </w:r>
      <w:r>
        <w:rPr>
          <w:rFonts w:ascii="Times New Roman" w:hAnsi="Times New Roman" w:cs="Times New Roman"/>
        </w:rPr>
        <w:t>, c</w:t>
      </w:r>
      <w:r w:rsidRPr="00044165">
        <w:rPr>
          <w:rFonts w:ascii="Times New Roman" w:hAnsi="Times New Roman" w:cs="Times New Roman"/>
        </w:rPr>
        <w:t xml:space="preserve">onsciousness is an awareness by the mind, and the critical dialogic principle is that consciousness is a relation of the </w:t>
      </w:r>
      <w:r w:rsidRPr="00044165">
        <w:rPr>
          <w:rFonts w:ascii="Times New Roman" w:hAnsi="Times New Roman" w:cs="Times New Roman"/>
          <w:i/>
          <w:iCs/>
        </w:rPr>
        <w:t>Self</w:t>
      </w:r>
      <w:r w:rsidRPr="00044165">
        <w:rPr>
          <w:rFonts w:ascii="Times New Roman" w:hAnsi="Times New Roman" w:cs="Times New Roman"/>
        </w:rPr>
        <w:t xml:space="preserve"> and the </w:t>
      </w:r>
      <w:r w:rsidRPr="00044165">
        <w:rPr>
          <w:rFonts w:ascii="Times New Roman" w:hAnsi="Times New Roman" w:cs="Times New Roman"/>
          <w:i/>
          <w:iCs/>
        </w:rPr>
        <w:t>Other</w:t>
      </w:r>
      <w:r w:rsidRPr="00044165">
        <w:rPr>
          <w:rFonts w:ascii="Times New Roman" w:hAnsi="Times New Roman" w:cs="Times New Roman"/>
        </w:rPr>
        <w:t xml:space="preserve">. In other words, without having otherness in comparison, a person cannot have a consciousness. </w:t>
      </w:r>
    </w:p>
    <w:p w14:paraId="17A8C03B" w14:textId="77777777" w:rsidR="00256B3D" w:rsidRPr="00044165" w:rsidRDefault="00256B3D" w:rsidP="00256B3D">
      <w:pPr>
        <w:spacing w:line="480" w:lineRule="auto"/>
        <w:ind w:firstLine="720"/>
        <w:rPr>
          <w:rFonts w:ascii="Times New Roman" w:hAnsi="Times New Roman" w:cs="Times New Roman"/>
        </w:rPr>
      </w:pPr>
      <w:r w:rsidRPr="00044165">
        <w:rPr>
          <w:rFonts w:ascii="Times New Roman" w:hAnsi="Times New Roman" w:cs="Times New Roman"/>
        </w:rPr>
        <w:t xml:space="preserve">Consciousness is an ongoing, situated action of relating, so a person is both an entity of acting consciousness and a comparison to raise consciousness. To better stimulate consciousness, people have an ethical obligation to participate in other’s actions of relating. Thus, ethics </w:t>
      </w:r>
      <w:r>
        <w:rPr>
          <w:rFonts w:ascii="Times New Roman" w:hAnsi="Times New Roman" w:cs="Times New Roman"/>
        </w:rPr>
        <w:t>matter</w:t>
      </w:r>
      <w:r w:rsidRPr="00044165">
        <w:rPr>
          <w:rFonts w:ascii="Times New Roman" w:hAnsi="Times New Roman" w:cs="Times New Roman"/>
        </w:rPr>
        <w:t xml:space="preserve"> in facilitating the effectiveness of stimulating other</w:t>
      </w:r>
      <w:r>
        <w:rPr>
          <w:rFonts w:ascii="Times New Roman" w:hAnsi="Times New Roman" w:cs="Times New Roman"/>
        </w:rPr>
        <w:t>’s</w:t>
      </w:r>
      <w:r w:rsidRPr="00044165">
        <w:rPr>
          <w:rFonts w:ascii="Times New Roman" w:hAnsi="Times New Roman" w:cs="Times New Roman"/>
        </w:rPr>
        <w:t xml:space="preserve"> actions of relating. For instance, it is ethical when a person smiles and nods in a conversation with others. </w:t>
      </w:r>
    </w:p>
    <w:p w14:paraId="3FE36309" w14:textId="77777777" w:rsidR="00256B3D" w:rsidRPr="00044165" w:rsidRDefault="00256B3D" w:rsidP="00256B3D">
      <w:pPr>
        <w:spacing w:line="480" w:lineRule="auto"/>
        <w:ind w:firstLine="720"/>
        <w:rPr>
          <w:rFonts w:ascii="Times New Roman" w:hAnsi="Times New Roman" w:cs="Times New Roman"/>
        </w:rPr>
      </w:pPr>
      <w:r>
        <w:rPr>
          <w:rFonts w:ascii="Times New Roman" w:hAnsi="Times New Roman" w:cs="Times New Roman"/>
        </w:rPr>
        <w:t xml:space="preserve">Further, for </w:t>
      </w:r>
      <w:r>
        <w:rPr>
          <w:rFonts w:ascii="Times New Roman" w:hAnsi="Times New Roman" w:cs="Times New Roman"/>
        </w:rPr>
        <w:fldChar w:fldCharType="begin"/>
      </w:r>
      <w:r>
        <w:rPr>
          <w:rFonts w:ascii="Times New Roman" w:hAnsi="Times New Roman" w:cs="Times New Roman"/>
        </w:rPr>
        <w:instrText xml:space="preserve"> ADDIN EN.CITE &lt;EndNote&gt;&lt;Cite AuthorYear="1"&gt;&lt;Author&gt;Bakhtin&lt;/Author&gt;&lt;Year&gt;1990&lt;/Year&gt;&lt;RecNum&gt;2131&lt;/RecNum&gt;&lt;DisplayText&gt;Bakhtin (1990)&lt;/DisplayText&gt;&lt;record&gt;&lt;rec-number&gt;2131&lt;/rec-number&gt;&lt;foreign-keys&gt;&lt;key app="EN" db-id="2pe9e00ros0veneeptspa5vhz0pw2az52v20" timestamp="1697580889" guid="02dc6da2-e496-4c13-b3fb-1db2d7803c76"&gt;2131&lt;/key&gt;&lt;/foreign-keys&gt;&lt;ref-type name="Book"&gt;6&lt;/ref-type&gt;&lt;contributors&gt;&lt;authors&gt;&lt;author&gt;Bakhtin, Mikhail Mikhaĭlovich&lt;/author&gt;&lt;/authors&gt;&lt;subsidiary-authors&gt;&lt;author&gt;Vadim Liapunov&lt;/author&gt;&lt;/subsidiary-authors&gt;&lt;/contributors&gt;&lt;titles&gt;&lt;title&gt;Art and answerability: Early philosophical essays&lt;/title&gt;&lt;/titles&gt;&lt;dates&gt;&lt;year&gt;1990&lt;/year&gt;&lt;/dates&gt;&lt;publisher&gt;University of Texas Press&lt;/publisher&gt;&lt;isbn&gt;0292792131&lt;/isbn&gt;&lt;urls&gt;&lt;/urls&gt;&lt;/record&gt;&lt;/Cite&gt;&lt;/EndNote&gt;</w:instrText>
      </w:r>
      <w:r>
        <w:rPr>
          <w:rFonts w:ascii="Times New Roman" w:hAnsi="Times New Roman" w:cs="Times New Roman"/>
        </w:rPr>
        <w:fldChar w:fldCharType="separate"/>
      </w:r>
      <w:r>
        <w:rPr>
          <w:rFonts w:ascii="Times New Roman" w:hAnsi="Times New Roman" w:cs="Times New Roman"/>
          <w:noProof/>
        </w:rPr>
        <w:t>Bakhtin (1990)</w:t>
      </w:r>
      <w:r>
        <w:rPr>
          <w:rFonts w:ascii="Times New Roman" w:hAnsi="Times New Roman" w:cs="Times New Roman"/>
        </w:rPr>
        <w:fldChar w:fldCharType="end"/>
      </w:r>
      <w:r>
        <w:rPr>
          <w:rFonts w:ascii="Times New Roman" w:hAnsi="Times New Roman" w:cs="Times New Roman"/>
        </w:rPr>
        <w:t>, c</w:t>
      </w:r>
      <w:r w:rsidRPr="00044165">
        <w:rPr>
          <w:rFonts w:ascii="Times New Roman" w:hAnsi="Times New Roman" w:cs="Times New Roman"/>
        </w:rPr>
        <w:t xml:space="preserve">onsciousness is in the dialogical assumption of </w:t>
      </w:r>
      <w:r>
        <w:rPr>
          <w:rFonts w:ascii="Times New Roman" w:hAnsi="Times New Roman" w:cs="Times New Roman"/>
        </w:rPr>
        <w:t>“</w:t>
      </w:r>
      <w:r w:rsidRPr="00044165">
        <w:rPr>
          <w:rFonts w:ascii="Times New Roman" w:hAnsi="Times New Roman" w:cs="Times New Roman"/>
        </w:rPr>
        <w:t>unfinalizability</w:t>
      </w:r>
      <w:r>
        <w:rPr>
          <w:rFonts w:ascii="Times New Roman" w:hAnsi="Times New Roman" w:cs="Times New Roman"/>
        </w:rPr>
        <w:t>,”</w:t>
      </w:r>
      <w:r w:rsidRPr="00044165">
        <w:rPr>
          <w:rFonts w:ascii="Times New Roman" w:hAnsi="Times New Roman" w:cs="Times New Roman"/>
        </w:rPr>
        <w:t xml:space="preserve"> and meaning is constituted in fleeting moments of the consummation of self-authoring and other-answerability. When self-authoring and other-answerability mutually merge into an equated self-and/or-other, aesthetics is achieved. Aesthetic activity includes a three-part process. First is empathy: putting oneself into other’s shoes. Second is a return to one’s outsideness: returning to one’s own place outside. Third is one’s answerability to the other’s wholeness: completing the comprehensive consummation of self-authoring and </w:t>
      </w:r>
      <w:proofErr w:type="gramStart"/>
      <w:r w:rsidRPr="00044165">
        <w:rPr>
          <w:rFonts w:ascii="Times New Roman" w:hAnsi="Times New Roman" w:cs="Times New Roman"/>
        </w:rPr>
        <w:t>other-answerability</w:t>
      </w:r>
      <w:proofErr w:type="gramEnd"/>
      <w:r w:rsidRPr="00044165">
        <w:rPr>
          <w:rFonts w:ascii="Times New Roman" w:hAnsi="Times New Roman" w:cs="Times New Roman"/>
        </w:rPr>
        <w:t xml:space="preserve">. For example, one aesthetic moment is: </w:t>
      </w:r>
    </w:p>
    <w:p w14:paraId="115B34AD" w14:textId="77777777" w:rsidR="00256B3D" w:rsidRDefault="00256B3D" w:rsidP="00256B3D">
      <w:pPr>
        <w:spacing w:line="480" w:lineRule="auto"/>
        <w:ind w:left="720"/>
        <w:rPr>
          <w:rFonts w:ascii="Times New Roman" w:hAnsi="Times New Roman" w:cs="Times New Roman"/>
        </w:rPr>
      </w:pPr>
      <w:r w:rsidRPr="00044165">
        <w:rPr>
          <w:rFonts w:ascii="Times New Roman" w:hAnsi="Times New Roman" w:cs="Times New Roman"/>
        </w:rPr>
        <w:t xml:space="preserve">A German person plans to surf on waves and notices two refugees from Syria’s civil wars begging for food on the beach. He is compassionate with their sufferings and gives all his money in his wallet to them. Returning to the sea, he starts crying while surfing the </w:t>
      </w:r>
      <w:r w:rsidRPr="00044165">
        <w:rPr>
          <w:rFonts w:ascii="Times New Roman" w:hAnsi="Times New Roman" w:cs="Times New Roman"/>
        </w:rPr>
        <w:lastRenderedPageBreak/>
        <w:t xml:space="preserve">waves. Another person sitting on the beach watches the whole story and </w:t>
      </w:r>
      <w:r>
        <w:rPr>
          <w:rFonts w:ascii="Times New Roman" w:hAnsi="Times New Roman" w:cs="Times New Roman"/>
        </w:rPr>
        <w:t>believe</w:t>
      </w:r>
      <w:r w:rsidRPr="00044165">
        <w:rPr>
          <w:rFonts w:ascii="Times New Roman" w:hAnsi="Times New Roman" w:cs="Times New Roman"/>
        </w:rPr>
        <w:t xml:space="preserve">s tears flowing in the water sound. </w:t>
      </w:r>
    </w:p>
    <w:p w14:paraId="7300939B" w14:textId="77777777" w:rsidR="00256B3D" w:rsidRPr="00044165" w:rsidRDefault="00256B3D" w:rsidP="00256B3D">
      <w:pPr>
        <w:spacing w:line="480" w:lineRule="auto"/>
        <w:rPr>
          <w:rFonts w:ascii="Times New Roman" w:hAnsi="Times New Roman" w:cs="Times New Roman"/>
        </w:rPr>
      </w:pPr>
      <w:r>
        <w:rPr>
          <w:rFonts w:ascii="Times New Roman" w:hAnsi="Times New Roman" w:cs="Times New Roman"/>
        </w:rPr>
        <w:t>Within this aesthetic moment, the person sitting on the beach puts himself into both the refugee and German person’s shoes, and then, the person returns to life reality as an irrelevant, uninvolved, third-person outsider, and at last, the person completes his self-authoring about the whole moment and concludes (or answer) the consummation of the whole moment as aesthetic.</w:t>
      </w:r>
    </w:p>
    <w:p w14:paraId="782B9B70" w14:textId="77777777" w:rsidR="00256B3D" w:rsidRPr="00044165" w:rsidRDefault="00256B3D" w:rsidP="00256B3D">
      <w:pPr>
        <w:spacing w:line="480" w:lineRule="auto"/>
        <w:ind w:firstLine="720"/>
        <w:rPr>
          <w:rFonts w:ascii="Times New Roman" w:hAnsi="Times New Roman" w:cs="Times New Roman"/>
        </w:rPr>
      </w:pPr>
      <w:r w:rsidRPr="00044165">
        <w:rPr>
          <w:rFonts w:ascii="Times New Roman" w:hAnsi="Times New Roman" w:cs="Times New Roman"/>
          <w:b/>
          <w:bCs/>
        </w:rPr>
        <w:t>Dialogism in post-1924</w:t>
      </w:r>
      <w:r w:rsidRPr="00044165">
        <w:rPr>
          <w:rFonts w:ascii="Times New Roman" w:hAnsi="Times New Roman" w:cs="Times New Roman"/>
        </w:rPr>
        <w:t xml:space="preserve">. For this period, Bakhtin turned the linguistic focus on language-in-use, historically significant for the subject of study, </w:t>
      </w:r>
      <w:r w:rsidRPr="00044165">
        <w:rPr>
          <w:rFonts w:ascii="Times New Roman" w:hAnsi="Times New Roman" w:cs="Times New Roman"/>
          <w:i/>
          <w:iCs/>
        </w:rPr>
        <w:t>speech communication</w:t>
      </w:r>
      <w:r w:rsidRPr="00044165">
        <w:rPr>
          <w:rFonts w:ascii="Times New Roman" w:hAnsi="Times New Roman" w:cs="Times New Roman"/>
        </w:rPr>
        <w:t xml:space="preserve"> </w:t>
      </w:r>
      <w:r w:rsidRPr="00044165">
        <w:rPr>
          <w:rFonts w:ascii="Times New Roman" w:hAnsi="Times New Roman" w:cs="Times New Roman"/>
        </w:rPr>
        <w:fldChar w:fldCharType="begin"/>
      </w:r>
      <w:r w:rsidRPr="00044165">
        <w:rPr>
          <w:rFonts w:ascii="Times New Roman" w:hAnsi="Times New Roman" w:cs="Times New Roman"/>
        </w:rPr>
        <w:instrText xml:space="preserve"> ADDIN EN.CITE &lt;EndNote&gt;&lt;Cite&gt;&lt;Author&gt;Bakhtin&lt;/Author&gt;&lt;Year&gt;1986&lt;/Year&gt;&lt;RecNum&gt;2132&lt;/RecNum&gt;&lt;DisplayText&gt;(Bakhtin, 1986)&lt;/DisplayText&gt;&lt;record&gt;&lt;rec-number&gt;2132&lt;/rec-number&gt;&lt;foreign-keys&gt;&lt;key app="EN" db-id="2pe9e00ros0veneeptspa5vhz0pw2az52v20" timestamp="1697581283" guid="21362f54-b464-49e3-9b73-19a74e00be0a"&gt;2132&lt;/key&gt;&lt;/foreign-keys&gt;&lt;ref-type name="Book"&gt;6&lt;/ref-type&gt;&lt;contributors&gt;&lt;authors&gt;&lt;author&gt;Bakhtin, Mikhail Mikhaĭlovich&lt;/author&gt;&lt;/authors&gt;&lt;subsidiary-authors&gt;&lt;author&gt;V. W. McGee&lt;/author&gt;&lt;/subsidiary-authors&gt;&lt;/contributors&gt;&lt;titles&gt;&lt;title&gt;Speech genres and other late essays&lt;/title&gt;&lt;/titles&gt;&lt;dates&gt;&lt;year&gt;1986&lt;/year&gt;&lt;/dates&gt;&lt;publisher&gt;University of Texas Press&lt;/publisher&gt;&lt;isbn&gt;029278287X&lt;/isbn&gt;&lt;urls&gt;&lt;/urls&gt;&lt;/record&gt;&lt;/Cite&gt;&lt;/EndNote&gt;</w:instrText>
      </w:r>
      <w:r w:rsidRPr="00044165">
        <w:rPr>
          <w:rFonts w:ascii="Times New Roman" w:hAnsi="Times New Roman" w:cs="Times New Roman"/>
        </w:rPr>
        <w:fldChar w:fldCharType="separate"/>
      </w:r>
      <w:r w:rsidRPr="00044165">
        <w:rPr>
          <w:rFonts w:ascii="Times New Roman" w:hAnsi="Times New Roman" w:cs="Times New Roman"/>
          <w:noProof/>
        </w:rPr>
        <w:t>(Bakhtin, 1986)</w:t>
      </w:r>
      <w:r w:rsidRPr="00044165">
        <w:rPr>
          <w:rFonts w:ascii="Times New Roman" w:hAnsi="Times New Roman" w:cs="Times New Roman"/>
        </w:rPr>
        <w:fldChar w:fldCharType="end"/>
      </w:r>
      <w:r w:rsidRPr="00044165">
        <w:rPr>
          <w:rFonts w:ascii="Times New Roman" w:hAnsi="Times New Roman" w:cs="Times New Roman"/>
        </w:rPr>
        <w:t>. To some extent, this linguistic turn validates</w:t>
      </w:r>
      <w:r w:rsidRPr="00044165">
        <w:rPr>
          <w:rFonts w:ascii="Times New Roman" w:hAnsi="Times New Roman" w:cs="Times New Roman"/>
          <w:i/>
          <w:iCs/>
        </w:rPr>
        <w:t xml:space="preserve"> (speech) communication </w:t>
      </w:r>
      <w:r w:rsidRPr="00044165">
        <w:rPr>
          <w:rFonts w:ascii="Times New Roman" w:hAnsi="Times New Roman" w:cs="Times New Roman"/>
        </w:rPr>
        <w:t>as a discipline</w:t>
      </w:r>
      <w:r>
        <w:rPr>
          <w:rFonts w:ascii="Times New Roman" w:hAnsi="Times New Roman" w:cs="Times New Roman"/>
        </w:rPr>
        <w:t xml:space="preserve"> and justifies the founding of Departments</w:t>
      </w:r>
      <w:r w:rsidRPr="00044165">
        <w:rPr>
          <w:rFonts w:ascii="Times New Roman" w:hAnsi="Times New Roman" w:cs="Times New Roman"/>
        </w:rPr>
        <w:t xml:space="preserve"> of Communication in universities. The following paragraphs explain this linguistic turn, including the basis, the utterance chain, and dialogue.  </w:t>
      </w:r>
    </w:p>
    <w:p w14:paraId="3BF71AE3" w14:textId="77777777" w:rsidR="00256B3D" w:rsidRPr="00044165" w:rsidRDefault="00256B3D" w:rsidP="00256B3D">
      <w:pPr>
        <w:spacing w:line="480" w:lineRule="auto"/>
        <w:ind w:firstLine="720"/>
        <w:rPr>
          <w:rFonts w:ascii="Times New Roman" w:hAnsi="Times New Roman" w:cs="Times New Roman"/>
        </w:rPr>
      </w:pPr>
      <w:r w:rsidRPr="00044165">
        <w:rPr>
          <w:rFonts w:ascii="Times New Roman" w:hAnsi="Times New Roman" w:cs="Times New Roman"/>
        </w:rPr>
        <w:t>The basis of Bakhtin</w:t>
      </w:r>
      <w:r>
        <w:rPr>
          <w:rFonts w:ascii="Times New Roman" w:hAnsi="Times New Roman" w:cs="Times New Roman"/>
        </w:rPr>
        <w:t>’s</w:t>
      </w:r>
      <w:r w:rsidRPr="00044165">
        <w:rPr>
          <w:rFonts w:ascii="Times New Roman" w:hAnsi="Times New Roman" w:cs="Times New Roman"/>
        </w:rPr>
        <w:t xml:space="preserve"> dialogism focuses on language-in-use</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&lt;EndNote&gt;&lt;Cite&gt;&lt;Author&gt;Bakhtin&lt;/Author&gt;&lt;Year&gt;1981&lt;/Year&gt;&lt;RecNum&gt;2130&lt;/RecNum&gt;&lt;DisplayText&gt;(Bakhtin, 1981a)&lt;/DisplayText&gt;&lt;record&gt;&lt;rec-number&gt;2130&lt;/rec-number&gt;&lt;foreign-keys&gt;&lt;key app="EN" db-id="2pe9e00ros0veneeptspa5vhz0pw2az52v20" timestamp="1697580216" guid="e94c82a1-54e0-4953-a495-75893e5e4df1"&gt;2130&lt;/key&gt;&lt;/foreign-keys&gt;&lt;ref-type name="Book"&gt;6&lt;/ref-type&gt;&lt;contributors&gt;&lt;authors&gt;&lt;author&gt;Bakhtin, Mikhail Mikhaĭlovich&lt;/author&gt;&lt;/authors&gt;&lt;subsidiary-authors&gt;&lt;author&gt;C. Emerson &lt;/author&gt;&lt;author&gt;M. Holquist&lt;/author&gt;&lt;/subsidiary-authors&gt;&lt;/contributors&gt;&lt;titles&gt;&lt;title&gt;The dialogic imagination: Four essays&lt;/title&gt;&lt;/titles&gt;&lt;dates&gt;&lt;year&gt;1981&lt;/year&gt;&lt;/dates&gt;&lt;publisher&gt;University of Texas Press&lt;/publisher&gt;&lt;isbn&gt;0292782861&lt;/isbn&gt;&lt;urls&gt;&lt;/urls&gt;&lt;/record&gt;&lt;/Cite&gt;&lt;/EndNote&gt;</w:instrText>
      </w:r>
      <w:r>
        <w:rPr>
          <w:rFonts w:ascii="Times New Roman" w:hAnsi="Times New Roman" w:cs="Times New Roman"/>
        </w:rPr>
        <w:fldChar w:fldCharType="separate"/>
      </w:r>
      <w:r>
        <w:rPr>
          <w:rFonts w:ascii="Times New Roman" w:hAnsi="Times New Roman" w:cs="Times New Roman"/>
          <w:noProof/>
        </w:rPr>
        <w:t>(Bakhtin, 1981a)</w:t>
      </w:r>
      <w:r>
        <w:rPr>
          <w:rFonts w:ascii="Times New Roman" w:hAnsi="Times New Roman" w:cs="Times New Roman"/>
        </w:rPr>
        <w:fldChar w:fldCharType="end"/>
      </w:r>
      <w:r w:rsidRPr="00044165">
        <w:rPr>
          <w:rFonts w:ascii="Times New Roman" w:hAnsi="Times New Roman" w:cs="Times New Roman"/>
        </w:rPr>
        <w:t>. Th</w:t>
      </w:r>
      <w:r>
        <w:rPr>
          <w:rFonts w:ascii="Times New Roman" w:hAnsi="Times New Roman" w:cs="Times New Roman"/>
        </w:rPr>
        <w:t>e</w:t>
      </w:r>
      <w:r w:rsidRPr="00044165">
        <w:rPr>
          <w:rFonts w:ascii="Times New Roman" w:hAnsi="Times New Roman" w:cs="Times New Roman"/>
        </w:rPr>
        <w:t xml:space="preserve"> linguistic view associates abstract objectivism with Saussure, which focuses on structural and systemic features of languages </w:t>
      </w:r>
      <w:r w:rsidRPr="00044165">
        <w:rPr>
          <w:rFonts w:ascii="Times New Roman" w:hAnsi="Times New Roman" w:cs="Times New Roman"/>
        </w:rPr>
        <w:fldChar w:fldCharType="begin"/>
      </w:r>
      <w:r w:rsidRPr="00044165">
        <w:rPr>
          <w:rFonts w:ascii="Times New Roman" w:hAnsi="Times New Roman" w:cs="Times New Roman"/>
        </w:rPr>
        <w:instrText xml:space="preserve"> ADDIN EN.CITE &lt;EndNote&gt;&lt;Cite&gt;&lt;Author&gt;Saussure&lt;/Author&gt;&lt;Year&gt;1959&lt;/Year&gt;&lt;RecNum&gt;2133&lt;/RecNum&gt;&lt;Prefix&gt;e.g.`, &lt;/Prefix&gt;&lt;DisplayText&gt;(e.g., Saussure, 1959)&lt;/DisplayText&gt;&lt;record&gt;&lt;rec-number&gt;2133&lt;/rec-number&gt;&lt;foreign-keys&gt;&lt;key app="EN" db-id="2pe9e00ros0veneeptspa5vhz0pw2az52v20" timestamp="1697738940" guid="e9e727d5-fbad-497e-9bc7-6547f82b6f23"&gt;2133&lt;/key&gt;&lt;/foreign-keys&gt;&lt;ref-type name="Book"&gt;6&lt;/ref-type&gt;&lt;contributors&gt;&lt;authors&gt;&lt;author&gt;Saussure, F. de &lt;/author&gt;&lt;/authors&gt;&lt;subsidiary-authors&gt;&lt;author&gt;Wade Baskin  &lt;/author&gt;&lt;/subsidiary-authors&gt;&lt;/contributors&gt;&lt;titles&gt;&lt;title&gt;Course in general linguistics&lt;/title&gt;&lt;/titles&gt;&lt;dates&gt;&lt;year&gt;1959&lt;/year&gt;&lt;/dates&gt;&lt;publisher&gt;McGraw-Hill&lt;/publisher&gt;&lt;urls&gt;&lt;/urls&gt;&lt;/record&gt;&lt;/Cite&gt;&lt;/EndNote&gt;</w:instrText>
      </w:r>
      <w:r w:rsidRPr="00044165">
        <w:rPr>
          <w:rFonts w:ascii="Times New Roman" w:hAnsi="Times New Roman" w:cs="Times New Roman"/>
        </w:rPr>
        <w:fldChar w:fldCharType="separate"/>
      </w:r>
      <w:r w:rsidRPr="00044165">
        <w:rPr>
          <w:rFonts w:ascii="Times New Roman" w:hAnsi="Times New Roman" w:cs="Times New Roman"/>
          <w:noProof/>
        </w:rPr>
        <w:t>(e.g., Saussure, 1959)</w:t>
      </w:r>
      <w:r w:rsidRPr="00044165">
        <w:rPr>
          <w:rFonts w:ascii="Times New Roman" w:hAnsi="Times New Roman" w:cs="Times New Roman"/>
        </w:rPr>
        <w:fldChar w:fldCharType="end"/>
      </w:r>
      <w:r w:rsidRPr="00044165">
        <w:rPr>
          <w:rFonts w:ascii="Times New Roman" w:hAnsi="Times New Roman" w:cs="Times New Roman"/>
        </w:rPr>
        <w:t>, such as grammar, phonology, and semantics. Moreover, this linguistic view is opposite to individualistic subjectivism in the study of language, which believes that utterance</w:t>
      </w:r>
      <w:r>
        <w:rPr>
          <w:rFonts w:ascii="Times New Roman" w:hAnsi="Times New Roman" w:cs="Times New Roman"/>
        </w:rPr>
        <w:t>s</w:t>
      </w:r>
      <w:r w:rsidRPr="00044165">
        <w:rPr>
          <w:rFonts w:ascii="Times New Roman" w:hAnsi="Times New Roman" w:cs="Times New Roman"/>
        </w:rPr>
        <w:t xml:space="preserve"> </w:t>
      </w:r>
      <w:r>
        <w:rPr>
          <w:rFonts w:ascii="Times New Roman" w:hAnsi="Times New Roman" w:cs="Times New Roman"/>
        </w:rPr>
        <w:t>are</w:t>
      </w:r>
      <w:r w:rsidRPr="00044165">
        <w:rPr>
          <w:rFonts w:ascii="Times New Roman" w:hAnsi="Times New Roman" w:cs="Times New Roman"/>
        </w:rPr>
        <w:t xml:space="preserve"> nothing more than the expression of a speaker’s inner world </w:t>
      </w:r>
      <w:r w:rsidRPr="00044165">
        <w:rPr>
          <w:rFonts w:ascii="Times New Roman" w:hAnsi="Times New Roman" w:cs="Times New Roman"/>
        </w:rPr>
        <w:fldChar w:fldCharType="begin"/>
      </w:r>
      <w:r w:rsidRPr="00044165">
        <w:rPr>
          <w:rFonts w:ascii="Times New Roman" w:hAnsi="Times New Roman" w:cs="Times New Roman"/>
        </w:rPr>
        <w:instrText xml:space="preserve"> ADDIN EN.CITE &lt;EndNote&gt;&lt;Cite&gt;&lt;Author&gt;Voloshinov&lt;/Author&gt;&lt;Year&gt;1987&lt;/Year&gt;&lt;RecNum&gt;2134&lt;/RecNum&gt;&lt;Prefix&gt;e.g.`, &lt;/Prefix&gt;&lt;DisplayText&gt;(e.g., Voloshinov, 1987)&lt;/DisplayText&gt;&lt;record&gt;&lt;rec-number&gt;2134&lt;/rec-number&gt;&lt;foreign-keys&gt;&lt;key app="EN" db-id="2pe9e00ros0veneeptspa5vhz0pw2az52v20" timestamp="1697740543" guid="593a5ca3-c952-44e6-a3e3-eb1ff783b448"&gt;2134&lt;/key&gt;&lt;/foreign-keys&gt;&lt;ref-type name="Book"&gt;6&lt;/ref-type&gt;&lt;contributors&gt;&lt;authors&gt;&lt;author&gt;V. N. Voloshinov&lt;/author&gt;&lt;/authors&gt;&lt;subsidiary-authors&gt;&lt;author&gt;I. R. Titunik &lt;/author&gt;&lt;/subsidiary-authors&gt;&lt;/contributors&gt;&lt;titles&gt;&lt;title&gt;Freudianism: a critical sketch&lt;/title&gt;&lt;/titles&gt;&lt;dates&gt;&lt;year&gt;1987&lt;/year&gt;&lt;/dates&gt;&lt;publisher&gt;Indiana University Press&lt;/publisher&gt;&lt;urls&gt;&lt;/urls&gt;&lt;/record&gt;&lt;/Cite&gt;&lt;/EndNote&gt;</w:instrText>
      </w:r>
      <w:r w:rsidRPr="00044165">
        <w:rPr>
          <w:rFonts w:ascii="Times New Roman" w:hAnsi="Times New Roman" w:cs="Times New Roman"/>
        </w:rPr>
        <w:fldChar w:fldCharType="separate"/>
      </w:r>
      <w:r w:rsidRPr="00044165">
        <w:rPr>
          <w:rFonts w:ascii="Times New Roman" w:hAnsi="Times New Roman" w:cs="Times New Roman"/>
          <w:noProof/>
        </w:rPr>
        <w:t>(e.g., Voloshinov, 1987)</w:t>
      </w:r>
      <w:r w:rsidRPr="00044165">
        <w:rPr>
          <w:rFonts w:ascii="Times New Roman" w:hAnsi="Times New Roman" w:cs="Times New Roman"/>
        </w:rPr>
        <w:fldChar w:fldCharType="end"/>
      </w:r>
      <w:r w:rsidRPr="00044165">
        <w:rPr>
          <w:rFonts w:ascii="Times New Roman" w:hAnsi="Times New Roman" w:cs="Times New Roman"/>
        </w:rPr>
        <w:t>, such as individual motivation, individual dispositions, and subjective introspection. Bakhtin</w:t>
      </w:r>
      <w:r>
        <w:rPr>
          <w:rFonts w:ascii="Times New Roman" w:hAnsi="Times New Roman" w:cs="Times New Roman"/>
        </w:rPr>
        <w:t xml:space="preserve"> </w:t>
      </w:r>
      <w:r w:rsidRPr="00044165">
        <w:rPr>
          <w:rFonts w:ascii="Times New Roman" w:hAnsi="Times New Roman" w:cs="Times New Roman"/>
        </w:rPr>
        <w:t>view</w:t>
      </w:r>
      <w:r>
        <w:rPr>
          <w:rFonts w:ascii="Times New Roman" w:hAnsi="Times New Roman" w:cs="Times New Roman"/>
        </w:rPr>
        <w:t>s</w:t>
      </w:r>
      <w:r w:rsidRPr="00044165">
        <w:rPr>
          <w:rFonts w:ascii="Times New Roman" w:hAnsi="Times New Roman" w:cs="Times New Roman"/>
        </w:rPr>
        <w:t xml:space="preserve"> language (or expression) </w:t>
      </w:r>
      <w:r>
        <w:rPr>
          <w:rFonts w:ascii="Times New Roman" w:hAnsi="Times New Roman" w:cs="Times New Roman"/>
        </w:rPr>
        <w:t>as</w:t>
      </w:r>
      <w:r w:rsidRPr="00044165">
        <w:rPr>
          <w:rFonts w:ascii="Times New Roman" w:hAnsi="Times New Roman" w:cs="Times New Roman"/>
        </w:rPr>
        <w:t xml:space="preserve"> constitutive of the human experience. In short, Bakhtin’s view of meaning is not about the linguistic structure and individual psychology, and it is a social process of interactants’ joint construction in a specific temporal, spatial, and social situation.</w:t>
      </w:r>
    </w:p>
    <w:p w14:paraId="11CF5268" w14:textId="77777777" w:rsidR="00256B3D" w:rsidRPr="00044165" w:rsidRDefault="00256B3D" w:rsidP="00256B3D">
      <w:pPr>
        <w:spacing w:line="480" w:lineRule="auto"/>
        <w:ind w:firstLine="720"/>
        <w:rPr>
          <w:rFonts w:ascii="Times New Roman" w:hAnsi="Times New Roman" w:cs="Times New Roman"/>
        </w:rPr>
      </w:pPr>
      <w:r>
        <w:rPr>
          <w:rFonts w:ascii="Times New Roman" w:hAnsi="Times New Roman" w:cs="Times New Roman"/>
        </w:rPr>
        <w:t xml:space="preserve">For </w:t>
      </w:r>
      <w:r>
        <w:rPr>
          <w:rFonts w:ascii="Times New Roman" w:hAnsi="Times New Roman" w:cs="Times New Roman"/>
        </w:rPr>
        <w:fldChar w:fldCharType="begin"/>
      </w:r>
      <w:r>
        <w:rPr>
          <w:rFonts w:ascii="Times New Roman" w:hAnsi="Times New Roman" w:cs="Times New Roman"/>
        </w:rPr>
        <w:instrText xml:space="preserve"> ADDIN EN.CITE &lt;EndNote&gt;&lt;Cite AuthorYear="1"&gt;&lt;Author&gt;Bakhtin&lt;/Author&gt;&lt;Year&gt;1981&lt;/Year&gt;&lt;RecNum&gt;2130&lt;/RecNum&gt;&lt;DisplayText&gt;Bakhtin (1981a)&lt;/DisplayText&gt;&lt;record&gt;&lt;rec-number&gt;2130&lt;/rec-number&gt;&lt;foreign-keys&gt;&lt;key app="EN" db-id="2pe9e00ros0veneeptspa5vhz0pw2az52v20" timestamp="1697580216" guid="e94c82a1-54e0-4953-a495-75893e5e4df1"&gt;2130&lt;/key&gt;&lt;/foreign-keys&gt;&lt;ref-type name="Book"&gt;6&lt;/ref-type&gt;&lt;contributors&gt;&lt;authors&gt;&lt;author&gt;Bakhtin, Mikhail Mikhaĭlovich&lt;/author&gt;&lt;/authors&gt;&lt;subsidiary-authors&gt;&lt;author&gt;C. Emerson &lt;/author&gt;&lt;author&gt;M. Holquist&lt;/author&gt;&lt;/subsidiary-authors&gt;&lt;/contributors&gt;&lt;titles&gt;&lt;title&gt;The dialogic imagination: Four essays&lt;/title&gt;&lt;/titles&gt;&lt;dates&gt;&lt;year&gt;1981&lt;/year&gt;&lt;/dates&gt;&lt;publisher&gt;University of Texas Press&lt;/publisher&gt;&lt;isbn&gt;0292782861&lt;/isbn&gt;&lt;urls&gt;&lt;/urls&gt;&lt;/record&gt;&lt;/Cite&gt;&lt;/EndNote&gt;</w:instrText>
      </w:r>
      <w:r>
        <w:rPr>
          <w:rFonts w:ascii="Times New Roman" w:hAnsi="Times New Roman" w:cs="Times New Roman"/>
        </w:rPr>
        <w:fldChar w:fldCharType="separate"/>
      </w:r>
      <w:r>
        <w:rPr>
          <w:rFonts w:ascii="Times New Roman" w:hAnsi="Times New Roman" w:cs="Times New Roman"/>
          <w:noProof/>
        </w:rPr>
        <w:t>Bakhtin (1981a)</w:t>
      </w:r>
      <w:r>
        <w:rPr>
          <w:rFonts w:ascii="Times New Roman" w:hAnsi="Times New Roman" w:cs="Times New Roman"/>
        </w:rPr>
        <w:fldChar w:fldCharType="end"/>
      </w:r>
      <w:r>
        <w:rPr>
          <w:rFonts w:ascii="Times New Roman" w:hAnsi="Times New Roman" w:cs="Times New Roman"/>
        </w:rPr>
        <w:t>, t</w:t>
      </w:r>
      <w:r w:rsidRPr="00044165">
        <w:rPr>
          <w:rFonts w:ascii="Times New Roman" w:hAnsi="Times New Roman" w:cs="Times New Roman"/>
        </w:rPr>
        <w:t>he utterance is the central analytic unit in language-as-dialogue. An utterance is a link in a chain of speech communion bounded by preceding and following links</w:t>
      </w:r>
      <w:r>
        <w:rPr>
          <w:rFonts w:ascii="Times New Roman" w:hAnsi="Times New Roman" w:cs="Times New Roman"/>
        </w:rPr>
        <w:t xml:space="preserve">, so </w:t>
      </w:r>
      <w:r>
        <w:rPr>
          <w:rFonts w:ascii="Times New Roman" w:hAnsi="Times New Roman" w:cs="Times New Roman"/>
        </w:rPr>
        <w:lastRenderedPageBreak/>
        <w:t xml:space="preserve">an utterance chain is many utterances that are linked in communion flowing. </w:t>
      </w:r>
      <w:r w:rsidRPr="00044165">
        <w:rPr>
          <w:rFonts w:ascii="Times New Roman" w:hAnsi="Times New Roman" w:cs="Times New Roman"/>
        </w:rPr>
        <w:t>There are four characteristics of an utterance. Some of an utterance’s preceding links are distant and remote in time and space. For example, some old philosophers’ sayings can impact current dialogues. An utterance also sits at the dialogic boundary of the said and the unsaid. For example, shared and taken-for-granted meanings, such as cultural norms, traditions, and values, can function as the background</w:t>
      </w:r>
      <w:r>
        <w:rPr>
          <w:rFonts w:ascii="Times New Roman" w:hAnsi="Times New Roman" w:cs="Times New Roman"/>
        </w:rPr>
        <w:t xml:space="preserve"> for dialogue</w:t>
      </w:r>
      <w:r w:rsidRPr="00044165">
        <w:rPr>
          <w:rFonts w:ascii="Times New Roman" w:hAnsi="Times New Roman" w:cs="Times New Roman"/>
        </w:rPr>
        <w:t xml:space="preserve">. An utterance constructed by a speaker has </w:t>
      </w:r>
      <w:proofErr w:type="gramStart"/>
      <w:r w:rsidRPr="00044165">
        <w:rPr>
          <w:rFonts w:ascii="Times New Roman" w:hAnsi="Times New Roman" w:cs="Times New Roman"/>
        </w:rPr>
        <w:t>taken into account</w:t>
      </w:r>
      <w:proofErr w:type="gramEnd"/>
      <w:r w:rsidRPr="00044165">
        <w:rPr>
          <w:rFonts w:ascii="Times New Roman" w:hAnsi="Times New Roman" w:cs="Times New Roman"/>
        </w:rPr>
        <w:t xml:space="preserve"> the immediate listener’s possible response. For example, people sometimes speak to cater to listeners’ favors. Lastly, an utterance’s meaning is not fixed. Listeners comprehend one utterance differently, and the speaker and listener co-construct the meaning of an utterance.</w:t>
      </w:r>
    </w:p>
    <w:p w14:paraId="59990E63" w14:textId="77777777" w:rsidR="00256B3D" w:rsidRPr="00044165" w:rsidRDefault="00256B3D" w:rsidP="00256B3D">
      <w:pPr>
        <w:spacing w:line="480" w:lineRule="auto"/>
        <w:ind w:firstLine="720"/>
        <w:rPr>
          <w:rFonts w:ascii="Times New Roman" w:hAnsi="Times New Roman" w:cs="Times New Roman"/>
        </w:rPr>
      </w:pPr>
      <w:r w:rsidRPr="00044165">
        <w:rPr>
          <w:rFonts w:ascii="Times New Roman" w:hAnsi="Times New Roman" w:cs="Times New Roman"/>
        </w:rPr>
        <w:t>Dialogue, distinctive to the contemporary understanding as a smooth conversation, is a melody among multiple differing discourses (or systems of meaning). Bakhtin also advanced a more general claim about all dialogic discourse</w:t>
      </w:r>
      <w:r>
        <w:rPr>
          <w:rFonts w:ascii="Times New Roman" w:hAnsi="Times New Roman" w:cs="Times New Roman"/>
        </w:rPr>
        <w:t xml:space="preserve"> by suggesting that</w:t>
      </w:r>
      <w:r w:rsidRPr="00044165">
        <w:rPr>
          <w:rFonts w:ascii="Times New Roman" w:hAnsi="Times New Roman" w:cs="Times New Roman"/>
        </w:rPr>
        <w:t xml:space="preserve"> dialogue is “a process in which unity and difference, in some form, are at play, both with and against one another” </w:t>
      </w:r>
      <w:r w:rsidRPr="00044165">
        <w:rPr>
          <w:rFonts w:ascii="Times New Roman" w:hAnsi="Times New Roman" w:cs="Times New Roman"/>
        </w:rPr>
        <w:fldChar w:fldCharType="begin"/>
      </w:r>
      <w:r>
        <w:rPr>
          <w:rFonts w:ascii="Times New Roman" w:hAnsi="Times New Roman" w:cs="Times New Roman"/>
        </w:rPr>
        <w:instrText xml:space="preserve"> ADDIN EN.CITE &lt;EndNote&gt;&lt;Cite&gt;&lt;Author&gt;Baxter&lt;/Author&gt;&lt;Year&gt;2011&lt;/Year&gt;&lt;RecNum&gt;1633&lt;/RecNum&gt;&lt;Pages&gt;32&lt;/Pages&gt;&lt;DisplayText&gt;(Baxter, 2011, p. 32)&lt;/DisplayText&gt;&lt;record&gt;&lt;rec-number&gt;1633&lt;/rec-number&gt;&lt;foreign-keys&gt;&lt;key app="EN" db-id="2pe9e00ros0veneeptspa5vhz0pw2az52v20" timestamp="1651286064" guid="faff47c4-c762-4121-b9c8-9978bd77054b"&gt;1633&lt;/key&gt;&lt;/foreign-keys&gt;&lt;ref-type name="Book"&gt;6&lt;/ref-type&gt;&lt;contributors&gt;&lt;authors&gt;&lt;author&gt;Baxter, Leslie A.&lt;/author&gt;&lt;/authors&gt;&lt;/contributors&gt;&lt;titles&gt;&lt;title&gt;Voicing relationships: a dialogic perspective&lt;/title&gt;&lt;/titles&gt;&lt;keywords&gt;&lt;keyword&gt;Bakhtin, M. M. (Mikhail Mikhaĭlovich), 1895-1975&lt;/keyword&gt;&lt;keyword&gt;Interpersonal relations&lt;/keyword&gt;&lt;keyword&gt;Dialogue analysis&lt;/keyword&gt;&lt;/keywords&gt;&lt;dates&gt;&lt;year&gt;2011&lt;/year&gt;&lt;/dates&gt;&lt;pub-location&gt;Thousand Oaks, Calif.&lt;/pub-location&gt;&lt;publisher&gt;SAGE Publications, Inc&lt;/publisher&gt;&lt;urls&gt;&lt;/urls&gt;&lt;/record&gt;&lt;/Cite&gt;&lt;/EndNote&gt;</w:instrText>
      </w:r>
      <w:r w:rsidRPr="00044165">
        <w:rPr>
          <w:rFonts w:ascii="Times New Roman" w:hAnsi="Times New Roman" w:cs="Times New Roman"/>
        </w:rPr>
        <w:fldChar w:fldCharType="separate"/>
      </w:r>
      <w:r>
        <w:rPr>
          <w:rFonts w:ascii="Times New Roman" w:hAnsi="Times New Roman" w:cs="Times New Roman"/>
          <w:noProof/>
        </w:rPr>
        <w:t>(Baxter, 2011, p. 32)</w:t>
      </w:r>
      <w:r w:rsidRPr="00044165">
        <w:rPr>
          <w:rFonts w:ascii="Times New Roman" w:hAnsi="Times New Roman" w:cs="Times New Roman"/>
        </w:rPr>
        <w:fldChar w:fldCharType="end"/>
      </w:r>
      <w:r w:rsidRPr="00044165">
        <w:rPr>
          <w:rFonts w:ascii="Times New Roman" w:hAnsi="Times New Roman" w:cs="Times New Roman"/>
        </w:rPr>
        <w:t xml:space="preserve">. Some genres of communication actualize dialogue more readily than others, such as the novel and the carnival. The novel is characterized by a polyphony of voices </w:t>
      </w:r>
      <w:r w:rsidRPr="00044165">
        <w:rPr>
          <w:rFonts w:ascii="Times New Roman" w:hAnsi="Times New Roman" w:cs="Times New Roman"/>
        </w:rPr>
        <w:fldChar w:fldCharType="begin"/>
      </w:r>
      <w:r>
        <w:rPr>
          <w:rFonts w:ascii="Times New Roman" w:hAnsi="Times New Roman" w:cs="Times New Roman"/>
        </w:rPr>
        <w:instrText xml:space="preserve"> ADDIN EN.CITE &lt;EndNote&gt;&lt;Cite&gt;&lt;Author&gt;Bakhtin&lt;/Author&gt;&lt;Year&gt;1984&lt;/Year&gt;&lt;RecNum&gt;2135&lt;/RecNum&gt;&lt;DisplayText&gt;(Bakhtin, 1984)&lt;/DisplayText&gt;&lt;record&gt;&lt;rec-number&gt;2135&lt;/rec-number&gt;&lt;foreign-keys&gt;&lt;key app="EN" db-id="2pe9e00ros0veneeptspa5vhz0pw2az52v20" timestamp="1697746247" guid="51b14384-8e36-44c0-8472-772dfb203d9c"&gt;2135&lt;/key&gt;&lt;/foreign-keys&gt;&lt;ref-type name="Book"&gt;6&lt;/ref-type&gt;&lt;contributors&gt;&lt;authors&gt;&lt;author&gt;Mikhail M. Bakhtin&lt;/author&gt;&lt;/authors&gt;&lt;tertiary-authors&gt;&lt;author&gt;Caryl Emerson&lt;/author&gt;&lt;/tertiary-authors&gt;&lt;subsidiary-authors&gt;&lt;author&gt;Caryl Emerson&lt;/author&gt;&lt;/subsidiary-authors&gt;&lt;/contributors&gt;&lt;titles&gt;&lt;title&gt;Problems of Dostoevsky’s Poetics&lt;/title&gt;&lt;/titles&gt;&lt;dates&gt;&lt;year&gt;1984&lt;/year&gt;&lt;/dates&gt;&lt;publisher&gt;University of Minnesota Press&lt;/publisher&gt;&lt;urls&gt;&lt;/urls&gt;&lt;/record&gt;&lt;/Cite&gt;&lt;/EndNote&gt;</w:instrText>
      </w:r>
      <w:r w:rsidRPr="00044165">
        <w:rPr>
          <w:rFonts w:ascii="Times New Roman" w:hAnsi="Times New Roman" w:cs="Times New Roman"/>
        </w:rPr>
        <w:fldChar w:fldCharType="separate"/>
      </w:r>
      <w:r w:rsidRPr="00044165">
        <w:rPr>
          <w:rFonts w:ascii="Times New Roman" w:hAnsi="Times New Roman" w:cs="Times New Roman"/>
          <w:noProof/>
        </w:rPr>
        <w:t>(Bakhtin, 1984)</w:t>
      </w:r>
      <w:r w:rsidRPr="00044165">
        <w:rPr>
          <w:rFonts w:ascii="Times New Roman" w:hAnsi="Times New Roman" w:cs="Times New Roman"/>
        </w:rPr>
        <w:fldChar w:fldCharType="end"/>
      </w:r>
      <w:r w:rsidRPr="00044165">
        <w:rPr>
          <w:rFonts w:ascii="Times New Roman" w:hAnsi="Times New Roman" w:cs="Times New Roman"/>
        </w:rPr>
        <w:t xml:space="preserve">. For example, a speaker quotes someone else’s voice to advance one’s own argument. The carnival highlights free and familiar contact among people </w:t>
      </w:r>
      <w:r w:rsidRPr="00044165">
        <w:rPr>
          <w:rFonts w:ascii="Times New Roman" w:hAnsi="Times New Roman" w:cs="Times New Roman"/>
        </w:rPr>
        <w:fldChar w:fldCharType="begin"/>
      </w:r>
      <w:r>
        <w:rPr>
          <w:rFonts w:ascii="Times New Roman" w:hAnsi="Times New Roman" w:cs="Times New Roman"/>
        </w:rPr>
        <w:instrText xml:space="preserve"> ADDIN EN.CITE &lt;EndNote&gt;&lt;Cite&gt;&lt;Author&gt;Bakhtin&lt;/Author&gt;&lt;Year&gt;1984&lt;/Year&gt;&lt;RecNum&gt;2135&lt;/RecNum&gt;&lt;DisplayText&gt;(Bakhtin, 1984)&lt;/DisplayText&gt;&lt;record&gt;&lt;rec-number&gt;2135&lt;/rec-number&gt;&lt;foreign-keys&gt;&lt;key app="EN" db-id="2pe9e00ros0veneeptspa5vhz0pw2az52v20" timestamp="1697746247" guid="51b14384-8e36-44c0-8472-772dfb203d9c"&gt;2135&lt;/key&gt;&lt;/foreign-keys&gt;&lt;ref-type name="Book"&gt;6&lt;/ref-type&gt;&lt;contributors&gt;&lt;authors&gt;&lt;author&gt;Mikhail M. Bakhtin&lt;/author&gt;&lt;/authors&gt;&lt;tertiary-authors&gt;&lt;author&gt;Caryl Emerson&lt;/author&gt;&lt;/tertiary-authors&gt;&lt;subsidiary-authors&gt;&lt;author&gt;Caryl Emerson&lt;/author&gt;&lt;/subsidiary-authors&gt;&lt;/contributors&gt;&lt;titles&gt;&lt;title&gt;Problems of Dostoevsky’s Poetics&lt;/title&gt;&lt;/titles&gt;&lt;dates&gt;&lt;year&gt;1984&lt;/year&gt;&lt;/dates&gt;&lt;publisher&gt;University of Minnesota Press&lt;/publisher&gt;&lt;urls&gt;&lt;/urls&gt;&lt;/record&gt;&lt;/Cite&gt;&lt;/EndNote&gt;</w:instrText>
      </w:r>
      <w:r w:rsidRPr="00044165">
        <w:rPr>
          <w:rFonts w:ascii="Times New Roman" w:hAnsi="Times New Roman" w:cs="Times New Roman"/>
        </w:rPr>
        <w:fldChar w:fldCharType="separate"/>
      </w:r>
      <w:r w:rsidRPr="00044165">
        <w:rPr>
          <w:rFonts w:ascii="Times New Roman" w:hAnsi="Times New Roman" w:cs="Times New Roman"/>
          <w:noProof/>
        </w:rPr>
        <w:t>(Bakhtin, 1984)</w:t>
      </w:r>
      <w:r w:rsidRPr="00044165">
        <w:rPr>
          <w:rFonts w:ascii="Times New Roman" w:hAnsi="Times New Roman" w:cs="Times New Roman"/>
        </w:rPr>
        <w:fldChar w:fldCharType="end"/>
      </w:r>
      <w:r w:rsidRPr="00044165">
        <w:rPr>
          <w:rFonts w:ascii="Times New Roman" w:hAnsi="Times New Roman" w:cs="Times New Roman"/>
        </w:rPr>
        <w:t xml:space="preserve">. For example, the movie </w:t>
      </w:r>
      <w:r w:rsidRPr="00044165">
        <w:rPr>
          <w:rFonts w:ascii="Times New Roman" w:hAnsi="Times New Roman" w:cs="Times New Roman"/>
          <w:i/>
          <w:iCs/>
        </w:rPr>
        <w:t>Titanic</w:t>
      </w:r>
      <w:r w:rsidRPr="00044165">
        <w:rPr>
          <w:rFonts w:ascii="Times New Roman" w:hAnsi="Times New Roman" w:cs="Times New Roman"/>
        </w:rPr>
        <w:t xml:space="preserve"> includes a carnivalesque atmosphere. </w:t>
      </w:r>
    </w:p>
    <w:p w14:paraId="5FC9C50E" w14:textId="77777777" w:rsidR="00256B3D" w:rsidRPr="00044165" w:rsidRDefault="00256B3D" w:rsidP="00256B3D">
      <w:pPr>
        <w:spacing w:line="480" w:lineRule="auto"/>
        <w:ind w:firstLine="720"/>
        <w:rPr>
          <w:rFonts w:ascii="Times New Roman" w:hAnsi="Times New Roman" w:cs="Times New Roman"/>
        </w:rPr>
      </w:pPr>
      <w:r w:rsidRPr="00044165">
        <w:rPr>
          <w:rFonts w:ascii="Times New Roman" w:hAnsi="Times New Roman" w:cs="Times New Roman"/>
          <w:b/>
          <w:bCs/>
        </w:rPr>
        <w:t>Locating Bakhtin’s dialogism in communication research</w:t>
      </w:r>
      <w:r w:rsidRPr="00044165">
        <w:rPr>
          <w:rFonts w:ascii="Times New Roman" w:hAnsi="Times New Roman" w:cs="Times New Roman"/>
        </w:rPr>
        <w:t xml:space="preserve">. </w:t>
      </w:r>
      <w:r w:rsidRPr="00044165">
        <w:rPr>
          <w:rFonts w:ascii="Times New Roman" w:hAnsi="Times New Roman" w:cs="Times New Roman"/>
        </w:rPr>
        <w:fldChar w:fldCharType="begin"/>
      </w:r>
      <w:r>
        <w:rPr>
          <w:rFonts w:ascii="Times New Roman" w:hAnsi="Times New Roman" w:cs="Times New Roman"/>
        </w:rPr>
        <w:instrText xml:space="preserve"> ADDIN EN.CITE &lt;EndNote&gt;&lt;Cite AuthorYear="1"&gt;&lt;Author&gt;Deetz&lt;/Author&gt;&lt;Year&gt;2001&lt;/Year&gt;&lt;RecNum&gt;1918&lt;/RecNum&gt;&lt;DisplayText&gt;Deetz (2001)&lt;/DisplayText&gt;&lt;record&gt;&lt;rec-number&gt;1918&lt;/rec-number&gt;&lt;foreign-keys&gt;&lt;key app="EN" db-id="2pe9e00ros0veneeptspa5vhz0pw2az52v20" timestamp="1691120195" guid="0da33f21-aed8-41f3-8ad9-be03ea9adaf5"&gt;1918&lt;/key&gt;&lt;/foreign-keys&gt;&lt;ref-type name="Electronic Book Section"&gt;60&lt;/ref-type&gt;&lt;contributors&gt;&lt;authors&gt;&lt;author&gt;Deetz, Stanley&lt;/author&gt;&lt;/authors&gt;&lt;secondary-authors&gt;&lt;author&gt;Jablin, F.M.&lt;/author&gt;&lt;author&gt;Putnam, L.L.&lt;/author&gt;&lt;/secondary-authors&gt;&lt;/contributors&gt;&lt;titles&gt;&lt;title&gt;Conceptual foundations&lt;/title&gt;&lt;secondary-title&gt;The new handbook of organizational communication: Advances in theory, research and methods&lt;/secondary-title&gt;&lt;/titles&gt;&lt;dates&gt;&lt;year&gt;2001&lt;/year&gt;&lt;/dates&gt;&lt;pub-location&gt;Thousand Oaks&lt;/pub-location&gt;&lt;publisher&gt;Sage&lt;/publisher&gt;&lt;urls&gt;&lt;/urls&gt;&lt;/record&gt;&lt;/Cite&gt;&lt;/EndNote&gt;</w:instrText>
      </w:r>
      <w:r w:rsidRPr="00044165">
        <w:rPr>
          <w:rFonts w:ascii="Times New Roman" w:hAnsi="Times New Roman" w:cs="Times New Roman"/>
        </w:rPr>
        <w:fldChar w:fldCharType="separate"/>
      </w:r>
      <w:r>
        <w:rPr>
          <w:rFonts w:ascii="Times New Roman" w:hAnsi="Times New Roman" w:cs="Times New Roman"/>
          <w:noProof/>
        </w:rPr>
        <w:t>Deetz (2001)</w:t>
      </w:r>
      <w:r w:rsidRPr="00044165">
        <w:rPr>
          <w:rFonts w:ascii="Times New Roman" w:hAnsi="Times New Roman" w:cs="Times New Roman"/>
        </w:rPr>
        <w:fldChar w:fldCharType="end"/>
      </w:r>
      <w:r w:rsidRPr="00044165">
        <w:rPr>
          <w:rFonts w:ascii="Times New Roman" w:hAnsi="Times New Roman" w:cs="Times New Roman"/>
        </w:rPr>
        <w:t xml:space="preserve"> identified two dimensions of contrast: local/emergent – elite/a priori and consensus – dissensus</w:t>
      </w:r>
      <w:r>
        <w:rPr>
          <w:rFonts w:ascii="Times New Roman" w:hAnsi="Times New Roman" w:cs="Times New Roman"/>
        </w:rPr>
        <w:t>;</w:t>
      </w:r>
      <w:r w:rsidRPr="00044165">
        <w:rPr>
          <w:rFonts w:ascii="Times New Roman" w:hAnsi="Times New Roman" w:cs="Times New Roman"/>
        </w:rPr>
        <w:t xml:space="preserve"> </w:t>
      </w:r>
      <w:r>
        <w:rPr>
          <w:rFonts w:ascii="Times New Roman" w:hAnsi="Times New Roman" w:cs="Times New Roman"/>
        </w:rPr>
        <w:t>the t</w:t>
      </w:r>
      <w:r w:rsidRPr="00044165">
        <w:rPr>
          <w:rFonts w:ascii="Times New Roman" w:hAnsi="Times New Roman" w:cs="Times New Roman"/>
        </w:rPr>
        <w:t>wo contrast dimensions intersect and generate four paradigms – normative (or post-positivism), interpretivism, critical, and dialogic – for mapping organizational communication studies. The local/emergent endpoint favors situated knowledge claims, in contrast to the search for large-</w:t>
      </w:r>
      <w:r w:rsidRPr="00044165">
        <w:rPr>
          <w:rFonts w:ascii="Times New Roman" w:hAnsi="Times New Roman" w:cs="Times New Roman"/>
        </w:rPr>
        <w:lastRenderedPageBreak/>
        <w:t xml:space="preserve">scale empirical generalization that characterizes the elite/a prior endpoint. In the consensus view, deviance, conflict, and fragmentation are problematic, and researchers focus on how natural or social systems maintain order, predictability, and stability. By contrast, the dissensus view provides an intellectual home to researchers who view conflict, fragmentation, struggle, and disorder as normal. </w:t>
      </w:r>
    </w:p>
    <w:p w14:paraId="5A9982CD" w14:textId="77777777" w:rsidR="00256B3D" w:rsidRPr="00044165" w:rsidRDefault="00256B3D" w:rsidP="00256B3D">
      <w:pPr>
        <w:spacing w:line="480" w:lineRule="auto"/>
        <w:ind w:firstLine="720"/>
        <w:rPr>
          <w:rFonts w:ascii="Times New Roman" w:hAnsi="Times New Roman" w:cs="Times New Roman"/>
        </w:rPr>
      </w:pPr>
      <w:r w:rsidRPr="00044165">
        <w:rPr>
          <w:rFonts w:ascii="Times New Roman" w:hAnsi="Times New Roman" w:cs="Times New Roman"/>
        </w:rPr>
        <w:t>The dialogic paradigm assumes that meanings are located at the intersection of dissensus and local/emergent, along the two dimensions of contrast. Dialogic research emphasizes “dissensus production and the local/situated nature of understanding” (Deetz, 2001, p.</w:t>
      </w:r>
      <w:r>
        <w:rPr>
          <w:rFonts w:ascii="Times New Roman" w:hAnsi="Times New Roman" w:cs="Times New Roman"/>
        </w:rPr>
        <w:t xml:space="preserve"> </w:t>
      </w:r>
      <w:r w:rsidRPr="00044165">
        <w:rPr>
          <w:rFonts w:ascii="Times New Roman" w:hAnsi="Times New Roman" w:cs="Times New Roman"/>
        </w:rPr>
        <w:t>31). Unlike critical studies’ predefinition of groups and types of domination, dialogic studies focus more on “micropolitical processes and the joined nature of power and resistance” (Deetz, 2001, p.</w:t>
      </w:r>
      <w:r>
        <w:rPr>
          <w:rFonts w:ascii="Times New Roman" w:hAnsi="Times New Roman" w:cs="Times New Roman"/>
        </w:rPr>
        <w:t xml:space="preserve"> </w:t>
      </w:r>
      <w:r w:rsidRPr="00044165">
        <w:rPr>
          <w:rFonts w:ascii="Times New Roman" w:hAnsi="Times New Roman" w:cs="Times New Roman"/>
        </w:rPr>
        <w:t xml:space="preserve">31). Thus, dialogic studies are associated with postmodern and deconstructionist fields </w:t>
      </w:r>
      <w:r w:rsidRPr="00044165">
        <w:rPr>
          <w:rFonts w:ascii="Times New Roman" w:hAnsi="Times New Roman" w:cs="Times New Roman"/>
        </w:rPr>
        <w:fldChar w:fldCharType="begin">
          <w:fldData xml:space="preserve">PEVuZE5vdGU+PENpdGU+PEF1dGhvcj5CdXJyZWxsPC9BdXRob3I+PFllYXI+MTk4ODwvWWVhcj48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PEVuZE5vdGU+PENpdGU+PEF1dGhvcj5CdXJyZWxsPC9BdXRob3I+PFllYXI+MTk4ODwvWWVhcj48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044165">
        <w:rPr>
          <w:rFonts w:ascii="Times New Roman" w:hAnsi="Times New Roman" w:cs="Times New Roman"/>
        </w:rPr>
      </w:r>
      <w:r w:rsidRPr="00044165">
        <w:rPr>
          <w:rFonts w:ascii="Times New Roman" w:hAnsi="Times New Roman" w:cs="Times New Roman"/>
        </w:rPr>
        <w:fldChar w:fldCharType="separate"/>
      </w:r>
      <w:r w:rsidRPr="00044165">
        <w:rPr>
          <w:rFonts w:ascii="Times New Roman" w:hAnsi="Times New Roman" w:cs="Times New Roman"/>
          <w:noProof/>
        </w:rPr>
        <w:t>(e.g., Barker &amp; Cheney, 1994; Burrell, 1988)</w:t>
      </w:r>
      <w:r w:rsidRPr="00044165">
        <w:rPr>
          <w:rFonts w:ascii="Times New Roman" w:hAnsi="Times New Roman" w:cs="Times New Roman"/>
        </w:rPr>
        <w:fldChar w:fldCharType="end"/>
      </w:r>
      <w:r w:rsidRPr="00044165">
        <w:rPr>
          <w:rFonts w:ascii="Times New Roman" w:hAnsi="Times New Roman" w:cs="Times New Roman"/>
        </w:rPr>
        <w:t xml:space="preserve">. The dialogic project is “not to get it right but to challenge guiding assumptions, fixed meanings and relations, and reopen the formative capacity of human beings in relation to others and the world” (Deetz, 2001, p. 37). Seven themes are known by organizational communication scholars who are interested in the dialogic paradigm, including the centrality of discourse, fragmented identities, the critique of the philosophy of presence, the loss of foundations and master narratives, the knowledge/power connection, hyperreality, and research as resistance and indeterminacy. </w:t>
      </w:r>
    </w:p>
    <w:p w14:paraId="4E3BCEB5" w14:textId="77777777" w:rsidR="00256B3D" w:rsidRPr="00044165" w:rsidRDefault="00256B3D" w:rsidP="00256B3D">
      <w:pPr>
        <w:spacing w:line="480" w:lineRule="auto"/>
        <w:ind w:firstLine="720"/>
        <w:rPr>
          <w:rFonts w:ascii="Times New Roman" w:hAnsi="Times New Roman" w:cs="Times New Roman"/>
        </w:rPr>
      </w:pPr>
      <w:r w:rsidRPr="00044165">
        <w:rPr>
          <w:rFonts w:ascii="Times New Roman" w:hAnsi="Times New Roman" w:cs="Times New Roman"/>
        </w:rPr>
        <w:t>Bakhtin’s</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 ExcludeAuth="1"&gt;&lt;Author&gt;Bakhtin&lt;/Author&gt;&lt;Year&gt;1981&lt;/Year&gt;&lt;RecNum&gt;2130&lt;/RecNum&gt;&lt;DisplayText&gt;(1981a)&lt;/DisplayText&gt;&lt;record&gt;&lt;rec-number&gt;2130&lt;/rec-number&gt;&lt;foreign-keys&gt;&lt;key app="EN" db-id="2pe9e00ros0veneeptspa5vhz0pw2az52v20" timestamp="1697580216" guid="e94c82a1-54e0-4953-a495-75893e5e4df1"&gt;2130&lt;/key&gt;&lt;/foreign-keys&gt;&lt;ref-type name="Book"&gt;6&lt;/ref-type&gt;&lt;contributors&gt;&lt;authors&gt;&lt;author&gt;Bakhtin, Mikhail Mikhaĭlovich&lt;/author&gt;&lt;/authors&gt;&lt;subsidiary-authors&gt;&lt;author&gt;C. Emerson &lt;/author&gt;&lt;author&gt;M. Holquist&lt;/author&gt;&lt;/subsidiary-authors&gt;&lt;/contributors&gt;&lt;titles&gt;&lt;title&gt;The dialogic imagination: Four essays&lt;/title&gt;&lt;/titles&gt;&lt;dates&gt;&lt;year&gt;1981&lt;/year&gt;&lt;/dates&gt;&lt;publisher&gt;University of Texas Press&lt;/publisher&gt;&lt;isbn&gt;0292782861&lt;/isbn&gt;&lt;urls&gt;&lt;/urls&gt;&lt;/record&gt;&lt;/Cite&gt;&lt;/EndNote&gt;</w:instrText>
      </w:r>
      <w:r>
        <w:rPr>
          <w:rFonts w:ascii="Times New Roman" w:hAnsi="Times New Roman" w:cs="Times New Roman"/>
        </w:rPr>
        <w:fldChar w:fldCharType="separate"/>
      </w:r>
      <w:r>
        <w:rPr>
          <w:rFonts w:ascii="Times New Roman" w:hAnsi="Times New Roman" w:cs="Times New Roman"/>
          <w:noProof/>
        </w:rPr>
        <w:t>(1981a)</w:t>
      </w:r>
      <w:r>
        <w:rPr>
          <w:rFonts w:ascii="Times New Roman" w:hAnsi="Times New Roman" w:cs="Times New Roman"/>
        </w:rPr>
        <w:fldChar w:fldCharType="end"/>
      </w:r>
      <w:r w:rsidRPr="00044165">
        <w:rPr>
          <w:rFonts w:ascii="Times New Roman" w:hAnsi="Times New Roman" w:cs="Times New Roman"/>
        </w:rPr>
        <w:t xml:space="preserve"> dialogism fit</w:t>
      </w:r>
      <w:r>
        <w:rPr>
          <w:rFonts w:ascii="Times New Roman" w:hAnsi="Times New Roman" w:cs="Times New Roman"/>
        </w:rPr>
        <w:t>s well within</w:t>
      </w:r>
      <w:r w:rsidRPr="00044165">
        <w:rPr>
          <w:rFonts w:ascii="Times New Roman" w:hAnsi="Times New Roman" w:cs="Times New Roman"/>
        </w:rPr>
        <w:t xml:space="preserve"> </w:t>
      </w:r>
      <w:r>
        <w:rPr>
          <w:rFonts w:ascii="Times New Roman" w:hAnsi="Times New Roman" w:cs="Times New Roman"/>
        </w:rPr>
        <w:t>the</w:t>
      </w:r>
      <w:r w:rsidRPr="00044165">
        <w:rPr>
          <w:rFonts w:ascii="Times New Roman" w:hAnsi="Times New Roman" w:cs="Times New Roman"/>
        </w:rPr>
        <w:t xml:space="preserve"> dialogic paradigm. First, dialogism focuses on competing discourses, where the speaker and listener co-construct the meaning of an utterance. The proposition of meaning co-construction complies with dissensus production in the dialogic paradigm. Second, dialogism argues that language (or expression) is constitutive of the human experience, in which meaning is emergent from a specific temporal, spatial, and social </w:t>
      </w:r>
      <w:r w:rsidRPr="00044165">
        <w:rPr>
          <w:rFonts w:ascii="Times New Roman" w:hAnsi="Times New Roman" w:cs="Times New Roman"/>
        </w:rPr>
        <w:lastRenderedPageBreak/>
        <w:t xml:space="preserve">situation. The constitutive view of emergent meanings aligns with the dialogic paradigm’s local/situated nature of understanding. Third, the labels of dialogism and dialogic are highly </w:t>
      </w:r>
      <w:r>
        <w:rPr>
          <w:rFonts w:ascii="Times New Roman" w:hAnsi="Times New Roman" w:cs="Times New Roman"/>
        </w:rPr>
        <w:t>similar</w:t>
      </w:r>
      <w:r w:rsidRPr="00044165">
        <w:rPr>
          <w:rFonts w:ascii="Times New Roman" w:hAnsi="Times New Roman" w:cs="Times New Roman"/>
        </w:rPr>
        <w:t xml:space="preserve">. In short, Bakhtin’s dialogism is one theory growing out of the dialogic paradigm. </w:t>
      </w:r>
    </w:p>
    <w:p w14:paraId="6775E698" w14:textId="77777777" w:rsidR="00256B3D" w:rsidRPr="00044165" w:rsidRDefault="00256B3D" w:rsidP="00256B3D">
      <w:pPr>
        <w:spacing w:line="480" w:lineRule="auto"/>
        <w:ind w:firstLine="720"/>
        <w:rPr>
          <w:rFonts w:ascii="Times New Roman" w:hAnsi="Times New Roman" w:cs="Times New Roman"/>
        </w:rPr>
      </w:pPr>
      <w:r w:rsidRPr="00044165">
        <w:rPr>
          <w:rFonts w:ascii="Times New Roman" w:hAnsi="Times New Roman" w:cs="Times New Roman"/>
          <w:b/>
          <w:bCs/>
        </w:rPr>
        <w:t>Locating RDT in Bakhtin dialogism</w:t>
      </w:r>
      <w:r w:rsidRPr="00044165">
        <w:rPr>
          <w:rFonts w:ascii="Times New Roman" w:hAnsi="Times New Roman" w:cs="Times New Roman"/>
        </w:rPr>
        <w:t xml:space="preserve">. RDT is an extension of Bakhtin’s theory of dialogism, taking the core principles and concepts of dialogism. Bakhtin’s dialogism primarily focuses on genres of speech communion, such as the novel and the carnival. RDT, instead, examines the everyday talk of people in interpersonal and family communication. </w:t>
      </w:r>
    </w:p>
    <w:p w14:paraId="311C4430" w14:textId="77777777" w:rsidR="00256B3D" w:rsidRPr="00044165" w:rsidRDefault="00256B3D" w:rsidP="00256B3D">
      <w:pPr>
        <w:spacing w:line="480" w:lineRule="auto"/>
        <w:ind w:firstLine="720"/>
        <w:rPr>
          <w:rFonts w:ascii="Times New Roman" w:hAnsi="Times New Roman" w:cs="Times New Roman"/>
        </w:rPr>
      </w:pPr>
      <w:r w:rsidRPr="00044165">
        <w:rPr>
          <w:rFonts w:ascii="Times New Roman" w:hAnsi="Times New Roman" w:cs="Times New Roman"/>
        </w:rPr>
        <w:fldChar w:fldCharType="begin"/>
      </w:r>
      <w:r>
        <w:rPr>
          <w:rFonts w:ascii="Times New Roman" w:hAnsi="Times New Roman" w:cs="Times New Roman"/>
        </w:rPr>
        <w:instrText xml:space="preserve"> ADDIN EN.CITE &lt;EndNote&gt;&lt;Cite AuthorYear="1"&gt;&lt;Author&gt;Baxter&lt;/Author&gt;&lt;Year&gt;2011&lt;/Year&gt;&lt;RecNum&gt;1633&lt;/RecNum&gt;&lt;DisplayText&gt;Baxter (2011)&lt;/DisplayText&gt;&lt;record&gt;&lt;rec-number&gt;1633&lt;/rec-number&gt;&lt;foreign-keys&gt;&lt;key app="EN" db-id="2pe9e00ros0veneeptspa5vhz0pw2az52v20" timestamp="1651286064" guid="faff47c4-c762-4121-b9c8-9978bd77054b"&gt;1633&lt;/key&gt;&lt;/foreign-keys&gt;&lt;ref-type name="Book"&gt;6&lt;/ref-type&gt;&lt;contributors&gt;&lt;authors&gt;&lt;author&gt;Baxter, Leslie A.&lt;/author&gt;&lt;/authors&gt;&lt;/contributors&gt;&lt;titles&gt;&lt;title&gt;Voicing relationships: a dialogic perspective&lt;/title&gt;&lt;/titles&gt;&lt;keywords&gt;&lt;keyword&gt;Bakhtin, M. M. (Mikhail Mikhaĭlovich), 1895-1975&lt;/keyword&gt;&lt;keyword&gt;Interpersonal relations&lt;/keyword&gt;&lt;keyword&gt;Dialogue analysis&lt;/keyword&gt;&lt;/keywords&gt;&lt;dates&gt;&lt;year&gt;2011&lt;/year&gt;&lt;/dates&gt;&lt;pub-location&gt;Thousand Oaks, Calif.&lt;/pub-location&gt;&lt;publisher&gt;SAGE Publications, Inc&lt;/publisher&gt;&lt;urls&gt;&lt;/urls&gt;&lt;/record&gt;&lt;/Cite&gt;&lt;/EndNote&gt;</w:instrText>
      </w:r>
      <w:r w:rsidRPr="00044165">
        <w:rPr>
          <w:rFonts w:ascii="Times New Roman" w:hAnsi="Times New Roman" w:cs="Times New Roman"/>
        </w:rPr>
        <w:fldChar w:fldCharType="separate"/>
      </w:r>
      <w:r>
        <w:rPr>
          <w:rFonts w:ascii="Times New Roman" w:hAnsi="Times New Roman" w:cs="Times New Roman"/>
          <w:noProof/>
        </w:rPr>
        <w:t>Baxter (2011)</w:t>
      </w:r>
      <w:r w:rsidRPr="00044165">
        <w:rPr>
          <w:rFonts w:ascii="Times New Roman" w:hAnsi="Times New Roman" w:cs="Times New Roman"/>
        </w:rPr>
        <w:fldChar w:fldCharType="end"/>
      </w:r>
      <w:r w:rsidRPr="00044165">
        <w:rPr>
          <w:rFonts w:ascii="Times New Roman" w:hAnsi="Times New Roman" w:cs="Times New Roman"/>
        </w:rPr>
        <w:t xml:space="preserve"> used the cautious label </w:t>
      </w:r>
      <w:r w:rsidRPr="00044165">
        <w:rPr>
          <w:rFonts w:ascii="Times New Roman" w:hAnsi="Times New Roman" w:cs="Times New Roman"/>
          <w:i/>
          <w:iCs/>
        </w:rPr>
        <w:t>relational dialectics theory</w:t>
      </w:r>
      <w:r w:rsidRPr="00044165">
        <w:rPr>
          <w:rFonts w:ascii="Times New Roman" w:hAnsi="Times New Roman" w:cs="Times New Roman"/>
        </w:rPr>
        <w:t xml:space="preserve"> instead of </w:t>
      </w:r>
      <w:r>
        <w:rPr>
          <w:rFonts w:ascii="Times New Roman" w:hAnsi="Times New Roman" w:cs="Times New Roman"/>
        </w:rPr>
        <w:t xml:space="preserve">other </w:t>
      </w:r>
      <w:r w:rsidRPr="00044165">
        <w:rPr>
          <w:rFonts w:ascii="Times New Roman" w:hAnsi="Times New Roman" w:cs="Times New Roman"/>
        </w:rPr>
        <w:t>name</w:t>
      </w:r>
      <w:r>
        <w:rPr>
          <w:rFonts w:ascii="Times New Roman" w:hAnsi="Times New Roman" w:cs="Times New Roman"/>
        </w:rPr>
        <w:t>s</w:t>
      </w:r>
      <w:r w:rsidRPr="00044165">
        <w:rPr>
          <w:rFonts w:ascii="Times New Roman" w:hAnsi="Times New Roman" w:cs="Times New Roman"/>
        </w:rPr>
        <w:t xml:space="preserve"> such as Bakhtin’s dialogism theory. The term </w:t>
      </w:r>
      <w:r w:rsidRPr="00044165">
        <w:rPr>
          <w:rFonts w:ascii="Times New Roman" w:hAnsi="Times New Roman" w:cs="Times New Roman"/>
          <w:i/>
          <w:iCs/>
        </w:rPr>
        <w:t>relational</w:t>
      </w:r>
      <w:r w:rsidRPr="00044165">
        <w:rPr>
          <w:rFonts w:ascii="Times New Roman" w:hAnsi="Times New Roman" w:cs="Times New Roman"/>
        </w:rPr>
        <w:t xml:space="preserve"> privileges the intertextuality of the utterance chain, in which an utterance is bounded by preceding and following utterances. Moreover, the term </w:t>
      </w:r>
      <w:r w:rsidRPr="00044165">
        <w:rPr>
          <w:rFonts w:ascii="Times New Roman" w:hAnsi="Times New Roman" w:cs="Times New Roman"/>
          <w:i/>
          <w:iCs/>
        </w:rPr>
        <w:t>relational</w:t>
      </w:r>
      <w:r w:rsidRPr="00044165">
        <w:rPr>
          <w:rFonts w:ascii="Times New Roman" w:hAnsi="Times New Roman" w:cs="Times New Roman"/>
        </w:rPr>
        <w:t xml:space="preserve"> signals communication situated in human experiences, distinctive to Bakhtin’s dialogism, which is more literary based. Besides, the term </w:t>
      </w:r>
      <w:r w:rsidRPr="00044165">
        <w:rPr>
          <w:rFonts w:ascii="Times New Roman" w:hAnsi="Times New Roman" w:cs="Times New Roman"/>
          <w:i/>
          <w:iCs/>
        </w:rPr>
        <w:t>dialectics</w:t>
      </w:r>
      <w:r w:rsidRPr="00044165">
        <w:rPr>
          <w:rFonts w:ascii="Times New Roman" w:hAnsi="Times New Roman" w:cs="Times New Roman"/>
        </w:rPr>
        <w:t xml:space="preserve">, the first chosen name in the work </w:t>
      </w:r>
      <w:r w:rsidRPr="00044165">
        <w:rPr>
          <w:rFonts w:ascii="Times New Roman" w:hAnsi="Times New Roman" w:cs="Times New Roman"/>
        </w:rPr>
        <w:fldChar w:fldCharType="begin"/>
      </w:r>
      <w:r w:rsidRPr="00044165">
        <w:rPr>
          <w:rFonts w:ascii="Times New Roman" w:hAnsi="Times New Roman" w:cs="Times New Roman"/>
        </w:rPr>
        <w:instrText xml:space="preserve"> ADDIN EN.CITE &lt;EndNote&gt;&lt;Cite&gt;&lt;Author&gt;Baxter&lt;/Author&gt;&lt;Year&gt;1996&lt;/Year&gt;&lt;RecNum&gt;1248&lt;/RecNum&gt;&lt;DisplayText&gt;(Baxter &amp;amp; Montgomery, 1996)&lt;/DisplayText&gt;&lt;record&gt;&lt;rec-number&gt;1248&lt;/rec-number&gt;&lt;foreign-keys&gt;&lt;key app="EN" db-id="2pe9e00ros0veneeptspa5vhz0pw2az52v20" timestamp="1610695201" guid="9076931a-53d8-48c6-8f62-b14ca4e58efb"&gt;1248&lt;/key&gt;&lt;/foreign-keys&gt;&lt;ref-type name="Book"&gt;6&lt;/ref-type&gt;&lt;contributors&gt;&lt;authors&gt;&lt;author&gt;Baxter, Leslie A&lt;/author&gt;&lt;author&gt;Montgomery, Barbara M&lt;/author&gt;&lt;/authors&gt;&lt;/contributors&gt;&lt;titles&gt;&lt;title&gt;Relating: Dialogues and dialectics&lt;/title&gt;&lt;/titles&gt;&lt;dates&gt;&lt;year&gt;1996&lt;/year&gt;&lt;/dates&gt;&lt;publisher&gt;Guilford Press&lt;/publisher&gt;&lt;isbn&gt;1572301015&lt;/isbn&gt;&lt;urls&gt;&lt;/urls&gt;&lt;/record&gt;&lt;/Cite&gt;&lt;/EndNote&gt;</w:instrText>
      </w:r>
      <w:r w:rsidRPr="00044165">
        <w:rPr>
          <w:rFonts w:ascii="Times New Roman" w:hAnsi="Times New Roman" w:cs="Times New Roman"/>
        </w:rPr>
        <w:fldChar w:fldCharType="separate"/>
      </w:r>
      <w:r w:rsidRPr="00044165">
        <w:rPr>
          <w:rFonts w:ascii="Times New Roman" w:hAnsi="Times New Roman" w:cs="Times New Roman"/>
          <w:noProof/>
        </w:rPr>
        <w:t>(Baxter &amp; Montgomery, 1996)</w:t>
      </w:r>
      <w:r w:rsidRPr="00044165">
        <w:rPr>
          <w:rFonts w:ascii="Times New Roman" w:hAnsi="Times New Roman" w:cs="Times New Roman"/>
        </w:rPr>
        <w:fldChar w:fldCharType="end"/>
      </w:r>
      <w:r w:rsidRPr="00044165">
        <w:rPr>
          <w:rFonts w:ascii="Times New Roman" w:hAnsi="Times New Roman" w:cs="Times New Roman"/>
        </w:rPr>
        <w:t xml:space="preserve">, adopts the worldview that is “destructive of neat systems and ordered structures and compatible with the notion of a social universe that has neither fixity nor solid boundaries” </w:t>
      </w:r>
      <w:r w:rsidRPr="00044165">
        <w:rPr>
          <w:rFonts w:ascii="Times New Roman" w:hAnsi="Times New Roman" w:cs="Times New Roman"/>
        </w:rPr>
        <w:fldChar w:fldCharType="begin"/>
      </w:r>
      <w:r w:rsidRPr="00044165">
        <w:rPr>
          <w:rFonts w:ascii="Times New Roman" w:hAnsi="Times New Roman" w:cs="Times New Roman"/>
        </w:rPr>
        <w:instrText xml:space="preserve"> ADDIN EN.CITE &lt;EndNote&gt;&lt;Cite&gt;&lt;Author&gt;Murphy&lt;/Author&gt;&lt;Year&gt;1971&lt;/Year&gt;&lt;RecNum&gt;2138&lt;/RecNum&gt;&lt;Pages&gt;90&lt;/Pages&gt;&lt;DisplayText&gt;(Murphy, 1971, p. 90)&lt;/DisplayText&gt;&lt;record&gt;&lt;rec-number&gt;2138&lt;/rec-number&gt;&lt;foreign-keys&gt;&lt;key app="EN" db-id="2pe9e00ros0veneeptspa5vhz0pw2az52v20" timestamp="1697774845" guid="ffd70941-bb9c-425e-a22b-88be9d42931e"&gt;2138&lt;/key&gt;&lt;/foreign-keys&gt;&lt;ref-type name="Book"&gt;6&lt;/ref-type&gt;&lt;contributors&gt;&lt;authors&gt;&lt;author&gt;Robert Francis Murphy&lt;/author&gt;&lt;/authors&gt;&lt;/contributors&gt;&lt;titles&gt;&lt;title&gt;The dialectics of social life: Alarms and excursions in anthropological theory&lt;/title&gt;&lt;/titles&gt;&lt;dates&gt;&lt;year&gt;1971&lt;/year&gt;&lt;/dates&gt;&lt;publisher&gt;Basic Books&lt;/publisher&gt;&lt;urls&gt;&lt;/urls&gt;&lt;/record&gt;&lt;/Cite&gt;&lt;/EndNote&gt;</w:instrText>
      </w:r>
      <w:r w:rsidRPr="00044165">
        <w:rPr>
          <w:rFonts w:ascii="Times New Roman" w:hAnsi="Times New Roman" w:cs="Times New Roman"/>
        </w:rPr>
        <w:fldChar w:fldCharType="separate"/>
      </w:r>
      <w:r w:rsidRPr="00044165">
        <w:rPr>
          <w:rFonts w:ascii="Times New Roman" w:hAnsi="Times New Roman" w:cs="Times New Roman"/>
          <w:noProof/>
        </w:rPr>
        <w:t>(Murphy, 1971, p. 90)</w:t>
      </w:r>
      <w:r w:rsidRPr="00044165">
        <w:rPr>
          <w:rFonts w:ascii="Times New Roman" w:hAnsi="Times New Roman" w:cs="Times New Roman"/>
        </w:rPr>
        <w:fldChar w:fldCharType="end"/>
      </w:r>
      <w:r w:rsidRPr="00044165">
        <w:rPr>
          <w:rFonts w:ascii="Times New Roman" w:hAnsi="Times New Roman" w:cs="Times New Roman"/>
        </w:rPr>
        <w:t xml:space="preserve">. In other words, </w:t>
      </w:r>
      <w:r w:rsidRPr="00044165">
        <w:rPr>
          <w:rFonts w:ascii="Times New Roman" w:hAnsi="Times New Roman" w:cs="Times New Roman"/>
          <w:i/>
          <w:iCs/>
        </w:rPr>
        <w:t xml:space="preserve">dialectics </w:t>
      </w:r>
      <w:r w:rsidRPr="00044165">
        <w:rPr>
          <w:rFonts w:ascii="Times New Roman" w:hAnsi="Times New Roman" w:cs="Times New Roman"/>
        </w:rPr>
        <w:t xml:space="preserve">centers change through conflict, emphasizing the struggle of competing discourses, which narrows the focus of Bakhtin’s dialogism on differing discourses. </w:t>
      </w:r>
    </w:p>
    <w:p w14:paraId="2470BFA7" w14:textId="77777777" w:rsidR="00256B3D" w:rsidRPr="00044165" w:rsidRDefault="00256B3D" w:rsidP="00256B3D">
      <w:pPr>
        <w:spacing w:line="480" w:lineRule="auto"/>
        <w:rPr>
          <w:rFonts w:ascii="Times New Roman" w:hAnsi="Times New Roman" w:cs="Times New Roman"/>
          <w:b/>
          <w:bCs/>
        </w:rPr>
      </w:pPr>
      <w:r w:rsidRPr="00044165">
        <w:rPr>
          <w:rFonts w:ascii="Times New Roman" w:hAnsi="Times New Roman" w:cs="Times New Roman"/>
          <w:b/>
          <w:bCs/>
        </w:rPr>
        <w:t>Discursive Struggles</w:t>
      </w:r>
    </w:p>
    <w:p w14:paraId="147537D2" w14:textId="77777777" w:rsidR="00256B3D" w:rsidRPr="00044165" w:rsidRDefault="00256B3D" w:rsidP="00256B3D">
      <w:pPr>
        <w:spacing w:line="480" w:lineRule="auto"/>
        <w:ind w:firstLine="720"/>
        <w:rPr>
          <w:rFonts w:ascii="Times New Roman" w:hAnsi="Times New Roman" w:cs="Times New Roman"/>
        </w:rPr>
      </w:pPr>
      <w:r>
        <w:rPr>
          <w:rFonts w:ascii="Times New Roman" w:hAnsi="Times New Roman" w:cs="Times New Roman"/>
        </w:rPr>
        <w:t>C</w:t>
      </w:r>
      <w:r w:rsidRPr="00044165">
        <w:rPr>
          <w:rFonts w:ascii="Times New Roman" w:hAnsi="Times New Roman" w:cs="Times New Roman"/>
        </w:rPr>
        <w:t>ommunication scholars</w:t>
      </w:r>
      <w:r>
        <w:rPr>
          <w:rFonts w:ascii="Times New Roman" w:hAnsi="Times New Roman" w:cs="Times New Roman"/>
        </w:rPr>
        <w:t xml:space="preserve"> often</w:t>
      </w:r>
      <w:r w:rsidRPr="00044165">
        <w:rPr>
          <w:rFonts w:ascii="Times New Roman" w:hAnsi="Times New Roman" w:cs="Times New Roman"/>
        </w:rPr>
        <w:t xml:space="preserve"> research utterances as </w:t>
      </w:r>
      <w:r>
        <w:rPr>
          <w:rFonts w:ascii="Times New Roman" w:hAnsi="Times New Roman" w:cs="Times New Roman"/>
        </w:rPr>
        <w:t xml:space="preserve">a </w:t>
      </w:r>
      <w:r w:rsidRPr="00044165">
        <w:rPr>
          <w:rFonts w:ascii="Times New Roman" w:hAnsi="Times New Roman" w:cs="Times New Roman"/>
        </w:rPr>
        <w:t xml:space="preserve">central </w:t>
      </w:r>
      <w:r>
        <w:rPr>
          <w:rFonts w:ascii="Times New Roman" w:hAnsi="Times New Roman" w:cs="Times New Roman"/>
        </w:rPr>
        <w:t>unit of their analyses</w:t>
      </w:r>
      <w:r w:rsidRPr="00044165">
        <w:rPr>
          <w:rFonts w:ascii="Times New Roman" w:hAnsi="Times New Roman" w:cs="Times New Roman"/>
        </w:rPr>
        <w:t xml:space="preserve"> </w:t>
      </w:r>
      <w:r w:rsidRPr="00044165">
        <w:rPr>
          <w:rFonts w:ascii="Times New Roman" w:hAnsi="Times New Roman" w:cs="Times New Roman"/>
        </w:rPr>
        <w:fldChar w:fldCharType="begin"/>
      </w:r>
      <w:r w:rsidRPr="00044165">
        <w:rPr>
          <w:rFonts w:ascii="Times New Roman" w:hAnsi="Times New Roman" w:cs="Times New Roman"/>
        </w:rPr>
        <w:instrText xml:space="preserve"> ADDIN EN.CITE &lt;EndNote&gt;&lt;Cite&gt;&lt;Author&gt;Bakhtin&lt;/Author&gt;&lt;Year&gt;1986&lt;/Year&gt;&lt;RecNum&gt;2132&lt;/RecNum&gt;&lt;DisplayText&gt;(Bakhtin, 1986)&lt;/DisplayText&gt;&lt;record&gt;&lt;rec-number&gt;2132&lt;/rec-number&gt;&lt;foreign-keys&gt;&lt;key app="EN" db-id="2pe9e00ros0veneeptspa5vhz0pw2az52v20" timestamp="1697581283" guid="21362f54-b464-49e3-9b73-19a74e00be0a"&gt;2132&lt;/key&gt;&lt;/foreign-keys&gt;&lt;ref-type name="Book"&gt;6&lt;/ref-type&gt;&lt;contributors&gt;&lt;authors&gt;&lt;author&gt;Bakhtin, Mikhail Mikhaĭlovich&lt;/author&gt;&lt;/authors&gt;&lt;subsidiary-authors&gt;&lt;author&gt;V. W. McGee&lt;/author&gt;&lt;/subsidiary-authors&gt;&lt;/contributors&gt;&lt;titles&gt;&lt;title&gt;Speech genres and other late essays&lt;/title&gt;&lt;/titles&gt;&lt;dates&gt;&lt;year&gt;1986&lt;/year&gt;&lt;/dates&gt;&lt;publisher&gt;University of Texas Press&lt;/publisher&gt;&lt;isbn&gt;029278287X&lt;/isbn&gt;&lt;urls&gt;&lt;/urls&gt;&lt;/record&gt;&lt;/Cite&gt;&lt;/EndNote&gt;</w:instrText>
      </w:r>
      <w:r w:rsidRPr="00044165">
        <w:rPr>
          <w:rFonts w:ascii="Times New Roman" w:hAnsi="Times New Roman" w:cs="Times New Roman"/>
        </w:rPr>
        <w:fldChar w:fldCharType="separate"/>
      </w:r>
      <w:r w:rsidRPr="00044165">
        <w:rPr>
          <w:rFonts w:ascii="Times New Roman" w:hAnsi="Times New Roman" w:cs="Times New Roman"/>
          <w:noProof/>
        </w:rPr>
        <w:t>(Bakhtin, 1986)</w:t>
      </w:r>
      <w:r w:rsidRPr="00044165">
        <w:rPr>
          <w:rFonts w:ascii="Times New Roman" w:hAnsi="Times New Roman" w:cs="Times New Roman"/>
        </w:rPr>
        <w:fldChar w:fldCharType="end"/>
      </w:r>
      <w:r w:rsidRPr="00044165">
        <w:rPr>
          <w:rFonts w:ascii="Times New Roman" w:hAnsi="Times New Roman" w:cs="Times New Roman"/>
        </w:rPr>
        <w:t>. From a dialogic perspective, an utterance is bounded by preceding and following utterances and is composed of an utterance chain. An utterance chain is not just the interchange of texts, but intertextuality exists in cultural and socioeconomic contexts and corresponds with interactants’ inner motivations, thoughts, and feelings.</w:t>
      </w:r>
      <w:r>
        <w:rPr>
          <w:rFonts w:ascii="Times New Roman" w:hAnsi="Times New Roman" w:cs="Times New Roman"/>
        </w:rPr>
        <w:t xml:space="preserve"> Within their early </w:t>
      </w:r>
      <w:r>
        <w:rPr>
          <w:rFonts w:ascii="Times New Roman" w:hAnsi="Times New Roman" w:cs="Times New Roman"/>
        </w:rPr>
        <w:lastRenderedPageBreak/>
        <w:t>articulations of RDT,</w:t>
      </w:r>
      <w:r w:rsidRPr="00044165">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 AuthorYear="1"&gt;&lt;Author&gt;Baxter&lt;/Author&gt;&lt;Year&gt;1996&lt;/Year&gt;&lt;RecNum&gt;1248&lt;/RecNum&gt;&lt;DisplayText&gt;Baxter and Montgomery (1996)&lt;/DisplayText&gt;&lt;record&gt;&lt;rec-number&gt;1248&lt;/rec-number&gt;&lt;foreign-keys&gt;&lt;key app="EN" db-id="2pe9e00ros0veneeptspa5vhz0pw2az52v20" timestamp="1610695201" guid="9076931a-53d8-48c6-8f62-b14ca4e58efb"&gt;1248&lt;/key&gt;&lt;/foreign-keys&gt;&lt;ref-type name="Book"&gt;6&lt;/ref-type&gt;&lt;contributors&gt;&lt;authors&gt;&lt;author&gt;Baxter, Leslie A&lt;/author&gt;&lt;author&gt;Montgomery, Barbara M&lt;/author&gt;&lt;/authors&gt;&lt;/contributors&gt;&lt;titles&gt;&lt;title&gt;Relating: Dialogues and dialectics&lt;/title&gt;&lt;/titles&gt;&lt;dates&gt;&lt;year&gt;1996&lt;/year&gt;&lt;/dates&gt;&lt;publisher&gt;Guilford Press&lt;/publisher&gt;&lt;isbn&gt;1572301015&lt;/isbn&gt;&lt;urls&gt;&lt;/urls&gt;&lt;/record&gt;&lt;/Cite&gt;&lt;/EndNote&gt;</w:instrText>
      </w:r>
      <w:r>
        <w:rPr>
          <w:rFonts w:ascii="Times New Roman" w:hAnsi="Times New Roman" w:cs="Times New Roman"/>
        </w:rPr>
        <w:fldChar w:fldCharType="separate"/>
      </w:r>
      <w:r>
        <w:rPr>
          <w:rFonts w:ascii="Times New Roman" w:hAnsi="Times New Roman" w:cs="Times New Roman"/>
          <w:noProof/>
        </w:rPr>
        <w:t>Baxter and Montgomery (1996)</w:t>
      </w:r>
      <w:r>
        <w:rPr>
          <w:rFonts w:ascii="Times New Roman" w:hAnsi="Times New Roman" w:cs="Times New Roman"/>
        </w:rPr>
        <w:fldChar w:fldCharType="end"/>
      </w:r>
      <w:r w:rsidRPr="00044165">
        <w:rPr>
          <w:rFonts w:ascii="Times New Roman" w:hAnsi="Times New Roman" w:cs="Times New Roman"/>
        </w:rPr>
        <w:t xml:space="preserve"> presented a typology of four distinct forms of utterance chains: </w:t>
      </w:r>
      <w:r w:rsidRPr="00044165">
        <w:rPr>
          <w:rFonts w:ascii="Times New Roman" w:hAnsi="Times New Roman" w:cs="Times New Roman"/>
          <w:i/>
          <w:iCs/>
        </w:rPr>
        <w:t>distal already-spokens</w:t>
      </w:r>
      <w:r w:rsidRPr="00044165">
        <w:rPr>
          <w:rFonts w:ascii="Times New Roman" w:hAnsi="Times New Roman" w:cs="Times New Roman"/>
        </w:rPr>
        <w:t xml:space="preserve">, </w:t>
      </w:r>
      <w:r w:rsidRPr="00044165">
        <w:rPr>
          <w:rFonts w:ascii="Times New Roman" w:hAnsi="Times New Roman" w:cs="Times New Roman"/>
          <w:i/>
          <w:iCs/>
        </w:rPr>
        <w:t>proximal already-spokens</w:t>
      </w:r>
      <w:r w:rsidRPr="00044165">
        <w:rPr>
          <w:rFonts w:ascii="Times New Roman" w:hAnsi="Times New Roman" w:cs="Times New Roman"/>
        </w:rPr>
        <w:t xml:space="preserve">, </w:t>
      </w:r>
      <w:r w:rsidRPr="00044165">
        <w:rPr>
          <w:rFonts w:ascii="Times New Roman" w:hAnsi="Times New Roman" w:cs="Times New Roman"/>
          <w:i/>
          <w:iCs/>
        </w:rPr>
        <w:t>proximal not-yet-spokens</w:t>
      </w:r>
      <w:r w:rsidRPr="00044165">
        <w:rPr>
          <w:rFonts w:ascii="Times New Roman" w:hAnsi="Times New Roman" w:cs="Times New Roman"/>
        </w:rPr>
        <w:t xml:space="preserve">, and </w:t>
      </w:r>
      <w:r w:rsidRPr="00044165">
        <w:rPr>
          <w:rFonts w:ascii="Times New Roman" w:hAnsi="Times New Roman" w:cs="Times New Roman"/>
          <w:i/>
          <w:iCs/>
        </w:rPr>
        <w:t>distal not-yet-spokens</w:t>
      </w:r>
      <w:r w:rsidRPr="00044165">
        <w:rPr>
          <w:rFonts w:ascii="Times New Roman" w:hAnsi="Times New Roman" w:cs="Times New Roman"/>
        </w:rPr>
        <w:t xml:space="preserve">. The following paragraphs are elaborating these four forms of utterance chains. </w:t>
      </w:r>
    </w:p>
    <w:p w14:paraId="6FEB3812" w14:textId="77777777" w:rsidR="00256B3D" w:rsidRPr="00044165" w:rsidRDefault="00256B3D" w:rsidP="00256B3D">
      <w:pPr>
        <w:spacing w:line="480" w:lineRule="auto"/>
        <w:ind w:firstLine="720"/>
        <w:rPr>
          <w:rFonts w:ascii="Times New Roman" w:hAnsi="Times New Roman" w:cs="Times New Roman"/>
        </w:rPr>
      </w:pPr>
      <w:r w:rsidRPr="00044165">
        <w:rPr>
          <w:rFonts w:ascii="Times New Roman" w:hAnsi="Times New Roman" w:cs="Times New Roman"/>
          <w:b/>
          <w:bCs/>
        </w:rPr>
        <w:t>Distal already-spokens</w:t>
      </w:r>
      <w:r w:rsidRPr="00044165">
        <w:rPr>
          <w:rFonts w:ascii="Times New Roman" w:hAnsi="Times New Roman" w:cs="Times New Roman"/>
        </w:rPr>
        <w:t xml:space="preserve">. </w:t>
      </w:r>
      <w:r>
        <w:rPr>
          <w:rFonts w:ascii="Times New Roman" w:hAnsi="Times New Roman" w:cs="Times New Roman"/>
        </w:rPr>
        <w:t>According to RDT, t</w:t>
      </w:r>
      <w:r w:rsidRPr="00044165">
        <w:rPr>
          <w:rFonts w:ascii="Times New Roman" w:hAnsi="Times New Roman" w:cs="Times New Roman"/>
        </w:rPr>
        <w:t xml:space="preserve">he distal already-spoken link in the utterance chain refers to “utterances circulating in the culture at large, which are given symbolic life when voiced by speakers” </w:t>
      </w:r>
      <w:r w:rsidRPr="00044165">
        <w:rPr>
          <w:rFonts w:ascii="Times New Roman" w:hAnsi="Times New Roman" w:cs="Times New Roman"/>
        </w:rPr>
        <w:fldChar w:fldCharType="begin"/>
      </w:r>
      <w:r>
        <w:rPr>
          <w:rFonts w:ascii="Times New Roman" w:hAnsi="Times New Roman" w:cs="Times New Roman"/>
        </w:rPr>
        <w:instrText xml:space="preserve"> ADDIN EN.CITE &lt;EndNote&gt;&lt;Cite&gt;&lt;Author&gt;Baxter&lt;/Author&gt;&lt;Year&gt;2011&lt;/Year&gt;&lt;RecNum&gt;1633&lt;/RecNum&gt;&lt;Pages&gt;50&lt;/Pages&gt;&lt;DisplayText&gt;(Baxter, 2011, p. 50)&lt;/DisplayText&gt;&lt;record&gt;&lt;rec-number&gt;1633&lt;/rec-number&gt;&lt;foreign-keys&gt;&lt;key app="EN" db-id="2pe9e00ros0veneeptspa5vhz0pw2az52v20" timestamp="1651286064" guid="faff47c4-c762-4121-b9c8-9978bd77054b"&gt;1633&lt;/key&gt;&lt;/foreign-keys&gt;&lt;ref-type name="Book"&gt;6&lt;/ref-type&gt;&lt;contributors&gt;&lt;authors&gt;&lt;author&gt;Baxter, Leslie A.&lt;/author&gt;&lt;/authors&gt;&lt;/contributors&gt;&lt;titles&gt;&lt;title&gt;Voicing relationships: a dialogic perspective&lt;/title&gt;&lt;/titles&gt;&lt;keywords&gt;&lt;keyword&gt;Bakhtin, M. M. (Mikhail Mikhaĭlovich), 1895-1975&lt;/keyword&gt;&lt;keyword&gt;Interpersonal relations&lt;/keyword&gt;&lt;keyword&gt;Dialogue analysis&lt;/keyword&gt;&lt;/keywords&gt;&lt;dates&gt;&lt;year&gt;2011&lt;/year&gt;&lt;/dates&gt;&lt;pub-location&gt;Thousand Oaks, Calif.&lt;/pub-location&gt;&lt;publisher&gt;SAGE Publications, Inc&lt;/publisher&gt;&lt;urls&gt;&lt;/urls&gt;&lt;/record&gt;&lt;/Cite&gt;&lt;/EndNote&gt;</w:instrText>
      </w:r>
      <w:r w:rsidRPr="00044165">
        <w:rPr>
          <w:rFonts w:ascii="Times New Roman" w:hAnsi="Times New Roman" w:cs="Times New Roman"/>
        </w:rPr>
        <w:fldChar w:fldCharType="separate"/>
      </w:r>
      <w:r>
        <w:rPr>
          <w:rFonts w:ascii="Times New Roman" w:hAnsi="Times New Roman" w:cs="Times New Roman"/>
          <w:noProof/>
        </w:rPr>
        <w:t>(Baxter, 2011, p. 50)</w:t>
      </w:r>
      <w:r w:rsidRPr="00044165">
        <w:rPr>
          <w:rFonts w:ascii="Times New Roman" w:hAnsi="Times New Roman" w:cs="Times New Roman"/>
        </w:rPr>
        <w:fldChar w:fldCharType="end"/>
      </w:r>
      <w:r w:rsidRPr="00044165">
        <w:rPr>
          <w:rFonts w:ascii="Times New Roman" w:hAnsi="Times New Roman" w:cs="Times New Roman"/>
        </w:rPr>
        <w:t xml:space="preserve">. In short, the distal already-spoken utterance chain indicates norms, values, and beliefs in cultural society, equated to the term </w:t>
      </w:r>
      <w:r w:rsidRPr="00044165">
        <w:rPr>
          <w:rFonts w:ascii="Times New Roman" w:hAnsi="Times New Roman" w:cs="Times New Roman"/>
          <w:i/>
          <w:iCs/>
        </w:rPr>
        <w:t>cultural discourse</w:t>
      </w:r>
      <w:r w:rsidRPr="00044165">
        <w:rPr>
          <w:rFonts w:ascii="Times New Roman" w:hAnsi="Times New Roman" w:cs="Times New Roman"/>
        </w:rPr>
        <w:t xml:space="preserve">, “a historically transmitted expressive system of communication practices, of acts, events, and styles, which are composed of specific symbols, symbolic forms, norms, and their meanings” </w:t>
      </w:r>
      <w:r w:rsidRPr="00044165">
        <w:rPr>
          <w:rFonts w:ascii="Times New Roman" w:hAnsi="Times New Roman" w:cs="Times New Roman"/>
        </w:rPr>
        <w:fldChar w:fldCharType="begin"/>
      </w:r>
      <w:r>
        <w:rPr>
          <w:rFonts w:ascii="Times New Roman" w:hAnsi="Times New Roman" w:cs="Times New Roman"/>
        </w:rPr>
        <w:instrText xml:space="preserve"> ADDIN EN.CITE &lt;EndNote&gt;&lt;Cite&gt;&lt;Author&gt;Carbaugh&lt;/Author&gt;&lt;Year&gt;2007&lt;/Year&gt;&lt;RecNum&gt;2141&lt;/RecNum&gt;&lt;Pages&gt;169&lt;/Pages&gt;&lt;DisplayText&gt;(Carbaugh, 2007, p. 169)&lt;/DisplayText&gt;&lt;record&gt;&lt;rec-number&gt;2141&lt;/rec-number&gt;&lt;foreign-keys&gt;&lt;key app="EN" db-id="2pe9e00ros0veneeptspa5vhz0pw2az52v20" timestamp="1697919139" guid="6e736630-c2d0-48a9-96a7-6155261ece7f"&gt;2141&lt;/key&gt;&lt;/foreign-keys&gt;&lt;ref-type name="Journal Article"&gt;17&lt;/ref-type&gt;&lt;contributors&gt;&lt;authors&gt;&lt;author&gt;Carbaugh, Donal&lt;/author&gt;&lt;/authors&gt;&lt;/contributors&gt;&lt;titles&gt;&lt;title&gt;Cultural discourse analysis: Communication practices and intercultural encounters&lt;/title&gt;&lt;secondary-title&gt;Journal of Intercultural Communication Research&lt;/secondary-title&gt;&lt;/titles&gt;&lt;periodical&gt;&lt;full-title&gt;Journal of Intercultural Communication Research&lt;/full-title&gt;&lt;/periodical&gt;&lt;pages&gt;167-182&lt;/pages&gt;&lt;volume&gt;36&lt;/volume&gt;&lt;number&gt;3&lt;/number&gt;&lt;dates&gt;&lt;year&gt;2007&lt;/year&gt;&lt;/dates&gt;&lt;publisher&gt;Routledge&lt;/publisher&gt;&lt;isbn&gt;1747-5759&lt;/isbn&gt;&lt;urls&gt;&lt;related-urls&gt;&lt;url&gt;https://doi.org/10.1080/17475750701737090&lt;/url&gt;&lt;/related-urls&gt;&lt;/urls&gt;&lt;electronic-resource-num&gt;10.1080/17475750701737090&lt;/electronic-resource-num&gt;&lt;/record&gt;&lt;/Cite&gt;&lt;/EndNote&gt;</w:instrText>
      </w:r>
      <w:r w:rsidRPr="00044165">
        <w:rPr>
          <w:rFonts w:ascii="Times New Roman" w:hAnsi="Times New Roman" w:cs="Times New Roman"/>
        </w:rPr>
        <w:fldChar w:fldCharType="separate"/>
      </w:r>
      <w:r w:rsidRPr="00044165">
        <w:rPr>
          <w:rFonts w:ascii="Times New Roman" w:hAnsi="Times New Roman" w:cs="Times New Roman"/>
          <w:noProof/>
        </w:rPr>
        <w:t>(Carbaugh, 2007, p. 169)</w:t>
      </w:r>
      <w:r w:rsidRPr="00044165">
        <w:rPr>
          <w:rFonts w:ascii="Times New Roman" w:hAnsi="Times New Roman" w:cs="Times New Roman"/>
        </w:rPr>
        <w:fldChar w:fldCharType="end"/>
      </w:r>
      <w:r w:rsidRPr="00044165">
        <w:rPr>
          <w:rFonts w:ascii="Times New Roman" w:hAnsi="Times New Roman" w:cs="Times New Roman"/>
        </w:rPr>
        <w:t xml:space="preserve">. </w:t>
      </w:r>
    </w:p>
    <w:p w14:paraId="2DD30101" w14:textId="77777777" w:rsidR="00256B3D" w:rsidRPr="00044165" w:rsidRDefault="00256B3D" w:rsidP="00256B3D">
      <w:pPr>
        <w:spacing w:line="480" w:lineRule="auto"/>
        <w:ind w:firstLine="720"/>
        <w:rPr>
          <w:rFonts w:ascii="Times New Roman" w:hAnsi="Times New Roman" w:cs="Times New Roman"/>
        </w:rPr>
      </w:pPr>
      <w:r w:rsidRPr="00044165">
        <w:rPr>
          <w:rFonts w:ascii="Times New Roman" w:hAnsi="Times New Roman" w:cs="Times New Roman"/>
        </w:rPr>
        <w:t>Some prominent cultural discourses animate talk in and about relationships</w:t>
      </w:r>
      <w:r>
        <w:rPr>
          <w:rFonts w:ascii="Times New Roman" w:hAnsi="Times New Roman" w:cs="Times New Roman"/>
        </w:rPr>
        <w:t>. For example, prominent discourse that animate talk in and about relationships can include</w:t>
      </w:r>
      <w:r w:rsidRPr="00044165">
        <w:rPr>
          <w:rFonts w:ascii="Times New Roman" w:hAnsi="Times New Roman" w:cs="Times New Roman"/>
        </w:rPr>
        <w:t xml:space="preserve"> </w:t>
      </w:r>
      <w:r>
        <w:rPr>
          <w:rFonts w:ascii="Times New Roman" w:hAnsi="Times New Roman" w:cs="Times New Roman"/>
        </w:rPr>
        <w:t xml:space="preserve">discourses of </w:t>
      </w:r>
      <w:r w:rsidRPr="00044165">
        <w:rPr>
          <w:rFonts w:ascii="Times New Roman" w:hAnsi="Times New Roman" w:cs="Times New Roman"/>
        </w:rPr>
        <w:t>individualism, community, privacy, rationality, and romanticism. Individualism epitomizes the political science term “</w:t>
      </w:r>
      <w:r w:rsidRPr="00044165">
        <w:rPr>
          <w:rFonts w:ascii="Times New Roman" w:hAnsi="Times New Roman" w:cs="Times New Roman"/>
          <w:i/>
          <w:iCs/>
        </w:rPr>
        <w:t>possessive individualism</w:t>
      </w:r>
      <w:r w:rsidRPr="00044165">
        <w:rPr>
          <w:rFonts w:ascii="Times New Roman" w:hAnsi="Times New Roman" w:cs="Times New Roman"/>
        </w:rPr>
        <w:t xml:space="preserve">,” a belief that the person is a proprietor of the self </w:t>
      </w:r>
      <w:r w:rsidRPr="00044165">
        <w:rPr>
          <w:rFonts w:ascii="Times New Roman" w:hAnsi="Times New Roman" w:cs="Times New Roman"/>
        </w:rPr>
        <w:fldChar w:fldCharType="begin"/>
      </w:r>
      <w:r w:rsidRPr="00044165">
        <w:rPr>
          <w:rFonts w:ascii="Times New Roman" w:hAnsi="Times New Roman" w:cs="Times New Roman"/>
        </w:rPr>
        <w:instrText xml:space="preserve"> ADDIN EN.CITE &lt;EndNote&gt;&lt;Cite&gt;&lt;Author&gt;Sykes&lt;/Author&gt;&lt;Year&gt;2007&lt;/Year&gt;&lt;RecNum&gt;2143&lt;/RecNum&gt;&lt;Prefix&gt;e.g.`, &lt;/Prefix&gt;&lt;DisplayText&gt;(e.g., Macpherson, 1962; Sykes, 2007)&lt;/DisplayText&gt;&lt;record&gt;&lt;rec-number&gt;2143&lt;/rec-number&gt;&lt;foreign-keys&gt;&lt;key app="EN" db-id="2pe9e00ros0veneeptspa5vhz0pw2az52v20" timestamp="1697923710" guid="cc75d849-40e1-4831-9e52-94612f19b27a"&gt;2143&lt;/key&gt;&lt;/foreign-keys&gt;&lt;ref-type name="Journal Article"&gt;17&lt;/ref-type&gt;&lt;contributors&gt;&lt;authors&gt;&lt;author&gt;Sykes, Karen&lt;/author&gt;&lt;/authors&gt;&lt;/contributors&gt;&lt;titles&gt;&lt;title&gt;Interrogating Individuals: The Theory of Possessive Individualism in the Western Pacific&lt;/title&gt;&lt;secondary-title&gt;Anthropological Forum&lt;/secondary-title&gt;&lt;/titles&gt;&lt;periodical&gt;&lt;full-title&gt;Anthropological Forum&lt;/full-title&gt;&lt;/periodical&gt;&lt;pages&gt;213-224&lt;/pages&gt;&lt;volume&gt;17&lt;/volume&gt;&lt;number&gt;3&lt;/number&gt;&lt;dates&gt;&lt;year&gt;2007&lt;/year&gt;&lt;/dates&gt;&lt;publisher&gt;Routledge&lt;/publisher&gt;&lt;isbn&gt;0066-4677&lt;/isbn&gt;&lt;urls&gt;&lt;related-urls&gt;&lt;url&gt;https://doi.org/10.1080/00664670701637669&lt;/url&gt;&lt;/related-urls&gt;&lt;/urls&gt;&lt;electronic-resource-num&gt;10.1080/00664670701637669&lt;/electronic-resource-num&gt;&lt;/record&gt;&lt;/Cite&gt;&lt;Cite&gt;&lt;Author&gt;Macpherson&lt;/Author&gt;&lt;Year&gt;1962&lt;/Year&gt;&lt;RecNum&gt;2142&lt;/RecNum&gt;&lt;record&gt;&lt;rec-number&gt;2142&lt;/rec-number&gt;&lt;foreign-keys&gt;&lt;key app="EN" db-id="2pe9e00ros0veneeptspa5vhz0pw2az52v20" timestamp="1697923369" guid="b1ee795d-6324-4eda-acf8-bec3da7ebbed"&gt;2142&lt;/key&gt;&lt;/foreign-keys&gt;&lt;ref-type name="Book"&gt;6&lt;/ref-type&gt;&lt;contributors&gt;&lt;authors&gt;&lt;author&gt;Macpherson, C. B.&lt;/author&gt;&lt;/authors&gt;&lt;/contributors&gt;&lt;titles&gt;&lt;title&gt;The Political Theory of Possessive Individualism: Hobbes to Locke&lt;/title&gt;&lt;/titles&gt;&lt;dates&gt;&lt;year&gt;1962&lt;/year&gt;&lt;/dates&gt;&lt;publisher&gt;Oup Canada&lt;/publisher&gt;&lt;urls&gt;&lt;/urls&gt;&lt;/record&gt;&lt;/Cite&gt;&lt;/EndNote&gt;</w:instrText>
      </w:r>
      <w:r w:rsidRPr="00044165">
        <w:rPr>
          <w:rFonts w:ascii="Times New Roman" w:hAnsi="Times New Roman" w:cs="Times New Roman"/>
        </w:rPr>
        <w:fldChar w:fldCharType="separate"/>
      </w:r>
      <w:r w:rsidRPr="00044165">
        <w:rPr>
          <w:rFonts w:ascii="Times New Roman" w:hAnsi="Times New Roman" w:cs="Times New Roman"/>
          <w:noProof/>
        </w:rPr>
        <w:t>(e.g., Macpherson, 1962; Sykes, 2007)</w:t>
      </w:r>
      <w:r w:rsidRPr="00044165">
        <w:rPr>
          <w:rFonts w:ascii="Times New Roman" w:hAnsi="Times New Roman" w:cs="Times New Roman"/>
        </w:rPr>
        <w:fldChar w:fldCharType="end"/>
      </w:r>
      <w:r w:rsidRPr="00044165">
        <w:rPr>
          <w:rFonts w:ascii="Times New Roman" w:hAnsi="Times New Roman" w:cs="Times New Roman"/>
        </w:rPr>
        <w:t xml:space="preserve">, indicating that one is a self-contained and autonomous entity. </w:t>
      </w:r>
      <w:r w:rsidRPr="00044165">
        <w:rPr>
          <w:rFonts w:ascii="Times New Roman" w:hAnsi="Times New Roman" w:cs="Times New Roman"/>
        </w:rPr>
        <w:fldChar w:fldCharType="begin"/>
      </w:r>
      <w:r w:rsidRPr="00044165">
        <w:rPr>
          <w:rFonts w:ascii="Times New Roman" w:hAnsi="Times New Roman" w:cs="Times New Roman"/>
        </w:rPr>
        <w:instrText xml:space="preserve"> ADDIN EN.CITE &lt;EndNote&gt;&lt;Cite AuthorYear="1"&gt;&lt;Author&gt;Bellah&lt;/Author&gt;&lt;Year&gt;1985&lt;/Year&gt;&lt;RecNum&gt;2145&lt;/RecNum&gt;&lt;DisplayText&gt;Bellah et al. (1985)&lt;/DisplayText&gt;&lt;record&gt;&lt;rec-number&gt;2145&lt;/rec-number&gt;&lt;foreign-keys&gt;&lt;key app="EN" db-id="2pe9e00ros0veneeptspa5vhz0pw2az52v20" timestamp="1697924110" guid="5517ee36-62c0-49f2-a480-f8dc34860768"&gt;2145&lt;/key&gt;&lt;/foreign-keys&gt;&lt;ref-type name="Book"&gt;6&lt;/ref-type&gt;&lt;contributors&gt;&lt;authors&gt;&lt;author&gt;Bellah, Robert N&lt;/author&gt;&lt;author&gt;Madsen, Richard&lt;/author&gt;&lt;author&gt;Sullivan, William M&lt;/author&gt;&lt;author&gt;Swidler, Ann&lt;/author&gt;&lt;author&gt;Tipton, Steven M&lt;/author&gt;&lt;/authors&gt;&lt;/contributors&gt;&lt;titles&gt;&lt;title&gt;Habits of the heart, with a new preface: individualism and commitment in American life&lt;/title&gt;&lt;/titles&gt;&lt;dates&gt;&lt;year&gt;1985&lt;/year&gt;&lt;/dates&gt;&lt;publisher&gt;Univ of California Press&lt;/publisher&gt;&lt;isbn&gt;0520934539&lt;/isbn&gt;&lt;urls&gt;&lt;/urls&gt;&lt;/record&gt;&lt;/Cite&gt;&lt;/EndNote&gt;</w:instrText>
      </w:r>
      <w:r w:rsidRPr="00044165">
        <w:rPr>
          <w:rFonts w:ascii="Times New Roman" w:hAnsi="Times New Roman" w:cs="Times New Roman"/>
        </w:rPr>
        <w:fldChar w:fldCharType="separate"/>
      </w:r>
      <w:r w:rsidRPr="00044165">
        <w:rPr>
          <w:rFonts w:ascii="Times New Roman" w:hAnsi="Times New Roman" w:cs="Times New Roman"/>
          <w:noProof/>
        </w:rPr>
        <w:t>Bellah et al. (1985)</w:t>
      </w:r>
      <w:r w:rsidRPr="00044165">
        <w:rPr>
          <w:rFonts w:ascii="Times New Roman" w:hAnsi="Times New Roman" w:cs="Times New Roman"/>
        </w:rPr>
        <w:fldChar w:fldCharType="end"/>
      </w:r>
      <w:r w:rsidRPr="00044165">
        <w:rPr>
          <w:rFonts w:ascii="Times New Roman" w:hAnsi="Times New Roman" w:cs="Times New Roman"/>
        </w:rPr>
        <w:t xml:space="preserve"> elaborate on the discourse of individualism by identifying two categories: expressive individualism and utilitarian individualism. The former emphasizes the value of self-exploration and self-expression, and the latter pursues self-interest for individual self-improvement and achievement. For the discourse of community, </w:t>
      </w:r>
      <w:r w:rsidRPr="00044165">
        <w:rPr>
          <w:rFonts w:ascii="Times New Roman" w:hAnsi="Times New Roman" w:cs="Times New Roman"/>
        </w:rPr>
        <w:fldChar w:fldCharType="begin"/>
      </w:r>
      <w:r w:rsidRPr="00044165">
        <w:rPr>
          <w:rFonts w:ascii="Times New Roman" w:hAnsi="Times New Roman" w:cs="Times New Roman"/>
        </w:rPr>
        <w:instrText xml:space="preserve"> ADDIN EN.CITE &lt;EndNote&gt;&lt;Cite AuthorYear="1"&gt;&lt;Author&gt;Bellah&lt;/Author&gt;&lt;Year&gt;1985&lt;/Year&gt;&lt;RecNum&gt;2145&lt;/RecNum&gt;&lt;DisplayText&gt;Bellah et al. (1985)&lt;/DisplayText&gt;&lt;record&gt;&lt;rec-number&gt;2145&lt;/rec-number&gt;&lt;foreign-keys&gt;&lt;key app="EN" db-id="2pe9e00ros0veneeptspa5vhz0pw2az52v20" timestamp="1697924110" guid="5517ee36-62c0-49f2-a480-f8dc34860768"&gt;2145&lt;/key&gt;&lt;/foreign-keys&gt;&lt;ref-type name="Book"&gt;6&lt;/ref-type&gt;&lt;contributors&gt;&lt;authors&gt;&lt;author&gt;Bellah, Robert N&lt;/author&gt;&lt;author&gt;Madsen, Richard&lt;/author&gt;&lt;author&gt;Sullivan, William M&lt;/author&gt;&lt;author&gt;Swidler, Ann&lt;/author&gt;&lt;author&gt;Tipton, Steven M&lt;/author&gt;&lt;/authors&gt;&lt;/contributors&gt;&lt;titles&gt;&lt;title&gt;Habits of the heart, with a new preface: individualism and commitment in American life&lt;/title&gt;&lt;/titles&gt;&lt;dates&gt;&lt;year&gt;1985&lt;/year&gt;&lt;/dates&gt;&lt;publisher&gt;Univ of California Press&lt;/publisher&gt;&lt;isbn&gt;0520934539&lt;/isbn&gt;&lt;urls&gt;&lt;/urls&gt;&lt;/record&gt;&lt;/Cite&gt;&lt;/EndNote&gt;</w:instrText>
      </w:r>
      <w:r w:rsidRPr="00044165">
        <w:rPr>
          <w:rFonts w:ascii="Times New Roman" w:hAnsi="Times New Roman" w:cs="Times New Roman"/>
        </w:rPr>
        <w:fldChar w:fldCharType="separate"/>
      </w:r>
      <w:r w:rsidRPr="00044165">
        <w:rPr>
          <w:rFonts w:ascii="Times New Roman" w:hAnsi="Times New Roman" w:cs="Times New Roman"/>
          <w:noProof/>
        </w:rPr>
        <w:t>Bellah et al. (1985)</w:t>
      </w:r>
      <w:r w:rsidRPr="00044165">
        <w:rPr>
          <w:rFonts w:ascii="Times New Roman" w:hAnsi="Times New Roman" w:cs="Times New Roman"/>
        </w:rPr>
        <w:fldChar w:fldCharType="end"/>
      </w:r>
      <w:r w:rsidRPr="00044165">
        <w:rPr>
          <w:rFonts w:ascii="Times New Roman" w:hAnsi="Times New Roman" w:cs="Times New Roman"/>
        </w:rPr>
        <w:t xml:space="preserve"> explicate two traditions: the biblical and the republican. The biblical tradition assumes that members are interdependent in a community and obligatory to serve the community’s best interests. The republican tradition underscores a member’s citizenship with corresponding civic </w:t>
      </w:r>
      <w:r w:rsidRPr="00044165">
        <w:rPr>
          <w:rFonts w:ascii="Times New Roman" w:hAnsi="Times New Roman" w:cs="Times New Roman"/>
        </w:rPr>
        <w:lastRenderedPageBreak/>
        <w:t xml:space="preserve">obligations in the public sphere. The discourse of privacy is a belief that the autonomous individual owns information and should have the right to control access to that information. </w:t>
      </w:r>
      <w:r>
        <w:rPr>
          <w:rFonts w:ascii="Times New Roman" w:hAnsi="Times New Roman" w:cs="Times New Roman"/>
        </w:rPr>
        <w:t>For example</w:t>
      </w:r>
      <w:r w:rsidRPr="00044165">
        <w:rPr>
          <w:rFonts w:ascii="Times New Roman" w:hAnsi="Times New Roman" w:cs="Times New Roman"/>
        </w:rPr>
        <w:t xml:space="preserve">, communication privacy management theory addresses how people manage private information from a communicative perspective </w:t>
      </w:r>
      <w:r w:rsidRPr="00044165">
        <w:rPr>
          <w:rFonts w:ascii="Times New Roman" w:hAnsi="Times New Roman" w:cs="Times New Roman"/>
        </w:rPr>
        <w:fldChar w:fldCharType="begin"/>
      </w:r>
      <w:r>
        <w:rPr>
          <w:rFonts w:ascii="Times New Roman" w:hAnsi="Times New Roman" w:cs="Times New Roman"/>
        </w:rPr>
        <w:instrText xml:space="preserve"> ADDIN EN.CITE &lt;EndNote&gt;&lt;Cite&gt;&lt;Author&gt;Petronio&lt;/Author&gt;&lt;Year&gt;2010&lt;/Year&gt;&lt;RecNum&gt;2146&lt;/RecNum&gt;&lt;DisplayText&gt;(Petronio, 2010)&lt;/DisplayText&gt;&lt;record&gt;&lt;rec-number&gt;2146&lt;/rec-number&gt;&lt;foreign-keys&gt;&lt;key app="EN" db-id="2pe9e00ros0veneeptspa5vhz0pw2az52v20" timestamp="1697926081" guid="cb2a9876-fd64-4d08-94a3-facbcc31d427"&gt;2146&lt;/key&gt;&lt;/foreign-keys&gt;&lt;ref-type name="Journal Article"&gt;17&lt;/ref-type&gt;&lt;contributors&gt;&lt;authors&gt;&lt;author&gt;Petronio, Sandra&lt;/author&gt;&lt;/authors&gt;&lt;/contributors&gt;&lt;titles&gt;&lt;title&gt;Communication privacy management theory: What do we know about family privacy regulation?&lt;/title&gt;&lt;secondary-title&gt;Journal of Family Theory &amp;amp; Review&lt;/secondary-title&gt;&lt;/titles&gt;&lt;periodical&gt;&lt;full-title&gt;Journal of Family Theory &amp;amp; Review&lt;/full-title&gt;&lt;/periodical&gt;&lt;pages&gt;175-196&lt;/pages&gt;&lt;volume&gt;2&lt;/volume&gt;&lt;number&gt;3&lt;/number&gt;&lt;dates&gt;&lt;year&gt;2010&lt;/year&gt;&lt;/dates&gt;&lt;isbn&gt;1756-2570&lt;/isbn&gt;&lt;urls&gt;&lt;related-urls&gt;&lt;url&gt;https://onlinelibrary.wiley.com/doi/abs/10.1111/j.1756-2589.2010.00052.x&lt;/url&gt;&lt;/related-urls&gt;&lt;/urls&gt;&lt;electronic-resource-num&gt;https://doi.org/10.1111/j.1756-2589.2010.00052.x&lt;/electronic-resource-num&gt;&lt;/record&gt;&lt;/Cite&gt;&lt;/EndNote&gt;</w:instrText>
      </w:r>
      <w:r w:rsidRPr="00044165">
        <w:rPr>
          <w:rFonts w:ascii="Times New Roman" w:hAnsi="Times New Roman" w:cs="Times New Roman"/>
        </w:rPr>
        <w:fldChar w:fldCharType="separate"/>
      </w:r>
      <w:r w:rsidRPr="00044165">
        <w:rPr>
          <w:rFonts w:ascii="Times New Roman" w:hAnsi="Times New Roman" w:cs="Times New Roman"/>
          <w:noProof/>
        </w:rPr>
        <w:t>(Petronio, 2010)</w:t>
      </w:r>
      <w:r w:rsidRPr="00044165">
        <w:rPr>
          <w:rFonts w:ascii="Times New Roman" w:hAnsi="Times New Roman" w:cs="Times New Roman"/>
        </w:rPr>
        <w:fldChar w:fldCharType="end"/>
      </w:r>
      <w:r w:rsidRPr="00044165">
        <w:rPr>
          <w:rFonts w:ascii="Times New Roman" w:hAnsi="Times New Roman" w:cs="Times New Roman"/>
        </w:rPr>
        <w:t xml:space="preserve">. The discourse of rationality believes in an adequate approximation for modeling and predicting human behaviors, mainly that people follow fundamental normative principles of reasoning, judgment, and decision </w:t>
      </w:r>
      <w:r w:rsidRPr="00044165">
        <w:rPr>
          <w:rFonts w:ascii="Times New Roman" w:hAnsi="Times New Roman" w:cs="Times New Roman"/>
        </w:rPr>
        <w:fldChar w:fldCharType="begin"/>
      </w:r>
      <w:r w:rsidRPr="00044165">
        <w:rPr>
          <w:rFonts w:ascii="Times New Roman" w:hAnsi="Times New Roman" w:cs="Times New Roman"/>
        </w:rPr>
        <w:instrText xml:space="preserve"> ADDIN EN.CITE &lt;EndNote&gt;&lt;Cite&gt;&lt;Author&gt;Shafir&lt;/Author&gt;&lt;Year&gt;2002&lt;/Year&gt;&lt;RecNum&gt;2147&lt;/RecNum&gt;&lt;DisplayText&gt;(Shafir &amp;amp; LeBoeuf, 2002)&lt;/DisplayText&gt;&lt;record&gt;&lt;rec-number&gt;2147&lt;/rec-number&gt;&lt;foreign-keys&gt;&lt;key app="EN" db-id="2pe9e00ros0veneeptspa5vhz0pw2az52v20" timestamp="1697928221" guid="746c97a3-84a5-4230-b47b-0a52c0754205"&gt;2147&lt;/key&gt;&lt;/foreign-keys&gt;&lt;ref-type name="Journal Article"&gt;17&lt;/ref-type&gt;&lt;contributors&gt;&lt;authors&gt;&lt;author&gt;Eldar Shafir&lt;/author&gt;&lt;author&gt;Robyn A. LeBoeuf&lt;/author&gt;&lt;/authors&gt;&lt;/contributors&gt;&lt;titles&gt;&lt;title&gt;Rationality&lt;/title&gt;&lt;secondary-title&gt;Annual Review of Psychology&lt;/secondary-title&gt;&lt;/titles&gt;&lt;periodical&gt;&lt;full-title&gt;Annual review of psychology&lt;/full-title&gt;&lt;/periodical&gt;&lt;pages&gt;491-517&lt;/pages&gt;&lt;volume&gt;53&lt;/volume&gt;&lt;number&gt;1&lt;/number&gt;&lt;keywords&gt;&lt;keyword&gt;judgment,choice,decision making,normative theories,cognition&lt;/keyword&gt;&lt;/keywords&gt;&lt;dates&gt;&lt;year&gt;2002&lt;/year&gt;&lt;/dates&gt;&lt;accession-num&gt;11752494&lt;/accession-num&gt;&lt;urls&gt;&lt;related-urls&gt;&lt;url&gt;https://www.annualreviews.org/doi/abs/10.1146/annurev.psych.53.100901.135213&lt;/url&gt;&lt;/related-urls&gt;&lt;/urls&gt;&lt;electronic-resource-num&gt;10.1146/annurev.psych.53.100901.135213&lt;/electronic-resource-num&gt;&lt;/record&gt;&lt;/Cite&gt;&lt;/EndNote&gt;</w:instrText>
      </w:r>
      <w:r w:rsidRPr="00044165">
        <w:rPr>
          <w:rFonts w:ascii="Times New Roman" w:hAnsi="Times New Roman" w:cs="Times New Roman"/>
        </w:rPr>
        <w:fldChar w:fldCharType="separate"/>
      </w:r>
      <w:r w:rsidRPr="00044165">
        <w:rPr>
          <w:rFonts w:ascii="Times New Roman" w:hAnsi="Times New Roman" w:cs="Times New Roman"/>
          <w:noProof/>
        </w:rPr>
        <w:t>(Shafir &amp; LeBoeuf, 2002)</w:t>
      </w:r>
      <w:r w:rsidRPr="00044165">
        <w:rPr>
          <w:rFonts w:ascii="Times New Roman" w:hAnsi="Times New Roman" w:cs="Times New Roman"/>
        </w:rPr>
        <w:fldChar w:fldCharType="end"/>
      </w:r>
      <w:r w:rsidRPr="00044165">
        <w:rPr>
          <w:rFonts w:ascii="Times New Roman" w:hAnsi="Times New Roman" w:cs="Times New Roman"/>
        </w:rPr>
        <w:t xml:space="preserve">. The discourse of romanticism explains a general disposition of an individual whose affection related to love, marriage, and the family is excluded from conscious reflection </w:t>
      </w:r>
      <w:r w:rsidRPr="00044165">
        <w:rPr>
          <w:rFonts w:ascii="Times New Roman" w:hAnsi="Times New Roman" w:cs="Times New Roman"/>
        </w:rPr>
        <w:fldChar w:fldCharType="begin"/>
      </w:r>
      <w:r>
        <w:rPr>
          <w:rFonts w:ascii="Times New Roman" w:hAnsi="Times New Roman" w:cs="Times New Roman"/>
        </w:rPr>
        <w:instrText xml:space="preserve"> ADDIN EN.CITE &lt;EndNote&gt;&lt;Cite&gt;&lt;Author&gt;Spanier&lt;/Author&gt;&lt;Year&gt;1972&lt;/Year&gt;&lt;RecNum&gt;2148&lt;/RecNum&gt;&lt;DisplayText&gt;(Spanier, 1972)&lt;/DisplayText&gt;&lt;record&gt;&lt;rec-number&gt;2148&lt;/rec-number&gt;&lt;foreign-keys&gt;&lt;key app="EN" db-id="2pe9e00ros0veneeptspa5vhz0pw2az52v20" timestamp="1697929327" guid="46c696ff-0dc1-46c0-89bc-85953af63ff0"&gt;2148&lt;/key&gt;&lt;/foreign-keys&gt;&lt;ref-type name="Journal Article"&gt;17&lt;/ref-type&gt;&lt;contributors&gt;&lt;authors&gt;&lt;author&gt;Spanier, Graham B.&lt;/author&gt;&lt;/authors&gt;&lt;/contributors&gt;&lt;titles&gt;&lt;title&gt;Romanticism and marital adjustment&lt;/title&gt;&lt;secondary-title&gt;Journal of Marriage and Family&lt;/secondary-title&gt;&lt;/titles&gt;&lt;periodical&gt;&lt;full-title&gt;Journal of Marriage and Family&lt;/full-title&gt;&lt;/periodical&gt;&lt;pages&gt;481-487&lt;/pages&gt;&lt;volume&gt;34&lt;/volume&gt;&lt;number&gt;3&lt;/number&gt;&lt;dates&gt;&lt;year&gt;1972&lt;/year&gt;&lt;/dates&gt;&lt;publisher&gt;[Wiley, National Council on Family Relations]&lt;/publisher&gt;&lt;isbn&gt;00222445, 17413737&lt;/isbn&gt;&lt;urls&gt;&lt;related-urls&gt;&lt;url&gt;http://www.jstor.org/stable/350447&lt;/url&gt;&lt;/related-urls&gt;&lt;/urls&gt;&lt;custom1&gt;Full publication date: Aug., 1972&lt;/custom1&gt;&lt;electronic-resource-num&gt;10.2307/350447&lt;/electronic-resource-num&gt;&lt;remote-database-name&gt;JSTOR&lt;/remote-database-name&gt;&lt;access-date&gt;2023/10/21/&lt;/access-date&gt;&lt;/record&gt;&lt;/Cite&gt;&lt;/EndNote&gt;</w:instrText>
      </w:r>
      <w:r w:rsidRPr="00044165">
        <w:rPr>
          <w:rFonts w:ascii="Times New Roman" w:hAnsi="Times New Roman" w:cs="Times New Roman"/>
        </w:rPr>
        <w:fldChar w:fldCharType="separate"/>
      </w:r>
      <w:r w:rsidRPr="00044165">
        <w:rPr>
          <w:rFonts w:ascii="Times New Roman" w:hAnsi="Times New Roman" w:cs="Times New Roman"/>
          <w:noProof/>
        </w:rPr>
        <w:t>(Spanier, 1972)</w:t>
      </w:r>
      <w:r w:rsidRPr="00044165">
        <w:rPr>
          <w:rFonts w:ascii="Times New Roman" w:hAnsi="Times New Roman" w:cs="Times New Roman"/>
        </w:rPr>
        <w:fldChar w:fldCharType="end"/>
      </w:r>
      <w:r w:rsidRPr="00044165">
        <w:rPr>
          <w:rFonts w:ascii="Times New Roman" w:hAnsi="Times New Roman" w:cs="Times New Roman"/>
        </w:rPr>
        <w:t xml:space="preserve">. To some extent, the romanticism discourse, associated with beliefs in romantic destiny </w:t>
      </w:r>
      <w:r w:rsidRPr="00044165">
        <w:rPr>
          <w:rFonts w:ascii="Times New Roman" w:hAnsi="Times New Roman" w:cs="Times New Roman"/>
        </w:rPr>
        <w:fldChar w:fldCharType="begin">
          <w:fldData xml:space="preserve">PEVuZE5vdGU+PENpdGU+PEF1dGhvcj5LbmVlPC9BdXRob3I+PFllYXI+MTk5ODwvWWVhcj48UmVj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</w:fldData>
        </w:fldChar>
      </w:r>
      <w:r w:rsidRPr="00044165">
        <w:rPr>
          <w:rFonts w:ascii="Times New Roman" w:hAnsi="Times New Roman" w:cs="Times New Roman"/>
        </w:rPr>
        <w:instrText xml:space="preserve"> ADDIN EN.CITE </w:instrText>
      </w:r>
      <w:r w:rsidRPr="00044165">
        <w:rPr>
          <w:rFonts w:ascii="Times New Roman" w:hAnsi="Times New Roman" w:cs="Times New Roman"/>
        </w:rPr>
        <w:fldChar w:fldCharType="begin">
          <w:fldData xml:space="preserve">PEVuZE5vdGU+PENpdGU+PEF1dGhvcj5LbmVlPC9BdXRob3I+PFllYXI+MTk5ODwvWWVhcj48UmVj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</w:fldData>
        </w:fldChar>
      </w:r>
      <w:r w:rsidRPr="00044165">
        <w:rPr>
          <w:rFonts w:ascii="Times New Roman" w:hAnsi="Times New Roman" w:cs="Times New Roman"/>
        </w:rPr>
        <w:instrText xml:space="preserve"> ADDIN EN.CITE.DATA </w:instrText>
      </w:r>
      <w:r w:rsidRPr="00044165">
        <w:rPr>
          <w:rFonts w:ascii="Times New Roman" w:hAnsi="Times New Roman" w:cs="Times New Roman"/>
        </w:rPr>
      </w:r>
      <w:r w:rsidRPr="00044165">
        <w:rPr>
          <w:rFonts w:ascii="Times New Roman" w:hAnsi="Times New Roman" w:cs="Times New Roman"/>
        </w:rPr>
        <w:fldChar w:fldCharType="end"/>
      </w:r>
      <w:r w:rsidRPr="00044165">
        <w:rPr>
          <w:rFonts w:ascii="Times New Roman" w:hAnsi="Times New Roman" w:cs="Times New Roman"/>
        </w:rPr>
      </w:r>
      <w:r w:rsidRPr="00044165">
        <w:rPr>
          <w:rFonts w:ascii="Times New Roman" w:hAnsi="Times New Roman" w:cs="Times New Roman"/>
        </w:rPr>
        <w:fldChar w:fldCharType="separate"/>
      </w:r>
      <w:r w:rsidRPr="00044165">
        <w:rPr>
          <w:rFonts w:ascii="Times New Roman" w:hAnsi="Times New Roman" w:cs="Times New Roman"/>
          <w:noProof/>
        </w:rPr>
        <w:t>(Knee, 1998)</w:t>
      </w:r>
      <w:r w:rsidRPr="00044165">
        <w:rPr>
          <w:rFonts w:ascii="Times New Roman" w:hAnsi="Times New Roman" w:cs="Times New Roman"/>
        </w:rPr>
        <w:fldChar w:fldCharType="end"/>
      </w:r>
      <w:r w:rsidRPr="00044165">
        <w:rPr>
          <w:rFonts w:ascii="Times New Roman" w:hAnsi="Times New Roman" w:cs="Times New Roman"/>
        </w:rPr>
        <w:t xml:space="preserve">, is spiritual, experiential, and ineffable.  </w:t>
      </w:r>
    </w:p>
    <w:p w14:paraId="12DA3D96" w14:textId="77777777" w:rsidR="00256B3D" w:rsidRPr="00044165" w:rsidRDefault="00256B3D" w:rsidP="00256B3D">
      <w:pPr>
        <w:spacing w:line="480" w:lineRule="auto"/>
        <w:ind w:firstLine="720"/>
        <w:rPr>
          <w:rFonts w:ascii="Times New Roman" w:hAnsi="Times New Roman" w:cs="Times New Roman"/>
        </w:rPr>
      </w:pPr>
      <w:r>
        <w:rPr>
          <w:rFonts w:ascii="Times New Roman" w:hAnsi="Times New Roman" w:cs="Times New Roman"/>
        </w:rPr>
        <w:t xml:space="preserve">Research for </w:t>
      </w:r>
      <w:r w:rsidRPr="00044165">
        <w:rPr>
          <w:rFonts w:ascii="Times New Roman" w:hAnsi="Times New Roman" w:cs="Times New Roman"/>
        </w:rPr>
        <w:t>the distal already-spoken utterance chain</w:t>
      </w:r>
      <w:r>
        <w:rPr>
          <w:rFonts w:ascii="Times New Roman" w:hAnsi="Times New Roman" w:cs="Times New Roman"/>
        </w:rPr>
        <w:t xml:space="preserve"> can represent how cultural discourses animate talk in and about relationships.</w:t>
      </w:r>
      <w:r w:rsidRPr="00044165">
        <w:rPr>
          <w:rFonts w:ascii="Times New Roman" w:hAnsi="Times New Roman" w:cs="Times New Roman"/>
        </w:rPr>
        <w:t xml:space="preserve"> Existing research includes two primary approaches: the discursive struggle of integration and the discursive struggle of expression. The discursive struggle of integration is built on the conflict between the discourse of individualism and the discourse of community, also labeled as the </w:t>
      </w:r>
      <w:r w:rsidRPr="00044165">
        <w:rPr>
          <w:rFonts w:ascii="Times New Roman" w:hAnsi="Times New Roman" w:cs="Times New Roman"/>
          <w:i/>
          <w:iCs/>
        </w:rPr>
        <w:t>autonomy-connection</w:t>
      </w:r>
      <w:r w:rsidRPr="00044165">
        <w:rPr>
          <w:rFonts w:ascii="Times New Roman" w:hAnsi="Times New Roman" w:cs="Times New Roman"/>
        </w:rPr>
        <w:t xml:space="preserve"> or </w:t>
      </w:r>
      <w:r w:rsidRPr="00044165">
        <w:rPr>
          <w:rFonts w:ascii="Times New Roman" w:hAnsi="Times New Roman" w:cs="Times New Roman"/>
          <w:i/>
          <w:iCs/>
        </w:rPr>
        <w:t>inclusion-seclusion</w:t>
      </w:r>
      <w:r w:rsidRPr="00044165">
        <w:rPr>
          <w:rFonts w:ascii="Times New Roman" w:hAnsi="Times New Roman" w:cs="Times New Roman"/>
        </w:rPr>
        <w:t xml:space="preserve"> </w:t>
      </w:r>
      <w:r w:rsidRPr="00044165">
        <w:rPr>
          <w:rFonts w:ascii="Times New Roman" w:hAnsi="Times New Roman" w:cs="Times New Roman"/>
        </w:rPr>
        <w:fldChar w:fldCharType="begin"/>
      </w:r>
      <w:r>
        <w:rPr>
          <w:rFonts w:ascii="Times New Roman" w:hAnsi="Times New Roman" w:cs="Times New Roman"/>
        </w:rPr>
        <w:instrText xml:space="preserve"> ADDIN EN.CITE &lt;EndNote&gt;&lt;Cite&gt;&lt;Author&gt;Baxter&lt;/Author&gt;&lt;Year&gt;1999&lt;/Year&gt;&lt;RecNum&gt;2150&lt;/RecNum&gt;&lt;Prefix&gt;e.g.`, &lt;/Prefix&gt;&lt;DisplayText&gt;(e.g., Baxter &amp;amp; Erbert, 1999)&lt;/DisplayText&gt;&lt;record&gt;&lt;rec-number&gt;2150&lt;/rec-number&gt;&lt;foreign-keys&gt;&lt;key app="EN" db-id="2pe9e00ros0veneeptspa5vhz0pw2az52v20" timestamp="1697945303" guid="9bc995ad-db3c-44ea-ab79-e8e0803b053d"&gt;2150&lt;/key&gt;&lt;/foreign-keys&gt;&lt;ref-type name="Journal Article"&gt;17&lt;/ref-type&gt;&lt;contributors&gt;&lt;authors&gt;&lt;author&gt;Baxter, Leslie A.&lt;/author&gt;&lt;author&gt;Erbert, Larry A.&lt;/author&gt;&lt;/authors&gt;&lt;/contributors&gt;&lt;titles&gt;&lt;title&gt;Perceptions of dialectical contradictions in turning points of development in heterosexual romantic relationships&lt;/title&gt;&lt;secondary-title&gt;Journal of Social and Personal Relationships&lt;/secondary-title&gt;&lt;/titles&gt;&lt;periodical&gt;&lt;full-title&gt;Journal of Social and Personal relationships&lt;/full-title&gt;&lt;/periodical&gt;&lt;pages&gt;547-569&lt;/pages&gt;&lt;volume&gt;16&lt;/volume&gt;&lt;number&gt;5&lt;/number&gt;&lt;keywords&gt;&lt;keyword&gt;contradictions,dialectics,relationship development&lt;/keyword&gt;&lt;/keywords&gt;&lt;dates&gt;&lt;year&gt;1999&lt;/year&gt;&lt;/dates&gt;&lt;urls&gt;&lt;related-urls&gt;&lt;url&gt;https://journals.sagepub.com/doi/abs/10.1177/0265407599165001&lt;/url&gt;&lt;/related-urls&gt;&lt;/urls&gt;&lt;electronic-resource-num&gt;10.1177/0265407599165001&lt;/electronic-resource-num&gt;&lt;/record&gt;&lt;/Cite&gt;&lt;/EndNote&gt;</w:instrText>
      </w:r>
      <w:r w:rsidRPr="00044165">
        <w:rPr>
          <w:rFonts w:ascii="Times New Roman" w:hAnsi="Times New Roman" w:cs="Times New Roman"/>
        </w:rPr>
        <w:fldChar w:fldCharType="separate"/>
      </w:r>
      <w:r w:rsidRPr="00044165">
        <w:rPr>
          <w:rFonts w:ascii="Times New Roman" w:hAnsi="Times New Roman" w:cs="Times New Roman"/>
          <w:noProof/>
        </w:rPr>
        <w:t>(e.g., Baxter &amp; Erbert, 1999)</w:t>
      </w:r>
      <w:r w:rsidRPr="00044165">
        <w:rPr>
          <w:rFonts w:ascii="Times New Roman" w:hAnsi="Times New Roman" w:cs="Times New Roman"/>
        </w:rPr>
        <w:fldChar w:fldCharType="end"/>
      </w:r>
      <w:r w:rsidRPr="00044165">
        <w:rPr>
          <w:rFonts w:ascii="Times New Roman" w:hAnsi="Times New Roman" w:cs="Times New Roman"/>
        </w:rPr>
        <w:t xml:space="preserve">. Empirical studies explore the discursive struggle of integration in various research topics, such as individual identity construction </w:t>
      </w:r>
      <w:r w:rsidRPr="00044165">
        <w:rPr>
          <w:rFonts w:ascii="Times New Roman" w:hAnsi="Times New Roman" w:cs="Times New Roman"/>
        </w:rPr>
        <w:fldChar w:fldCharType="begin"/>
      </w:r>
      <w:r>
        <w:rPr>
          <w:rFonts w:ascii="Times New Roman" w:hAnsi="Times New Roman" w:cs="Times New Roman"/>
        </w:rPr>
        <w:instrText xml:space="preserve"> ADDIN EN.CITE &lt;EndNote&gt;&lt;Cite&gt;&lt;Author&gt;Sahlstein&lt;/Author&gt;&lt;Year&gt;2009&lt;/Year&gt;&lt;RecNum&gt;2151&lt;/RecNum&gt;&lt;Prefix&gt;e.g.`, &lt;/Prefix&gt;&lt;DisplayText&gt;(e.g., Sahlstein et al., 2009)&lt;/DisplayText&gt;&lt;record&gt;&lt;rec-number&gt;2151&lt;/rec-number&gt;&lt;foreign-keys&gt;&lt;key app="EN" db-id="2pe9e00ros0veneeptspa5vhz0pw2az52v20" timestamp="1697946084" guid="1d4452b7-0380-4683-9c2d-e93263bece00"&gt;2151&lt;/key&gt;&lt;/foreign-keys&gt;&lt;ref-type name="Journal Article"&gt;17&lt;/ref-type&gt;&lt;contributors&gt;&lt;authors&gt;&lt;author&gt;Sahlstein, Erin&lt;/author&gt;&lt;author&gt;Maguire, Katheryn C.&lt;/author&gt;&lt;author&gt;Timmerman, Lindsay&lt;/author&gt;&lt;/authors&gt;&lt;/contributors&gt;&lt;titles&gt;&lt;title&gt;Contradictions and praxis contextualized by wartime deployment: Wives&amp;apos; perspectives revealed through relational dialectics&lt;/title&gt;&lt;secondary-title&gt;Communication Monographs&lt;/secondary-title&gt;&lt;/titles&gt;&lt;periodical&gt;&lt;full-title&gt;Communication Monographs&lt;/full-title&gt;&lt;/periodical&gt;&lt;pages&gt;421-442&lt;/pages&gt;&lt;volume&gt;76&lt;/volume&gt;&lt;number&gt;4&lt;/number&gt;&lt;dates&gt;&lt;year&gt;2009&lt;/year&gt;&lt;/dates&gt;&lt;publisher&gt;Routledge&lt;/publisher&gt;&lt;isbn&gt;0363-7751&lt;/isbn&gt;&lt;urls&gt;&lt;related-urls&gt;&lt;url&gt;https://doi.org/10.1080/03637750903300239&lt;/url&gt;&lt;/related-urls&gt;&lt;/urls&gt;&lt;electronic-resource-num&gt;10.1080/03637750903300239&lt;/electronic-resource-num&gt;&lt;/record&gt;&lt;/Cite&gt;&lt;/EndNote&gt;</w:instrText>
      </w:r>
      <w:r w:rsidRPr="00044165">
        <w:rPr>
          <w:rFonts w:ascii="Times New Roman" w:hAnsi="Times New Roman" w:cs="Times New Roman"/>
        </w:rPr>
        <w:fldChar w:fldCharType="separate"/>
      </w:r>
      <w:r w:rsidRPr="00044165">
        <w:rPr>
          <w:rFonts w:ascii="Times New Roman" w:hAnsi="Times New Roman" w:cs="Times New Roman"/>
          <w:noProof/>
        </w:rPr>
        <w:t>(e.g., Sahlstein et al., 2009)</w:t>
      </w:r>
      <w:r w:rsidRPr="00044165">
        <w:rPr>
          <w:rFonts w:ascii="Times New Roman" w:hAnsi="Times New Roman" w:cs="Times New Roman"/>
        </w:rPr>
        <w:fldChar w:fldCharType="end"/>
      </w:r>
      <w:r w:rsidRPr="00044165">
        <w:rPr>
          <w:rFonts w:ascii="Times New Roman" w:hAnsi="Times New Roman" w:cs="Times New Roman"/>
        </w:rPr>
        <w:t xml:space="preserve">, voluntary relationship construction </w:t>
      </w:r>
      <w:r w:rsidRPr="00044165">
        <w:rPr>
          <w:rFonts w:ascii="Times New Roman" w:hAnsi="Times New Roman" w:cs="Times New Roman"/>
        </w:rPr>
        <w:fldChar w:fldCharType="begin"/>
      </w:r>
      <w:r>
        <w:rPr>
          <w:rFonts w:ascii="Times New Roman" w:hAnsi="Times New Roman" w:cs="Times New Roman"/>
        </w:rPr>
        <w:instrText xml:space="preserve"> ADDIN EN.CITE &lt;EndNote&gt;&lt;Cite&gt;&lt;Author&gt;Carr&lt;/Author&gt;&lt;Year&gt;2012&lt;/Year&gt;&lt;RecNum&gt;2152&lt;/RecNum&gt;&lt;Prefix&gt;e.g.`, &lt;/Prefix&gt;&lt;DisplayText&gt;(e.g., Carr &amp;amp; Wang, 2012)&lt;/DisplayText&gt;&lt;record&gt;&lt;rec-number&gt;2152&lt;/rec-number&gt;&lt;foreign-keys&gt;&lt;key app="EN" db-id="2pe9e00ros0veneeptspa5vhz0pw2az52v20" timestamp="1697946360" guid="1370c295-fc65-44ad-ab24-d084629e3653"&gt;2152&lt;/key&gt;&lt;/foreign-keys&gt;&lt;ref-type name="Journal Article"&gt;17&lt;/ref-type&gt;&lt;contributors&gt;&lt;authors&gt;&lt;author&gt;Carr, Kristen&lt;/author&gt;&lt;author&gt;Wang, Tiffany R.&lt;/author&gt;&lt;/authors&gt;&lt;/contributors&gt;&lt;titles&gt;&lt;title&gt;“Forgiveness isn&amp;apos;t a simple process: It&amp;apos;s a vast undertaking”: Negotiating and communicating forgiveness in nonvoluntary family relationships&lt;/title&gt;&lt;secondary-title&gt;Journal of Family Communication&lt;/secondary-title&gt;&lt;/titles&gt;&lt;periodical&gt;&lt;full-title&gt;Journal of Family Communication&lt;/full-title&gt;&lt;/periodical&gt;&lt;pages&gt;40-56&lt;/pages&gt;&lt;volume&gt;12&lt;/volume&gt;&lt;number&gt;1&lt;/number&gt;&lt;dates&gt;&lt;year&gt;2012&lt;/year&gt;&lt;/dates&gt;&lt;publisher&gt;Routledge&lt;/publisher&gt;&lt;isbn&gt;1526-7431&lt;/isbn&gt;&lt;urls&gt;&lt;related-urls&gt;&lt;url&gt;https://doi.org/10.1080/15267431.2011.629970&lt;/url&gt;&lt;/related-urls&gt;&lt;/urls&gt;&lt;electronic-resource-num&gt;10.1080/15267431.2011.629970&lt;/electronic-resource-num&gt;&lt;/record&gt;&lt;/Cite&gt;&lt;/EndNote&gt;</w:instrText>
      </w:r>
      <w:r w:rsidRPr="00044165">
        <w:rPr>
          <w:rFonts w:ascii="Times New Roman" w:hAnsi="Times New Roman" w:cs="Times New Roman"/>
        </w:rPr>
        <w:fldChar w:fldCharType="separate"/>
      </w:r>
      <w:r w:rsidRPr="00044165">
        <w:rPr>
          <w:rFonts w:ascii="Times New Roman" w:hAnsi="Times New Roman" w:cs="Times New Roman"/>
          <w:noProof/>
        </w:rPr>
        <w:t>(e.g., Carr &amp; Wang, 2012)</w:t>
      </w:r>
      <w:r w:rsidRPr="00044165">
        <w:rPr>
          <w:rFonts w:ascii="Times New Roman" w:hAnsi="Times New Roman" w:cs="Times New Roman"/>
        </w:rPr>
        <w:fldChar w:fldCharType="end"/>
      </w:r>
      <w:r w:rsidRPr="00044165">
        <w:rPr>
          <w:rFonts w:ascii="Times New Roman" w:hAnsi="Times New Roman" w:cs="Times New Roman"/>
        </w:rPr>
        <w:t xml:space="preserve">, emotional distance and closeness management </w:t>
      </w:r>
      <w:r w:rsidRPr="00044165">
        <w:rPr>
          <w:rFonts w:ascii="Times New Roman" w:hAnsi="Times New Roman" w:cs="Times New Roman"/>
        </w:rPr>
        <w:fldChar w:fldCharType="begin"/>
      </w:r>
      <w:r w:rsidRPr="00044165">
        <w:rPr>
          <w:rFonts w:ascii="Times New Roman" w:hAnsi="Times New Roman" w:cs="Times New Roman"/>
        </w:rPr>
        <w:instrText xml:space="preserve"> ADDIN EN.CITE &lt;EndNote&gt;&lt;Cite&gt;&lt;Author&gt;Feeney&lt;/Author&gt;&lt;Year&gt;2022&lt;/Year&gt;&lt;RecNum&gt;2153&lt;/RecNum&gt;&lt;Prefix&gt;e.g.`, &lt;/Prefix&gt;&lt;DisplayText&gt;(e.g., Feeney &amp;amp; Fitzgerald, 2022)&lt;/DisplayText&gt;&lt;record&gt;&lt;rec-number&gt;2153&lt;/rec-number&gt;&lt;foreign-keys&gt;&lt;key app="EN" db-id="2pe9e00ros0veneeptspa5vhz0pw2az52v20" timestamp="1697946682" guid="83126836-4016-4985-85ad-119ca552c915"&gt;2153&lt;/key&gt;&lt;/foreign-keys&gt;&lt;ref-type name="Journal Article"&gt;17&lt;/ref-type&gt;&lt;contributors&gt;&lt;authors&gt;&lt;author&gt;Feeney, Judith A.&lt;/author&gt;&lt;author&gt;Fitzgerald, Jennifer&lt;/author&gt;&lt;/authors&gt;&lt;/contributors&gt;&lt;titles&gt;&lt;title&gt;Autonomy–connection tensions, stress, and attachment: The case of COVID-19&lt;/title&gt;&lt;secondary-title&gt;Current Opinion in Psychology&lt;/secondary-title&gt;&lt;/titles&gt;&lt;periodical&gt;&lt;full-title&gt;Current Opinion in Psychology&lt;/full-title&gt;&lt;/periodical&gt;&lt;pages&gt;18-23&lt;/pages&gt;&lt;volume&gt;43&lt;/volume&gt;&lt;keywords&gt;&lt;keyword&gt;Autonomy–connection&lt;/keyword&gt;&lt;keyword&gt;Couple dynamics&lt;/keyword&gt;&lt;keyword&gt;Attachment&lt;/keyword&gt;&lt;keyword&gt;Stress&lt;/keyword&gt;&lt;keyword&gt;Emotionally focused couples therapy.&lt;/keyword&gt;&lt;/keywords&gt;&lt;dates&gt;&lt;year&gt;2022&lt;/year&gt;&lt;/dates&gt;&lt;isbn&gt;2352-250X&lt;/isbn&gt;&lt;urls&gt;&lt;related-urls&gt;&lt;url&gt;https://www.sciencedirect.com/science/article/pii/S2352250X21000695&lt;/url&gt;&lt;/related-urls&gt;&lt;/urls&gt;&lt;electronic-resource-num&gt;https://doi.org/10.1016/j.copsyc.2021.05.004&lt;/electronic-resource-num&gt;&lt;/record&gt;&lt;/Cite&gt;&lt;/EndNote&gt;</w:instrText>
      </w:r>
      <w:r w:rsidRPr="00044165">
        <w:rPr>
          <w:rFonts w:ascii="Times New Roman" w:hAnsi="Times New Roman" w:cs="Times New Roman"/>
        </w:rPr>
        <w:fldChar w:fldCharType="separate"/>
      </w:r>
      <w:r w:rsidRPr="00044165">
        <w:rPr>
          <w:rFonts w:ascii="Times New Roman" w:hAnsi="Times New Roman" w:cs="Times New Roman"/>
          <w:noProof/>
        </w:rPr>
        <w:t>(e.g., Feeney &amp; Fitzgerald, 2022)</w:t>
      </w:r>
      <w:r w:rsidRPr="00044165">
        <w:rPr>
          <w:rFonts w:ascii="Times New Roman" w:hAnsi="Times New Roman" w:cs="Times New Roman"/>
        </w:rPr>
        <w:fldChar w:fldCharType="end"/>
      </w:r>
      <w:r w:rsidRPr="00044165">
        <w:rPr>
          <w:rFonts w:ascii="Times New Roman" w:hAnsi="Times New Roman" w:cs="Times New Roman"/>
        </w:rPr>
        <w:t xml:space="preserve">, and competing for self-interest, individual rights, time and energy, and loyalty demand </w:t>
      </w:r>
      <w:r w:rsidRPr="00044165">
        <w:rPr>
          <w:rFonts w:ascii="Times New Roman" w:hAnsi="Times New Roman" w:cs="Times New Roman"/>
        </w:rPr>
        <w:fldChar w:fldCharType="begin">
          <w:fldData xml:space="preserve">PEVuZE5vdGU+PENpdGU+PEF1dGhvcj5TY2hyb2R0PC9BdXRob3I+PFllYXI+MjAwNjwvWWVhcj48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PEVuZE5vdGU+PENpdGU+PEF1dGhvcj5TY2hyb2R0PC9BdXRob3I+PFllYXI+MjAwNjwvWWVhcj48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044165">
        <w:rPr>
          <w:rFonts w:ascii="Times New Roman" w:hAnsi="Times New Roman" w:cs="Times New Roman"/>
        </w:rPr>
      </w:r>
      <w:r w:rsidRPr="00044165">
        <w:rPr>
          <w:rFonts w:ascii="Times New Roman" w:hAnsi="Times New Roman" w:cs="Times New Roman"/>
        </w:rPr>
        <w:fldChar w:fldCharType="separate"/>
      </w:r>
      <w:r w:rsidRPr="00044165">
        <w:rPr>
          <w:rFonts w:ascii="Times New Roman" w:hAnsi="Times New Roman" w:cs="Times New Roman"/>
          <w:noProof/>
        </w:rPr>
        <w:t>(e.g., Baxter et al., 1997; Day, 2013; Oglensky, 2008; Pitts et al., 2009; Schrodt et al., 2006)</w:t>
      </w:r>
      <w:r w:rsidRPr="00044165">
        <w:rPr>
          <w:rFonts w:ascii="Times New Roman" w:hAnsi="Times New Roman" w:cs="Times New Roman"/>
        </w:rPr>
        <w:fldChar w:fldCharType="end"/>
      </w:r>
      <w:r w:rsidRPr="00044165">
        <w:rPr>
          <w:rFonts w:ascii="Times New Roman" w:hAnsi="Times New Roman" w:cs="Times New Roman"/>
        </w:rPr>
        <w:t xml:space="preserve">. Moreover, the discursive struggle of expression illustrates the conflict between the discourse of privacy and the discourses of rationality/community, commonly reframed as </w:t>
      </w:r>
      <w:r w:rsidRPr="00044165">
        <w:rPr>
          <w:rFonts w:ascii="Times New Roman" w:hAnsi="Times New Roman" w:cs="Times New Roman"/>
          <w:i/>
          <w:iCs/>
        </w:rPr>
        <w:t>revelation-concealment, expression-nonexpression</w:t>
      </w:r>
      <w:r w:rsidRPr="00044165">
        <w:rPr>
          <w:rFonts w:ascii="Times New Roman" w:hAnsi="Times New Roman" w:cs="Times New Roman"/>
        </w:rPr>
        <w:t xml:space="preserve">, </w:t>
      </w:r>
      <w:r w:rsidRPr="00044165">
        <w:rPr>
          <w:rFonts w:ascii="Times New Roman" w:hAnsi="Times New Roman" w:cs="Times New Roman"/>
          <w:i/>
          <w:iCs/>
        </w:rPr>
        <w:t>openness-closedness</w:t>
      </w:r>
      <w:r w:rsidRPr="00044165">
        <w:rPr>
          <w:rFonts w:ascii="Times New Roman" w:hAnsi="Times New Roman" w:cs="Times New Roman"/>
        </w:rPr>
        <w:t xml:space="preserve">, </w:t>
      </w:r>
      <w:r w:rsidRPr="00044165">
        <w:rPr>
          <w:rFonts w:ascii="Times New Roman" w:hAnsi="Times New Roman" w:cs="Times New Roman"/>
        </w:rPr>
        <w:lastRenderedPageBreak/>
        <w:t xml:space="preserve">and </w:t>
      </w:r>
      <w:r w:rsidRPr="00044165">
        <w:rPr>
          <w:rFonts w:ascii="Times New Roman" w:hAnsi="Times New Roman" w:cs="Times New Roman"/>
          <w:i/>
          <w:iCs/>
        </w:rPr>
        <w:t>disclosure-privacy</w:t>
      </w:r>
      <w:r w:rsidRPr="00044165">
        <w:rPr>
          <w:rFonts w:ascii="Times New Roman" w:hAnsi="Times New Roman" w:cs="Times New Roman"/>
        </w:rPr>
        <w:t xml:space="preserve"> </w:t>
      </w:r>
      <w:r w:rsidRPr="00044165">
        <w:rPr>
          <w:rFonts w:ascii="Times New Roman" w:hAnsi="Times New Roman" w:cs="Times New Roman"/>
        </w:rPr>
        <w:fldChar w:fldCharType="begin"/>
      </w:r>
      <w:r>
        <w:rPr>
          <w:rFonts w:ascii="Times New Roman" w:hAnsi="Times New Roman" w:cs="Times New Roman"/>
        </w:rPr>
        <w:instrText xml:space="preserve"> ADDIN EN.CITE &lt;EndNote&gt;&lt;Cite&gt;&lt;Author&gt;Baxter&lt;/Author&gt;&lt;Year&gt;1990&lt;/Year&gt;&lt;RecNum&gt;2159&lt;/RecNum&gt;&lt;Prefix&gt;e.g.`, &lt;/Prefix&gt;&lt;DisplayText&gt;(e.g., Baxter, 1990)&lt;/DisplayText&gt;&lt;record&gt;&lt;rec-number&gt;2159&lt;/rec-number&gt;&lt;foreign-keys&gt;&lt;key app="EN" db-id="2pe9e00ros0veneeptspa5vhz0pw2az52v20" timestamp="1697949736" guid="726a0255-e933-42d8-abf7-1adeb58c7eeb"&gt;2159&lt;/key&gt;&lt;/foreign-keys&gt;&lt;ref-type name="Journal Article"&gt;17&lt;/ref-type&gt;&lt;contributors&gt;&lt;authors&gt;&lt;author&gt;Baxter, Leslie A.&lt;/author&gt;&lt;/authors&gt;&lt;/contributors&gt;&lt;titles&gt;&lt;title&gt;Dialectical contradictions in relationship development&lt;/title&gt;&lt;secondary-title&gt;Journal of Social and Personal Relationships&lt;/secondary-title&gt;&lt;/titles&gt;&lt;periodical&gt;&lt;full-title&gt;Journal of Social and Personal relationships&lt;/full-title&gt;&lt;/periodical&gt;&lt;pages&gt;69-88&lt;/pages&gt;&lt;volume&gt;7&lt;/volume&gt;&lt;number&gt;1&lt;/number&gt;&lt;dates&gt;&lt;year&gt;1990&lt;/year&gt;&lt;/dates&gt;&lt;urls&gt;&lt;related-urls&gt;&lt;url&gt;https://journals.sagepub.com/doi/abs/10.1177/0265407590071004&lt;/url&gt;&lt;/related-urls&gt;&lt;/urls&gt;&lt;electronic-resource-num&gt;10.1177/0265407590071004&lt;/electronic-resource-num&gt;&lt;/record&gt;&lt;/Cite&gt;&lt;/EndNote&gt;</w:instrText>
      </w:r>
      <w:r w:rsidRPr="00044165">
        <w:rPr>
          <w:rFonts w:ascii="Times New Roman" w:hAnsi="Times New Roman" w:cs="Times New Roman"/>
        </w:rPr>
        <w:fldChar w:fldCharType="separate"/>
      </w:r>
      <w:r w:rsidRPr="00044165">
        <w:rPr>
          <w:rFonts w:ascii="Times New Roman" w:hAnsi="Times New Roman" w:cs="Times New Roman"/>
          <w:noProof/>
        </w:rPr>
        <w:t>(e.g., Baxter, 1990)</w:t>
      </w:r>
      <w:r w:rsidRPr="00044165">
        <w:rPr>
          <w:rFonts w:ascii="Times New Roman" w:hAnsi="Times New Roman" w:cs="Times New Roman"/>
        </w:rPr>
        <w:fldChar w:fldCharType="end"/>
      </w:r>
      <w:r w:rsidRPr="00044165">
        <w:rPr>
          <w:rFonts w:ascii="Times New Roman" w:hAnsi="Times New Roman" w:cs="Times New Roman"/>
        </w:rPr>
        <w:t xml:space="preserve">. Empirical research about the discursive struggle of expression in various fields includes disjuncture within a discourse </w:t>
      </w:r>
      <w:r w:rsidRPr="00044165">
        <w:rPr>
          <w:rFonts w:ascii="Times New Roman" w:hAnsi="Times New Roman" w:cs="Times New Roman"/>
        </w:rPr>
        <w:fldChar w:fldCharType="begin"/>
      </w:r>
      <w:r>
        <w:rPr>
          <w:rFonts w:ascii="Times New Roman" w:hAnsi="Times New Roman" w:cs="Times New Roman"/>
        </w:rPr>
        <w:instrText xml:space="preserve"> ADDIN EN.CITE &lt;EndNote&gt;&lt;Cite&gt;&lt;Author&gt;Dutta&lt;/Author&gt;&lt;Year&gt;2017&lt;/Year&gt;&lt;RecNum&gt;2160&lt;/RecNum&gt;&lt;Prefix&gt;e.g.`, &lt;/Prefix&gt;&lt;DisplayText&gt;(e.g., Dutta, 2017)&lt;/DisplayText&gt;&lt;record&gt;&lt;rec-number&gt;2160&lt;/rec-number&gt;&lt;foreign-keys&gt;&lt;key app="EN" db-id="2pe9e00ros0veneeptspa5vhz0pw2az52v20" timestamp="1697950585" guid="399883e6-4fc3-438a-b6de-ed01c3dcdd4a"&gt;2160&lt;/key&gt;&lt;/foreign-keys&gt;&lt;ref-type name="Journal Article"&gt;17&lt;/ref-type&gt;&lt;contributors&gt;&lt;authors&gt;&lt;author&gt;Dutta, Debalina&lt;/author&gt;&lt;/authors&gt;&lt;/contributors&gt;&lt;titles&gt;&lt;title&gt;Cultural barriers and familial resources for negotiation of engineering careers among young women: Relational dialectics theory in an Asian perspective&lt;/title&gt;&lt;secondary-title&gt;Journal of Family Communication&lt;/secondary-title&gt;&lt;/titles&gt;&lt;periodical&gt;&lt;full-title&gt;Journal of Family Communication&lt;/full-title&gt;&lt;/periodical&gt;&lt;pages&gt;338-355&lt;/pages&gt;&lt;volume&gt;17&lt;/volume&gt;&lt;number&gt;4&lt;/number&gt;&lt;dates&gt;&lt;year&gt;2017&lt;/year&gt;&lt;/dates&gt;&lt;publisher&gt;Routledge&lt;/publisher&gt;&lt;isbn&gt;1526-7431&lt;/isbn&gt;&lt;urls&gt;&lt;related-urls&gt;&lt;url&gt;https://doi.org/10.1080/15267431.2017.1363045&lt;/url&gt;&lt;/related-urls&gt;&lt;/urls&gt;&lt;electronic-resource-num&gt;10.1080/15267431.2017.1363045&lt;/electronic-resource-num&gt;&lt;/record&gt;&lt;/Cite&gt;&lt;/EndNote&gt;</w:instrText>
      </w:r>
      <w:r w:rsidRPr="00044165">
        <w:rPr>
          <w:rFonts w:ascii="Times New Roman" w:hAnsi="Times New Roman" w:cs="Times New Roman"/>
        </w:rPr>
        <w:fldChar w:fldCharType="separate"/>
      </w:r>
      <w:r w:rsidRPr="00044165">
        <w:rPr>
          <w:rFonts w:ascii="Times New Roman" w:hAnsi="Times New Roman" w:cs="Times New Roman"/>
          <w:noProof/>
        </w:rPr>
        <w:t>(e.g., Dutta, 2017)</w:t>
      </w:r>
      <w:r w:rsidRPr="00044165">
        <w:rPr>
          <w:rFonts w:ascii="Times New Roman" w:hAnsi="Times New Roman" w:cs="Times New Roman"/>
        </w:rPr>
        <w:fldChar w:fldCharType="end"/>
      </w:r>
      <w:r w:rsidRPr="00044165">
        <w:rPr>
          <w:rFonts w:ascii="Times New Roman" w:hAnsi="Times New Roman" w:cs="Times New Roman"/>
        </w:rPr>
        <w:t xml:space="preserve">, the meaning-making of individualism </w:t>
      </w:r>
      <w:r w:rsidRPr="00044165">
        <w:rPr>
          <w:rFonts w:ascii="Times New Roman" w:hAnsi="Times New Roman" w:cs="Times New Roman"/>
        </w:rPr>
        <w:fldChar w:fldCharType="begin"/>
      </w:r>
      <w:r>
        <w:rPr>
          <w:rFonts w:ascii="Times New Roman" w:hAnsi="Times New Roman" w:cs="Times New Roman"/>
        </w:rPr>
        <w:instrText xml:space="preserve"> ADDIN EN.CITE &lt;EndNote&gt;&lt;Cite&gt;&lt;Author&gt;Prentice&lt;/Author&gt;&lt;Year&gt;2009&lt;/Year&gt;&lt;RecNum&gt;2161&lt;/RecNum&gt;&lt;Prefix&gt;e.g.`, &lt;/Prefix&gt;&lt;DisplayText&gt;(e.g., Prentice, 2009)&lt;/DisplayText&gt;&lt;record&gt;&lt;rec-number&gt;2161&lt;/rec-number&gt;&lt;foreign-keys&gt;&lt;key app="EN" db-id="2pe9e00ros0veneeptspa5vhz0pw2az52v20" timestamp="1697950699" guid="4aab0e76-ccd2-4452-8a2f-bd19af7e7143"&gt;2161&lt;/key&gt;&lt;/foreign-keys&gt;&lt;ref-type name="Journal Article"&gt;17&lt;/ref-type&gt;&lt;contributors&gt;&lt;authors&gt;&lt;author&gt;Prentice, Carolyn&lt;/author&gt;&lt;/authors&gt;&lt;/contributors&gt;&lt;titles&gt;&lt;title&gt;Relational dialectics among in-laws&lt;/title&gt;&lt;secondary-title&gt;Journal of Family Communication&lt;/secondary-title&gt;&lt;/titles&gt;&lt;periodical&gt;&lt;full-title&gt;Journal of Family Communication&lt;/full-title&gt;&lt;/periodical&gt;&lt;pages&gt;67-89&lt;/pages&gt;&lt;volume&gt;9&lt;/volume&gt;&lt;number&gt;2&lt;/number&gt;&lt;dates&gt;&lt;year&gt;2009&lt;/year&gt;&lt;/dates&gt;&lt;publisher&gt;Routledge&lt;/publisher&gt;&lt;isbn&gt;1526-7431&lt;/isbn&gt;&lt;urls&gt;&lt;related-urls&gt;&lt;url&gt;https://doi.org/10.1080/15267430802561667&lt;/url&gt;&lt;/related-urls&gt;&lt;/urls&gt;&lt;electronic-resource-num&gt;10.1080/15267430802561667&lt;/electronic-resource-num&gt;&lt;/record&gt;&lt;/Cite&gt;&lt;/EndNote&gt;</w:instrText>
      </w:r>
      <w:r w:rsidRPr="00044165">
        <w:rPr>
          <w:rFonts w:ascii="Times New Roman" w:hAnsi="Times New Roman" w:cs="Times New Roman"/>
        </w:rPr>
        <w:fldChar w:fldCharType="separate"/>
      </w:r>
      <w:r w:rsidRPr="00044165">
        <w:rPr>
          <w:rFonts w:ascii="Times New Roman" w:hAnsi="Times New Roman" w:cs="Times New Roman"/>
          <w:noProof/>
        </w:rPr>
        <w:t>(e.g., Prentice, 2009)</w:t>
      </w:r>
      <w:r w:rsidRPr="00044165">
        <w:rPr>
          <w:rFonts w:ascii="Times New Roman" w:hAnsi="Times New Roman" w:cs="Times New Roman"/>
        </w:rPr>
        <w:fldChar w:fldCharType="end"/>
      </w:r>
      <w:r w:rsidRPr="00044165">
        <w:rPr>
          <w:rFonts w:ascii="Times New Roman" w:hAnsi="Times New Roman" w:cs="Times New Roman"/>
        </w:rPr>
        <w:t xml:space="preserve">, the boundary of community </w:t>
      </w:r>
      <w:r w:rsidRPr="00044165">
        <w:rPr>
          <w:rFonts w:ascii="Times New Roman" w:hAnsi="Times New Roman" w:cs="Times New Roman"/>
        </w:rPr>
        <w:fldChar w:fldCharType="begin"/>
      </w:r>
      <w:r w:rsidRPr="00044165">
        <w:rPr>
          <w:rFonts w:ascii="Times New Roman" w:hAnsi="Times New Roman" w:cs="Times New Roman"/>
        </w:rPr>
        <w:instrText xml:space="preserve"> ADDIN EN.CITE &lt;EndNote&gt;&lt;Cite&gt;&lt;Author&gt;Dumlao&lt;/Author&gt;&lt;Year&gt;2012&lt;/Year&gt;&lt;RecNum&gt;2162&lt;/RecNum&gt;&lt;Prefix&gt;e.g.`, &lt;/Prefix&gt;&lt;DisplayText&gt;(e.g., Dumlao &amp;amp; Janke, 2012)&lt;/DisplayText&gt;&lt;record&gt;&lt;rec-number&gt;2162&lt;/rec-number&gt;&lt;foreign-keys&gt;&lt;key app="EN" db-id="2pe9e00ros0veneeptspa5vhz0pw2az52v20" timestamp="1697950857" guid="47c24c50-2640-45ad-97d0-0d768e5a73aa"&gt;2162&lt;/key&gt;&lt;/foreign-keys&gt;&lt;ref-type name="Journal Article"&gt;17&lt;/ref-type&gt;&lt;contributors&gt;&lt;authors&gt;&lt;author&gt;Dumlao, Rebecca J&lt;/author&gt;&lt;author&gt;Janke, Emily M&lt;/author&gt;&lt;/authors&gt;&lt;/contributors&gt;&lt;titles&gt;&lt;title&gt;Using relational dialectics to address differences in community-campus partnerships&lt;/title&gt;&lt;secondary-title&gt;Journal of Higher Education Outreach and Engagement&lt;/secondary-title&gt;&lt;/titles&gt;&lt;periodical&gt;&lt;full-title&gt;Journal of Higher Education Outreach and Engagement&lt;/full-title&gt;&lt;/periodical&gt;&lt;pages&gt;151-175&lt;/pages&gt;&lt;volume&gt;16&lt;/volume&gt;&lt;number&gt;2&lt;/number&gt;&lt;dates&gt;&lt;year&gt;2012&lt;/year&gt;&lt;/dates&gt;&lt;isbn&gt;1534-6102&lt;/isbn&gt;&lt;urls&gt;&lt;/urls&gt;&lt;/record&gt;&lt;/Cite&gt;&lt;/EndNote&gt;</w:instrText>
      </w:r>
      <w:r w:rsidRPr="00044165">
        <w:rPr>
          <w:rFonts w:ascii="Times New Roman" w:hAnsi="Times New Roman" w:cs="Times New Roman"/>
        </w:rPr>
        <w:fldChar w:fldCharType="separate"/>
      </w:r>
      <w:r w:rsidRPr="00044165">
        <w:rPr>
          <w:rFonts w:ascii="Times New Roman" w:hAnsi="Times New Roman" w:cs="Times New Roman"/>
          <w:noProof/>
        </w:rPr>
        <w:t>(e.g., Dumlao &amp; Janke, 2012)</w:t>
      </w:r>
      <w:r w:rsidRPr="00044165">
        <w:rPr>
          <w:rFonts w:ascii="Times New Roman" w:hAnsi="Times New Roman" w:cs="Times New Roman"/>
        </w:rPr>
        <w:fldChar w:fldCharType="end"/>
      </w:r>
      <w:r w:rsidRPr="00044165">
        <w:rPr>
          <w:rFonts w:ascii="Times New Roman" w:hAnsi="Times New Roman" w:cs="Times New Roman"/>
        </w:rPr>
        <w:t xml:space="preserve">, understanding about rationality </w:t>
      </w:r>
      <w:r w:rsidRPr="00044165">
        <w:rPr>
          <w:rFonts w:ascii="Times New Roman" w:hAnsi="Times New Roman" w:cs="Times New Roman"/>
        </w:rPr>
        <w:fldChar w:fldCharType="begin"/>
      </w:r>
      <w:r>
        <w:rPr>
          <w:rFonts w:ascii="Times New Roman" w:hAnsi="Times New Roman" w:cs="Times New Roman"/>
        </w:rPr>
        <w:instrText xml:space="preserve"> ADDIN EN.CITE &lt;EndNote&gt;&lt;Cite&gt;&lt;Author&gt;Amati&lt;/Author&gt;&lt;Year&gt;2014&lt;/Year&gt;&lt;RecNum&gt;2163&lt;/RecNum&gt;&lt;Prefix&gt;e.g.`, &lt;/Prefix&gt;&lt;DisplayText&gt;(e.g., Amati &amp;amp; Hannawa, 2014)&lt;/DisplayText&gt;&lt;record&gt;&lt;rec-number&gt;2163&lt;/rec-number&gt;&lt;foreign-keys&gt;&lt;key app="EN" db-id="2pe9e00ros0veneeptspa5vhz0pw2az52v20" timestamp="1697951267" guid="23f3c4a0-9092-4eae-b5a2-144adee27110"&gt;2163&lt;/key&gt;&lt;/foreign-keys&gt;&lt;ref-type name="Journal Article"&gt;17&lt;/ref-type&gt;&lt;contributors&gt;&lt;authors&gt;&lt;author&gt;Amati, Rebecca&lt;/author&gt;&lt;author&gt;Hannawa, Annegret F.&lt;/author&gt;&lt;/authors&gt;&lt;/contributors&gt;&lt;titles&gt;&lt;title&gt;Relational dialectics theory: disentangling physician-perceived tensions of end-of-life communication&lt;/title&gt;&lt;secondary-title&gt;Health Communication&lt;/secondary-title&gt;&lt;/titles&gt;&lt;periodical&gt;&lt;full-title&gt;Health Communication&lt;/full-title&gt;&lt;/periodical&gt;&lt;pages&gt;962-973&lt;/pages&gt;&lt;volume&gt;29&lt;/volume&gt;&lt;number&gt;10&lt;/number&gt;&lt;dates&gt;&lt;year&gt;2014&lt;/year&gt;&lt;/dates&gt;&lt;publisher&gt;Routledge&lt;/publisher&gt;&lt;isbn&gt;1041-0236&lt;/isbn&gt;&lt;urls&gt;&lt;related-urls&gt;&lt;url&gt;https://doi.org/10.1080/10410236.2013.815533&lt;/url&gt;&lt;/related-urls&gt;&lt;/urls&gt;&lt;electronic-resource-num&gt;10.1080/10410236.2013.815533&lt;/electronic-resource-num&gt;&lt;/record&gt;&lt;/Cite&gt;&lt;/EndNote&gt;</w:instrText>
      </w:r>
      <w:r w:rsidRPr="00044165">
        <w:rPr>
          <w:rFonts w:ascii="Times New Roman" w:hAnsi="Times New Roman" w:cs="Times New Roman"/>
        </w:rPr>
        <w:fldChar w:fldCharType="separate"/>
      </w:r>
      <w:r w:rsidRPr="00044165">
        <w:rPr>
          <w:rFonts w:ascii="Times New Roman" w:hAnsi="Times New Roman" w:cs="Times New Roman"/>
          <w:noProof/>
        </w:rPr>
        <w:t>(e.g., Amati &amp; Hannawa, 2014)</w:t>
      </w:r>
      <w:r w:rsidRPr="00044165">
        <w:rPr>
          <w:rFonts w:ascii="Times New Roman" w:hAnsi="Times New Roman" w:cs="Times New Roman"/>
        </w:rPr>
        <w:fldChar w:fldCharType="end"/>
      </w:r>
      <w:r w:rsidRPr="00044165">
        <w:rPr>
          <w:rFonts w:ascii="Times New Roman" w:hAnsi="Times New Roman" w:cs="Times New Roman"/>
        </w:rPr>
        <w:t xml:space="preserve">, privacy management </w:t>
      </w:r>
      <w:r w:rsidRPr="00044165">
        <w:rPr>
          <w:rFonts w:ascii="Times New Roman" w:hAnsi="Times New Roman" w:cs="Times New Roman"/>
        </w:rPr>
        <w:fldChar w:fldCharType="begin"/>
      </w:r>
      <w:r w:rsidRPr="00044165">
        <w:rPr>
          <w:rFonts w:ascii="Times New Roman" w:hAnsi="Times New Roman" w:cs="Times New Roman"/>
        </w:rPr>
        <w:instrText xml:space="preserve"> ADDIN EN.CITE &lt;EndNote&gt;&lt;Cite&gt;&lt;Author&gt;Ngcongo&lt;/Author&gt;&lt;Year&gt;2016&lt;/Year&gt;&lt;RecNum&gt;2164&lt;/RecNum&gt;&lt;Prefix&gt;e.g.`, &lt;/Prefix&gt;&lt;DisplayText&gt;(e.g., Ngcongo, 2016)&lt;/DisplayText&gt;&lt;record&gt;&lt;rec-number&gt;2164&lt;/rec-number&gt;&lt;foreign-keys&gt;&lt;key app="EN" db-id="2pe9e00ros0veneeptspa5vhz0pw2az52v20" timestamp="1697951438" guid="0c3f5429-62c4-44fa-9b97-714ca750468f"&gt;2164&lt;/key&gt;&lt;/foreign-keys&gt;&lt;ref-type name="Journal Article"&gt;17&lt;/ref-type&gt;&lt;contributors&gt;&lt;authors&gt;&lt;author&gt;Ngcongo, Mthobeli&lt;/author&gt;&lt;/authors&gt;&lt;/contributors&gt;&lt;titles&gt;&lt;title&gt;Mobile communication privacy management in romantic relationships: a dialectical approach&lt;/title&gt;&lt;secondary-title&gt;Communicatio&lt;/secondary-title&gt;&lt;/titles&gt;&lt;periodical&gt;&lt;full-title&gt;Communicatio&lt;/full-title&gt;&lt;/periodical&gt;&lt;pages&gt;56-74&lt;/pages&gt;&lt;volume&gt;42&lt;/volume&gt;&lt;number&gt;1&lt;/number&gt;&lt;dates&gt;&lt;year&gt;2016&lt;/year&gt;&lt;/dates&gt;&lt;publisher&gt;Routledge&lt;/publisher&gt;&lt;isbn&gt;0250-0167&lt;/isbn&gt;&lt;urls&gt;&lt;related-urls&gt;&lt;url&gt;https://doi.org/10.1080/02500167.2016.1140666&lt;/url&gt;&lt;/related-urls&gt;&lt;/urls&gt;&lt;electronic-resource-num&gt;10.1080/02500167.2016.1140666&lt;/electronic-resource-num&gt;&lt;/record&gt;&lt;/Cite&gt;&lt;/EndNote&gt;</w:instrText>
      </w:r>
      <w:r w:rsidRPr="00044165">
        <w:rPr>
          <w:rFonts w:ascii="Times New Roman" w:hAnsi="Times New Roman" w:cs="Times New Roman"/>
        </w:rPr>
        <w:fldChar w:fldCharType="separate"/>
      </w:r>
      <w:r w:rsidRPr="00044165">
        <w:rPr>
          <w:rFonts w:ascii="Times New Roman" w:hAnsi="Times New Roman" w:cs="Times New Roman"/>
          <w:noProof/>
        </w:rPr>
        <w:t>(e.g., Ngcongo, 2016)</w:t>
      </w:r>
      <w:r w:rsidRPr="00044165">
        <w:rPr>
          <w:rFonts w:ascii="Times New Roman" w:hAnsi="Times New Roman" w:cs="Times New Roman"/>
        </w:rPr>
        <w:fldChar w:fldCharType="end"/>
      </w:r>
      <w:r w:rsidRPr="00044165">
        <w:rPr>
          <w:rFonts w:ascii="Times New Roman" w:hAnsi="Times New Roman" w:cs="Times New Roman"/>
        </w:rPr>
        <w:t xml:space="preserve">, and meanings of romance </w:t>
      </w:r>
      <w:r w:rsidRPr="00044165">
        <w:rPr>
          <w:rFonts w:ascii="Times New Roman" w:hAnsi="Times New Roman" w:cs="Times New Roman"/>
        </w:rPr>
        <w:fldChar w:fldCharType="begin"/>
      </w:r>
      <w:r>
        <w:rPr>
          <w:rFonts w:ascii="Times New Roman" w:hAnsi="Times New Roman" w:cs="Times New Roman"/>
        </w:rPr>
        <w:instrText xml:space="preserve"> ADDIN EN.CITE &lt;EndNote&gt;&lt;Cite&gt;&lt;Author&gt;Goldsmith&lt;/Author&gt;&lt;Year&gt;1990&lt;/Year&gt;&lt;RecNum&gt;2165&lt;/RecNum&gt;&lt;Prefix&gt;e.g.`, &lt;/Prefix&gt;&lt;DisplayText&gt;(e.g., Goldsmith, 1990)&lt;/DisplayText&gt;&lt;record&gt;&lt;rec-number&gt;2165&lt;/rec-number&gt;&lt;foreign-keys&gt;&lt;key app="EN" db-id="2pe9e00ros0veneeptspa5vhz0pw2az52v20" timestamp="1697951570" guid="ab8445e8-a4fc-4187-b107-798b91f17fd2"&gt;2165&lt;/key&gt;&lt;/foreign-keys&gt;&lt;ref-type name="Journal Article"&gt;17&lt;/ref-type&gt;&lt;contributors&gt;&lt;authors&gt;&lt;author&gt;Goldsmith, Daena&lt;/author&gt;&lt;/authors&gt;&lt;/contributors&gt;&lt;titles&gt;&lt;title&gt;A dialectic perspective on the expression of autonomy and connection in romantic relationships&lt;/title&gt;&lt;secondary-title&gt;Western Journal of Speech Communication&lt;/secondary-title&gt;&lt;/titles&gt;&lt;periodical&gt;&lt;full-title&gt;Western Journal of Speech Communication&lt;/full-title&gt;&lt;/periodical&gt;&lt;pages&gt;537-556&lt;/pages&gt;&lt;volume&gt;54&lt;/volume&gt;&lt;number&gt;4&lt;/number&gt;&lt;dates&gt;&lt;year&gt;1990&lt;/year&gt;&lt;/dates&gt;&lt;publisher&gt;Routledge&lt;/publisher&gt;&lt;isbn&gt;0193-6700&lt;/isbn&gt;&lt;urls&gt;&lt;related-urls&gt;&lt;url&gt;https://doi.org/10.1080/10570319009374359&lt;/url&gt;&lt;/related-urls&gt;&lt;/urls&gt;&lt;electronic-resource-num&gt;10.1080/10570319009374359&lt;/electronic-resource-num&gt;&lt;/record&gt;&lt;/Cite&gt;&lt;/EndNote&gt;</w:instrText>
      </w:r>
      <w:r w:rsidRPr="00044165">
        <w:rPr>
          <w:rFonts w:ascii="Times New Roman" w:hAnsi="Times New Roman" w:cs="Times New Roman"/>
        </w:rPr>
        <w:fldChar w:fldCharType="separate"/>
      </w:r>
      <w:r w:rsidRPr="00044165">
        <w:rPr>
          <w:rFonts w:ascii="Times New Roman" w:hAnsi="Times New Roman" w:cs="Times New Roman"/>
          <w:noProof/>
        </w:rPr>
        <w:t>(e.g., Goldsmith, 1990)</w:t>
      </w:r>
      <w:r w:rsidRPr="00044165">
        <w:rPr>
          <w:rFonts w:ascii="Times New Roman" w:hAnsi="Times New Roman" w:cs="Times New Roman"/>
        </w:rPr>
        <w:fldChar w:fldCharType="end"/>
      </w:r>
      <w:r w:rsidRPr="00044165">
        <w:rPr>
          <w:rFonts w:ascii="Times New Roman" w:hAnsi="Times New Roman" w:cs="Times New Roman"/>
        </w:rPr>
        <w:t xml:space="preserve">. </w:t>
      </w:r>
    </w:p>
    <w:p w14:paraId="59795C23" w14:textId="77777777" w:rsidR="00256B3D" w:rsidRPr="00044165" w:rsidRDefault="00256B3D" w:rsidP="00256B3D">
      <w:pPr>
        <w:spacing w:line="480" w:lineRule="auto"/>
        <w:ind w:firstLine="720"/>
        <w:rPr>
          <w:rFonts w:ascii="Times New Roman" w:hAnsi="Times New Roman" w:cs="Times New Roman"/>
        </w:rPr>
      </w:pPr>
      <w:r w:rsidRPr="00044165">
        <w:rPr>
          <w:rFonts w:ascii="Times New Roman" w:hAnsi="Times New Roman" w:cs="Times New Roman"/>
          <w:b/>
          <w:bCs/>
        </w:rPr>
        <w:t>Proximal already-spokens</w:t>
      </w:r>
      <w:r w:rsidRPr="00044165">
        <w:rPr>
          <w:rFonts w:ascii="Times New Roman" w:hAnsi="Times New Roman" w:cs="Times New Roman"/>
        </w:rPr>
        <w:t>.</w:t>
      </w:r>
      <w:r>
        <w:rPr>
          <w:rFonts w:ascii="Times New Roman" w:hAnsi="Times New Roman" w:cs="Times New Roman"/>
        </w:rPr>
        <w:t xml:space="preserve"> Within the language of RDT, t</w:t>
      </w:r>
      <w:r w:rsidRPr="00044165">
        <w:rPr>
          <w:rFonts w:ascii="Times New Roman" w:hAnsi="Times New Roman" w:cs="Times New Roman"/>
        </w:rPr>
        <w:t xml:space="preserve">he proximal already-spoken link in the utterance chain is a discursive site in which the interactants’ joint history interpenetrates with the meaning of their present relationship. In other words, the interactant parties’ relationship is produced by integrating the past inherited relationship and the current interactional moment. Two research groups are relevant in understanding the proximal already-spoken utterance chain, including the micro-practices of intertextuality and discourses of the past and present relations at play. </w:t>
      </w:r>
    </w:p>
    <w:p w14:paraId="1FD090D8" w14:textId="77777777" w:rsidR="00256B3D" w:rsidRPr="00044165" w:rsidRDefault="00256B3D" w:rsidP="00256B3D">
      <w:pPr>
        <w:spacing w:line="480" w:lineRule="auto"/>
        <w:ind w:firstLine="720"/>
        <w:rPr>
          <w:rFonts w:ascii="Times New Roman" w:hAnsi="Times New Roman" w:cs="Times New Roman"/>
        </w:rPr>
      </w:pPr>
      <w:r w:rsidRPr="00044165">
        <w:rPr>
          <w:rFonts w:ascii="Times New Roman" w:hAnsi="Times New Roman" w:cs="Times New Roman"/>
        </w:rPr>
        <w:t xml:space="preserve">The micro-practices of intertextuality encompass not only prior utterances in the conversational exchange but extend to their prior conversations together. The micro-practice of intertextuality is interested in everyday conversations, which researchers typically explicate by applying conversation analysis </w:t>
      </w:r>
      <w:r w:rsidRPr="00044165">
        <w:rPr>
          <w:rFonts w:ascii="Times New Roman" w:hAnsi="Times New Roman" w:cs="Times New Roman"/>
        </w:rPr>
        <w:fldChar w:fldCharType="begin"/>
      </w:r>
      <w:r w:rsidRPr="00044165">
        <w:rPr>
          <w:rFonts w:ascii="Times New Roman" w:hAnsi="Times New Roman" w:cs="Times New Roman"/>
        </w:rPr>
        <w:instrText xml:space="preserve"> ADDIN EN.CITE &lt;EndNote&gt;&lt;Cite&gt;&lt;Author&gt;Hutchby&lt;/Author&gt;&lt;Year&gt;2008&lt;/Year&gt;&lt;RecNum&gt;2167&lt;/RecNum&gt;&lt;DisplayText&gt;(Hutchby, 2019; Hutchby &amp;amp; Wooffitt, 2008)&lt;/DisplayText&gt;&lt;record&gt;&lt;rec-number&gt;2167&lt;/rec-number&gt;&lt;foreign-keys&gt;&lt;key app="EN" db-id="2pe9e00ros0veneeptspa5vhz0pw2az52v20" timestamp="1698163885" guid="7c0c7a79-e2d7-4dcf-8358-45a4b5139213"&gt;2167&lt;/key&gt;&lt;/foreign-keys&gt;&lt;ref-type name="Book"&gt;6&lt;/ref-type&gt;&lt;contributors&gt;&lt;authors&gt;&lt;author&gt;Hutchby, Ian&lt;/author&gt;&lt;author&gt;Wooffitt, Robin&lt;/author&gt;&lt;/authors&gt;&lt;/contributors&gt;&lt;titles&gt;&lt;title&gt;Conversation analysis&lt;/title&gt;&lt;/titles&gt;&lt;dates&gt;&lt;year&gt;2008&lt;/year&gt;&lt;/dates&gt;&lt;publisher&gt;Polity&lt;/publisher&gt;&lt;isbn&gt;0745638651&lt;/isbn&gt;&lt;urls&gt;&lt;/urls&gt;&lt;/record&gt;&lt;/Cite&gt;&lt;Cite&gt;&lt;Author&gt;Hutchby&lt;/Author&gt;&lt;Year&gt;2019&lt;/Year&gt;&lt;RecNum&gt;2168&lt;/RecNum&gt;&lt;record&gt;&lt;rec-number&gt;2168&lt;/rec-number&gt;&lt;foreign-keys&gt;&lt;key app="EN" db-id="2pe9e00ros0veneeptspa5vhz0pw2az52v20" timestamp="1698164056" guid="e6a3cddc-82e4-47ff-96c5-1cbbb15b7f3b"&gt;2168&lt;/key&gt;&lt;/foreign-keys&gt;&lt;ref-type name="Book Section"&gt;5&lt;/ref-type&gt;&lt;contributors&gt;&lt;authors&gt;&lt;author&gt;Hutchby, Ian&lt;/author&gt;&lt;/authors&gt;&lt;secondary-authors&gt;&lt;author&gt;P. Atkinson, S. Delamont, A. Cernat, J.W. Sakshaug, &amp;amp; R.A. Williams &lt;/author&gt;&lt;/secondary-authors&gt;&lt;/contributors&gt;&lt;titles&gt;&lt;title&gt;Conversation Analysis&lt;/title&gt;&lt;secondary-title&gt;SAGE Research Methods Foundations&lt;/secondary-title&gt;&lt;/titles&gt;&lt;pages&gt;1-21&lt;/pages&gt;&lt;dates&gt;&lt;year&gt;2019&lt;/year&gt;&lt;/dates&gt;&lt;pub-location&gt;London&lt;/pub-location&gt;&lt;publisher&gt;SAGE Publications Ltd&lt;/publisher&gt;&lt;urls&gt;&lt;related-urls&gt;&lt;url&gt;https://methods.sagepub.com/foundations/conversation-analysis&lt;/url&gt;&lt;/related-urls&gt;&lt;/urls&gt;&lt;electronic-resource-num&gt;10.4135/9781526421036789623&lt;/electronic-resource-num&gt;&lt;/record&gt;&lt;/Cite&gt;&lt;/EndNote&gt;</w:instrText>
      </w:r>
      <w:r w:rsidRPr="00044165">
        <w:rPr>
          <w:rFonts w:ascii="Times New Roman" w:hAnsi="Times New Roman" w:cs="Times New Roman"/>
        </w:rPr>
        <w:fldChar w:fldCharType="separate"/>
      </w:r>
      <w:r w:rsidRPr="00044165">
        <w:rPr>
          <w:rFonts w:ascii="Times New Roman" w:hAnsi="Times New Roman" w:cs="Times New Roman"/>
          <w:noProof/>
        </w:rPr>
        <w:t>(Hutchby, 2019; Hutchby &amp; Wooffitt, 2008)</w:t>
      </w:r>
      <w:r w:rsidRPr="00044165">
        <w:rPr>
          <w:rFonts w:ascii="Times New Roman" w:hAnsi="Times New Roman" w:cs="Times New Roman"/>
        </w:rPr>
        <w:fldChar w:fldCharType="end"/>
      </w:r>
      <w:r w:rsidRPr="00044165">
        <w:rPr>
          <w:rFonts w:ascii="Times New Roman" w:hAnsi="Times New Roman" w:cs="Times New Roman"/>
        </w:rPr>
        <w:t xml:space="preserve">. Conversation analysis, a research method, investigates the sequential organization of talk, such as the design, exchange, and coordination of actions within social interactions </w:t>
      </w:r>
      <w:r w:rsidRPr="00044165">
        <w:rPr>
          <w:rFonts w:ascii="Times New Roman" w:hAnsi="Times New Roman" w:cs="Times New Roman"/>
        </w:rPr>
        <w:fldChar w:fldCharType="begin"/>
      </w:r>
      <w:r w:rsidRPr="00044165">
        <w:rPr>
          <w:rFonts w:ascii="Times New Roman" w:hAnsi="Times New Roman" w:cs="Times New Roman"/>
        </w:rPr>
        <w:instrText xml:space="preserve"> ADDIN EN.CITE &lt;EndNote&gt;&lt;Cite&gt;&lt;Author&gt;Hutchby&lt;/Author&gt;&lt;Year&gt;2019&lt;/Year&gt;&lt;RecNum&gt;2168&lt;/RecNum&gt;&lt;DisplayText&gt;(Hutchby, 2019)&lt;/DisplayText&gt;&lt;record&gt;&lt;rec-number&gt;2168&lt;/rec-number&gt;&lt;foreign-keys&gt;&lt;key app="EN" db-id="2pe9e00ros0veneeptspa5vhz0pw2az52v20" timestamp="1698164056" guid="e6a3cddc-82e4-47ff-96c5-1cbbb15b7f3b"&gt;2168&lt;/key&gt;&lt;/foreign-keys&gt;&lt;ref-type name="Book Section"&gt;5&lt;/ref-type&gt;&lt;contributors&gt;&lt;authors&gt;&lt;author&gt;Hutchby, Ian&lt;/author&gt;&lt;/authors&gt;&lt;secondary-authors&gt;&lt;author&gt;P. Atkinson, S. Delamont, A. Cernat, J.W. Sakshaug, &amp;amp; R.A. Williams &lt;/author&gt;&lt;/secondary-authors&gt;&lt;/contributors&gt;&lt;titles&gt;&lt;title&gt;Conversation Analysis&lt;/title&gt;&lt;secondary-title&gt;SAGE Research Methods Foundations&lt;/secondary-title&gt;&lt;/titles&gt;&lt;pages&gt;1-21&lt;/pages&gt;&lt;dates&gt;&lt;year&gt;2019&lt;/year&gt;&lt;/dates&gt;&lt;pub-location&gt;London&lt;/pub-location&gt;&lt;publisher&gt;SAGE Publications Ltd&lt;/publisher&gt;&lt;urls&gt;&lt;related-urls&gt;&lt;url&gt;https://methods.sagepub.com/foundations/conversation-analysis&lt;/url&gt;&lt;/related-urls&gt;&lt;/urls&gt;&lt;electronic-resource-num&gt;10.4135/9781526421036789623&lt;/electronic-resource-num&gt;&lt;/record&gt;&lt;/Cite&gt;&lt;/EndNote&gt;</w:instrText>
      </w:r>
      <w:r w:rsidRPr="00044165">
        <w:rPr>
          <w:rFonts w:ascii="Times New Roman" w:hAnsi="Times New Roman" w:cs="Times New Roman"/>
        </w:rPr>
        <w:fldChar w:fldCharType="separate"/>
      </w:r>
      <w:r w:rsidRPr="00044165">
        <w:rPr>
          <w:rFonts w:ascii="Times New Roman" w:hAnsi="Times New Roman" w:cs="Times New Roman"/>
          <w:noProof/>
        </w:rPr>
        <w:t>(Hutchby, 2019)</w:t>
      </w:r>
      <w:r w:rsidRPr="00044165">
        <w:rPr>
          <w:rFonts w:ascii="Times New Roman" w:hAnsi="Times New Roman" w:cs="Times New Roman"/>
        </w:rPr>
        <w:fldChar w:fldCharType="end"/>
      </w:r>
      <w:r w:rsidRPr="00044165">
        <w:rPr>
          <w:rFonts w:ascii="Times New Roman" w:hAnsi="Times New Roman" w:cs="Times New Roman"/>
        </w:rPr>
        <w:t xml:space="preserve">. In detail, researchers focus on conversational patterns, such as serial argument </w:t>
      </w:r>
      <w:r w:rsidRPr="00044165">
        <w:rPr>
          <w:rFonts w:ascii="Times New Roman" w:hAnsi="Times New Roman" w:cs="Times New Roman"/>
        </w:rPr>
        <w:fldChar w:fldCharType="begin">
          <w:fldData xml:space="preserve">PEVuZE5vdGU+PENpdGU+PEF1dGhvcj5UcmFwcDwvQXV0aG9yPjxZZWFyPjE5ODU8L1llYXI+PFJl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PEVuZE5vdGU+PENpdGU+PEF1dGhvcj5UcmFwcDwvQXV0aG9yPjxZZWFyPjE5ODU8L1llYXI+PFJl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044165">
        <w:rPr>
          <w:rFonts w:ascii="Times New Roman" w:hAnsi="Times New Roman" w:cs="Times New Roman"/>
        </w:rPr>
      </w:r>
      <w:r w:rsidRPr="00044165">
        <w:rPr>
          <w:rFonts w:ascii="Times New Roman" w:hAnsi="Times New Roman" w:cs="Times New Roman"/>
        </w:rPr>
        <w:fldChar w:fldCharType="separate"/>
      </w:r>
      <w:r w:rsidRPr="00044165">
        <w:rPr>
          <w:rFonts w:ascii="Times New Roman" w:hAnsi="Times New Roman" w:cs="Times New Roman"/>
          <w:noProof/>
        </w:rPr>
        <w:t>(Hample &amp; Allen, 2012; Trapp &amp; Hoff, 1985)</w:t>
      </w:r>
      <w:r w:rsidRPr="00044165">
        <w:rPr>
          <w:rFonts w:ascii="Times New Roman" w:hAnsi="Times New Roman" w:cs="Times New Roman"/>
        </w:rPr>
        <w:fldChar w:fldCharType="end"/>
      </w:r>
      <w:r w:rsidRPr="00044165">
        <w:rPr>
          <w:rFonts w:ascii="Times New Roman" w:hAnsi="Times New Roman" w:cs="Times New Roman"/>
        </w:rPr>
        <w:t xml:space="preserve">, repetition in conversations </w:t>
      </w:r>
      <w:r w:rsidRPr="00044165">
        <w:rPr>
          <w:rFonts w:ascii="Times New Roman" w:hAnsi="Times New Roman" w:cs="Times New Roman"/>
        </w:rPr>
        <w:fldChar w:fldCharType="begin"/>
      </w:r>
      <w:r>
        <w:rPr>
          <w:rFonts w:ascii="Times New Roman" w:hAnsi="Times New Roman" w:cs="Times New Roman"/>
        </w:rPr>
        <w:instrText xml:space="preserve"> ADDIN EN.CITE &lt;EndNote&gt;&lt;Cite&gt;&lt;Author&gt;Tannen&lt;/Author&gt;&lt;Year&gt;1987&lt;/Year&gt;&lt;RecNum&gt;2171&lt;/RecNum&gt;&lt;DisplayText&gt;(Tannen, 1987)&lt;/DisplayText&gt;&lt;record&gt;&lt;rec-number&gt;2171&lt;/rec-number&gt;&lt;foreign-keys&gt;&lt;key app="EN" db-id="2pe9e00ros0veneeptspa5vhz0pw2az52v20" timestamp="1698167251" guid="1e21dcbd-05d7-466c-810f-214634d85bb0"&gt;2171&lt;/key&gt;&lt;/foreign-keys&gt;&lt;ref-type name="Journal Article"&gt;17&lt;/ref-type&gt;&lt;contributors&gt;&lt;authors&gt;&lt;author&gt;Tannen, Deborah&lt;/author&gt;&lt;/authors&gt;&lt;/contributors&gt;&lt;titles&gt;&lt;title&gt;Repetition in conversation: Toward a poetics of talk&lt;/title&gt;&lt;secondary-title&gt;Language&lt;/secondary-title&gt;&lt;/titles&gt;&lt;periodical&gt;&lt;full-title&gt;Language&lt;/full-title&gt;&lt;/periodical&gt;&lt;pages&gt;574-605&lt;/pages&gt;&lt;volume&gt;63&lt;/volume&gt;&lt;number&gt;3&lt;/number&gt;&lt;dates&gt;&lt;year&gt;1987&lt;/year&gt;&lt;/dates&gt;&lt;publisher&gt;Linguistic Society of America&lt;/publisher&gt;&lt;isbn&gt;00978507, 15350665&lt;/isbn&gt;&lt;urls&gt;&lt;related-urls&gt;&lt;url&gt;http://www.jstor.org/stable/415006&lt;/url&gt;&lt;/related-urls&gt;&lt;/urls&gt;&lt;custom1&gt;Full publication date: Sep., 1987&lt;/custom1&gt;&lt;electronic-resource-num&gt;10.2307/415006&lt;/electronic-resource-num&gt;&lt;remote-database-name&gt;JSTOR&lt;/remote-database-name&gt;&lt;access-date&gt;2023/10/24/&lt;/access-date&gt;&lt;/record&gt;&lt;/Cite&gt;&lt;/EndNote&gt;</w:instrText>
      </w:r>
      <w:r w:rsidRPr="00044165">
        <w:rPr>
          <w:rFonts w:ascii="Times New Roman" w:hAnsi="Times New Roman" w:cs="Times New Roman"/>
        </w:rPr>
        <w:fldChar w:fldCharType="separate"/>
      </w:r>
      <w:r w:rsidRPr="00044165">
        <w:rPr>
          <w:rFonts w:ascii="Times New Roman" w:hAnsi="Times New Roman" w:cs="Times New Roman"/>
          <w:noProof/>
        </w:rPr>
        <w:t>(Tannen, 1987)</w:t>
      </w:r>
      <w:r w:rsidRPr="00044165">
        <w:rPr>
          <w:rFonts w:ascii="Times New Roman" w:hAnsi="Times New Roman" w:cs="Times New Roman"/>
        </w:rPr>
        <w:fldChar w:fldCharType="end"/>
      </w:r>
      <w:r w:rsidRPr="00044165">
        <w:rPr>
          <w:rFonts w:ascii="Times New Roman" w:hAnsi="Times New Roman" w:cs="Times New Roman"/>
        </w:rPr>
        <w:t xml:space="preserve">, and conversation coherence </w:t>
      </w:r>
      <w:r w:rsidRPr="00044165">
        <w:rPr>
          <w:rFonts w:ascii="Times New Roman" w:hAnsi="Times New Roman" w:cs="Times New Roman"/>
        </w:rPr>
        <w:fldChar w:fldCharType="begin"/>
      </w:r>
      <w:r>
        <w:rPr>
          <w:rFonts w:ascii="Times New Roman" w:hAnsi="Times New Roman" w:cs="Times New Roman"/>
        </w:rPr>
        <w:instrText xml:space="preserve"> ADDIN EN.CITE &lt;EndNote&gt;&lt;Cite&gt;&lt;Author&gt;Ellis&lt;/Author&gt;&lt;Year&gt;1983&lt;/Year&gt;&lt;RecNum&gt;2173&lt;/RecNum&gt;&lt;DisplayText&gt;(Ellis et al., 1983)&lt;/DisplayText&gt;&lt;record&gt;&lt;rec-number&gt;2173&lt;/rec-number&gt;&lt;foreign-keys&gt;&lt;key app="EN" db-id="2pe9e00ros0veneeptspa5vhz0pw2az52v20" timestamp="1698167998" guid="e1b9f644-1c09-46b4-a6a3-684e9bbbe05f"&gt;2173&lt;/key&gt;&lt;/foreign-keys&gt;&lt;ref-type name="Journal Article"&gt;17&lt;/ref-type&gt;&lt;contributors&gt;&lt;authors&gt;&lt;author&gt;Ellis, Donald G.&lt;/author&gt;&lt;author&gt;Hamilton, Mark&lt;/author&gt;&lt;author&gt;Aho, Lynn&lt;/author&gt;&lt;/authors&gt;&lt;/contributors&gt;&lt;titles&gt;&lt;title&gt;Some issues in conversation coherence&lt;/title&gt;&lt;secondary-title&gt;Human Communication Research&lt;/secondary-title&gt;&lt;/titles&gt;&lt;periodical&gt;&lt;full-title&gt;Human Communication Research&lt;/full-title&gt;&lt;/periodical&gt;&lt;pages&gt;267-282&lt;/pages&gt;&lt;volume&gt;9&lt;/volume&gt;&lt;number&gt;3&lt;/number&gt;&lt;dates&gt;&lt;year&gt;1983&lt;/year&gt;&lt;/dates&gt;&lt;isbn&gt;0360-3989&lt;/isbn&gt;&lt;urls&gt;&lt;related-urls&gt;&lt;url&gt;https://doi.org/10.1111/j.1468-2958.1983.tb00699.x&lt;/url&gt;&lt;/related-urls&gt;&lt;/urls&gt;&lt;electronic-resource-num&gt;10.1111/j.1468-2958.1983.tb00699.x&lt;/electronic-resource-num&gt;&lt;access-date&gt;10/24/2023&lt;/access-date&gt;&lt;/record&gt;&lt;/Cite&gt;&lt;/EndNote&gt;</w:instrText>
      </w:r>
      <w:r w:rsidRPr="00044165">
        <w:rPr>
          <w:rFonts w:ascii="Times New Roman" w:hAnsi="Times New Roman" w:cs="Times New Roman"/>
        </w:rPr>
        <w:fldChar w:fldCharType="separate"/>
      </w:r>
      <w:r w:rsidRPr="00044165">
        <w:rPr>
          <w:rFonts w:ascii="Times New Roman" w:hAnsi="Times New Roman" w:cs="Times New Roman"/>
          <w:noProof/>
        </w:rPr>
        <w:t>(Ellis et al., 1983)</w:t>
      </w:r>
      <w:r w:rsidRPr="00044165">
        <w:rPr>
          <w:rFonts w:ascii="Times New Roman" w:hAnsi="Times New Roman" w:cs="Times New Roman"/>
        </w:rPr>
        <w:fldChar w:fldCharType="end"/>
      </w:r>
      <w:r w:rsidRPr="00044165">
        <w:rPr>
          <w:rFonts w:ascii="Times New Roman" w:hAnsi="Times New Roman" w:cs="Times New Roman"/>
        </w:rPr>
        <w:t>.</w:t>
      </w:r>
    </w:p>
    <w:p w14:paraId="1F51780D" w14:textId="77777777" w:rsidR="00256B3D" w:rsidRPr="00044165" w:rsidRDefault="00256B3D" w:rsidP="00256B3D">
      <w:pPr>
        <w:spacing w:line="480" w:lineRule="auto"/>
        <w:ind w:firstLine="720"/>
        <w:rPr>
          <w:rFonts w:ascii="Times New Roman" w:hAnsi="Times New Roman" w:cs="Times New Roman"/>
        </w:rPr>
      </w:pPr>
      <w:r w:rsidRPr="00044165">
        <w:rPr>
          <w:rFonts w:ascii="Times New Roman" w:hAnsi="Times New Roman" w:cs="Times New Roman"/>
        </w:rPr>
        <w:t xml:space="preserve">Discourses of the past and present relations at play discuss how relations in the past </w:t>
      </w:r>
      <w:r>
        <w:rPr>
          <w:rFonts w:ascii="Times New Roman" w:hAnsi="Times New Roman" w:cs="Times New Roman"/>
        </w:rPr>
        <w:t xml:space="preserve">influence </w:t>
      </w:r>
      <w:r w:rsidRPr="00044165">
        <w:rPr>
          <w:rFonts w:ascii="Times New Roman" w:hAnsi="Times New Roman" w:cs="Times New Roman"/>
        </w:rPr>
        <w:t xml:space="preserve">present relations and induce relations’ change. A classic research field related to past </w:t>
      </w:r>
      <w:r w:rsidRPr="00044165">
        <w:rPr>
          <w:rFonts w:ascii="Times New Roman" w:hAnsi="Times New Roman" w:cs="Times New Roman"/>
        </w:rPr>
        <w:lastRenderedPageBreak/>
        <w:t xml:space="preserve">and present relations is “ambiguous loss,” which is a type of loss that occurs when a loved one is physically present but psychologically absent </w:t>
      </w:r>
      <w:r w:rsidRPr="00044165">
        <w:rPr>
          <w:rFonts w:ascii="Times New Roman" w:hAnsi="Times New Roman" w:cs="Times New Roman"/>
        </w:rPr>
        <w:fldChar w:fldCharType="begin"/>
      </w:r>
      <w:r>
        <w:rPr>
          <w:rFonts w:ascii="Times New Roman" w:hAnsi="Times New Roman" w:cs="Times New Roman"/>
        </w:rPr>
        <w:instrText xml:space="preserve"> ADDIN EN.CITE &lt;EndNote&gt;&lt;Cite&gt;&lt;Author&gt;Boss&lt;/Author&gt;&lt;Year&gt;1999&lt;/Year&gt;&lt;RecNum&gt;2174&lt;/RecNum&gt;&lt;DisplayText&gt;(Boss, 1999)&lt;/DisplayText&gt;&lt;record&gt;&lt;rec-number&gt;2174&lt;/rec-number&gt;&lt;foreign-keys&gt;&lt;key app="EN" db-id="2pe9e00ros0veneeptspa5vhz0pw2az52v20" timestamp="1698170233" guid="8ffc2cc9-658b-4bc6-b0d5-e1891818bfe5"&gt;2174&lt;/key&gt;&lt;/foreign-keys&gt;&lt;ref-type name="Book"&gt;6&lt;/ref-type&gt;&lt;contributors&gt;&lt;authors&gt;&lt;author&gt;Pauline Boss&lt;/author&gt;&lt;/authors&gt;&lt;/contributors&gt;&lt;titles&gt;&lt;title&gt;Ambiguous Loss: Learning to live with unresolved grief&lt;/title&gt;&lt;/titles&gt;&lt;dates&gt;&lt;year&gt;1999&lt;/year&gt;&lt;/dates&gt;&lt;publisher&gt;Harvard University Press&lt;/publisher&gt;&lt;urls&gt;&lt;/urls&gt;&lt;/record&gt;&lt;/Cite&gt;&lt;/EndNote&gt;</w:instrText>
      </w:r>
      <w:r w:rsidRPr="00044165">
        <w:rPr>
          <w:rFonts w:ascii="Times New Roman" w:hAnsi="Times New Roman" w:cs="Times New Roman"/>
        </w:rPr>
        <w:fldChar w:fldCharType="separate"/>
      </w:r>
      <w:r w:rsidRPr="00044165">
        <w:rPr>
          <w:rFonts w:ascii="Times New Roman" w:hAnsi="Times New Roman" w:cs="Times New Roman"/>
          <w:noProof/>
        </w:rPr>
        <w:t>(Boss, 1999)</w:t>
      </w:r>
      <w:r w:rsidRPr="00044165">
        <w:rPr>
          <w:rFonts w:ascii="Times New Roman" w:hAnsi="Times New Roman" w:cs="Times New Roman"/>
        </w:rPr>
        <w:fldChar w:fldCharType="end"/>
      </w:r>
      <w:r w:rsidRPr="00044165">
        <w:rPr>
          <w:rFonts w:ascii="Times New Roman" w:hAnsi="Times New Roman" w:cs="Times New Roman"/>
        </w:rPr>
        <w:t xml:space="preserve">, such as </w:t>
      </w:r>
      <w:r>
        <w:rPr>
          <w:rFonts w:ascii="Times New Roman" w:hAnsi="Times New Roman" w:cs="Times New Roman"/>
        </w:rPr>
        <w:t xml:space="preserve">can be experienced by loved ones of </w:t>
      </w:r>
      <w:r w:rsidRPr="00044165">
        <w:rPr>
          <w:rFonts w:ascii="Times New Roman" w:hAnsi="Times New Roman" w:cs="Times New Roman"/>
        </w:rPr>
        <w:t xml:space="preserve">dementia </w:t>
      </w:r>
      <w:r>
        <w:rPr>
          <w:rFonts w:ascii="Times New Roman" w:hAnsi="Times New Roman" w:cs="Times New Roman"/>
        </w:rPr>
        <w:t xml:space="preserve">patients </w:t>
      </w:r>
      <w:r w:rsidRPr="00044165">
        <w:rPr>
          <w:rFonts w:ascii="Times New Roman" w:hAnsi="Times New Roman" w:cs="Times New Roman"/>
        </w:rPr>
        <w:fldChar w:fldCharType="begin"/>
      </w:r>
      <w:r>
        <w:rPr>
          <w:rFonts w:ascii="Times New Roman" w:hAnsi="Times New Roman" w:cs="Times New Roman"/>
        </w:rPr>
        <w:instrText xml:space="preserve"> ADDIN EN.CITE &lt;EndNote&gt;&lt;Cite&gt;&lt;Author&gt;Boss&lt;/Author&gt;&lt;Year&gt;2010&lt;/Year&gt;&lt;RecNum&gt;2175&lt;/RecNum&gt;&lt;Prefix&gt;e.g.`, &lt;/Prefix&gt;&lt;DisplayText&gt;(e.g., Boss, 2010)&lt;/DisplayText&gt;&lt;record&gt;&lt;rec-number&gt;2175&lt;/rec-number&gt;&lt;foreign-keys&gt;&lt;key app="EN" db-id="2pe9e00ros0veneeptspa5vhz0pw2az52v20" timestamp="1698170509" guid="6b883200-96f9-4c83-b0ba-ec92ed31f47c"&gt;2175&lt;/key&gt;&lt;/foreign-keys&gt;&lt;ref-type name="Journal Article"&gt;17&lt;/ref-type&gt;&lt;contributors&gt;&lt;authors&gt;&lt;author&gt;Boss, Pauline&lt;/author&gt;&lt;/authors&gt;&lt;/contributors&gt;&lt;titles&gt;&lt;title&gt;The trauma and complicated grief of ambiguous loss&lt;/title&gt;&lt;secondary-title&gt;Pastoral Psychology&lt;/secondary-title&gt;&lt;/titles&gt;&lt;periodical&gt;&lt;full-title&gt;Pastoral Psychology&lt;/full-title&gt;&lt;/periodical&gt;&lt;pages&gt;137-145&lt;/pages&gt;&lt;volume&gt;59&lt;/volume&gt;&lt;number&gt;2&lt;/number&gt;&lt;dates&gt;&lt;year&gt;2010&lt;/year&gt;&lt;/dates&gt;&lt;isbn&gt;1573-6679&lt;/isbn&gt;&lt;urls&gt;&lt;related-urls&gt;&lt;url&gt;https://doi.org/10.1007/s11089-009-0264-0&lt;/url&gt;&lt;/related-urls&gt;&lt;/urls&gt;&lt;electronic-resource-num&gt;10.1007/s11089-009-0264-0&lt;/electronic-resource-num&gt;&lt;/record&gt;&lt;/Cite&gt;&lt;/EndNote&gt;</w:instrText>
      </w:r>
      <w:r w:rsidRPr="00044165">
        <w:rPr>
          <w:rFonts w:ascii="Times New Roman" w:hAnsi="Times New Roman" w:cs="Times New Roman"/>
        </w:rPr>
        <w:fldChar w:fldCharType="separate"/>
      </w:r>
      <w:r w:rsidRPr="00044165">
        <w:rPr>
          <w:rFonts w:ascii="Times New Roman" w:hAnsi="Times New Roman" w:cs="Times New Roman"/>
          <w:noProof/>
        </w:rPr>
        <w:t>(e.g., Boss, 2010)</w:t>
      </w:r>
      <w:r w:rsidRPr="00044165">
        <w:rPr>
          <w:rFonts w:ascii="Times New Roman" w:hAnsi="Times New Roman" w:cs="Times New Roman"/>
        </w:rPr>
        <w:fldChar w:fldCharType="end"/>
      </w:r>
      <w:r w:rsidRPr="00044165">
        <w:rPr>
          <w:rFonts w:ascii="Times New Roman" w:hAnsi="Times New Roman" w:cs="Times New Roman"/>
        </w:rPr>
        <w:t xml:space="preserve">. Another research field is relationship maintenance and change </w:t>
      </w:r>
      <w:r w:rsidRPr="00044165">
        <w:rPr>
          <w:rFonts w:ascii="Times New Roman" w:hAnsi="Times New Roman" w:cs="Times New Roman"/>
        </w:rPr>
        <w:fldChar w:fldCharType="begin">
          <w:fldData xml:space="preserve">PEVuZE5vdGU+PENpdGU+PEF1dGhvcj5Nb250Z29tZXJ5PC9BdXRob3I+PFllYXI+MTk5MzwvWWVh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PEVuZE5vdGU+PENpdGU+PEF1dGhvcj5Nb250Z29tZXJ5PC9BdXRob3I+PFllYXI+MTk5MzwvWWVh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044165">
        <w:rPr>
          <w:rFonts w:ascii="Times New Roman" w:hAnsi="Times New Roman" w:cs="Times New Roman"/>
        </w:rPr>
      </w:r>
      <w:r w:rsidRPr="00044165">
        <w:rPr>
          <w:rFonts w:ascii="Times New Roman" w:hAnsi="Times New Roman" w:cs="Times New Roman"/>
        </w:rPr>
        <w:fldChar w:fldCharType="separate"/>
      </w:r>
      <w:r w:rsidRPr="00044165">
        <w:rPr>
          <w:rFonts w:ascii="Times New Roman" w:hAnsi="Times New Roman" w:cs="Times New Roman"/>
          <w:noProof/>
        </w:rPr>
        <w:t>(e.g., Montgomery, 1993; Ogolsky et al., 2017)</w:t>
      </w:r>
      <w:r w:rsidRPr="00044165">
        <w:rPr>
          <w:rFonts w:ascii="Times New Roman" w:hAnsi="Times New Roman" w:cs="Times New Roman"/>
        </w:rPr>
        <w:fldChar w:fldCharType="end"/>
      </w:r>
      <w:r w:rsidRPr="00044165">
        <w:rPr>
          <w:rFonts w:ascii="Times New Roman" w:hAnsi="Times New Roman" w:cs="Times New Roman"/>
        </w:rPr>
        <w:t xml:space="preserve">. </w:t>
      </w:r>
      <w:r w:rsidRPr="00044165">
        <w:rPr>
          <w:rFonts w:ascii="Times New Roman" w:hAnsi="Times New Roman" w:cs="Times New Roman"/>
        </w:rPr>
        <w:fldChar w:fldCharType="begin"/>
      </w:r>
      <w:r>
        <w:rPr>
          <w:rFonts w:ascii="Times New Roman" w:hAnsi="Times New Roman" w:cs="Times New Roman"/>
        </w:rPr>
        <w:instrText xml:space="preserve"> ADDIN EN.CITE &lt;EndNote&gt;&lt;Cite AuthorYear="1"&gt;&lt;Author&gt;Dindia&lt;/Author&gt;&lt;Year&gt;1993&lt;/Year&gt;&lt;RecNum&gt;2178&lt;/RecNum&gt;&lt;DisplayText&gt;Dindia and Canary (1993)&lt;/DisplayText&gt;&lt;record&gt;&lt;rec-number&gt;2178&lt;/rec-number&gt;&lt;foreign-keys&gt;&lt;key app="EN" db-id="2pe9e00ros0veneeptspa5vhz0pw2az52v20" timestamp="1698171791" guid="c41504e6-e703-4c37-b211-4d80d478d29c"&gt;2178&lt;/key&gt;&lt;/foreign-keys&gt;&lt;ref-type name="Journal Article"&gt;17&lt;/ref-type&gt;&lt;contributors&gt;&lt;authors&gt;&lt;author&gt;Dindia, Kathryn&lt;/author&gt;&lt;author&gt;Canary, Daniel J.&lt;/author&gt;&lt;/authors&gt;&lt;/contributors&gt;&lt;titles&gt;&lt;title&gt;Definitions and theoretical perspectives on maintaining relationships&lt;/title&gt;&lt;secondary-title&gt;Journal of Social and Personal Relationships&lt;/secondary-title&gt;&lt;/titles&gt;&lt;periodical&gt;&lt;full-title&gt;Journal of Social and Personal relationships&lt;/full-title&gt;&lt;/periodical&gt;&lt;pages&gt;163-173&lt;/pages&gt;&lt;volume&gt;10&lt;/volume&gt;&lt;number&gt;2&lt;/number&gt;&lt;dates&gt;&lt;year&gt;1993&lt;/year&gt;&lt;/dates&gt;&lt;urls&gt;&lt;related-urls&gt;&lt;url&gt;https://journals.sagepub.com/doi/abs/10.1177/026540759301000201&lt;/url&gt;&lt;/related-urls&gt;&lt;/urls&gt;&lt;electronic-resource-num&gt;10.1177/026540759301000201&lt;/electronic-resource-num&gt;&lt;/record&gt;&lt;/Cite&gt;&lt;/EndNote&gt;</w:instrText>
      </w:r>
      <w:r w:rsidRPr="00044165">
        <w:rPr>
          <w:rFonts w:ascii="Times New Roman" w:hAnsi="Times New Roman" w:cs="Times New Roman"/>
        </w:rPr>
        <w:fldChar w:fldCharType="separate"/>
      </w:r>
      <w:r w:rsidRPr="00044165">
        <w:rPr>
          <w:rFonts w:ascii="Times New Roman" w:hAnsi="Times New Roman" w:cs="Times New Roman"/>
          <w:noProof/>
        </w:rPr>
        <w:t>Dindia and Canary (1993)</w:t>
      </w:r>
      <w:r w:rsidRPr="00044165">
        <w:rPr>
          <w:rFonts w:ascii="Times New Roman" w:hAnsi="Times New Roman" w:cs="Times New Roman"/>
        </w:rPr>
        <w:fldChar w:fldCharType="end"/>
      </w:r>
      <w:r w:rsidRPr="00044165">
        <w:rPr>
          <w:rFonts w:ascii="Times New Roman" w:hAnsi="Times New Roman" w:cs="Times New Roman"/>
        </w:rPr>
        <w:t xml:space="preserve"> summarized four conceptualizations of relational maintenance: “to keep a relationship in existence, to keep a relationship in satisfactory condition, to keep a relationship in a specific state or condition, and to keep a relationship in repair” (p.30). For example, a study explores how individuals maintain long-distance romantic relationships by using communication channels </w:t>
      </w:r>
      <w:r w:rsidRPr="00044165">
        <w:rPr>
          <w:rFonts w:ascii="Times New Roman" w:hAnsi="Times New Roman" w:cs="Times New Roman"/>
        </w:rPr>
        <w:fldChar w:fldCharType="begin"/>
      </w:r>
      <w:r w:rsidRPr="00044165">
        <w:rPr>
          <w:rFonts w:ascii="Times New Roman" w:hAnsi="Times New Roman" w:cs="Times New Roman"/>
        </w:rPr>
        <w:instrText xml:space="preserve"> ADDIN EN.CITE &lt;EndNote&gt;&lt;Cite&gt;&lt;Author&gt;Dainton&lt;/Author&gt;&lt;Year&gt;2002&lt;/Year&gt;&lt;RecNum&gt;2179&lt;/RecNum&gt;&lt;DisplayText&gt;(Dainton &amp;amp; Aylor, 2002)&lt;/DisplayText&gt;&lt;record&gt;&lt;rec-number&gt;2179&lt;/rec-number&gt;&lt;foreign-keys&gt;&lt;key app="EN" db-id="2pe9e00ros0veneeptspa5vhz0pw2az52v20" timestamp="1698172431" guid="f75e2b91-392e-4f1a-bfb4-3c363d333671"&gt;2179&lt;/key&gt;&lt;/foreign-keys&gt;&lt;ref-type name="Journal Article"&gt;17&lt;/ref-type&gt;&lt;contributors&gt;&lt;authors&gt;&lt;author&gt;Dainton, Marianne&lt;/author&gt;&lt;author&gt;Aylor, Brooks&lt;/author&gt;&lt;/authors&gt;&lt;/contributors&gt;&lt;titles&gt;&lt;title&gt;Patterns of communication channel use in the maintenance of long‐distance relationships&lt;/title&gt;&lt;secondary-title&gt;Communication Research Reports&lt;/secondary-title&gt;&lt;/titles&gt;&lt;periodical&gt;&lt;full-title&gt;Communication Research Reports&lt;/full-title&gt;&lt;/periodical&gt;&lt;pages&gt;118-129&lt;/pages&gt;&lt;volume&gt;19&lt;/volume&gt;&lt;number&gt;2&lt;/number&gt;&lt;dates&gt;&lt;year&gt;2002&lt;/year&gt;&lt;/dates&gt;&lt;publisher&gt;Routledge&lt;/publisher&gt;&lt;isbn&gt;0882-4096&lt;/isbn&gt;&lt;urls&gt;&lt;related-urls&gt;&lt;url&gt;https://doi.org/10.1080/08824090209384839&lt;/url&gt;&lt;/related-urls&gt;&lt;/urls&gt;&lt;electronic-resource-num&gt;10.1080/08824090209384839&lt;/electronic-resource-num&gt;&lt;/record&gt;&lt;/Cite&gt;&lt;/EndNote&gt;</w:instrText>
      </w:r>
      <w:r w:rsidRPr="00044165">
        <w:rPr>
          <w:rFonts w:ascii="Times New Roman" w:hAnsi="Times New Roman" w:cs="Times New Roman"/>
        </w:rPr>
        <w:fldChar w:fldCharType="separate"/>
      </w:r>
      <w:r w:rsidRPr="00044165">
        <w:rPr>
          <w:rFonts w:ascii="Times New Roman" w:hAnsi="Times New Roman" w:cs="Times New Roman"/>
          <w:noProof/>
        </w:rPr>
        <w:t>(Dainton &amp; Aylor, 2002)</w:t>
      </w:r>
      <w:r w:rsidRPr="00044165">
        <w:rPr>
          <w:rFonts w:ascii="Times New Roman" w:hAnsi="Times New Roman" w:cs="Times New Roman"/>
        </w:rPr>
        <w:fldChar w:fldCharType="end"/>
      </w:r>
      <w:r w:rsidRPr="00044165">
        <w:rPr>
          <w:rFonts w:ascii="Times New Roman" w:hAnsi="Times New Roman" w:cs="Times New Roman"/>
        </w:rPr>
        <w:t xml:space="preserve">. Another study identifies turning points in developing romantic relationships </w:t>
      </w:r>
      <w:r w:rsidRPr="00044165">
        <w:rPr>
          <w:rFonts w:ascii="Times New Roman" w:hAnsi="Times New Roman" w:cs="Times New Roman"/>
        </w:rPr>
        <w:fldChar w:fldCharType="begin"/>
      </w:r>
      <w:r w:rsidRPr="00044165">
        <w:rPr>
          <w:rFonts w:ascii="Times New Roman" w:hAnsi="Times New Roman" w:cs="Times New Roman"/>
        </w:rPr>
        <w:instrText xml:space="preserve"> ADDIN EN.CITE &lt;EndNote&gt;&lt;Cite&gt;&lt;Author&gt;Baxter&lt;/Author&gt;&lt;Year&gt;1986&lt;/Year&gt;&lt;RecNum&gt;2181&lt;/RecNum&gt;&lt;DisplayText&gt;(Baxter &amp;amp; Bullis, 1986)&lt;/DisplayText&gt;&lt;record&gt;&lt;rec-number&gt;2181&lt;/rec-number&gt;&lt;foreign-keys&gt;&lt;key app="EN" db-id="2pe9e00ros0veneeptspa5vhz0pw2az52v20" timestamp="1698172933" guid="4cecc2a1-54ea-4856-8ecc-ee5c64294ba8"&gt;2181&lt;/key&gt;&lt;/foreign-keys&gt;&lt;ref-type name="Journal Article"&gt;17&lt;/ref-type&gt;&lt;contributors&gt;&lt;authors&gt;&lt;author&gt;Baxter, Leslie A.&lt;/author&gt;&lt;author&gt;Bullis, Connie &lt;/author&gt;&lt;/authors&gt;&lt;/contributors&gt;&lt;titles&gt;&lt;title&gt;Turning points in developing romantic relationships&lt;/title&gt;&lt;secondary-title&gt;Human Communication Research&lt;/secondary-title&gt;&lt;/titles&gt;&lt;periodical&gt;&lt;full-title&gt;Human Communication Research&lt;/full-title&gt;&lt;/periodical&gt;&lt;pages&gt;469-493&lt;/pages&gt;&lt;volume&gt;12&lt;/volume&gt;&lt;number&gt;4&lt;/number&gt;&lt;dates&gt;&lt;year&gt;1986&lt;/year&gt;&lt;/dates&gt;&lt;isbn&gt;0360-3989&lt;/isbn&gt;&lt;urls&gt;&lt;related-urls&gt;&lt;url&gt;https://onlinelibrary.wiley.com/doi/abs/10.1111/j.1468-2958.1986.tb00088.x&lt;/url&gt;&lt;/related-urls&gt;&lt;/urls&gt;&lt;electronic-resource-num&gt;j.1468-2958.1986.tb00088.x&lt;/electronic-resource-num&gt;&lt;/record&gt;&lt;/Cite&gt;&lt;/EndNote&gt;</w:instrText>
      </w:r>
      <w:r w:rsidRPr="00044165">
        <w:rPr>
          <w:rFonts w:ascii="Times New Roman" w:hAnsi="Times New Roman" w:cs="Times New Roman"/>
        </w:rPr>
        <w:fldChar w:fldCharType="separate"/>
      </w:r>
      <w:r w:rsidRPr="00044165">
        <w:rPr>
          <w:rFonts w:ascii="Times New Roman" w:hAnsi="Times New Roman" w:cs="Times New Roman"/>
          <w:noProof/>
        </w:rPr>
        <w:t>(Baxter &amp; Bullis, 1986)</w:t>
      </w:r>
      <w:r w:rsidRPr="00044165">
        <w:rPr>
          <w:rFonts w:ascii="Times New Roman" w:hAnsi="Times New Roman" w:cs="Times New Roman"/>
        </w:rPr>
        <w:fldChar w:fldCharType="end"/>
      </w:r>
      <w:r w:rsidRPr="00044165">
        <w:rPr>
          <w:rFonts w:ascii="Times New Roman" w:hAnsi="Times New Roman" w:cs="Times New Roman"/>
        </w:rPr>
        <w:t xml:space="preserve">. </w:t>
      </w:r>
    </w:p>
    <w:p w14:paraId="13774C70" w14:textId="77777777" w:rsidR="00256B3D" w:rsidRDefault="00256B3D" w:rsidP="00256B3D">
      <w:pPr>
        <w:spacing w:line="480" w:lineRule="auto"/>
        <w:ind w:firstLine="720"/>
        <w:rPr>
          <w:rFonts w:ascii="Times New Roman" w:hAnsi="Times New Roman" w:cs="Times New Roman"/>
        </w:rPr>
      </w:pPr>
      <w:r w:rsidRPr="00E86BF3">
        <w:rPr>
          <w:rFonts w:ascii="Times New Roman" w:hAnsi="Times New Roman" w:cs="Times New Roman"/>
          <w:b/>
          <w:bCs/>
        </w:rPr>
        <w:t>Proximal not-yet-spokens</w:t>
      </w:r>
      <w:r>
        <w:rPr>
          <w:rFonts w:ascii="Times New Roman" w:hAnsi="Times New Roman" w:cs="Times New Roman"/>
        </w:rPr>
        <w:t>. According to RDT, t</w:t>
      </w:r>
      <w:r w:rsidRPr="00044165">
        <w:rPr>
          <w:rFonts w:ascii="Times New Roman" w:hAnsi="Times New Roman" w:cs="Times New Roman"/>
        </w:rPr>
        <w:t xml:space="preserve">he proximal </w:t>
      </w:r>
      <w:r>
        <w:rPr>
          <w:rFonts w:ascii="Times New Roman" w:hAnsi="Times New Roman" w:cs="Times New Roman"/>
        </w:rPr>
        <w:t>not-yet</w:t>
      </w:r>
      <w:r w:rsidRPr="00044165">
        <w:rPr>
          <w:rFonts w:ascii="Times New Roman" w:hAnsi="Times New Roman" w:cs="Times New Roman"/>
        </w:rPr>
        <w:t xml:space="preserve">-spoken link in the utterance chain </w:t>
      </w:r>
      <w:r>
        <w:rPr>
          <w:rFonts w:ascii="Times New Roman" w:hAnsi="Times New Roman" w:cs="Times New Roman"/>
        </w:rPr>
        <w:t xml:space="preserve">focuses on the anticipated response of the listener(s) to the speaker’s words and nonverbal gestures. In other words, speakers frame their utterances by thinking of the listener’s anticipated responses. The proximal not-yet-spoken link, the literal exchange between </w:t>
      </w:r>
      <w:r w:rsidRPr="00475960">
        <w:rPr>
          <w:rFonts w:ascii="Times New Roman" w:hAnsi="Times New Roman" w:cs="Times New Roman"/>
          <w:i/>
          <w:iCs/>
        </w:rPr>
        <w:t>self</w:t>
      </w:r>
      <w:r>
        <w:rPr>
          <w:rFonts w:ascii="Times New Roman" w:hAnsi="Times New Roman" w:cs="Times New Roman"/>
        </w:rPr>
        <w:t xml:space="preserve"> and </w:t>
      </w:r>
      <w:r w:rsidRPr="00475960">
        <w:rPr>
          <w:rFonts w:ascii="Times New Roman" w:hAnsi="Times New Roman" w:cs="Times New Roman"/>
          <w:i/>
          <w:iCs/>
        </w:rPr>
        <w:t>other</w:t>
      </w:r>
      <w:r>
        <w:rPr>
          <w:rFonts w:ascii="Times New Roman" w:hAnsi="Times New Roman" w:cs="Times New Roman"/>
        </w:rPr>
        <w:t xml:space="preserve">, raises a question regarding the meaning of similarities (i.e., one’s empathy to the other) and differences (i.e., one’s excess of seeing from the other) between </w:t>
      </w:r>
      <w:r w:rsidRPr="003770C4">
        <w:rPr>
          <w:rFonts w:ascii="Times New Roman" w:hAnsi="Times New Roman" w:cs="Times New Roman"/>
          <w:i/>
          <w:iCs/>
        </w:rPr>
        <w:t xml:space="preserve">self </w:t>
      </w:r>
      <w:r>
        <w:rPr>
          <w:rFonts w:ascii="Times New Roman" w:hAnsi="Times New Roman" w:cs="Times New Roman"/>
        </w:rPr>
        <w:t xml:space="preserve">and </w:t>
      </w:r>
      <w:r w:rsidRPr="003770C4">
        <w:rPr>
          <w:rFonts w:ascii="Times New Roman" w:hAnsi="Times New Roman" w:cs="Times New Roman"/>
          <w:i/>
          <w:iCs/>
        </w:rPr>
        <w:t>other</w:t>
      </w:r>
      <w:r>
        <w:rPr>
          <w:rFonts w:ascii="Times New Roman" w:hAnsi="Times New Roman" w:cs="Times New Roman"/>
        </w:rPr>
        <w:t xml:space="preserve">. From the symbolic interactionism perspective, </w:t>
      </w:r>
      <w:r>
        <w:rPr>
          <w:rFonts w:ascii="Times New Roman" w:hAnsi="Times New Roman" w:cs="Times New Roman"/>
        </w:rPr>
        <w:fldChar w:fldCharType="begin"/>
      </w:r>
      <w:r>
        <w:rPr>
          <w:rFonts w:ascii="Times New Roman" w:hAnsi="Times New Roman" w:cs="Times New Roman"/>
        </w:rPr>
        <w:instrText xml:space="preserve"> ADDIN EN.CITE &lt;EndNote&gt;&lt;Cite AuthorYear="1"&gt;&lt;Author&gt;Mead&lt;/Author&gt;&lt;Year&gt;1934&lt;/Year&gt;&lt;RecNum&gt;863&lt;/RecNum&gt;&lt;DisplayText&gt;Mead (1934)&lt;/DisplayText&gt;&lt;record&gt;&lt;rec-number&gt;863&lt;/rec-number&gt;&lt;foreign-keys&gt;&lt;key app="EN" db-id="2pe9e00ros0veneeptspa5vhz0pw2az52v20" timestamp="1576113338" guid="cd016fd4-e867-4773-9d46-630949e2909b"&gt;863&lt;/key&gt;&lt;/foreign-keys&gt;&lt;ref-type name="Book"&gt;6&lt;/ref-type&gt;&lt;contributors&gt;&lt;authors&gt;&lt;author&gt;Mead, George Herbert&lt;/author&gt;&lt;/authors&gt;&lt;/contributors&gt;&lt;titles&gt;&lt;title&gt;Mind, self and society&lt;/title&gt;&lt;/titles&gt;&lt;section&gt;253-257&lt;/section&gt;&lt;dates&gt;&lt;year&gt;1934&lt;/year&gt;&lt;/dates&gt;&lt;pub-location&gt;Chicago&lt;/pub-location&gt;&lt;publisher&gt;University of Chicago Press.&lt;/publisher&gt;&lt;urls&gt;&lt;/urls&gt;&lt;/record&gt;&lt;/Cite&gt;&lt;/EndNote&gt;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Mead (1934)</w:t>
      </w:r>
      <w:r>
        <w:rPr>
          <w:rFonts w:ascii="Times New Roman" w:hAnsi="Times New Roman" w:cs="Times New Roman"/>
        </w:rPr>
        <w:fldChar w:fldCharType="end"/>
      </w:r>
      <w:r>
        <w:rPr>
          <w:rFonts w:ascii="Times New Roman" w:hAnsi="Times New Roman" w:cs="Times New Roman"/>
        </w:rPr>
        <w:t xml:space="preserve"> proposes “taking the role of the other,” </w:t>
      </w:r>
      <w:r w:rsidRPr="00396013">
        <w:rPr>
          <w:rFonts w:ascii="Times New Roman" w:hAnsi="Times New Roman" w:cs="Times New Roman"/>
        </w:rPr>
        <w:t>which means that an individual takes the same socio-physiological way to become conscious of oneself and others. Further, one</w:t>
      </w:r>
      <w:r>
        <w:rPr>
          <w:rFonts w:ascii="Times New Roman" w:hAnsi="Times New Roman" w:cs="Times New Roman"/>
        </w:rPr>
        <w:t>’</w:t>
      </w:r>
      <w:r w:rsidRPr="00396013">
        <w:rPr>
          <w:rFonts w:ascii="Times New Roman" w:hAnsi="Times New Roman" w:cs="Times New Roman"/>
        </w:rPr>
        <w:t xml:space="preserve">s consciousness of oneself and others </w:t>
      </w:r>
      <w:r>
        <w:rPr>
          <w:rFonts w:ascii="Times New Roman" w:hAnsi="Times New Roman" w:cs="Times New Roman"/>
        </w:rPr>
        <w:t>is</w:t>
      </w:r>
      <w:r w:rsidRPr="00396013">
        <w:rPr>
          <w:rFonts w:ascii="Times New Roman" w:hAnsi="Times New Roman" w:cs="Times New Roman"/>
        </w:rPr>
        <w:t xml:space="preserve"> equally important for self-development and </w:t>
      </w:r>
      <w:r>
        <w:rPr>
          <w:rFonts w:ascii="Times New Roman" w:hAnsi="Times New Roman" w:cs="Times New Roman"/>
        </w:rPr>
        <w:t>developing</w:t>
      </w:r>
      <w:r w:rsidRPr="00396013">
        <w:rPr>
          <w:rFonts w:ascii="Times New Roman" w:hAnsi="Times New Roman" w:cs="Times New Roman"/>
        </w:rPr>
        <w:t xml:space="preserve"> the organized society or social group to which he belongs</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&lt;EndNote&gt;&lt;Cite&gt;&lt;Author&gt;Golden&lt;/Author&gt;&lt;Year&gt;2003&lt;/Year&gt;&lt;RecNum&gt;2183&lt;/RecNum&gt;&lt;DisplayText&gt;(Golden et al., 2003)&lt;/DisplayText&gt;&lt;record&gt;&lt;rec-number&gt;2183&lt;/rec-number&gt;&lt;foreign-keys&gt;&lt;key app="EN" db-id="2pe9e00ros0veneeptspa5vhz0pw2az52v20" timestamp="1698190945" guid="dadffa54-35ab-47c3-acbb-8fa1c13f21b8"&gt;2183&lt;/key&gt;&lt;/foreign-keys&gt;&lt;ref-type name="Book"&gt;6&lt;/ref-type&gt;&lt;contributors&gt;&lt;authors&gt;&lt;author&gt;Golden, James L&lt;/author&gt;&lt;author&gt;Berquist, Goodwin F. &lt;/author&gt;&lt;author&gt;Coleman, William E. &lt;/author&gt;&lt;author&gt;Sproule, Michael J. &lt;/author&gt;&lt;/authors&gt;&lt;/contributors&gt;&lt;titles&gt;&lt;title&gt;The rhetoric of western thought: from the Mediteranean world to the global setting&lt;/title&gt;&lt;/titles&gt;&lt;edition&gt;2nd&lt;/edition&gt;&lt;dates&gt;&lt;year&gt;2003&lt;/year&gt;&lt;/dates&gt;&lt;publisher&gt;Kendall Hunt&lt;/publisher&gt;&lt;urls&gt;&lt;/urls&gt;&lt;/record&gt;&lt;/Cite&gt;&lt;/EndNote&gt;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(Golden et al., 2003)</w:t>
      </w:r>
      <w:r>
        <w:rPr>
          <w:rFonts w:ascii="Times New Roman" w:hAnsi="Times New Roman" w:cs="Times New Roman"/>
        </w:rPr>
        <w:fldChar w:fldCharType="end"/>
      </w:r>
      <w:r>
        <w:rPr>
          <w:rFonts w:ascii="Times New Roman" w:hAnsi="Times New Roman" w:cs="Times New Roman"/>
        </w:rPr>
        <w:t xml:space="preserve">. From the dialogic perspective, the self is formed by listening to others (i.e., addressivity) and responding to others </w:t>
      </w:r>
      <w:r>
        <w:rPr>
          <w:rFonts w:ascii="Times New Roman" w:hAnsi="Times New Roman" w:cs="Times New Roman"/>
        </w:rPr>
        <w:fldChar w:fldCharType="begin"/>
      </w:r>
      <w:r>
        <w:rPr>
          <w:rFonts w:ascii="Times New Roman" w:hAnsi="Times New Roman" w:cs="Times New Roman"/>
        </w:rPr>
        <w:instrText xml:space="preserve"> ADDIN EN.CITE &lt;EndNote&gt;&lt;Cite&gt;&lt;Author&gt;Koczanowicz&lt;/Author&gt;&lt;Year&gt;2000&lt;/Year&gt;&lt;RecNum&gt;2184&lt;/RecNum&gt;&lt;Prefix&gt;i.e.`, answerability`; &lt;/Prefix&gt;&lt;DisplayText&gt;(i.e., answerability; Koczanowicz, 2000)&lt;/DisplayText&gt;&lt;record&gt;&lt;rec-number&gt;2184&lt;/rec-number&gt;&lt;foreign-keys&gt;&lt;key app="EN" db-id="2pe9e00ros0veneeptspa5vhz0pw2az52v20" timestamp="1698193247" guid="3c970e39-3e1b-453c-960f-a75657613014"&gt;2184&lt;/key&gt;&lt;/foreign-keys&gt;&lt;ref-type name="Journal Article"&gt;17&lt;/ref-type&gt;&lt;contributors&gt;&lt;authors&gt;&lt;author&gt;Koczanowicz, Leszek&lt;/author&gt;&lt;/authors&gt;&lt;/contributors&gt;&lt;titles&gt;&lt;title&gt;Freedom and communication: The concept of human self in Mead and Bakhtin&lt;/title&gt;&lt;secondary-title&gt;Dialogism: An International Journal of Bakhtin Studies&lt;/secondary-title&gt;&lt;/titles&gt;&lt;periodical&gt;&lt;full-title&gt;Dialogism: An International Journal of Bakhtin Studies&lt;/full-title&gt;&lt;/periodical&gt;&lt;pages&gt;54-66&lt;/pages&gt;&lt;volume&gt;4&lt;/volume&gt;&lt;keywords&gt;&lt;keyword&gt;LIBERTY&lt;/keyword&gt;&lt;keyword&gt;COMMUNICATION&lt;/keyword&gt;&lt;keyword&gt;PHILOSOPHY&lt;/keyword&gt;&lt;keyword&gt;CRITICISM&lt;/keyword&gt;&lt;keyword&gt;MEAD, George Herbert, 1863-1931&lt;/keyword&gt;&lt;keyword&gt;BAKHTIN, M. M. (Mikhail Mikhailovich), 1895-1975&lt;/keyword&gt;&lt;/keywords&gt;&lt;dates&gt;&lt;year&gt;2000&lt;/year&gt;&lt;/dates&gt;&lt;isbn&gt;13650637&lt;/isbn&gt;&lt;accession-num&gt;4723231&lt;/accession-num&gt;&lt;urls&gt;&lt;/urls&gt;&lt;remote-database-name&gt;Academic Search Premier&lt;/remote-database-name&gt;&lt;remote-database-provider&gt;EBSCOhost&lt;/remote-database-provider&gt;&lt;/record&gt;&lt;/Cite&gt;&lt;/EndNote&gt;</w:instrText>
      </w:r>
      <w:r>
        <w:rPr>
          <w:rFonts w:ascii="Times New Roman" w:hAnsi="Times New Roman" w:cs="Times New Roman"/>
        </w:rPr>
        <w:fldChar w:fldCharType="separate"/>
      </w:r>
      <w:r>
        <w:rPr>
          <w:rFonts w:ascii="Times New Roman" w:hAnsi="Times New Roman" w:cs="Times New Roman"/>
          <w:noProof/>
        </w:rPr>
        <w:t>(i.e., answerability; Koczanowicz, 2000)</w:t>
      </w:r>
      <w:r>
        <w:rPr>
          <w:rFonts w:ascii="Times New Roman" w:hAnsi="Times New Roman" w:cs="Times New Roman"/>
        </w:rPr>
        <w:fldChar w:fldCharType="end"/>
      </w:r>
      <w:r>
        <w:rPr>
          <w:rFonts w:ascii="Times New Roman" w:hAnsi="Times New Roman" w:cs="Times New Roman"/>
        </w:rPr>
        <w:t xml:space="preserve">, and then the </w:t>
      </w:r>
      <w:r>
        <w:rPr>
          <w:rFonts w:ascii="Times New Roman" w:hAnsi="Times New Roman" w:cs="Times New Roman"/>
        </w:rPr>
        <w:lastRenderedPageBreak/>
        <w:t xml:space="preserve">self-identity is ongoingly constructed in the interactions that “manifest similarities and differences in systems of meaning between speakers” </w:t>
      </w:r>
      <w:r>
        <w:rPr>
          <w:rFonts w:ascii="Times New Roman" w:hAnsi="Times New Roman" w:cs="Times New Roman"/>
        </w:rPr>
        <w:fldChar w:fldCharType="begin"/>
      </w:r>
      <w:r>
        <w:rPr>
          <w:rFonts w:ascii="Times New Roman" w:hAnsi="Times New Roman" w:cs="Times New Roman"/>
        </w:rPr>
        <w:instrText xml:space="preserve"> ADDIN EN.CITE &lt;EndNote&gt;&lt;Cite&gt;&lt;Author&gt;Baxter&lt;/Author&gt;&lt;Year&gt;2011&lt;/Year&gt;&lt;RecNum&gt;1633&lt;/RecNum&gt;&lt;Pages&gt;103&lt;/Pages&gt;&lt;DisplayText&gt;(Baxter, 2011, p. 103)&lt;/DisplayText&gt;&lt;record&gt;&lt;rec-number&gt;1633&lt;/rec-number&gt;&lt;foreign-keys&gt;&lt;key app="EN" db-id="2pe9e00ros0veneeptspa5vhz0pw2az52v20" timestamp="1651286064" guid="faff47c4-c762-4121-b9c8-9978bd77054b"&gt;1633&lt;/key&gt;&lt;/foreign-keys&gt;&lt;ref-type name="Book"&gt;6&lt;/ref-type&gt;&lt;contributors&gt;&lt;authors&gt;&lt;author&gt;Baxter, Leslie A.&lt;/author&gt;&lt;/authors&gt;&lt;/contributors&gt;&lt;titles&gt;&lt;title&gt;Voicing relationships: a dialogic perspective&lt;/title&gt;&lt;/titles&gt;&lt;keywords&gt;&lt;keyword&gt;Bakhtin, M. M. (Mikhail Mikhaĭlovich), 1895-1975&lt;/keyword&gt;&lt;keyword&gt;Interpersonal relations&lt;/keyword&gt;&lt;keyword&gt;Dialogue analysis&lt;/keyword&gt;&lt;/keywords&gt;&lt;dates&gt;&lt;year&gt;2011&lt;/year&gt;&lt;/dates&gt;&lt;pub-location&gt;Thousand Oaks, Calif.&lt;/pub-location&gt;&lt;publisher&gt;SAGE Publications, Inc&lt;/publisher&gt;&lt;urls&gt;&lt;/urls&gt;&lt;/record&gt;&lt;/Cite&gt;&lt;/EndNote&gt;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(Baxter, 2011, p. 103)</w:t>
      </w:r>
      <w:r>
        <w:rPr>
          <w:rFonts w:ascii="Times New Roman" w:hAnsi="Times New Roman" w:cs="Times New Roman"/>
        </w:rPr>
        <w:fldChar w:fldCharType="end"/>
      </w:r>
      <w:r>
        <w:rPr>
          <w:rFonts w:ascii="Times New Roman" w:hAnsi="Times New Roman" w:cs="Times New Roman"/>
        </w:rPr>
        <w:t xml:space="preserve">. </w:t>
      </w:r>
    </w:p>
    <w:p w14:paraId="62BC23A0" w14:textId="77777777" w:rsidR="00256B3D" w:rsidRPr="00097C95" w:rsidRDefault="00256B3D" w:rsidP="00256B3D">
      <w:pPr>
        <w:spacing w:line="480" w:lineRule="auto"/>
        <w:ind w:firstLine="720"/>
        <w:rPr>
          <w:rFonts w:ascii="Times New Roman" w:hAnsi="Times New Roman" w:cs="Times New Roman"/>
        </w:rPr>
      </w:pPr>
      <w:r>
        <w:rPr>
          <w:rFonts w:ascii="Times New Roman" w:hAnsi="Times New Roman" w:cs="Times New Roman"/>
        </w:rPr>
        <w:t xml:space="preserve">These two perspectives ground two research groups about the meaning of differences between </w:t>
      </w:r>
      <w:r w:rsidRPr="003770C4">
        <w:rPr>
          <w:rFonts w:ascii="Times New Roman" w:hAnsi="Times New Roman" w:cs="Times New Roman"/>
          <w:i/>
          <w:iCs/>
        </w:rPr>
        <w:t xml:space="preserve">self </w:t>
      </w:r>
      <w:r>
        <w:rPr>
          <w:rFonts w:ascii="Times New Roman" w:hAnsi="Times New Roman" w:cs="Times New Roman"/>
        </w:rPr>
        <w:t xml:space="preserve">and </w:t>
      </w:r>
      <w:r w:rsidRPr="003770C4">
        <w:rPr>
          <w:rFonts w:ascii="Times New Roman" w:hAnsi="Times New Roman" w:cs="Times New Roman"/>
          <w:i/>
          <w:iCs/>
        </w:rPr>
        <w:t>other</w:t>
      </w:r>
      <w:r>
        <w:rPr>
          <w:rFonts w:ascii="Times New Roman" w:hAnsi="Times New Roman" w:cs="Times New Roman"/>
        </w:rPr>
        <w:t xml:space="preserve">. Many communication scholars adopt Mead’s symbolic interactionism for research, in which language use is to reach a consensual and united viewpoint between the self and others </w:t>
      </w:r>
      <w:r>
        <w:rPr>
          <w:rFonts w:ascii="Times New Roman" w:hAnsi="Times New Roman" w:cs="Times New Roman"/>
        </w:rPr>
        <w:fldChar w:fldCharType="begin"/>
      </w:r>
      <w:r>
        <w:rPr>
          <w:rFonts w:ascii="Times New Roman" w:hAnsi="Times New Roman" w:cs="Times New Roman"/>
        </w:rPr>
        <w:instrText xml:space="preserve"> ADDIN EN.CITE &lt;EndNote&gt;&lt;Cite&gt;&lt;Author&gt;Blumer&lt;/Author&gt;&lt;Year&gt;1969&lt;/Year&gt;&lt;RecNum&gt;2241&lt;/RecNum&gt;&lt;DisplayText&gt;(Blumer, 1969)&lt;/DisplayText&gt;&lt;record&gt;&lt;rec-number&gt;2241&lt;/rec-number&gt;&lt;foreign-keys&gt;&lt;key app="EN" db-id="2pe9e00ros0veneeptspa5vhz0pw2az52v20" timestamp="1699143112" guid="14443173-3fef-4ae8-a933-c39910186748"&gt;2241&lt;/key&gt;&lt;/foreign-keys&gt;&lt;ref-type name="Book"&gt;6&lt;/ref-type&gt;&lt;contributors&gt;&lt;authors&gt;&lt;author&gt;Blumer, Herbert&lt;/author&gt;&lt;/authors&gt;&lt;/contributors&gt;&lt;titles&gt;&lt;title&gt;Symbolic interactionism: Perspective and method&lt;/title&gt;&lt;/titles&gt;&lt;dates&gt;&lt;year&gt;1969&lt;/year&gt;&lt;/dates&gt;&lt;publisher&gt;Univ of California Press&lt;/publisher&gt;&lt;isbn&gt;0520056760&lt;/isbn&gt;&lt;urls&gt;&lt;/urls&gt;&lt;/record&gt;&lt;/Cite&gt;&lt;/EndNote&gt;</w:instrText>
      </w:r>
      <w:r>
        <w:rPr>
          <w:rFonts w:ascii="Times New Roman" w:hAnsi="Times New Roman" w:cs="Times New Roman"/>
        </w:rPr>
        <w:fldChar w:fldCharType="separate"/>
      </w:r>
      <w:r>
        <w:rPr>
          <w:rFonts w:ascii="Times New Roman" w:hAnsi="Times New Roman" w:cs="Times New Roman"/>
          <w:noProof/>
        </w:rPr>
        <w:t>(Blumer, 1969)</w:t>
      </w:r>
      <w:r>
        <w:rPr>
          <w:rFonts w:ascii="Times New Roman" w:hAnsi="Times New Roman" w:cs="Times New Roman"/>
        </w:rPr>
        <w:fldChar w:fldCharType="end"/>
      </w:r>
      <w:r>
        <w:rPr>
          <w:rFonts w:ascii="Times New Roman" w:hAnsi="Times New Roman" w:cs="Times New Roman"/>
        </w:rPr>
        <w:t xml:space="preserve">. This approach assumes that differences are disliked and need to be erased (or at least managed) through interactions. For example, the “conflict grid” identified five styles of managing conflicts, including </w:t>
      </w:r>
      <w:r w:rsidRPr="006F5995">
        <w:rPr>
          <w:rFonts w:ascii="Times New Roman" w:hAnsi="Times New Roman" w:cs="Times New Roman"/>
        </w:rPr>
        <w:t>competing, collaborating, compromising,</w:t>
      </w:r>
      <w:r>
        <w:rPr>
          <w:rFonts w:ascii="Times New Roman" w:hAnsi="Times New Roman" w:cs="Times New Roman"/>
        </w:rPr>
        <w:t xml:space="preserve"> </w:t>
      </w:r>
      <w:r w:rsidRPr="006F5995">
        <w:rPr>
          <w:rFonts w:ascii="Times New Roman" w:hAnsi="Times New Roman" w:cs="Times New Roman"/>
        </w:rPr>
        <w:t>avoiding</w:t>
      </w:r>
      <w:r>
        <w:rPr>
          <w:rFonts w:ascii="Times New Roman" w:hAnsi="Times New Roman" w:cs="Times New Roman"/>
        </w:rPr>
        <w:t>,</w:t>
      </w:r>
      <w:r w:rsidRPr="006F5995">
        <w:rPr>
          <w:rFonts w:ascii="Times New Roman" w:hAnsi="Times New Roman" w:cs="Times New Roman"/>
        </w:rPr>
        <w:t xml:space="preserve"> and accommodating</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&lt;EndNote&gt;&lt;Cite&gt;&lt;Author&gt;Blake&lt;/Author&gt;&lt;Year&gt;1981&lt;/Year&gt;&lt;RecNum&gt;2188&lt;/RecNum&gt;&lt;DisplayText&gt;(Blake &amp;amp; Mouton, 1981; Rahim, 2023)&lt;/DisplayText&gt;&lt;record&gt;&lt;rec-number&gt;2188&lt;/rec-number&gt;&lt;foreign-keys&gt;&lt;key app="EN" db-id="2pe9e00ros0veneeptspa5vhz0pw2az52v20" timestamp="1698196704" guid="c7b1097b-fa7e-4fa8-b6cd-917619b7674d"&gt;2188&lt;/key&gt;&lt;/foreign-keys&gt;&lt;ref-type name="Journal Article"&gt;17&lt;/ref-type&gt;&lt;contributors&gt;&lt;authors&gt;&lt;author&gt;Blake, Robert R.&lt;/author&gt;&lt;author&gt;Mouton, Jane S.&lt;/author&gt;&lt;/authors&gt;&lt;/contributors&gt;&lt;titles&gt;&lt;title&gt;Management by Grid® Principles or Situationalism: Which?&lt;/title&gt;&lt;secondary-title&gt;Group &amp;amp; Organization Studies&lt;/secondary-title&gt;&lt;/titles&gt;&lt;periodical&gt;&lt;full-title&gt;Group &amp;amp; Organization Studies&lt;/full-title&gt;&lt;/periodical&gt;&lt;pages&gt;439-455&lt;/pages&gt;&lt;volume&gt;6&lt;/volume&gt;&lt;number&gt;4&lt;/number&gt;&lt;dates&gt;&lt;year&gt;1981&lt;/year&gt;&lt;/dates&gt;&lt;urls&gt;&lt;related-urls&gt;&lt;url&gt;https://journals.sagepub.com/doi/abs/10.1177/105960118100600404&lt;/url&gt;&lt;/related-urls&gt;&lt;/urls&gt;&lt;electronic-resource-num&gt;10.1177/105960118100600404&lt;/electronic-resource-num&gt;&lt;/record&gt;&lt;/Cite&gt;&lt;Cite&gt;&lt;Author&gt;Rahim&lt;/Author&gt;&lt;Year&gt;2023&lt;/Year&gt;&lt;RecNum&gt;2300&lt;/RecNum&gt;&lt;record&gt;&lt;rec-number&gt;2300&lt;/rec-number&gt;&lt;foreign-keys&gt;&lt;key app="EN" db-id="2pe9e00ros0veneeptspa5vhz0pw2az52v20" timestamp="1710862436" guid="0f46b2f6-7b3e-4961-a774-a51037a008f7"&gt;2300&lt;/key&gt;&lt;/foreign-keys&gt;&lt;ref-type name="Book"&gt;6&lt;/ref-type&gt;&lt;contributors&gt;&lt;authors&gt;&lt;author&gt;Rahim, M Afzalur&lt;/author&gt;&lt;/authors&gt;&lt;/contributors&gt;&lt;titles&gt;&lt;title&gt;Managing conflict in organizations&lt;/title&gt;&lt;/titles&gt;&lt;dates&gt;&lt;year&gt;2023&lt;/year&gt;&lt;/dates&gt;&lt;publisher&gt;Routledge&lt;/publisher&gt;&lt;isbn&gt;1003285864&lt;/isbn&gt;&lt;urls&gt;&lt;/urls&gt;&lt;/record&gt;&lt;/Cite&gt;&lt;/EndNote&gt;</w:instrText>
      </w:r>
      <w:r>
        <w:rPr>
          <w:rFonts w:ascii="Times New Roman" w:hAnsi="Times New Roman" w:cs="Times New Roman"/>
        </w:rPr>
        <w:fldChar w:fldCharType="separate"/>
      </w:r>
      <w:r>
        <w:rPr>
          <w:rFonts w:ascii="Times New Roman" w:hAnsi="Times New Roman" w:cs="Times New Roman"/>
          <w:noProof/>
        </w:rPr>
        <w:t>(Blake &amp; Mouton, 1981; Rahim, 2023)</w:t>
      </w:r>
      <w:r>
        <w:rPr>
          <w:rFonts w:ascii="Times New Roman" w:hAnsi="Times New Roman" w:cs="Times New Roman"/>
        </w:rPr>
        <w:fldChar w:fldCharType="end"/>
      </w:r>
      <w:r>
        <w:rPr>
          <w:rFonts w:ascii="Times New Roman" w:hAnsi="Times New Roman" w:cs="Times New Roman"/>
        </w:rPr>
        <w:t xml:space="preserve">. However, the dialogical approach assumes that conflicts as normal and positive sites are constitutive of meanings </w:t>
      </w:r>
      <w:r>
        <w:rPr>
          <w:rFonts w:ascii="Times New Roman" w:hAnsi="Times New Roman" w:cs="Times New Roman"/>
        </w:rPr>
        <w:fldChar w:fldCharType="begin"/>
      </w:r>
      <w:r>
        <w:rPr>
          <w:rFonts w:ascii="Times New Roman" w:hAnsi="Times New Roman" w:cs="Times New Roman"/>
        </w:rPr>
        <w:instrText xml:space="preserve"> ADDIN EN.CITE &lt;EndNote&gt;&lt;Cite&gt;&lt;Author&gt;Bakhtin&lt;/Author&gt;&lt;Year&gt;1986&lt;/Year&gt;&lt;RecNum&gt;2132&lt;/RecNum&gt;&lt;DisplayText&gt;(Bakhtin, 1986)&lt;/DisplayText&gt;&lt;record&gt;&lt;rec-number&gt;2132&lt;/rec-number&gt;&lt;foreign-keys&gt;&lt;key app="EN" db-id="2pe9e00ros0veneeptspa5vhz0pw2az52v20" timestamp="1697581283" guid="21362f54-b464-49e3-9b73-19a74e00be0a"&gt;2132&lt;/key&gt;&lt;/foreign-keys&gt;&lt;ref-type name="Book"&gt;6&lt;/ref-type&gt;&lt;contributors&gt;&lt;authors&gt;&lt;author&gt;Bakhtin, Mikhail Mikhaĭlovich&lt;/author&gt;&lt;/authors&gt;&lt;subsidiary-authors&gt;&lt;author&gt;V. W. McGee&lt;/author&gt;&lt;/subsidiary-authors&gt;&lt;/contributors&gt;&lt;titles&gt;&lt;title&gt;Speech genres and other late essays&lt;/title&gt;&lt;/titles&gt;&lt;dates&gt;&lt;year&gt;1986&lt;/year&gt;&lt;/dates&gt;&lt;publisher&gt;University of Texas Press&lt;/publisher&gt;&lt;isbn&gt;029278287X&lt;/isbn&gt;&lt;urls&gt;&lt;/urls&gt;&lt;/record&gt;&lt;/Cite&gt;&lt;/EndNote&gt;</w:instrText>
      </w:r>
      <w:r>
        <w:rPr>
          <w:rFonts w:ascii="Times New Roman" w:hAnsi="Times New Roman" w:cs="Times New Roman"/>
        </w:rPr>
        <w:fldChar w:fldCharType="separate"/>
      </w:r>
      <w:r>
        <w:rPr>
          <w:rFonts w:ascii="Times New Roman" w:hAnsi="Times New Roman" w:cs="Times New Roman"/>
          <w:noProof/>
        </w:rPr>
        <w:t>(Bakhtin, 1986)</w:t>
      </w:r>
      <w:r>
        <w:rPr>
          <w:rFonts w:ascii="Times New Roman" w:hAnsi="Times New Roman" w:cs="Times New Roman"/>
        </w:rPr>
        <w:fldChar w:fldCharType="end"/>
      </w:r>
      <w:r>
        <w:rPr>
          <w:rFonts w:ascii="Times New Roman" w:hAnsi="Times New Roman" w:cs="Times New Roman"/>
        </w:rPr>
        <w:t>, and</w:t>
      </w:r>
      <w:r w:rsidRPr="00142FBF">
        <w:rPr>
          <w:rFonts w:ascii="Times New Roman" w:hAnsi="Times New Roman" w:cs="Times New Roman"/>
        </w:rPr>
        <w:t xml:space="preserve"> </w:t>
      </w:r>
      <w:r>
        <w:rPr>
          <w:rFonts w:ascii="Times New Roman" w:hAnsi="Times New Roman" w:cs="Times New Roman"/>
        </w:rPr>
        <w:t xml:space="preserve">discursive struggles are inherent in language. Communication scholars studying deliberation have applied the dialogical approach </w:t>
      </w:r>
      <w:r>
        <w:rPr>
          <w:rFonts w:ascii="Times New Roman" w:hAnsi="Times New Roman" w:cs="Times New Roman"/>
        </w:rPr>
        <w:fldChar w:fldCharType="begin"/>
      </w:r>
      <w:r>
        <w:rPr>
          <w:rFonts w:ascii="Times New Roman" w:hAnsi="Times New Roman" w:cs="Times New Roman"/>
        </w:rPr>
        <w:instrText xml:space="preserve"> ADDIN EN.CITE &lt;EndNote&gt;&lt;Cite&gt;&lt;Author&gt;Burkhalter&lt;/Author&gt;&lt;Year&gt;2002&lt;/Year&gt;&lt;RecNum&gt;1370&lt;/RecNum&gt;&lt;Prefix&gt;e.g.`, &lt;/Prefix&gt;&lt;DisplayText&gt;(e.g., Burkhalter et al., 2002; Gastil, 2008)&lt;/DisplayText&gt;&lt;record&gt;&lt;rec-number&gt;1370&lt;/rec-number&gt;&lt;foreign-keys&gt;&lt;key app="EN" db-id="2pe9e00ros0veneeptspa5vhz0pw2az52v20" timestamp="1635266634" guid="3f5d1e38-7e5f-4e6d-80f8-9b8b1ecaa9b8"&gt;1370&lt;/key&gt;&lt;/foreign-keys&gt;&lt;ref-type name="Journal Article"&gt;17&lt;/ref-type&gt;&lt;contributors&gt;&lt;authors&gt;&lt;author&gt;Burkhalter, Stephanie&lt;/author&gt;&lt;author&gt;Gastil, John&lt;/author&gt;&lt;author&gt;Kelshaw, Todd&lt;/author&gt;&lt;/authors&gt;&lt;/contributors&gt;&lt;titles&gt;&lt;title&gt;A conceptual definition and theoretical model of public deliberation in small face—to—face groups&lt;/title&gt;&lt;secondary-title&gt;Communication theory&lt;/secondary-title&gt;&lt;/titles&gt;&lt;periodical&gt;&lt;full-title&gt;Communication Theory&lt;/full-title&gt;&lt;/periodical&gt;&lt;pages&gt;398-422&lt;/pages&gt;&lt;volume&gt;12&lt;/volume&gt;&lt;number&gt;4&lt;/number&gt;&lt;dates&gt;&lt;year&gt;2002&lt;/year&gt;&lt;/dates&gt;&lt;isbn&gt;1050-3293&lt;/isbn&gt;&lt;urls&gt;&lt;/urls&gt;&lt;electronic-resource-num&gt;10.1111/j.1468-2885.2002.tb00276.x&lt;/electronic-resource-num&gt;&lt;/record&gt;&lt;/Cite&gt;&lt;Cite&gt;&lt;Author&gt;Gastil&lt;/Author&gt;&lt;Year&gt;2008&lt;/Year&gt;&lt;RecNum&gt;2189&lt;/RecNum&gt;&lt;record&gt;&lt;rec-number&gt;2189&lt;/rec-number&gt;&lt;foreign-keys&gt;&lt;key app="EN" db-id="2pe9e00ros0veneeptspa5vhz0pw2az52v20" timestamp="1698197205" guid="f9f1a620-6de8-4e39-b20d-edc7d529bf40"&gt;2189&lt;/key&gt;&lt;/foreign-keys&gt;&lt;ref-type name="Book"&gt;6&lt;/ref-type&gt;&lt;contributors&gt;&lt;authors&gt;&lt;author&gt;Gastil, John&lt;/author&gt;&lt;/authors&gt;&lt;/contributors&gt;&lt;titles&gt;&lt;title&gt;Political communication and deliberation&lt;/title&gt;&lt;/titles&gt;&lt;dates&gt;&lt;year&gt;2008&lt;/year&gt;&lt;/dates&gt;&lt;publisher&gt;Sage&lt;/publisher&gt;&lt;isbn&gt;1412916275&lt;/isbn&gt;&lt;urls&gt;&lt;/urls&gt;&lt;/record&gt;&lt;/Cite&gt;&lt;/EndNote&gt;</w:instrText>
      </w:r>
      <w:r>
        <w:rPr>
          <w:rFonts w:ascii="Times New Roman" w:hAnsi="Times New Roman" w:cs="Times New Roman"/>
        </w:rPr>
        <w:fldChar w:fldCharType="separate"/>
      </w:r>
      <w:r>
        <w:rPr>
          <w:rFonts w:ascii="Times New Roman" w:hAnsi="Times New Roman" w:cs="Times New Roman"/>
          <w:noProof/>
        </w:rPr>
        <w:t>(e.g., Burkhalter et al., 2002; Gastil, 2008)</w:t>
      </w:r>
      <w:r>
        <w:rPr>
          <w:rFonts w:ascii="Times New Roman" w:hAnsi="Times New Roman" w:cs="Times New Roman"/>
        </w:rPr>
        <w:fldChar w:fldCharType="end"/>
      </w:r>
      <w:r>
        <w:rPr>
          <w:rFonts w:ascii="Times New Roman" w:hAnsi="Times New Roman" w:cs="Times New Roman"/>
        </w:rPr>
        <w:t xml:space="preserve">. Typically, public dialogue, participatory democracy, and deliberative democracy suggest the constitutive approach of meaning-making. For example, </w:t>
      </w:r>
      <w:r>
        <w:rPr>
          <w:rFonts w:ascii="Times New Roman" w:hAnsi="Times New Roman" w:cs="Times New Roman"/>
        </w:rPr>
        <w:fldChar w:fldCharType="begin"/>
      </w:r>
      <w:r>
        <w:rPr>
          <w:rFonts w:ascii="Times New Roman" w:hAnsi="Times New Roman" w:cs="Times New Roman"/>
        </w:rPr>
        <w:instrText xml:space="preserve"> ADDIN EN.CITE &lt;EndNote&gt;&lt;Cite AuthorYear="1"&gt;&lt;Author&gt;Milam&lt;/Author&gt;&lt;Year&gt;2014&lt;/Year&gt;&lt;RecNum&gt;1925&lt;/RecNum&gt;&lt;DisplayText&gt;Milam and Heath (2014)&lt;/DisplayText&gt;&lt;record&gt;&lt;rec-number&gt;1925&lt;/rec-number&gt;&lt;foreign-keys&gt;&lt;key app="EN" db-id="2pe9e00ros0veneeptspa5vhz0pw2az52v20" timestamp="1693235967" guid="9eebfd74-824e-4d90-85b2-40abe08c1398"&gt;1925&lt;/key&gt;&lt;/foreign-keys&gt;&lt;ref-type name="Journal Article"&gt;17&lt;/ref-type&gt;&lt;contributors&gt;&lt;authors&gt;&lt;author&gt;Milam, Jessica MacDonald&lt;/author&gt;&lt;author&gt;Heath, Renee Guarriello&lt;/author&gt;&lt;/authors&gt;&lt;/contributors&gt;&lt;titles&gt;&lt;title&gt;Participative democracy and voice: Rethinking community collaboration beyond neutral structures&lt;/title&gt;&lt;secondary-title&gt;Journal of Applied Communication Research&lt;/secondary-title&gt;&lt;/titles&gt;&lt;periodical&gt;&lt;full-title&gt;Journal of Applied Communication Research&lt;/full-title&gt;&lt;/periodical&gt;&lt;pages&gt;366-386&lt;/pages&gt;&lt;volume&gt;42&lt;/volume&gt;&lt;number&gt;4&lt;/number&gt;&lt;dates&gt;&lt;year&gt;2014&lt;/year&gt;&lt;/dates&gt;&lt;isbn&gt;0090-9882&lt;/isbn&gt;&lt;urls&gt;&lt;/urls&gt;&lt;electronic-resource-num&gt;10.1080/00909882.2014.911944&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Milam and Heath (2014)</w:t>
      </w:r>
      <w:r>
        <w:rPr>
          <w:rFonts w:ascii="Times New Roman" w:hAnsi="Times New Roman" w:cs="Times New Roman"/>
        </w:rPr>
        <w:fldChar w:fldCharType="end"/>
      </w:r>
      <w:r>
        <w:rPr>
          <w:rFonts w:ascii="Times New Roman" w:hAnsi="Times New Roman" w:cs="Times New Roman"/>
        </w:rPr>
        <w:t xml:space="preserve"> rethink </w:t>
      </w:r>
      <w:r w:rsidRPr="008260C2">
        <w:rPr>
          <w:rFonts w:ascii="Times New Roman" w:hAnsi="Times New Roman" w:cs="Times New Roman"/>
        </w:rPr>
        <w:t>collaboration through the lens of participative democracy rather than as a neutral organizational structure or process.</w:t>
      </w:r>
      <w:r>
        <w:rPr>
          <w:rFonts w:ascii="Times New Roman" w:hAnsi="Times New Roman" w:cs="Times New Roman"/>
        </w:rPr>
        <w:t xml:space="preserve"> </w:t>
      </w:r>
    </w:p>
    <w:p w14:paraId="66AFA124" w14:textId="77777777" w:rsidR="00256B3D" w:rsidRDefault="00256B3D" w:rsidP="00256B3D">
      <w:pPr>
        <w:spacing w:line="480" w:lineRule="auto"/>
        <w:ind w:firstLine="720"/>
        <w:rPr>
          <w:rFonts w:ascii="Times New Roman" w:hAnsi="Times New Roman" w:cs="Times New Roman"/>
        </w:rPr>
      </w:pPr>
      <w:r w:rsidRPr="00E86BF3">
        <w:rPr>
          <w:rFonts w:ascii="Times New Roman" w:hAnsi="Times New Roman" w:cs="Times New Roman"/>
          <w:b/>
          <w:bCs/>
        </w:rPr>
        <w:t>Distal not-yet-spokens</w:t>
      </w:r>
      <w:r>
        <w:rPr>
          <w:rFonts w:ascii="Times New Roman" w:hAnsi="Times New Roman" w:cs="Times New Roman"/>
        </w:rPr>
        <w:t>. In RDT theorizing, t</w:t>
      </w:r>
      <w:r w:rsidRPr="00044165">
        <w:rPr>
          <w:rFonts w:ascii="Times New Roman" w:hAnsi="Times New Roman" w:cs="Times New Roman"/>
        </w:rPr>
        <w:t xml:space="preserve">he </w:t>
      </w:r>
      <w:r>
        <w:rPr>
          <w:rFonts w:ascii="Times New Roman" w:hAnsi="Times New Roman" w:cs="Times New Roman"/>
        </w:rPr>
        <w:t>distal not-yet</w:t>
      </w:r>
      <w:r w:rsidRPr="00044165">
        <w:rPr>
          <w:rFonts w:ascii="Times New Roman" w:hAnsi="Times New Roman" w:cs="Times New Roman"/>
        </w:rPr>
        <w:t xml:space="preserve">-spoken link in the utterance chain </w:t>
      </w:r>
      <w:r>
        <w:rPr>
          <w:rFonts w:ascii="Times New Roman" w:hAnsi="Times New Roman" w:cs="Times New Roman"/>
        </w:rPr>
        <w:t xml:space="preserve">focuses on the anticipated normative evaluation to be provided by a possible future listener. A future listener, the so-called third person, is an outsider who primarily functions to evaluate the present conversation. In short, speakers also adapt to their utterances by thinking about what a conversation should be in the future. </w:t>
      </w:r>
      <w:proofErr w:type="gramStart"/>
      <w:r>
        <w:rPr>
          <w:rFonts w:ascii="Times New Roman" w:hAnsi="Times New Roman" w:cs="Times New Roman"/>
        </w:rPr>
        <w:t>Similar to</w:t>
      </w:r>
      <w:proofErr w:type="gramEnd"/>
      <w:r>
        <w:rPr>
          <w:rFonts w:ascii="Times New Roman" w:hAnsi="Times New Roman" w:cs="Times New Roman"/>
        </w:rPr>
        <w:t xml:space="preserve"> the distal already-spoken link, which is about conventional norms, values, and </w:t>
      </w:r>
      <w:r w:rsidRPr="00044165">
        <w:rPr>
          <w:rFonts w:ascii="Times New Roman" w:hAnsi="Times New Roman" w:cs="Times New Roman"/>
        </w:rPr>
        <w:t>beliefs in cultural society</w:t>
      </w:r>
      <w:r>
        <w:rPr>
          <w:rFonts w:ascii="Times New Roman" w:hAnsi="Times New Roman" w:cs="Times New Roman"/>
        </w:rPr>
        <w:t xml:space="preserve">, the distal not-yet-spoken link stays mostly the same when we think about expectations in the near future. </w:t>
      </w:r>
      <w:r>
        <w:rPr>
          <w:rFonts w:ascii="Times New Roman" w:hAnsi="Times New Roman" w:cs="Times New Roman"/>
        </w:rPr>
        <w:lastRenderedPageBreak/>
        <w:t xml:space="preserve">However, the distal not-yet-spoken link will differ from the distal already-spoken link in the longitudinal perspective. </w:t>
      </w:r>
    </w:p>
    <w:p w14:paraId="7AC5D11E" w14:textId="77777777" w:rsidR="00256B3D" w:rsidRDefault="00256B3D" w:rsidP="00256B3D">
      <w:pPr>
        <w:spacing w:line="480" w:lineRule="auto"/>
        <w:ind w:firstLine="720"/>
        <w:rPr>
          <w:rFonts w:ascii="Times New Roman" w:hAnsi="Times New Roman" w:cs="Times New Roman"/>
        </w:rPr>
      </w:pPr>
      <w:r>
        <w:rPr>
          <w:rFonts w:ascii="Times New Roman" w:hAnsi="Times New Roman" w:cs="Times New Roman"/>
        </w:rPr>
        <w:t>Discursive struggles of “idealized romance” and “real family” apply the distal not-yet</w:t>
      </w:r>
      <w:r w:rsidRPr="00044165">
        <w:rPr>
          <w:rFonts w:ascii="Times New Roman" w:hAnsi="Times New Roman" w:cs="Times New Roman"/>
        </w:rPr>
        <w:t>-spoken link</w:t>
      </w:r>
      <w:r>
        <w:rPr>
          <w:rFonts w:ascii="Times New Roman" w:hAnsi="Times New Roman" w:cs="Times New Roman"/>
        </w:rPr>
        <w:t xml:space="preserve"> in the utterance chain. For example, the meaning system of ideal romance was dominant in heterosexuality in the past, but it is challenged by homosexuality in the present </w:t>
      </w:r>
      <w:r>
        <w:rPr>
          <w:rFonts w:ascii="Times New Roman" w:hAnsi="Times New Roman" w:cs="Times New Roman"/>
        </w:rPr>
        <w:fldChar w:fldCharType="begin">
          <w:fldData xml:space="preserve">PEVuZE5vdGU+PENpdGU+PEF1dGhvcj5Sb2lzbWFuPC9BdXRob3I+PFllYXI+MjAwODwvWWVhcj48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PEVuZE5vdGU+PENpdGU+PEF1dGhvcj5Sb2lzbWFuPC9BdXRob3I+PFllYXI+MjAwODwvWWVhcj48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(e.g., Peplau, 1982; Roisman et al., 2008)</w:t>
      </w:r>
      <w:r>
        <w:rPr>
          <w:rFonts w:ascii="Times New Roman" w:hAnsi="Times New Roman" w:cs="Times New Roman"/>
        </w:rPr>
        <w:fldChar w:fldCharType="end"/>
      </w:r>
      <w:r>
        <w:rPr>
          <w:rFonts w:ascii="Times New Roman" w:hAnsi="Times New Roman" w:cs="Times New Roman"/>
        </w:rPr>
        <w:t xml:space="preserve">. Additionally, </w:t>
      </w:r>
      <w:r>
        <w:rPr>
          <w:rFonts w:ascii="Times New Roman" w:hAnsi="Times New Roman" w:cs="Times New Roman"/>
        </w:rPr>
        <w:fldChar w:fldCharType="begin"/>
      </w:r>
      <w:r>
        <w:rPr>
          <w:rFonts w:ascii="Times New Roman" w:hAnsi="Times New Roman" w:cs="Times New Roman"/>
        </w:rPr>
        <w:instrText xml:space="preserve"> ADDIN EN.CITE &lt;EndNote&gt;&lt;Cite AuthorYear="1"&gt;&lt;Author&gt;Baxter&lt;/Author&gt;&lt;Year&gt;2009&lt;/Year&gt;&lt;RecNum&gt;2192&lt;/RecNum&gt;&lt;DisplayText&gt;Baxter et al. (2009)&lt;/DisplayText&gt;&lt;record&gt;&lt;rec-number&gt;2192&lt;/rec-number&gt;&lt;foreign-keys&gt;&lt;key app="EN" db-id="2pe9e00ros0veneeptspa5vhz0pw2az52v20" timestamp="1698200617" guid="110ae95a-20f9-4d9f-a4be-94d033bb1fa7"&gt;2192&lt;/key&gt;&lt;/foreign-keys&gt;&lt;ref-type name="Journal Article"&gt;17&lt;/ref-type&gt;&lt;contributors&gt;&lt;authors&gt;&lt;author&gt;Baxter, Leslie A.&lt;/author&gt;&lt;author&gt;Henauw, Caro&lt;/author&gt;&lt;author&gt;Huisman, Dena&lt;/author&gt;&lt;author&gt;Livesay, Curtis B.&lt;/author&gt;&lt;author&gt;Norwood, Kristen&lt;/author&gt;&lt;author&gt;Su, Hua&lt;/author&gt;&lt;author&gt;Wolf, Bianca&lt;/author&gt;&lt;author&gt;Young, Brendan&lt;/author&gt;&lt;/authors&gt;&lt;/contributors&gt;&lt;titles&gt;&lt;title&gt;Lay conceptions of “family”: A replication and extension&lt;/title&gt;&lt;secondary-title&gt;Journal of Family Communication&lt;/secondary-title&gt;&lt;/titles&gt;&lt;periodical&gt;&lt;full-title&gt;Journal of Family Communication&lt;/full-title&gt;&lt;/periodical&gt;&lt;pages&gt;170-189&lt;/pages&gt;&lt;volume&gt;9&lt;/volume&gt;&lt;number&gt;3&lt;/number&gt;&lt;dates&gt;&lt;year&gt;2009&lt;/year&gt;&lt;/dates&gt;&lt;publisher&gt;Routledge&lt;/publisher&gt;&lt;isbn&gt;1526-7431&lt;/isbn&gt;&lt;urls&gt;&lt;related-urls&gt;&lt;url&gt;https://doi.org/10.1080/15267430902963342&lt;/url&gt;&lt;/related-urls&gt;&lt;/urls&gt;&lt;electronic-resource-num&gt;10.1080/15267430902963342&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Baxter et al. (2009)</w:t>
      </w:r>
      <w:r>
        <w:rPr>
          <w:rFonts w:ascii="Times New Roman" w:hAnsi="Times New Roman" w:cs="Times New Roman"/>
        </w:rPr>
        <w:fldChar w:fldCharType="end"/>
      </w:r>
      <w:r>
        <w:rPr>
          <w:rFonts w:ascii="Times New Roman" w:hAnsi="Times New Roman" w:cs="Times New Roman"/>
        </w:rPr>
        <w:t xml:space="preserve"> replicated Trost’s </w:t>
      </w:r>
      <w:r>
        <w:rPr>
          <w:rFonts w:ascii="Times New Roman" w:hAnsi="Times New Roman" w:cs="Times New Roman"/>
        </w:rPr>
        <w:fldChar w:fldCharType="begin"/>
      </w:r>
      <w:r>
        <w:rPr>
          <w:rFonts w:ascii="Times New Roman" w:hAnsi="Times New Roman" w:cs="Times New Roman"/>
        </w:rPr>
        <w:instrText xml:space="preserve"> ADDIN EN.CITE &lt;EndNote&gt;&lt;Cite ExcludeAuth="1"&gt;&lt;Author&gt;Trost&lt;/Author&gt;&lt;Year&gt;1990&lt;/Year&gt;&lt;RecNum&gt;2193&lt;/RecNum&gt;&lt;DisplayText&gt;(1990)&lt;/DisplayText&gt;&lt;record&gt;&lt;rec-number&gt;2193&lt;/rec-number&gt;&lt;foreign-keys&gt;&lt;key app="EN" db-id="2pe9e00ros0veneeptspa5vhz0pw2az52v20" timestamp="1698200746" guid="9eaa9c2a-dc71-4a5f-8f53-548c856cdc0d"&gt;2193&lt;/key&gt;&lt;/foreign-keys&gt;&lt;ref-type name="Journal Article"&gt;17&lt;/ref-type&gt;&lt;contributors&gt;&lt;authors&gt;&lt;author&gt;Trost, Jan&lt;/author&gt;&lt;/authors&gt;&lt;/contributors&gt;&lt;titles&gt;&lt;title&gt;Do we mean the same by the concept of family&lt;/title&gt;&lt;secondary-title&gt;Communication Research&lt;/secondary-title&gt;&lt;/titles&gt;&lt;periodical&gt;&lt;full-title&gt;Communication Research&lt;/full-title&gt;&lt;/periodical&gt;&lt;pages&gt;431-443&lt;/pages&gt;&lt;volume&gt;17&lt;/volume&gt;&lt;number&gt;4&lt;/number&gt;&lt;dates&gt;&lt;year&gt;1990&lt;/year&gt;&lt;/dates&gt;&lt;urls&gt;&lt;related-urls&gt;&lt;url&gt;https://journals.sagepub.com/doi/abs/10.1177/009365090017004002&lt;/url&gt;&lt;/related-urls&gt;&lt;/urls&gt;&lt;electronic-resource-num&gt;10.1177/009365090017004002&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(1990)</w:t>
      </w:r>
      <w:r>
        <w:rPr>
          <w:rFonts w:ascii="Times New Roman" w:hAnsi="Times New Roman" w:cs="Times New Roman"/>
        </w:rPr>
        <w:fldChar w:fldCharType="end"/>
      </w:r>
      <w:r>
        <w:rPr>
          <w:rFonts w:ascii="Times New Roman" w:hAnsi="Times New Roman" w:cs="Times New Roman"/>
        </w:rPr>
        <w:t xml:space="preserve"> study of identifying characteristics of “family” and documented a different set of characteristics of an idealized family.</w:t>
      </w:r>
      <w:r w:rsidRPr="004A06B2">
        <w:rPr>
          <w:rFonts w:ascii="Times New Roman" w:hAnsi="Times New Roman" w:cs="Times New Roman"/>
        </w:rPr>
        <w:t xml:space="preserve"> </w:t>
      </w:r>
      <w:r>
        <w:rPr>
          <w:rFonts w:ascii="Times New Roman" w:hAnsi="Times New Roman" w:cs="Times New Roman"/>
        </w:rPr>
        <w:t>Research of the distal not-yet</w:t>
      </w:r>
      <w:r w:rsidRPr="00044165">
        <w:rPr>
          <w:rFonts w:ascii="Times New Roman" w:hAnsi="Times New Roman" w:cs="Times New Roman"/>
        </w:rPr>
        <w:t>-spoken link</w:t>
      </w:r>
      <w:r>
        <w:rPr>
          <w:rFonts w:ascii="Times New Roman" w:hAnsi="Times New Roman" w:cs="Times New Roman"/>
        </w:rPr>
        <w:t xml:space="preserve"> ties into documenting social changes, which is difficult to accomplish by scholars, so this part of the research is limited. </w:t>
      </w:r>
    </w:p>
    <w:p w14:paraId="11F47372" w14:textId="77777777" w:rsidR="00256B3D" w:rsidRPr="00C52F4A" w:rsidRDefault="00256B3D" w:rsidP="00256B3D">
      <w:pPr>
        <w:spacing w:line="480" w:lineRule="auto"/>
        <w:rPr>
          <w:rFonts w:ascii="Times New Roman" w:hAnsi="Times New Roman" w:cs="Times New Roman"/>
          <w:b/>
          <w:bCs/>
        </w:rPr>
      </w:pPr>
      <w:r w:rsidRPr="00C52F4A">
        <w:rPr>
          <w:rFonts w:ascii="Times New Roman" w:hAnsi="Times New Roman" w:cs="Times New Roman"/>
          <w:b/>
          <w:bCs/>
        </w:rPr>
        <w:t xml:space="preserve">Centripetal-centrifugal </w:t>
      </w:r>
      <w:r>
        <w:rPr>
          <w:rFonts w:ascii="Times New Roman" w:hAnsi="Times New Roman" w:cs="Times New Roman"/>
          <w:b/>
          <w:bCs/>
        </w:rPr>
        <w:t>S</w:t>
      </w:r>
      <w:r w:rsidRPr="00C52F4A">
        <w:rPr>
          <w:rFonts w:ascii="Times New Roman" w:hAnsi="Times New Roman" w:cs="Times New Roman"/>
          <w:b/>
          <w:bCs/>
        </w:rPr>
        <w:t>truggle</w:t>
      </w:r>
    </w:p>
    <w:p w14:paraId="69FDA684" w14:textId="77777777" w:rsidR="00256B3D" w:rsidRPr="00C52F4A" w:rsidRDefault="00256B3D" w:rsidP="00256B3D">
      <w:pPr>
        <w:spacing w:line="480" w:lineRule="auto"/>
        <w:ind w:firstLine="720"/>
        <w:rPr>
          <w:rFonts w:ascii="Times New Roman" w:hAnsi="Times New Roman" w:cs="Times New Roman"/>
        </w:rPr>
      </w:pPr>
      <w:r w:rsidRPr="00C52F4A">
        <w:rPr>
          <w:rFonts w:ascii="Times New Roman" w:hAnsi="Times New Roman" w:cs="Times New Roman"/>
        </w:rPr>
        <w:t>As mentioned above,</w:t>
      </w:r>
      <w:r>
        <w:rPr>
          <w:rFonts w:ascii="Times New Roman" w:hAnsi="Times New Roman" w:cs="Times New Roman"/>
        </w:rPr>
        <w:t xml:space="preserve"> within the language of RDT, </w:t>
      </w:r>
      <w:r w:rsidRPr="00C52F4A">
        <w:rPr>
          <w:rFonts w:ascii="Times New Roman" w:hAnsi="Times New Roman" w:cs="Times New Roman"/>
        </w:rPr>
        <w:t>an utterance chain represents discursive struggles, and meanings are worked from the struggle of competing discourses.</w:t>
      </w:r>
      <w:r>
        <w:rPr>
          <w:rFonts w:ascii="Times New Roman" w:hAnsi="Times New Roman" w:cs="Times New Roman"/>
        </w:rPr>
        <w:t xml:space="preserve"> </w:t>
      </w:r>
      <w:r w:rsidRPr="00C52F4A">
        <w:rPr>
          <w:rFonts w:ascii="Times New Roman" w:hAnsi="Times New Roman" w:cs="Times New Roman"/>
        </w:rPr>
        <w:t xml:space="preserve">Competing discourses are often not on an equal-power playing field, and </w:t>
      </w:r>
      <w:r w:rsidRPr="00C52F4A">
        <w:rPr>
          <w:rFonts w:ascii="Times New Roman" w:hAnsi="Times New Roman" w:cs="Times New Roman"/>
        </w:rPr>
        <w:fldChar w:fldCharType="begin"/>
      </w:r>
      <w:r w:rsidRPr="00C52F4A">
        <w:rPr>
          <w:rFonts w:ascii="Times New Roman" w:hAnsi="Times New Roman" w:cs="Times New Roman"/>
        </w:rPr>
        <w:instrText xml:space="preserve"> ADDIN EN.CITE &lt;EndNote&gt;&lt;Cite AuthorYear="1"&gt;&lt;Author&gt;Bakhtin&lt;/Author&gt;&lt;Year&gt;1981&lt;/Year&gt;&lt;RecNum&gt;1667&lt;/RecNum&gt;&lt;DisplayText&gt;Bakhtin (1981b)&lt;/DisplayText&gt;&lt;record&gt;&lt;rec-number&gt;1667&lt;/rec-number&gt;&lt;foreign-keys&gt;&lt;key app="EN" db-id="2pe9e00ros0veneeptspa5vhz0pw2az52v20" timestamp="1651806957" guid="b62c0f5a-4ea7-44ee-b369-f0c217769286"&gt;1667&lt;/key&gt;&lt;/foreign-keys&gt;&lt;ref-type name="Book Section"&gt;5&lt;/ref-type&gt;&lt;contributors&gt;&lt;authors&gt;&lt;author&gt;Bakhtin, Mikhail Mikhaĭlovich&lt;/author&gt;&lt;/authors&gt;&lt;secondary-authors&gt;&lt;author&gt;Rivkin, J., &amp;amp; Ryan, M.&lt;/author&gt;&lt;/secondary-authors&gt;&lt;/contributors&gt;&lt;titles&gt;&lt;title&gt;Discourse in the novel&lt;/title&gt;&lt;secondary-title&gt;Literary theory: An anthology&lt;/secondary-title&gt;&lt;/titles&gt;&lt;pages&gt;674-685&lt;/pages&gt;&lt;dates&gt;&lt;year&gt;1981&lt;/year&gt;&lt;/dates&gt;&lt;publisher&gt;Wiley-Blackwell&lt;/publisher&gt;&lt;isbn&gt;0292782861&lt;/isbn&gt;&lt;urls&gt;&lt;/urls&gt;&lt;/record&gt;&lt;/Cite&gt;&lt;/EndNote&gt;</w:instrText>
      </w:r>
      <w:r w:rsidRPr="00C52F4A">
        <w:rPr>
          <w:rFonts w:ascii="Times New Roman" w:hAnsi="Times New Roman" w:cs="Times New Roman"/>
        </w:rPr>
        <w:fldChar w:fldCharType="separate"/>
      </w:r>
      <w:r w:rsidRPr="00C52F4A">
        <w:rPr>
          <w:rFonts w:ascii="Times New Roman" w:hAnsi="Times New Roman" w:cs="Times New Roman"/>
          <w:noProof/>
        </w:rPr>
        <w:t>Bakhtin (1981b)</w:t>
      </w:r>
      <w:r w:rsidRPr="00C52F4A">
        <w:rPr>
          <w:rFonts w:ascii="Times New Roman" w:hAnsi="Times New Roman" w:cs="Times New Roman"/>
        </w:rPr>
        <w:fldChar w:fldCharType="end"/>
      </w:r>
      <w:r w:rsidRPr="00C52F4A">
        <w:rPr>
          <w:rFonts w:ascii="Times New Roman" w:hAnsi="Times New Roman" w:cs="Times New Roman"/>
        </w:rPr>
        <w:t xml:space="preserve"> used the terms </w:t>
      </w:r>
      <w:r w:rsidRPr="00C52F4A">
        <w:rPr>
          <w:rFonts w:ascii="Times New Roman" w:hAnsi="Times New Roman" w:cs="Times New Roman"/>
          <w:i/>
          <w:iCs/>
        </w:rPr>
        <w:t>centripetal-centrifugal</w:t>
      </w:r>
      <w:r w:rsidRPr="00C52F4A">
        <w:rPr>
          <w:rFonts w:ascii="Times New Roman" w:hAnsi="Times New Roman" w:cs="Times New Roman"/>
        </w:rPr>
        <w:t xml:space="preserve"> to mark the power inequality of discourses in struggles.</w:t>
      </w:r>
      <w:r>
        <w:rPr>
          <w:rFonts w:ascii="Times New Roman" w:hAnsi="Times New Roman" w:cs="Times New Roman"/>
          <w:i/>
          <w:iCs/>
        </w:rPr>
        <w:t xml:space="preserve"> </w:t>
      </w:r>
      <w:r w:rsidRPr="00C52F4A">
        <w:rPr>
          <w:rFonts w:ascii="Times New Roman" w:hAnsi="Times New Roman" w:cs="Times New Roman"/>
          <w:i/>
          <w:iCs/>
        </w:rPr>
        <w:t>Centripetal</w:t>
      </w:r>
      <w:r w:rsidRPr="00C52F4A">
        <w:rPr>
          <w:rFonts w:ascii="Times New Roman" w:hAnsi="Times New Roman" w:cs="Times New Roman"/>
        </w:rPr>
        <w:t xml:space="preserve"> refers to “moving toward centralization or the center, whereas </w:t>
      </w:r>
      <w:r w:rsidRPr="00C52F4A">
        <w:rPr>
          <w:rFonts w:ascii="Times New Roman" w:hAnsi="Times New Roman" w:cs="Times New Roman"/>
          <w:i/>
          <w:iCs/>
        </w:rPr>
        <w:t>centrifugal</w:t>
      </w:r>
      <w:r w:rsidRPr="00C52F4A">
        <w:rPr>
          <w:rFonts w:ascii="Times New Roman" w:hAnsi="Times New Roman" w:cs="Times New Roman"/>
        </w:rPr>
        <w:t xml:space="preserve"> refers to the opposite dynamic of moving away from the center toward the margins” </w:t>
      </w:r>
      <w:r w:rsidRPr="00C52F4A">
        <w:rPr>
          <w:rFonts w:ascii="Times New Roman" w:hAnsi="Times New Roman" w:cs="Times New Roman"/>
        </w:rPr>
        <w:fldChar w:fldCharType="begin"/>
      </w:r>
      <w:r>
        <w:rPr>
          <w:rFonts w:ascii="Times New Roman" w:hAnsi="Times New Roman" w:cs="Times New Roman"/>
        </w:rPr>
        <w:instrText xml:space="preserve"> ADDIN EN.CITE &lt;EndNote&gt;&lt;Cite&gt;&lt;Author&gt;Baxter&lt;/Author&gt;&lt;Year&gt;2011&lt;/Year&gt;&lt;RecNum&gt;1633&lt;/RecNum&gt;&lt;Pages&gt;123&lt;/Pages&gt;&lt;DisplayText&gt;(Baxter, 2011, p. 123)&lt;/DisplayText&gt;&lt;record&gt;&lt;rec-number&gt;1633&lt;/rec-number&gt;&lt;foreign-keys&gt;&lt;key app="EN" db-id="2pe9e00ros0veneeptspa5vhz0pw2az52v20" timestamp="1651286064" guid="faff47c4-c762-4121-b9c8-9978bd77054b"&gt;1633&lt;/key&gt;&lt;/foreign-keys&gt;&lt;ref-type name="Book"&gt;6&lt;/ref-type&gt;&lt;contributors&gt;&lt;authors&gt;&lt;author&gt;Baxter, Leslie A.&lt;/author&gt;&lt;/authors&gt;&lt;/contributors&gt;&lt;titles&gt;&lt;title&gt;Voicing relationships: a dialogic perspective&lt;/title&gt;&lt;/titles&gt;&lt;keywords&gt;&lt;keyword&gt;Bakhtin, M. M. (Mikhail Mikhaĭlovich), 1895-1975&lt;/keyword&gt;&lt;keyword&gt;Interpersonal relations&lt;/keyword&gt;&lt;keyword&gt;Dialogue analysis&lt;/keyword&gt;&lt;/keywords&gt;&lt;dates&gt;&lt;year&gt;2011&lt;/year&gt;&lt;/dates&gt;&lt;pub-location&gt;Thousand Oaks, Calif.&lt;/pub-location&gt;&lt;publisher&gt;SAGE Publications, Inc&lt;/publisher&gt;&lt;urls&gt;&lt;/urls&gt;&lt;/record&gt;&lt;/Cite&gt;&lt;/EndNote&gt;</w:instrText>
      </w:r>
      <w:r w:rsidRPr="00C52F4A">
        <w:rPr>
          <w:rFonts w:ascii="Times New Roman" w:hAnsi="Times New Roman" w:cs="Times New Roman"/>
        </w:rPr>
        <w:fldChar w:fldCharType="separate"/>
      </w:r>
      <w:r>
        <w:rPr>
          <w:rFonts w:ascii="Times New Roman" w:hAnsi="Times New Roman" w:cs="Times New Roman"/>
          <w:noProof/>
        </w:rPr>
        <w:t>(Baxter, 2011, p. 123)</w:t>
      </w:r>
      <w:r w:rsidRPr="00C52F4A">
        <w:rPr>
          <w:rFonts w:ascii="Times New Roman" w:hAnsi="Times New Roman" w:cs="Times New Roman"/>
        </w:rPr>
        <w:fldChar w:fldCharType="end"/>
      </w:r>
      <w:r w:rsidRPr="00C52F4A">
        <w:rPr>
          <w:rFonts w:ascii="Times New Roman" w:hAnsi="Times New Roman" w:cs="Times New Roman"/>
        </w:rPr>
        <w:t>. In other words, centripetal discourses are more powerful than centrifugal discourses because their systems of meanings are centered or legitimated as social reality.</w:t>
      </w:r>
      <w:r>
        <w:rPr>
          <w:rFonts w:ascii="Times New Roman" w:hAnsi="Times New Roman" w:cs="Times New Roman"/>
        </w:rPr>
        <w:t xml:space="preserve"> </w:t>
      </w:r>
      <w:r w:rsidRPr="00C52F4A">
        <w:rPr>
          <w:rFonts w:ascii="Times New Roman" w:hAnsi="Times New Roman" w:cs="Times New Roman"/>
        </w:rPr>
        <w:t xml:space="preserve">This section is to understand the ways in which discourses can be in play with one another so that we can understand better how meanings are emergent from competing discourses. The following paragraphs will </w:t>
      </w:r>
      <w:r>
        <w:rPr>
          <w:rFonts w:ascii="Times New Roman" w:hAnsi="Times New Roman" w:cs="Times New Roman"/>
        </w:rPr>
        <w:t>explain</w:t>
      </w:r>
      <w:r w:rsidRPr="00C52F4A">
        <w:rPr>
          <w:rFonts w:ascii="Times New Roman" w:hAnsi="Times New Roman" w:cs="Times New Roman"/>
        </w:rPr>
        <w:t xml:space="preserve"> power in discourses, the interplay of discourses, and </w:t>
      </w:r>
      <w:r>
        <w:rPr>
          <w:rFonts w:ascii="Times New Roman" w:hAnsi="Times New Roman" w:cs="Times New Roman"/>
        </w:rPr>
        <w:t>discursive struggle</w:t>
      </w:r>
      <w:r w:rsidRPr="00C52F4A">
        <w:rPr>
          <w:rFonts w:ascii="Times New Roman" w:hAnsi="Times New Roman" w:cs="Times New Roman"/>
        </w:rPr>
        <w:t xml:space="preserve"> in </w:t>
      </w:r>
      <w:r>
        <w:rPr>
          <w:rFonts w:ascii="Times New Roman" w:hAnsi="Times New Roman" w:cs="Times New Roman"/>
        </w:rPr>
        <w:t xml:space="preserve">communication </w:t>
      </w:r>
      <w:r w:rsidRPr="00C52F4A">
        <w:rPr>
          <w:rFonts w:ascii="Times New Roman" w:hAnsi="Times New Roman" w:cs="Times New Roman"/>
        </w:rPr>
        <w:t>genres</w:t>
      </w:r>
      <w:r>
        <w:rPr>
          <w:rFonts w:ascii="Times New Roman" w:hAnsi="Times New Roman" w:cs="Times New Roman"/>
        </w:rPr>
        <w:t>.</w:t>
      </w:r>
    </w:p>
    <w:p w14:paraId="42EA0872" w14:textId="77777777" w:rsidR="00256B3D" w:rsidRDefault="00256B3D" w:rsidP="00256B3D">
      <w:pPr>
        <w:spacing w:line="480" w:lineRule="auto"/>
        <w:ind w:firstLine="720"/>
        <w:rPr>
          <w:rFonts w:ascii="Times New Roman" w:hAnsi="Times New Roman" w:cs="Times New Roman"/>
        </w:rPr>
      </w:pPr>
      <w:r w:rsidRPr="00C52F4A">
        <w:rPr>
          <w:rFonts w:ascii="Times New Roman" w:hAnsi="Times New Roman" w:cs="Times New Roman"/>
          <w:b/>
          <w:bCs/>
        </w:rPr>
        <w:lastRenderedPageBreak/>
        <w:t>Power in discourses</w:t>
      </w:r>
      <w:r w:rsidRPr="00C52F4A">
        <w:rPr>
          <w:rFonts w:ascii="Times New Roman" w:hAnsi="Times New Roman" w:cs="Times New Roman"/>
        </w:rPr>
        <w:t xml:space="preserve">. By </w:t>
      </w:r>
      <w:r>
        <w:rPr>
          <w:rFonts w:ascii="Times New Roman" w:hAnsi="Times New Roman" w:cs="Times New Roman"/>
        </w:rPr>
        <w:t>conceptualizing power</w:t>
      </w:r>
      <w:r w:rsidRPr="00C52F4A">
        <w:rPr>
          <w:rFonts w:ascii="Times New Roman" w:hAnsi="Times New Roman" w:cs="Times New Roman"/>
        </w:rPr>
        <w:t xml:space="preserve"> dialogic</w:t>
      </w:r>
      <w:r>
        <w:rPr>
          <w:rFonts w:ascii="Times New Roman" w:hAnsi="Times New Roman" w:cs="Times New Roman"/>
        </w:rPr>
        <w:t>ally</w:t>
      </w:r>
      <w:r w:rsidRPr="00C52F4A">
        <w:rPr>
          <w:rFonts w:ascii="Times New Roman" w:hAnsi="Times New Roman" w:cs="Times New Roman"/>
        </w:rPr>
        <w:t xml:space="preserve">, power </w:t>
      </w:r>
      <w:r>
        <w:rPr>
          <w:rFonts w:ascii="Times New Roman" w:hAnsi="Times New Roman" w:cs="Times New Roman"/>
        </w:rPr>
        <w:t xml:space="preserve">is understood as </w:t>
      </w:r>
      <w:r w:rsidRPr="00C52F4A">
        <w:rPr>
          <w:rFonts w:ascii="Times New Roman" w:hAnsi="Times New Roman" w:cs="Times New Roman"/>
        </w:rPr>
        <w:t>resid</w:t>
      </w:r>
      <w:r>
        <w:rPr>
          <w:rFonts w:ascii="Times New Roman" w:hAnsi="Times New Roman" w:cs="Times New Roman"/>
        </w:rPr>
        <w:t>ing</w:t>
      </w:r>
      <w:r w:rsidRPr="00C52F4A">
        <w:rPr>
          <w:rFonts w:ascii="Times New Roman" w:hAnsi="Times New Roman" w:cs="Times New Roman"/>
        </w:rPr>
        <w:t xml:space="preserve"> in the systems of meaning – the discourses – that produce and sustain s</w:t>
      </w:r>
      <w:r>
        <w:rPr>
          <w:rFonts w:ascii="Times New Roman" w:hAnsi="Times New Roman" w:cs="Times New Roman"/>
        </w:rPr>
        <w:t xml:space="preserve">ocial arrangements </w:t>
      </w:r>
      <w:r w:rsidRPr="00C52F4A">
        <w:rPr>
          <w:rFonts w:ascii="Times New Roman" w:hAnsi="Times New Roman" w:cs="Times New Roman"/>
        </w:rPr>
        <w:fldChar w:fldCharType="begin">
          <w:fldData xml:space="preserve">PEVuZE5vdGU+PENpdGU+PEF1dGhvcj5Gb3VjYXVsdDwvQXV0aG9yPjxZZWFyPjE5Nzc8L1llYXI+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PEVuZE5vdGU+PENpdGU+PEF1dGhvcj5Gb3VjYXVsdDwvQXV0aG9yPjxZZWFyPjE5Nzc8L1llYXI+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C52F4A">
        <w:rPr>
          <w:rFonts w:ascii="Times New Roman" w:hAnsi="Times New Roman" w:cs="Times New Roman"/>
        </w:rPr>
      </w:r>
      <w:r w:rsidRPr="00C52F4A">
        <w:rPr>
          <w:rFonts w:ascii="Times New Roman" w:hAnsi="Times New Roman" w:cs="Times New Roman"/>
        </w:rPr>
        <w:fldChar w:fldCharType="separate"/>
      </w:r>
      <w:r w:rsidRPr="00C52F4A">
        <w:rPr>
          <w:rFonts w:ascii="Times New Roman" w:hAnsi="Times New Roman" w:cs="Times New Roman"/>
          <w:noProof/>
        </w:rPr>
        <w:t>(Deetz, 2001; Foucault, 1977, 1980)</w:t>
      </w:r>
      <w:r w:rsidRPr="00C52F4A">
        <w:rPr>
          <w:rFonts w:ascii="Times New Roman" w:hAnsi="Times New Roman" w:cs="Times New Roman"/>
        </w:rPr>
        <w:fldChar w:fldCharType="end"/>
      </w:r>
      <w:r>
        <w:rPr>
          <w:rFonts w:ascii="Times New Roman" w:hAnsi="Times New Roman" w:cs="Times New Roman"/>
        </w:rPr>
        <w:t xml:space="preserve">. Within the framework of a critical analysis of discourses, discourses reproduce power and dominance by </w:t>
      </w:r>
      <w:r w:rsidRPr="00CA2BC6">
        <w:rPr>
          <w:rFonts w:ascii="Times New Roman" w:hAnsi="Times New Roman" w:cs="Times New Roman"/>
          <w:i/>
          <w:iCs/>
        </w:rPr>
        <w:t>the structures and strategies of</w:t>
      </w:r>
      <w:r w:rsidRPr="00506CD5">
        <w:rPr>
          <w:rFonts w:ascii="Times New Roman" w:hAnsi="Times New Roman" w:cs="Times New Roman"/>
        </w:rPr>
        <w:t xml:space="preserve"> </w:t>
      </w:r>
      <w:r w:rsidRPr="00506CD5">
        <w:rPr>
          <w:rFonts w:ascii="Times New Roman" w:hAnsi="Times New Roman" w:cs="Times New Roman"/>
          <w:i/>
          <w:iCs/>
        </w:rPr>
        <w:t>access</w:t>
      </w:r>
      <w:r>
        <w:rPr>
          <w:rFonts w:ascii="Times New Roman" w:hAnsi="Times New Roman" w:cs="Times New Roman"/>
        </w:rPr>
        <w:t xml:space="preserve">, that is </w:t>
      </w:r>
    </w:p>
    <w:p w14:paraId="2752C5DF" w14:textId="77777777" w:rsidR="00256B3D" w:rsidRDefault="00256B3D" w:rsidP="00256B3D">
      <w:pPr>
        <w:spacing w:line="480" w:lineRule="auto"/>
        <w:ind w:left="720"/>
        <w:rPr>
          <w:rFonts w:ascii="Times New Roman" w:hAnsi="Times New Roman" w:cs="Times New Roman"/>
        </w:rPr>
      </w:pPr>
      <w:r>
        <w:rPr>
          <w:rFonts w:ascii="Times New Roman" w:hAnsi="Times New Roman" w:cs="Times New Roman"/>
        </w:rPr>
        <w:t xml:space="preserve">Who </w:t>
      </w:r>
      <w:r w:rsidRPr="00506CD5">
        <w:rPr>
          <w:rFonts w:ascii="Times New Roman" w:hAnsi="Times New Roman" w:cs="Times New Roman"/>
        </w:rPr>
        <w:t>controls the preparation, the participants, the goals, the language, the genre, the speech acts, the topics, the schemata</w:t>
      </w:r>
      <w:r w:rsidRPr="00CA2BC6">
        <w:t xml:space="preserve"> </w:t>
      </w:r>
      <w:r w:rsidRPr="00CA2BC6">
        <w:rPr>
          <w:rFonts w:ascii="Times New Roman" w:hAnsi="Times New Roman" w:cs="Times New Roman"/>
        </w:rPr>
        <w:t>(e.g.</w:t>
      </w:r>
      <w:r>
        <w:rPr>
          <w:rFonts w:ascii="Times New Roman" w:hAnsi="Times New Roman" w:cs="Times New Roman"/>
        </w:rPr>
        <w:t>,</w:t>
      </w:r>
      <w:r w:rsidRPr="00CA2BC6">
        <w:rPr>
          <w:rFonts w:ascii="Times New Roman" w:hAnsi="Times New Roman" w:cs="Times New Roman"/>
        </w:rPr>
        <w:t xml:space="preserve"> headlines, quotes)</w:t>
      </w:r>
      <w:r>
        <w:rPr>
          <w:rFonts w:ascii="Times New Roman" w:hAnsi="Times New Roman" w:cs="Times New Roman"/>
        </w:rPr>
        <w:t xml:space="preserve">, </w:t>
      </w:r>
      <w:r w:rsidRPr="00506CD5">
        <w:rPr>
          <w:rFonts w:ascii="Times New Roman" w:hAnsi="Times New Roman" w:cs="Times New Roman"/>
        </w:rPr>
        <w:t>the style, and the rhetoric, among other text features, of communicative events</w:t>
      </w:r>
      <w:r>
        <w:rPr>
          <w:rFonts w:ascii="Times New Roman" w:hAnsi="Times New Roman" w:cs="Times New Roman"/>
        </w:rPr>
        <w:t xml:space="preserve">… </w:t>
      </w:r>
      <w:r w:rsidRPr="00506CD5">
        <w:rPr>
          <w:rFonts w:ascii="Times New Roman" w:hAnsi="Times New Roman" w:cs="Times New Roman"/>
        </w:rPr>
        <w:t>That is, who can/may/must say what, to whom, how, in what circumstances and with what effects on the recipients</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&lt;EndNote&gt;&lt;Cite&gt;&lt;Author&gt;Van Dijk&lt;/Author&gt;&lt;Year&gt;1995&lt;/Year&gt;&lt;RecNum&gt;2240&lt;/RecNum&gt;&lt;Pages&gt;102&lt;/Pages&gt;&lt;DisplayText&gt;(Van Dijk, 1995, p. 102)&lt;/DisplayText&gt;&lt;record&gt;&lt;rec-number&gt;2240&lt;/rec-number&gt;&lt;foreign-keys&gt;&lt;key app="EN" db-id="2pe9e00ros0veneeptspa5vhz0pw2az52v20" timestamp="1699126156" guid="386966cb-dbad-4472-b92b-595a70b8a7c2"&gt;2240&lt;/key&gt;&lt;/foreign-keys&gt;&lt;ref-type name="Book Section"&gt;5&lt;/ref-type&gt;&lt;contributors&gt;&lt;authors&gt;&lt;author&gt;Van Dijk, Teun A&lt;/author&gt;&lt;/authors&gt;&lt;secondary-authors&gt;&lt;author&gt;Caldas-Coulthard, C.R., &amp;amp; Coulthard, M.&lt;/author&gt;&lt;/secondary-authors&gt;&lt;/contributors&gt;&lt;titles&gt;&lt;title&gt;Discourse, power and access&lt;/title&gt;&lt;secondary-title&gt;Texts and Practices: Readings in Critical Discourse Analysis&lt;/secondary-title&gt;&lt;/titles&gt;&lt;pages&gt;93-113&lt;/pages&gt;&lt;dates&gt;&lt;year&gt;1995&lt;/year&gt;&lt;/dates&gt;&lt;publisher&gt;Routledge&lt;/publisher&gt;&lt;urls&gt;&lt;/urls&gt;&lt;/record&gt;&lt;/Cite&gt;&lt;/EndNote&gt;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(Van Dijk, 1995, p. 102)</w:t>
      </w:r>
      <w:r>
        <w:rPr>
          <w:rFonts w:ascii="Times New Roman" w:hAnsi="Times New Roman" w:cs="Times New Roman"/>
        </w:rPr>
        <w:fldChar w:fldCharType="end"/>
      </w:r>
      <w:r w:rsidRPr="00506CD5">
        <w:rPr>
          <w:rFonts w:ascii="Times New Roman" w:hAnsi="Times New Roman" w:cs="Times New Roman"/>
        </w:rPr>
        <w:t>.</w:t>
      </w:r>
      <w:r>
        <w:rPr>
          <w:rFonts w:ascii="Times New Roman" w:hAnsi="Times New Roman" w:cs="Times New Roman"/>
        </w:rPr>
        <w:t xml:space="preserve"> </w:t>
      </w:r>
    </w:p>
    <w:p w14:paraId="2D7DC84A" w14:textId="77777777" w:rsidR="00256B3D" w:rsidRPr="00C52F4A" w:rsidRDefault="00256B3D" w:rsidP="00256B3D">
      <w:pPr>
        <w:spacing w:line="480" w:lineRule="auto"/>
        <w:rPr>
          <w:rFonts w:ascii="Times New Roman" w:hAnsi="Times New Roman" w:cs="Times New Roman"/>
        </w:rPr>
      </w:pPr>
      <w:r>
        <w:rPr>
          <w:rFonts w:ascii="Times New Roman" w:hAnsi="Times New Roman" w:cs="Times New Roman"/>
        </w:rPr>
        <w:t>In short</w:t>
      </w:r>
      <w:r w:rsidRPr="00C52F4A">
        <w:rPr>
          <w:rFonts w:ascii="Times New Roman" w:hAnsi="Times New Roman" w:cs="Times New Roman"/>
        </w:rPr>
        <w:t>, power is conceptualized as the discursive capacity to define social reality.</w:t>
      </w:r>
    </w:p>
    <w:p w14:paraId="4D799546" w14:textId="77777777" w:rsidR="00256B3D" w:rsidRPr="00C52F4A" w:rsidRDefault="00256B3D" w:rsidP="00256B3D">
      <w:pPr>
        <w:spacing w:line="480" w:lineRule="auto"/>
        <w:ind w:firstLine="720"/>
        <w:rPr>
          <w:rFonts w:ascii="Times New Roman" w:hAnsi="Times New Roman" w:cs="Times New Roman"/>
        </w:rPr>
      </w:pPr>
      <w:r w:rsidRPr="00C52F4A">
        <w:rPr>
          <w:rFonts w:ascii="Times New Roman" w:hAnsi="Times New Roman" w:cs="Times New Roman"/>
        </w:rPr>
        <w:t>Discourses</w:t>
      </w:r>
      <w:r>
        <w:rPr>
          <w:rFonts w:ascii="Times New Roman" w:hAnsi="Times New Roman" w:cs="Times New Roman"/>
        </w:rPr>
        <w:t xml:space="preserve">, with power residing in language, </w:t>
      </w:r>
      <w:r w:rsidRPr="00C52F4A">
        <w:rPr>
          <w:rFonts w:ascii="Times New Roman" w:hAnsi="Times New Roman" w:cs="Times New Roman"/>
        </w:rPr>
        <w:t>are constitutive and function as a powerful self-disciplin</w:t>
      </w:r>
      <w:r>
        <w:rPr>
          <w:rFonts w:ascii="Times New Roman" w:hAnsi="Times New Roman" w:cs="Times New Roman"/>
        </w:rPr>
        <w:t xml:space="preserve">e </w:t>
      </w:r>
      <w:r w:rsidRPr="00C52F4A">
        <w:rPr>
          <w:rFonts w:ascii="Times New Roman" w:hAnsi="Times New Roman" w:cs="Times New Roman"/>
        </w:rPr>
        <w:t xml:space="preserve">for individuals to situate themselves vis-à-vis normative behavioral standards </w:t>
      </w:r>
      <w:r w:rsidRPr="00C52F4A">
        <w:rPr>
          <w:rFonts w:ascii="Times New Roman" w:hAnsi="Times New Roman" w:cs="Times New Roman"/>
        </w:rPr>
        <w:fldChar w:fldCharType="begin">
          <w:fldData xml:space="preserve">PEVuZE5vdGU+PENpdGU+PEF1dGhvcj5Gb3VjYXVsdDwvQXV0aG9yPjxZZWFyPjE5NzI8L1llYXI+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PEVuZE5vdGU+PENpdGU+PEF1dGhvcj5Gb3VjYXVsdDwvQXV0aG9yPjxZZWFyPjE5NzI8L1llYXI+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C52F4A">
        <w:rPr>
          <w:rFonts w:ascii="Times New Roman" w:hAnsi="Times New Roman" w:cs="Times New Roman"/>
        </w:rPr>
      </w:r>
      <w:r w:rsidRPr="00C52F4A">
        <w:rPr>
          <w:rFonts w:ascii="Times New Roman" w:hAnsi="Times New Roman" w:cs="Times New Roman"/>
        </w:rPr>
        <w:fldChar w:fldCharType="separate"/>
      </w:r>
      <w:r>
        <w:rPr>
          <w:rFonts w:ascii="Times New Roman" w:hAnsi="Times New Roman" w:cs="Times New Roman"/>
          <w:noProof/>
        </w:rPr>
        <w:t>(Fairhurst &amp; Putnam, 2004; Foucault, 1972; Putnam et al., 2016)</w:t>
      </w:r>
      <w:r w:rsidRPr="00C52F4A">
        <w:rPr>
          <w:rFonts w:ascii="Times New Roman" w:hAnsi="Times New Roman" w:cs="Times New Roman"/>
        </w:rPr>
        <w:fldChar w:fldCharType="end"/>
      </w:r>
      <w:r w:rsidRPr="00C52F4A">
        <w:rPr>
          <w:rFonts w:ascii="Times New Roman" w:hAnsi="Times New Roman" w:cs="Times New Roman"/>
        </w:rPr>
        <w:t>. From a monologic worldview, a single-voiced discourse is so dominant that other competing discourses are silenced</w:t>
      </w:r>
      <w:r>
        <w:rPr>
          <w:rFonts w:ascii="Times New Roman" w:hAnsi="Times New Roman" w:cs="Times New Roman"/>
        </w:rPr>
        <w:t xml:space="preserve"> and, often, unthinkable</w:t>
      </w:r>
      <w:r w:rsidRPr="00C52F4A">
        <w:rPr>
          <w:rFonts w:ascii="Times New Roman" w:hAnsi="Times New Roman" w:cs="Times New Roman"/>
        </w:rPr>
        <w:t xml:space="preserve">. This authoritative discourse functions to “subvert, obscure, and deny alternative discourses” </w:t>
      </w:r>
      <w:r w:rsidRPr="00C52F4A">
        <w:rPr>
          <w:rFonts w:ascii="Times New Roman" w:hAnsi="Times New Roman" w:cs="Times New Roman"/>
        </w:rPr>
        <w:fldChar w:fldCharType="begin"/>
      </w:r>
      <w:r w:rsidRPr="00C52F4A">
        <w:rPr>
          <w:rFonts w:ascii="Times New Roman" w:hAnsi="Times New Roman" w:cs="Times New Roman"/>
        </w:rPr>
        <w:instrText xml:space="preserve"> ADDIN EN.CITE &lt;EndNote&gt;&lt;Cite&gt;&lt;Author&gt;Baxter&lt;/Author&gt;&lt;Year&gt;1996&lt;/Year&gt;&lt;RecNum&gt;1248&lt;/RecNum&gt;&lt;Pages&gt;61&lt;/Pages&gt;&lt;DisplayText&gt;(Baxter &amp;amp; Montgomery, 1996, p. 61)&lt;/DisplayText&gt;&lt;record&gt;&lt;rec-number&gt;1248&lt;/rec-number&gt;&lt;foreign-keys&gt;&lt;key app="EN" db-id="2pe9e00ros0veneeptspa5vhz0pw2az52v20" timestamp="1610695201" guid="9076931a-53d8-48c6-8f62-b14ca4e58efb"&gt;1248&lt;/key&gt;&lt;/foreign-keys&gt;&lt;ref-type name="Book"&gt;6&lt;/ref-type&gt;&lt;contributors&gt;&lt;authors&gt;&lt;author&gt;Baxter, Leslie A&lt;/author&gt;&lt;author&gt;Montgomery, Barbara M&lt;/author&gt;&lt;/authors&gt;&lt;/contributors&gt;&lt;titles&gt;&lt;title&gt;Relating: Dialogues and dialectics&lt;/title&gt;&lt;/titles&gt;&lt;dates&gt;&lt;year&gt;1996&lt;/year&gt;&lt;/dates&gt;&lt;publisher&gt;Guilford Press&lt;/publisher&gt;&lt;isbn&gt;1572301015&lt;/isbn&gt;&lt;urls&gt;&lt;/urls&gt;&lt;/record&gt;&lt;/Cite&gt;&lt;/EndNote&gt;</w:instrText>
      </w:r>
      <w:r w:rsidRPr="00C52F4A">
        <w:rPr>
          <w:rFonts w:ascii="Times New Roman" w:hAnsi="Times New Roman" w:cs="Times New Roman"/>
        </w:rPr>
        <w:fldChar w:fldCharType="separate"/>
      </w:r>
      <w:r w:rsidRPr="00C52F4A">
        <w:rPr>
          <w:rFonts w:ascii="Times New Roman" w:hAnsi="Times New Roman" w:cs="Times New Roman"/>
          <w:noProof/>
        </w:rPr>
        <w:t>(Baxter &amp; Montgomery, 1996, p. 61)</w:t>
      </w:r>
      <w:r w:rsidRPr="00C52F4A">
        <w:rPr>
          <w:rFonts w:ascii="Times New Roman" w:hAnsi="Times New Roman" w:cs="Times New Roman"/>
        </w:rPr>
        <w:fldChar w:fldCharType="end"/>
      </w:r>
      <w:r w:rsidRPr="00C52F4A">
        <w:rPr>
          <w:rFonts w:ascii="Times New Roman" w:hAnsi="Times New Roman" w:cs="Times New Roman"/>
        </w:rPr>
        <w:t xml:space="preserve">. For example, </w:t>
      </w:r>
      <w:r w:rsidRPr="00C52F4A">
        <w:rPr>
          <w:rFonts w:ascii="Times New Roman" w:hAnsi="Times New Roman" w:cs="Times New Roman"/>
        </w:rPr>
        <w:fldChar w:fldCharType="begin"/>
      </w:r>
      <w:r>
        <w:rPr>
          <w:rFonts w:ascii="Times New Roman" w:hAnsi="Times New Roman" w:cs="Times New Roman"/>
        </w:rPr>
        <w:instrText xml:space="preserve"> ADDIN EN.CITE &lt;EndNote&gt;&lt;Cite AuthorYear="1"&gt;&lt;Author&gt;Hintz&lt;/Author&gt;&lt;Year&gt;2020&lt;/Year&gt;&lt;RecNum&gt;1644&lt;/RecNum&gt;&lt;DisplayText&gt;Hintz and Brown (2020)&lt;/DisplayText&gt;&lt;record&gt;&lt;rec-number&gt;1644&lt;/rec-number&gt;&lt;foreign-keys&gt;&lt;key app="EN" db-id="2pe9e00ros0veneeptspa5vhz0pw2az52v20" timestamp="1651612614" guid="c7e0af22-6b7a-4bfb-87f6-348afe8a4547"&gt;1644&lt;/key&gt;&lt;/foreign-keys&gt;&lt;ref-type name="Journal Article"&gt;17&lt;/ref-type&gt;&lt;contributors&gt;&lt;authors&gt;&lt;author&gt;Hintz, Elizabeth A.&lt;/author&gt;&lt;author&gt;Brown, Clinton L.&lt;/author&gt;&lt;/authors&gt;&lt;/contributors&gt;&lt;titles&gt;&lt;title&gt;Childfree and “bingoed”: A relational dialectics theory analysis of meaning creation in online narratives about voluntary childlessness&lt;/title&gt;&lt;secondary-title&gt;Communication Monographs&lt;/secondary-title&gt;&lt;/titles&gt;&lt;periodical&gt;&lt;full-title&gt;Communication Monographs&lt;/full-title&gt;&lt;/periodical&gt;&lt;pages&gt;244-266&lt;/pages&gt;&lt;volume&gt;87&lt;/volume&gt;&lt;number&gt;2&lt;/number&gt;&lt;dates&gt;&lt;year&gt;2020&lt;/year&gt;&lt;/dates&gt;&lt;publisher&gt;Routledge&lt;/publisher&gt;&lt;isbn&gt;0363-7751&lt;/isbn&gt;&lt;urls&gt;&lt;related-urls&gt;&lt;url&gt;https://doi.org/10.1080/03637751.2019.1697891&lt;/url&gt;&lt;/related-urls&gt;&lt;/urls&gt;&lt;electronic-resource-num&gt;10.1080/03637751.2019.1697891&lt;/electronic-resource-num&gt;&lt;/record&gt;&lt;/Cite&gt;&lt;/EndNote&gt;</w:instrText>
      </w:r>
      <w:r w:rsidRPr="00C52F4A">
        <w:rPr>
          <w:rFonts w:ascii="Times New Roman" w:hAnsi="Times New Roman" w:cs="Times New Roman"/>
        </w:rPr>
        <w:fldChar w:fldCharType="separate"/>
      </w:r>
      <w:r>
        <w:rPr>
          <w:rFonts w:ascii="Times New Roman" w:hAnsi="Times New Roman" w:cs="Times New Roman"/>
          <w:noProof/>
        </w:rPr>
        <w:t>Hintz and Brown (2020)</w:t>
      </w:r>
      <w:r w:rsidRPr="00C52F4A">
        <w:rPr>
          <w:rFonts w:ascii="Times New Roman" w:hAnsi="Times New Roman" w:cs="Times New Roman"/>
        </w:rPr>
        <w:fldChar w:fldCharType="end"/>
      </w:r>
      <w:r w:rsidRPr="00C52F4A">
        <w:rPr>
          <w:rFonts w:ascii="Times New Roman" w:hAnsi="Times New Roman" w:cs="Times New Roman"/>
        </w:rPr>
        <w:t xml:space="preserve"> found that </w:t>
      </w:r>
      <w:r>
        <w:rPr>
          <w:rFonts w:ascii="Times New Roman" w:hAnsi="Times New Roman" w:cs="Times New Roman"/>
        </w:rPr>
        <w:t xml:space="preserve">the </w:t>
      </w:r>
      <w:r w:rsidRPr="00AA283B">
        <w:rPr>
          <w:rFonts w:ascii="Times New Roman" w:hAnsi="Times New Roman" w:cs="Times New Roman"/>
          <w:i/>
          <w:iCs/>
        </w:rPr>
        <w:t>carnival</w:t>
      </w:r>
      <w:r>
        <w:rPr>
          <w:rFonts w:ascii="Times New Roman" w:hAnsi="Times New Roman" w:cs="Times New Roman"/>
        </w:rPr>
        <w:t>,</w:t>
      </w:r>
      <w:r w:rsidRPr="00C52F4A">
        <w:rPr>
          <w:rFonts w:ascii="Times New Roman" w:hAnsi="Times New Roman" w:cs="Times New Roman"/>
        </w:rPr>
        <w:t xml:space="preserve"> a communication genre,</w:t>
      </w:r>
      <w:r>
        <w:rPr>
          <w:rFonts w:ascii="Times New Roman" w:hAnsi="Times New Roman" w:cs="Times New Roman"/>
        </w:rPr>
        <w:t xml:space="preserve"> </w:t>
      </w:r>
      <w:r w:rsidRPr="00C52F4A">
        <w:rPr>
          <w:rFonts w:ascii="Times New Roman" w:hAnsi="Times New Roman" w:cs="Times New Roman"/>
        </w:rPr>
        <w:t xml:space="preserve">enabled discursive closure via single-voiced monologue in the online discussion about whether </w:t>
      </w:r>
      <w:r>
        <w:rPr>
          <w:rFonts w:ascii="Times New Roman" w:hAnsi="Times New Roman" w:cs="Times New Roman"/>
        </w:rPr>
        <w:t xml:space="preserve">having children (or not) </w:t>
      </w:r>
      <w:r w:rsidRPr="00C52F4A">
        <w:rPr>
          <w:rFonts w:ascii="Times New Roman" w:hAnsi="Times New Roman" w:cs="Times New Roman"/>
        </w:rPr>
        <w:t xml:space="preserve">was a normal autonomy decision. From the dialogic worldview, the meaning-making process should be approached for its indeterminate, fluid, and unfinalized potential. Although the centripetal discourse is centered and subverts centrifugal discourses, alternative discourses exist and contribute to the meaning-making process </w:t>
      </w:r>
      <w:r w:rsidRPr="00C52F4A">
        <w:rPr>
          <w:rFonts w:ascii="Times New Roman" w:hAnsi="Times New Roman" w:cs="Times New Roman"/>
        </w:rPr>
        <w:fldChar w:fldCharType="begin"/>
      </w:r>
      <w:r w:rsidRPr="00C52F4A">
        <w:rPr>
          <w:rFonts w:ascii="Times New Roman" w:hAnsi="Times New Roman" w:cs="Times New Roman"/>
        </w:rPr>
        <w:instrText xml:space="preserve"> ADDIN EN.CITE &lt;EndNote&gt;&lt;Cite&gt;&lt;Author&gt;Bakhtin&lt;/Author&gt;&lt;Year&gt;1984&lt;/Year&gt;&lt;RecNum&gt;2135&lt;/RecNum&gt;&lt;DisplayText&gt;(Bakhtin, 1984)&lt;/DisplayText&gt;&lt;record&gt;&lt;rec-number&gt;2135&lt;/rec-number&gt;&lt;foreign-keys&gt;&lt;key app="EN" db-id="2pe9e00ros0veneeptspa5vhz0pw2az52v20" timestamp="1697746247" guid="51b14384-8e36-44c0-8472-772dfb203d9c"&gt;2135&lt;/key&gt;&lt;/foreign-keys&gt;&lt;ref-type name="Book"&gt;6&lt;/ref-type&gt;&lt;contributors&gt;&lt;authors&gt;&lt;author&gt;Mikhail M. Bakhtin&lt;/author&gt;&lt;/authors&gt;&lt;tertiary-authors&gt;&lt;author&gt;Caryl Emerson&lt;/author&gt;&lt;/tertiary-authors&gt;&lt;subsidiary-authors&gt;&lt;author&gt;Caryl Emerson&lt;/author&gt;&lt;/subsidiary-authors&gt;&lt;/contributors&gt;&lt;titles&gt;&lt;title&gt;Problems of Dostoevsky’s Poetics&lt;/title&gt;&lt;/titles&gt;&lt;dates&gt;&lt;year&gt;1984&lt;/year&gt;&lt;/dates&gt;&lt;publisher&gt;University of Minnesota Press&lt;/publisher&gt;&lt;urls&gt;&lt;/urls&gt;&lt;/record&gt;&lt;/Cite&gt;&lt;/EndNote&gt;</w:instrText>
      </w:r>
      <w:r w:rsidRPr="00C52F4A">
        <w:rPr>
          <w:rFonts w:ascii="Times New Roman" w:hAnsi="Times New Roman" w:cs="Times New Roman"/>
        </w:rPr>
        <w:fldChar w:fldCharType="separate"/>
      </w:r>
      <w:r w:rsidRPr="00C52F4A">
        <w:rPr>
          <w:rFonts w:ascii="Times New Roman" w:hAnsi="Times New Roman" w:cs="Times New Roman"/>
          <w:noProof/>
        </w:rPr>
        <w:t>(Bakhtin, 1984)</w:t>
      </w:r>
      <w:r w:rsidRPr="00C52F4A">
        <w:rPr>
          <w:rFonts w:ascii="Times New Roman" w:hAnsi="Times New Roman" w:cs="Times New Roman"/>
        </w:rPr>
        <w:fldChar w:fldCharType="end"/>
      </w:r>
      <w:r w:rsidRPr="00C52F4A">
        <w:rPr>
          <w:rFonts w:ascii="Times New Roman" w:hAnsi="Times New Roman" w:cs="Times New Roman"/>
        </w:rPr>
        <w:t xml:space="preserve">. For example, women leaders use </w:t>
      </w:r>
      <w:r>
        <w:rPr>
          <w:rFonts w:ascii="Times New Roman" w:hAnsi="Times New Roman" w:cs="Times New Roman"/>
        </w:rPr>
        <w:lastRenderedPageBreak/>
        <w:t>both masculine- and feminine-voiced discourses</w:t>
      </w:r>
      <w:r w:rsidRPr="00C52F4A">
        <w:rPr>
          <w:rFonts w:ascii="Times New Roman" w:hAnsi="Times New Roman" w:cs="Times New Roman"/>
        </w:rPr>
        <w:t xml:space="preserve"> to survive in a male-dominated business world </w:t>
      </w:r>
      <w:r w:rsidRPr="00C52F4A">
        <w:rPr>
          <w:rFonts w:ascii="Times New Roman" w:hAnsi="Times New Roman" w:cs="Times New Roman"/>
        </w:rPr>
        <w:fldChar w:fldCharType="begin"/>
      </w:r>
      <w:r>
        <w:rPr>
          <w:rFonts w:ascii="Times New Roman" w:hAnsi="Times New Roman" w:cs="Times New Roman"/>
        </w:rPr>
        <w:instrText xml:space="preserve"> ADDIN EN.CITE &lt;EndNote&gt;&lt;Cite&gt;&lt;Author&gt;Baxster&lt;/Author&gt;&lt;Year&gt;2011&lt;/Year&gt;&lt;RecNum&gt;2198&lt;/RecNum&gt;&lt;DisplayText&gt;(Baxster, 2011)&lt;/DisplayText&gt;&lt;record&gt;&lt;rec-number&gt;2198&lt;/rec-number&gt;&lt;foreign-keys&gt;&lt;key app="EN" db-id="2pe9e00ros0veneeptspa5vhz0pw2az52v20" timestamp="1698450353" guid="9b8f897d-a2da-41e4-aa45-cf699b3ec81f"&gt;2198&lt;/key&gt;&lt;/foreign-keys&gt;&lt;ref-type name="Journal Article"&gt;17&lt;/ref-type&gt;&lt;contributors&gt;&lt;authors&gt;&lt;author&gt;Baxster, Judith&lt;/author&gt;&lt;/authors&gt;&lt;/contributors&gt;&lt;titles&gt;&lt;title&gt;Survival or success? A critical exploration of the use of ‘double-voiced discourse’ by women business leaders in the UK&lt;/title&gt;&lt;secondary-title&gt;Discourse &amp;amp; Communication&lt;/secondary-title&gt;&lt;/titles&gt;&lt;periodical&gt;&lt;full-title&gt;Discourse &amp;amp; Communication&lt;/full-title&gt;&lt;/periodical&gt;&lt;pages&gt;231-245&lt;/pages&gt;&lt;volume&gt;5&lt;/volume&gt;&lt;number&gt;3&lt;/number&gt;&lt;keywords&gt;&lt;keyword&gt;double-voiced discourse,gender,interactional sociolinguistic analysis,leadership discourse,linguistic expertise,senior women,workplace talk&lt;/keyword&gt;&lt;/keywords&gt;&lt;dates&gt;&lt;year&gt;2011&lt;/year&gt;&lt;/dates&gt;&lt;urls&gt;&lt;related-urls&gt;&lt;url&gt;https://journals.sagepub.com/doi/abs/10.1177/1750481311405590&lt;/url&gt;&lt;/related-urls&gt;&lt;/urls&gt;&lt;electronic-resource-num&gt;10.1177/1750481311405590&lt;/electronic-resource-num&gt;&lt;/record&gt;&lt;/Cite&gt;&lt;/EndNote&gt;</w:instrText>
      </w:r>
      <w:r w:rsidRPr="00C52F4A">
        <w:rPr>
          <w:rFonts w:ascii="Times New Roman" w:hAnsi="Times New Roman" w:cs="Times New Roman"/>
        </w:rPr>
        <w:fldChar w:fldCharType="separate"/>
      </w:r>
      <w:r>
        <w:rPr>
          <w:rFonts w:ascii="Times New Roman" w:hAnsi="Times New Roman" w:cs="Times New Roman"/>
          <w:noProof/>
        </w:rPr>
        <w:t>(Baxster, 2011)</w:t>
      </w:r>
      <w:r w:rsidRPr="00C52F4A">
        <w:rPr>
          <w:rFonts w:ascii="Times New Roman" w:hAnsi="Times New Roman" w:cs="Times New Roman"/>
        </w:rPr>
        <w:fldChar w:fldCharType="end"/>
      </w:r>
      <w:r w:rsidRPr="00C52F4A">
        <w:rPr>
          <w:rFonts w:ascii="Times New Roman" w:hAnsi="Times New Roman" w:cs="Times New Roman"/>
        </w:rPr>
        <w:t xml:space="preserve">. Moreover, the </w:t>
      </w:r>
      <w:r>
        <w:rPr>
          <w:rFonts w:ascii="Times New Roman" w:hAnsi="Times New Roman" w:cs="Times New Roman"/>
        </w:rPr>
        <w:t>current</w:t>
      </w:r>
      <w:r w:rsidRPr="00C52F4A">
        <w:rPr>
          <w:rFonts w:ascii="Times New Roman" w:hAnsi="Times New Roman" w:cs="Times New Roman"/>
        </w:rPr>
        <w:t xml:space="preserve"> centrifugal discourses may be transformed into the centripetal discourse in the future. </w:t>
      </w:r>
      <w:r>
        <w:rPr>
          <w:rFonts w:ascii="Times New Roman" w:hAnsi="Times New Roman" w:cs="Times New Roman"/>
        </w:rPr>
        <w:t xml:space="preserve">For example, over the last three decades, </w:t>
      </w:r>
      <w:r w:rsidRPr="005D2352">
        <w:rPr>
          <w:rFonts w:ascii="Times New Roman" w:hAnsi="Times New Roman" w:cs="Times New Roman"/>
        </w:rPr>
        <w:t>many countries</w:t>
      </w:r>
      <w:r>
        <w:rPr>
          <w:rFonts w:ascii="Times New Roman" w:hAnsi="Times New Roman" w:cs="Times New Roman"/>
        </w:rPr>
        <w:t xml:space="preserve"> worldwide</w:t>
      </w:r>
      <w:r w:rsidRPr="005D2352">
        <w:rPr>
          <w:rFonts w:ascii="Times New Roman" w:hAnsi="Times New Roman" w:cs="Times New Roman"/>
        </w:rPr>
        <w:t>, including the United States, have experienced major increases in support for LGBTQ individuals and related issues</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&lt;EndNote&gt;&lt;Cite&gt;&lt;Author&gt;Adamczyk&lt;/Author&gt;&lt;Year&gt;2019&lt;/Year&gt;&lt;RecNum&gt;2220&lt;/RecNum&gt;&lt;DisplayText&gt;(Adamczyk &amp;amp; Liao, 2019)&lt;/DisplayText&gt;&lt;record&gt;&lt;rec-number&gt;2220&lt;/rec-number&gt;&lt;foreign-keys&gt;&lt;key app="EN" db-id="2pe9e00ros0veneeptspa5vhz0pw2az52v20" timestamp="1698783560" guid="bd364065-c523-435d-81ac-54d217a7b0c4"&gt;2220&lt;/key&gt;&lt;/foreign-keys&gt;&lt;ref-type name="Journal Article"&gt;17&lt;/ref-type&gt;&lt;contributors&gt;&lt;authors&gt;&lt;author&gt;Amy Adamczyk&lt;/author&gt;&lt;author&gt;Yen-Chiao Liao&lt;/author&gt;&lt;/authors&gt;&lt;/contributors&gt;&lt;titles&gt;&lt;title&gt;Examining public opinion about LGBTQ-related issues in the United States and across multiple nations&lt;/title&gt;&lt;secondary-title&gt;Annual Review of Sociology&lt;/secondary-title&gt;&lt;/titles&gt;&lt;periodical&gt;&lt;full-title&gt;Annual review of sociology&lt;/full-title&gt;&lt;/periodical&gt;&lt;pages&gt;401-423&lt;/pages&gt;&lt;volume&gt;45&lt;/volume&gt;&lt;number&gt;1&lt;/number&gt;&lt;keywords&gt;&lt;keyword&gt;LGBTQ,sexualities,homosexuality,attitudes,public opinion,cross-national research&lt;/keyword&gt;&lt;/keywords&gt;&lt;dates&gt;&lt;year&gt;2019&lt;/year&gt;&lt;/dates&gt;&lt;urls&gt;&lt;related-urls&gt;&lt;url&gt;https://www.annualreviews.org/doi/abs/10.1146/annurev-soc-073018-022332&lt;/url&gt;&lt;/related-urls&gt;&lt;/urls&gt;&lt;electronic-resource-num&gt;10.1146/annurev-soc-073018-022332&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(Adamczyk &amp; Liao, 2019)</w:t>
      </w:r>
      <w:r>
        <w:rPr>
          <w:rFonts w:ascii="Times New Roman" w:hAnsi="Times New Roman" w:cs="Times New Roman"/>
        </w:rPr>
        <w:fldChar w:fldCharType="end"/>
      </w:r>
      <w:r>
        <w:rPr>
          <w:rFonts w:ascii="Times New Roman" w:hAnsi="Times New Roman" w:cs="Times New Roman"/>
        </w:rPr>
        <w:t xml:space="preserve">. </w:t>
      </w:r>
      <w:r w:rsidRPr="00C52F4A">
        <w:rPr>
          <w:rFonts w:ascii="Times New Roman" w:hAnsi="Times New Roman" w:cs="Times New Roman"/>
        </w:rPr>
        <w:t xml:space="preserve">The following section </w:t>
      </w:r>
      <w:r>
        <w:rPr>
          <w:rFonts w:ascii="Times New Roman" w:hAnsi="Times New Roman" w:cs="Times New Roman"/>
        </w:rPr>
        <w:t>e</w:t>
      </w:r>
      <w:r w:rsidRPr="00C52F4A">
        <w:rPr>
          <w:rFonts w:ascii="Times New Roman" w:hAnsi="Times New Roman" w:cs="Times New Roman"/>
        </w:rPr>
        <w:t>xplain</w:t>
      </w:r>
      <w:r>
        <w:rPr>
          <w:rFonts w:ascii="Times New Roman" w:hAnsi="Times New Roman" w:cs="Times New Roman"/>
        </w:rPr>
        <w:t>s</w:t>
      </w:r>
      <w:r w:rsidRPr="00C52F4A">
        <w:rPr>
          <w:rFonts w:ascii="Times New Roman" w:hAnsi="Times New Roman" w:cs="Times New Roman"/>
        </w:rPr>
        <w:t xml:space="preserve"> the interplay of discourses from the dialogic worldview. </w:t>
      </w:r>
    </w:p>
    <w:p w14:paraId="4C6088D4" w14:textId="77777777" w:rsidR="00256B3D" w:rsidRDefault="00256B3D" w:rsidP="00256B3D">
      <w:pPr>
        <w:spacing w:line="480" w:lineRule="auto"/>
        <w:ind w:firstLine="720"/>
        <w:rPr>
          <w:rFonts w:ascii="Times New Roman" w:hAnsi="Times New Roman" w:cs="Times New Roman"/>
        </w:rPr>
      </w:pPr>
      <w:r w:rsidRPr="00C52F4A">
        <w:rPr>
          <w:rFonts w:ascii="Times New Roman" w:hAnsi="Times New Roman" w:cs="Times New Roman"/>
          <w:b/>
          <w:bCs/>
        </w:rPr>
        <w:t>The interplay of discourses</w:t>
      </w:r>
      <w:r w:rsidRPr="00C52F4A">
        <w:rPr>
          <w:rFonts w:ascii="Times New Roman" w:hAnsi="Times New Roman" w:cs="Times New Roman"/>
        </w:rPr>
        <w:t xml:space="preserve">. </w:t>
      </w:r>
      <w:r>
        <w:rPr>
          <w:rFonts w:ascii="Times New Roman" w:hAnsi="Times New Roman" w:cs="Times New Roman"/>
        </w:rPr>
        <w:t xml:space="preserve">The interplay of discourses is essential for RDT, and </w:t>
      </w:r>
      <w:r w:rsidRPr="00C52F4A">
        <w:rPr>
          <w:rFonts w:ascii="Times New Roman" w:hAnsi="Times New Roman" w:cs="Times New Roman"/>
        </w:rPr>
        <w:t>meanings are emergent from</w:t>
      </w:r>
      <w:r>
        <w:rPr>
          <w:rFonts w:ascii="Times New Roman" w:hAnsi="Times New Roman" w:cs="Times New Roman"/>
        </w:rPr>
        <w:t xml:space="preserve"> discourses in play. T</w:t>
      </w:r>
      <w:r w:rsidRPr="00C52F4A">
        <w:rPr>
          <w:rFonts w:ascii="Times New Roman" w:hAnsi="Times New Roman" w:cs="Times New Roman"/>
        </w:rPr>
        <w:t xml:space="preserve">he “interplay” indicates that competing discourses interpenetrate in a dialogue, and the interplay can be diachronic and synchronic, labeled as </w:t>
      </w:r>
      <w:r w:rsidRPr="00C52F4A">
        <w:rPr>
          <w:rFonts w:ascii="Times New Roman" w:hAnsi="Times New Roman" w:cs="Times New Roman"/>
          <w:i/>
          <w:iCs/>
        </w:rPr>
        <w:t>diachronic separation</w:t>
      </w:r>
      <w:r w:rsidRPr="00C52F4A">
        <w:rPr>
          <w:rFonts w:ascii="Times New Roman" w:hAnsi="Times New Roman" w:cs="Times New Roman"/>
        </w:rPr>
        <w:t xml:space="preserve"> and </w:t>
      </w:r>
      <w:r w:rsidRPr="00C52F4A">
        <w:rPr>
          <w:rFonts w:ascii="Times New Roman" w:hAnsi="Times New Roman" w:cs="Times New Roman"/>
          <w:i/>
          <w:iCs/>
        </w:rPr>
        <w:t>synchronic interplay</w:t>
      </w:r>
      <w:r w:rsidRPr="00C52F4A">
        <w:rPr>
          <w:rFonts w:ascii="Times New Roman" w:hAnsi="Times New Roman" w:cs="Times New Roman"/>
        </w:rPr>
        <w:t>.</w:t>
      </w:r>
      <w:r>
        <w:rPr>
          <w:rFonts w:ascii="Times New Roman" w:hAnsi="Times New Roman" w:cs="Times New Roman"/>
        </w:rPr>
        <w:t xml:space="preserve"> </w:t>
      </w:r>
    </w:p>
    <w:p w14:paraId="2E6E0429" w14:textId="77777777" w:rsidR="00256B3D" w:rsidRPr="00C52F4A" w:rsidRDefault="00256B3D" w:rsidP="00256B3D">
      <w:pPr>
        <w:spacing w:line="480" w:lineRule="auto"/>
        <w:ind w:firstLine="720"/>
        <w:rPr>
          <w:rFonts w:ascii="Times New Roman" w:hAnsi="Times New Roman" w:cs="Times New Roman"/>
        </w:rPr>
      </w:pPr>
      <w:r w:rsidRPr="00C52F4A">
        <w:rPr>
          <w:rFonts w:ascii="Times New Roman" w:hAnsi="Times New Roman" w:cs="Times New Roman"/>
        </w:rPr>
        <w:t xml:space="preserve">Diachronic separation depicts a shift in which discourse is centered and which discourse is marginalized over time. An ebb and flow across time characterizes two diachronic practices: spiraling inversion and segmentation </w:t>
      </w:r>
      <w:r w:rsidRPr="00C52F4A">
        <w:rPr>
          <w:rFonts w:ascii="Times New Roman" w:hAnsi="Times New Roman" w:cs="Times New Roman"/>
        </w:rPr>
        <w:fldChar w:fldCharType="begin"/>
      </w:r>
      <w:r w:rsidRPr="00C52F4A">
        <w:rPr>
          <w:rFonts w:ascii="Times New Roman" w:hAnsi="Times New Roman" w:cs="Times New Roman"/>
        </w:rPr>
        <w:instrText xml:space="preserve"> ADDIN EN.CITE &lt;EndNote&gt;&lt;Cite&gt;&lt;Author&gt;Baxter&lt;/Author&gt;&lt;Year&gt;1996&lt;/Year&gt;&lt;RecNum&gt;1248&lt;/RecNum&gt;&lt;DisplayText&gt;(Baxter &amp;amp; Montgomery, 1996)&lt;/DisplayText&gt;&lt;record&gt;&lt;rec-number&gt;1248&lt;/rec-number&gt;&lt;foreign-keys&gt;&lt;key app="EN" db-id="2pe9e00ros0veneeptspa5vhz0pw2az52v20" timestamp="1610695201" guid="9076931a-53d8-48c6-8f62-b14ca4e58efb"&gt;1248&lt;/key&gt;&lt;/foreign-keys&gt;&lt;ref-type name="Book"&gt;6&lt;/ref-type&gt;&lt;contributors&gt;&lt;authors&gt;&lt;author&gt;Baxter, Leslie A&lt;/author&gt;&lt;author&gt;Montgomery, Barbara M&lt;/author&gt;&lt;/authors&gt;&lt;/contributors&gt;&lt;titles&gt;&lt;title&gt;Relating: Dialogues and dialectics&lt;/title&gt;&lt;/titles&gt;&lt;dates&gt;&lt;year&gt;1996&lt;/year&gt;&lt;/dates&gt;&lt;publisher&gt;Guilford Press&lt;/publisher&gt;&lt;isbn&gt;1572301015&lt;/isbn&gt;&lt;urls&gt;&lt;/urls&gt;&lt;/record&gt;&lt;/Cite&gt;&lt;/EndNote&gt;</w:instrText>
      </w:r>
      <w:r w:rsidRPr="00C52F4A">
        <w:rPr>
          <w:rFonts w:ascii="Times New Roman" w:hAnsi="Times New Roman" w:cs="Times New Roman"/>
        </w:rPr>
        <w:fldChar w:fldCharType="separate"/>
      </w:r>
      <w:r w:rsidRPr="00C52F4A">
        <w:rPr>
          <w:rFonts w:ascii="Times New Roman" w:hAnsi="Times New Roman" w:cs="Times New Roman"/>
          <w:noProof/>
        </w:rPr>
        <w:t>(Baxter &amp; Montgomery, 1996)</w:t>
      </w:r>
      <w:r w:rsidRPr="00C52F4A">
        <w:rPr>
          <w:rFonts w:ascii="Times New Roman" w:hAnsi="Times New Roman" w:cs="Times New Roman"/>
        </w:rPr>
        <w:fldChar w:fldCharType="end"/>
      </w:r>
      <w:r w:rsidRPr="00C52F4A">
        <w:rPr>
          <w:rFonts w:ascii="Times New Roman" w:hAnsi="Times New Roman" w:cs="Times New Roman"/>
        </w:rPr>
        <w:t xml:space="preserve">. The spiraling inversion suggests a back-and-forth pattern in which one discourse is dominant first, and then another is transformed into dominance for a given topical or activity domain over time. For example, </w:t>
      </w:r>
      <w:r w:rsidRPr="00C52F4A">
        <w:rPr>
          <w:rFonts w:ascii="Times New Roman" w:hAnsi="Times New Roman" w:cs="Times New Roman"/>
        </w:rPr>
        <w:fldChar w:fldCharType="begin"/>
      </w:r>
      <w:r w:rsidRPr="00C52F4A">
        <w:rPr>
          <w:rFonts w:ascii="Times New Roman" w:hAnsi="Times New Roman" w:cs="Times New Roman"/>
        </w:rPr>
        <w:instrText xml:space="preserve"> ADDIN EN.CITE &lt;EndNote&gt;&lt;Cite AuthorYear="1"&gt;&lt;Author&gt;Schrodt&lt;/Author&gt;&lt;Year&gt;2006&lt;/Year&gt;&lt;RecNum&gt;2154&lt;/RecNum&gt;&lt;DisplayText&gt;Schrodt et al. (2006)&lt;/DisplayText&gt;&lt;record&gt;&lt;rec-number&gt;2154&lt;/rec-number&gt;&lt;foreign-keys&gt;&lt;key app="EN" db-id="2pe9e00ros0veneeptspa5vhz0pw2az52v20" timestamp="1697947229" guid="62e03089-02cd-474d-8e46-4df6b940e6c1"&gt;2154&lt;/key&gt;&lt;/foreign-keys&gt;&lt;ref-type name="Journal Article"&gt;17&lt;/ref-type&gt;&lt;contributors&gt;&lt;authors&gt;&lt;author&gt;Schrodt, Paul&lt;/author&gt;&lt;author&gt;Baxter, Leslie A.&lt;/author&gt;&lt;author&gt;McBride, M. Chad&lt;/author&gt;&lt;author&gt;Braithwaite, Dawn O.&lt;/author&gt;&lt;author&gt;Fine, Mark A.&lt;/author&gt;&lt;/authors&gt;&lt;/contributors&gt;&lt;titles&gt;&lt;title&gt;The divorce decree, communication, and the structuration of coparenting relationships in stepfamilies&lt;/title&gt;&lt;secondary-title&gt;Journal of Social and Personal Relationships&lt;/secondary-title&gt;&lt;/titles&gt;&lt;periodical&gt;&lt;full-title&gt;Journal of Social and Personal relationships&lt;/full-title&gt;&lt;/periodical&gt;&lt;pages&gt;741-759&lt;/pages&gt;&lt;volume&gt;23&lt;/volume&gt;&lt;number&gt;5&lt;/number&gt;&lt;keywords&gt;&lt;keyword&gt;communication,coparenting,divorce decree,legitimation,signification,stepfamilies,structuration&lt;/keyword&gt;&lt;/keywords&gt;&lt;dates&gt;&lt;year&gt;2006&lt;/year&gt;&lt;/dates&gt;&lt;urls&gt;&lt;related-urls&gt;&lt;url&gt;https://journals.sagepub.com/doi/abs/10.1177/0265407506068261&lt;/url&gt;&lt;/related-urls&gt;&lt;/urls&gt;&lt;electronic-resource-num&gt;10.1177/0265407506068261&lt;/electronic-resource-num&gt;&lt;/record&gt;&lt;/Cite&gt;&lt;/EndNote&gt;</w:instrText>
      </w:r>
      <w:r w:rsidRPr="00C52F4A">
        <w:rPr>
          <w:rFonts w:ascii="Times New Roman" w:hAnsi="Times New Roman" w:cs="Times New Roman"/>
        </w:rPr>
        <w:fldChar w:fldCharType="separate"/>
      </w:r>
      <w:r w:rsidRPr="00C52F4A">
        <w:rPr>
          <w:rFonts w:ascii="Times New Roman" w:hAnsi="Times New Roman" w:cs="Times New Roman"/>
          <w:noProof/>
        </w:rPr>
        <w:t>Schrodt et al. (2006)</w:t>
      </w:r>
      <w:r w:rsidRPr="00C52F4A">
        <w:rPr>
          <w:rFonts w:ascii="Times New Roman" w:hAnsi="Times New Roman" w:cs="Times New Roman"/>
        </w:rPr>
        <w:fldChar w:fldCharType="end"/>
      </w:r>
      <w:r w:rsidRPr="00C52F4A">
        <w:rPr>
          <w:rFonts w:ascii="Times New Roman" w:hAnsi="Times New Roman" w:cs="Times New Roman"/>
        </w:rPr>
        <w:t xml:space="preserve"> identified two discourses – a legal document or a guide – regarding the divorce decree, jumping forth and back.</w:t>
      </w:r>
      <w:r>
        <w:rPr>
          <w:rFonts w:ascii="Times New Roman" w:hAnsi="Times New Roman" w:cs="Times New Roman"/>
        </w:rPr>
        <w:t xml:space="preserve"> Similarly, wives whose </w:t>
      </w:r>
      <w:r w:rsidRPr="00E35837">
        <w:rPr>
          <w:rFonts w:ascii="Times New Roman" w:hAnsi="Times New Roman" w:cs="Times New Roman"/>
        </w:rPr>
        <w:t xml:space="preserve">elderly husbands </w:t>
      </w:r>
      <w:r>
        <w:rPr>
          <w:rFonts w:ascii="Times New Roman" w:hAnsi="Times New Roman" w:cs="Times New Roman"/>
        </w:rPr>
        <w:t xml:space="preserve">had </w:t>
      </w:r>
      <w:r w:rsidRPr="00E35837">
        <w:rPr>
          <w:rFonts w:ascii="Times New Roman" w:hAnsi="Times New Roman" w:cs="Times New Roman"/>
        </w:rPr>
        <w:t>adult dementia</w:t>
      </w:r>
      <w:r>
        <w:rPr>
          <w:rFonts w:ascii="Times New Roman" w:hAnsi="Times New Roman" w:cs="Times New Roman"/>
        </w:rPr>
        <w:t xml:space="preserve"> constantly experienced </w:t>
      </w:r>
      <w:r w:rsidRPr="00E35837">
        <w:rPr>
          <w:rFonts w:ascii="Times New Roman" w:hAnsi="Times New Roman" w:cs="Times New Roman"/>
        </w:rPr>
        <w:t>a primary contradiction between their husbands’ physical presence and cognitive/emotional absence</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&lt;EndNote&gt;&lt;Cite&gt;&lt;Author&gt;Baxter&lt;/Author&gt;&lt;Year&gt;2002&lt;/Year&gt;&lt;RecNum&gt;2200&lt;/RecNum&gt;&lt;DisplayText&gt;(Baxter et al., 2002)&lt;/DisplayText&gt;&lt;record&gt;&lt;rec-number&gt;2200&lt;/rec-number&gt;&lt;foreign-keys&gt;&lt;key app="EN" db-id="2pe9e00ros0veneeptspa5vhz0pw2az52v20" timestamp="1698519869" guid="439a4b81-b8e4-49ff-a9c3-71c6bed980e0"&gt;2200&lt;/key&gt;&lt;/foreign-keys&gt;&lt;ref-type name="Journal Article"&gt;17&lt;/ref-type&gt;&lt;contributors&gt;&lt;authors&gt;&lt;author&gt;Baxter, Leslie A.&lt;/author&gt;&lt;author&gt;Braithwaite, Dawn O.&lt;/author&gt;&lt;author&gt;Golish, Tamara D.&lt;/author&gt;&lt;author&gt;Olson, Loreen N.&lt;/author&gt;&lt;/authors&gt;&lt;/contributors&gt;&lt;titles&gt;&lt;title&gt;Contradictions of interaction for wives of elderly husbands with adult dementia&lt;/title&gt;&lt;secondary-title&gt;Journal of Applied Communication Research&lt;/secondary-title&gt;&lt;/titles&gt;&lt;periodical&gt;&lt;full-title&gt;Journal of Applied Communication Research&lt;/full-title&gt;&lt;/periodical&gt;&lt;pages&gt;1-26&lt;/pages&gt;&lt;volume&gt;30&lt;/volume&gt;&lt;number&gt;1&lt;/number&gt;&lt;dates&gt;&lt;year&gt;2002&lt;/year&gt;&lt;/dates&gt;&lt;publisher&gt;Routledge&lt;/publisher&gt;&lt;isbn&gt;0090-9882&lt;/isbn&gt;&lt;urls&gt;&lt;related-urls&gt;&lt;url&gt;https://doi.org/10.1080/00909880216576&lt;/url&gt;&lt;/related-urls&gt;&lt;/urls&gt;&lt;electronic-resource-num&gt;10.1080/00909880216576&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(Baxter et al., 2002)</w:t>
      </w:r>
      <w:r>
        <w:rPr>
          <w:rFonts w:ascii="Times New Roman" w:hAnsi="Times New Roman" w:cs="Times New Roman"/>
        </w:rPr>
        <w:fldChar w:fldCharType="end"/>
      </w:r>
      <w:r>
        <w:rPr>
          <w:rFonts w:ascii="Times New Roman" w:hAnsi="Times New Roman" w:cs="Times New Roman"/>
        </w:rPr>
        <w:t>, indicating the constant interexchange of discourses of certainty-uncertainty, o</w:t>
      </w:r>
      <w:r w:rsidRPr="00E35837">
        <w:rPr>
          <w:rFonts w:ascii="Times New Roman" w:hAnsi="Times New Roman" w:cs="Times New Roman"/>
        </w:rPr>
        <w:t>penness-closedness, and past-present</w:t>
      </w:r>
      <w:r>
        <w:rPr>
          <w:rFonts w:ascii="Times New Roman" w:hAnsi="Times New Roman" w:cs="Times New Roman"/>
        </w:rPr>
        <w:t xml:space="preserve">. </w:t>
      </w:r>
      <w:r w:rsidRPr="00C52F4A">
        <w:rPr>
          <w:rFonts w:ascii="Times New Roman" w:hAnsi="Times New Roman" w:cs="Times New Roman"/>
        </w:rPr>
        <w:t xml:space="preserve">Segmentation manifests an ebb-and-flow in which the inversion of a topical or activity domain transforms the centered discourse. For instance, </w:t>
      </w:r>
      <w:r w:rsidRPr="00C52F4A">
        <w:rPr>
          <w:rFonts w:ascii="Times New Roman" w:hAnsi="Times New Roman" w:cs="Times New Roman"/>
        </w:rPr>
        <w:fldChar w:fldCharType="begin"/>
      </w:r>
      <w:r w:rsidRPr="00C52F4A">
        <w:rPr>
          <w:rFonts w:ascii="Times New Roman" w:hAnsi="Times New Roman" w:cs="Times New Roman"/>
        </w:rPr>
        <w:instrText xml:space="preserve"> ADDIN EN.CITE &lt;EndNote&gt;&lt;Cite AuthorYear="1"&gt;&lt;Author&gt;Hoppe‐Nagao&lt;/Author&gt;&lt;Year&gt;2002&lt;/Year&gt;&lt;RecNum&gt;2199&lt;/RecNum&gt;&lt;DisplayText&gt;Hoppe‐Nagao and Ting‐Toomey (2002)&lt;/DisplayText&gt;&lt;record&gt;&lt;rec-number&gt;2199&lt;/rec-number&gt;&lt;foreign-keys&gt;&lt;key app="EN" db-id="2pe9e00ros0veneeptspa5vhz0pw2az52v20" timestamp="1698518084" guid="30b1abd7-4e3f-4f91-92f0-d9bd62493c1c"&gt;2199&lt;/key&gt;&lt;/foreign-keys&gt;&lt;ref-type name="Journal Article"&gt;17&lt;/ref-type&gt;&lt;contributors&gt;&lt;authors&gt;&lt;author&gt;Hoppe‐Nagao, Angela&lt;/author&gt;&lt;author&gt;Ting‐Toomey, Stella&lt;/author&gt;&lt;/authors&gt;&lt;/contributors&gt;&lt;titles&gt;&lt;title&gt;Relational dialectics and management strategies in marital couples&lt;/title&gt;&lt;secondary-title&gt;Southern Communication Journal&lt;/secondary-title&gt;&lt;/titles&gt;&lt;periodical&gt;&lt;full-title&gt;Southern Communication Journal&lt;/full-title&gt;&lt;/periodical&gt;&lt;pages&gt;142-159&lt;/pages&gt;&lt;volume&gt;67&lt;/volume&gt;&lt;number&gt;2&lt;/number&gt;&lt;dates&gt;&lt;year&gt;2002&lt;/year&gt;&lt;/dates&gt;&lt;publisher&gt;Routledge&lt;/publisher&gt;&lt;isbn&gt;1041-794X&lt;/isbn&gt;&lt;urls&gt;&lt;related-urls&gt;&lt;url&gt;https://doi.org/10.1080/10417940209373226&lt;/url&gt;&lt;/related-urls&gt;&lt;/urls&gt;&lt;electronic-resource-num&gt;10.1080/10417940209373226&lt;/electronic-resource-num&gt;&lt;/record&gt;&lt;/Cite&gt;&lt;/EndNote&gt;</w:instrText>
      </w:r>
      <w:r w:rsidRPr="00C52F4A">
        <w:rPr>
          <w:rFonts w:ascii="Times New Roman" w:hAnsi="Times New Roman" w:cs="Times New Roman"/>
        </w:rPr>
        <w:fldChar w:fldCharType="separate"/>
      </w:r>
      <w:r w:rsidRPr="00C52F4A">
        <w:rPr>
          <w:rFonts w:ascii="Times New Roman" w:hAnsi="Times New Roman" w:cs="Times New Roman"/>
          <w:noProof/>
        </w:rPr>
        <w:t>Hoppe‐Nagao and Ting‐Toomey (2002)</w:t>
      </w:r>
      <w:r w:rsidRPr="00C52F4A">
        <w:rPr>
          <w:rFonts w:ascii="Times New Roman" w:hAnsi="Times New Roman" w:cs="Times New Roman"/>
        </w:rPr>
        <w:fldChar w:fldCharType="end"/>
      </w:r>
      <w:r w:rsidRPr="00C52F4A">
        <w:rPr>
          <w:rFonts w:ascii="Times New Roman" w:hAnsi="Times New Roman" w:cs="Times New Roman"/>
        </w:rPr>
        <w:t xml:space="preserve"> found that married couples manage the dialectical autonomy-connection contradiction by applying the </w:t>
      </w:r>
      <w:r w:rsidRPr="00C52F4A">
        <w:rPr>
          <w:rFonts w:ascii="Times New Roman" w:hAnsi="Times New Roman" w:cs="Times New Roman"/>
        </w:rPr>
        <w:lastRenderedPageBreak/>
        <w:t xml:space="preserve">strategies of activity segmentation: doing one activity </w:t>
      </w:r>
      <w:r>
        <w:rPr>
          <w:rFonts w:ascii="Times New Roman" w:hAnsi="Times New Roman" w:cs="Times New Roman"/>
        </w:rPr>
        <w:t>that</w:t>
      </w:r>
      <w:r w:rsidRPr="00C52F4A">
        <w:rPr>
          <w:rFonts w:ascii="Times New Roman" w:hAnsi="Times New Roman" w:cs="Times New Roman"/>
        </w:rPr>
        <w:t xml:space="preserve"> favor</w:t>
      </w:r>
      <w:r>
        <w:rPr>
          <w:rFonts w:ascii="Times New Roman" w:hAnsi="Times New Roman" w:cs="Times New Roman"/>
        </w:rPr>
        <w:t>s</w:t>
      </w:r>
      <w:r w:rsidRPr="00C52F4A">
        <w:rPr>
          <w:rFonts w:ascii="Times New Roman" w:hAnsi="Times New Roman" w:cs="Times New Roman"/>
        </w:rPr>
        <w:t xml:space="preserve"> the husband and doing another activity </w:t>
      </w:r>
      <w:r>
        <w:rPr>
          <w:rFonts w:ascii="Times New Roman" w:hAnsi="Times New Roman" w:cs="Times New Roman"/>
        </w:rPr>
        <w:t xml:space="preserve">according to the </w:t>
      </w:r>
      <w:r w:rsidRPr="00C52F4A">
        <w:rPr>
          <w:rFonts w:ascii="Times New Roman" w:hAnsi="Times New Roman" w:cs="Times New Roman"/>
        </w:rPr>
        <w:t xml:space="preserve">wife’s preference. </w:t>
      </w:r>
    </w:p>
    <w:p w14:paraId="4DA255E3" w14:textId="77777777" w:rsidR="00256B3D" w:rsidRPr="00C52F4A" w:rsidRDefault="00256B3D" w:rsidP="00256B3D">
      <w:pPr>
        <w:spacing w:line="480" w:lineRule="auto"/>
        <w:ind w:firstLine="720"/>
        <w:rPr>
          <w:rFonts w:ascii="Times New Roman" w:hAnsi="Times New Roman" w:cs="Times New Roman"/>
        </w:rPr>
      </w:pPr>
      <w:r>
        <w:rPr>
          <w:rFonts w:ascii="Times New Roman" w:hAnsi="Times New Roman" w:cs="Times New Roman"/>
        </w:rPr>
        <w:t>Meanwhile, RDT explains that s</w:t>
      </w:r>
      <w:r w:rsidRPr="00C52F4A">
        <w:rPr>
          <w:rFonts w:ascii="Times New Roman" w:hAnsi="Times New Roman" w:cs="Times New Roman"/>
        </w:rPr>
        <w:t xml:space="preserve">ynchronic interplay </w:t>
      </w:r>
      <w:r>
        <w:rPr>
          <w:rFonts w:ascii="Times New Roman" w:hAnsi="Times New Roman" w:cs="Times New Roman"/>
        </w:rPr>
        <w:t xml:space="preserve">explicates how </w:t>
      </w:r>
      <w:r w:rsidRPr="00C52F4A">
        <w:rPr>
          <w:rFonts w:ascii="Times New Roman" w:hAnsi="Times New Roman" w:cs="Times New Roman"/>
        </w:rPr>
        <w:t xml:space="preserve">multiple discourses co-occur at a given time. Scholars attempt to identify synchronic interplay by focusing on four distinct forms of utterance chains: </w:t>
      </w:r>
      <w:r w:rsidRPr="00C52F4A">
        <w:rPr>
          <w:rFonts w:ascii="Times New Roman" w:hAnsi="Times New Roman" w:cs="Times New Roman"/>
          <w:i/>
          <w:iCs/>
        </w:rPr>
        <w:t>distal already-spokens</w:t>
      </w:r>
      <w:r w:rsidRPr="00C52F4A">
        <w:rPr>
          <w:rFonts w:ascii="Times New Roman" w:hAnsi="Times New Roman" w:cs="Times New Roman"/>
        </w:rPr>
        <w:t xml:space="preserve">, </w:t>
      </w:r>
      <w:r w:rsidRPr="00C52F4A">
        <w:rPr>
          <w:rFonts w:ascii="Times New Roman" w:hAnsi="Times New Roman" w:cs="Times New Roman"/>
          <w:i/>
          <w:iCs/>
        </w:rPr>
        <w:t>proximal already-spokens</w:t>
      </w:r>
      <w:r w:rsidRPr="00C52F4A">
        <w:rPr>
          <w:rFonts w:ascii="Times New Roman" w:hAnsi="Times New Roman" w:cs="Times New Roman"/>
        </w:rPr>
        <w:t xml:space="preserve">, </w:t>
      </w:r>
      <w:r w:rsidRPr="00C52F4A">
        <w:rPr>
          <w:rFonts w:ascii="Times New Roman" w:hAnsi="Times New Roman" w:cs="Times New Roman"/>
          <w:i/>
          <w:iCs/>
        </w:rPr>
        <w:t>proximal not-yet-spokens</w:t>
      </w:r>
      <w:r w:rsidRPr="00C52F4A">
        <w:rPr>
          <w:rFonts w:ascii="Times New Roman" w:hAnsi="Times New Roman" w:cs="Times New Roman"/>
        </w:rPr>
        <w:t xml:space="preserve">, and </w:t>
      </w:r>
      <w:r w:rsidRPr="00C52F4A">
        <w:rPr>
          <w:rFonts w:ascii="Times New Roman" w:hAnsi="Times New Roman" w:cs="Times New Roman"/>
          <w:i/>
          <w:iCs/>
        </w:rPr>
        <w:t>distal not-yet-spokens</w:t>
      </w:r>
      <w:r w:rsidRPr="00C52F4A">
        <w:rPr>
          <w:rFonts w:ascii="Times New Roman" w:hAnsi="Times New Roman" w:cs="Times New Roman"/>
        </w:rPr>
        <w:t xml:space="preserve">. Four features of utterance chains indicate the synchronic interplay, conceptualized as dimensions: </w:t>
      </w:r>
      <w:r w:rsidRPr="00C52F4A">
        <w:rPr>
          <w:rFonts w:ascii="Times New Roman" w:hAnsi="Times New Roman" w:cs="Times New Roman"/>
          <w:i/>
          <w:iCs/>
        </w:rPr>
        <w:t>antagonistic-nonantagonistic struggle</w:t>
      </w:r>
      <w:r w:rsidRPr="00C52F4A">
        <w:rPr>
          <w:rFonts w:ascii="Times New Roman" w:hAnsi="Times New Roman" w:cs="Times New Roman"/>
        </w:rPr>
        <w:t>,</w:t>
      </w:r>
      <w:r w:rsidRPr="00C52F4A">
        <w:rPr>
          <w:rFonts w:ascii="Times New Roman" w:hAnsi="Times New Roman" w:cs="Times New Roman"/>
          <w:i/>
          <w:iCs/>
        </w:rPr>
        <w:t xml:space="preserve"> direct-indirect struggle</w:t>
      </w:r>
      <w:r w:rsidRPr="00C52F4A">
        <w:rPr>
          <w:rFonts w:ascii="Times New Roman" w:hAnsi="Times New Roman" w:cs="Times New Roman"/>
        </w:rPr>
        <w:t xml:space="preserve">, </w:t>
      </w:r>
      <w:r w:rsidRPr="00C52F4A">
        <w:rPr>
          <w:rFonts w:ascii="Times New Roman" w:hAnsi="Times New Roman" w:cs="Times New Roman"/>
          <w:i/>
          <w:iCs/>
        </w:rPr>
        <w:t>serious-playful struggle</w:t>
      </w:r>
      <w:r w:rsidRPr="00C52F4A">
        <w:rPr>
          <w:rFonts w:ascii="Times New Roman" w:hAnsi="Times New Roman" w:cs="Times New Roman"/>
        </w:rPr>
        <w:t>, and</w:t>
      </w:r>
      <w:r w:rsidRPr="00C52F4A">
        <w:rPr>
          <w:rFonts w:ascii="Times New Roman" w:hAnsi="Times New Roman" w:cs="Times New Roman"/>
          <w:i/>
          <w:iCs/>
        </w:rPr>
        <w:t xml:space="preserve"> polemical-transformative struggle </w:t>
      </w:r>
      <w:r w:rsidRPr="00C52F4A">
        <w:rPr>
          <w:rFonts w:ascii="Times New Roman" w:hAnsi="Times New Roman" w:cs="Times New Roman"/>
        </w:rPr>
        <w:fldChar w:fldCharType="begin"/>
      </w:r>
      <w:r>
        <w:rPr>
          <w:rFonts w:ascii="Times New Roman" w:hAnsi="Times New Roman" w:cs="Times New Roman"/>
        </w:rPr>
        <w:instrText xml:space="preserve"> ADDIN EN.CITE &lt;EndNote&gt;&lt;Cite&gt;&lt;Author&gt;Baxter&lt;/Author&gt;&lt;Year&gt;2011&lt;/Year&gt;&lt;RecNum&gt;1633&lt;/RecNum&gt;&lt;DisplayText&gt;(Baxter, 2011)&lt;/DisplayText&gt;&lt;record&gt;&lt;rec-number&gt;1633&lt;/rec-number&gt;&lt;foreign-keys&gt;&lt;key app="EN" db-id="2pe9e00ros0veneeptspa5vhz0pw2az52v20" timestamp="1651286064" guid="faff47c4-c762-4121-b9c8-9978bd77054b"&gt;1633&lt;/key&gt;&lt;/foreign-keys&gt;&lt;ref-type name="Book"&gt;6&lt;/ref-type&gt;&lt;contributors&gt;&lt;authors&gt;&lt;author&gt;Baxter, Leslie A.&lt;/author&gt;&lt;/authors&gt;&lt;/contributors&gt;&lt;titles&gt;&lt;title&gt;Voicing relationships: a dialogic perspective&lt;/title&gt;&lt;/titles&gt;&lt;keywords&gt;&lt;keyword&gt;Bakhtin, M. M. (Mikhail Mikhaĭlovich), 1895-1975&lt;/keyword&gt;&lt;keyword&gt;Interpersonal relations&lt;/keyword&gt;&lt;keyword&gt;Dialogue analysis&lt;/keyword&gt;&lt;/keywords&gt;&lt;dates&gt;&lt;year&gt;2011&lt;/year&gt;&lt;/dates&gt;&lt;pub-location&gt;Thousand Oaks, Calif.&lt;/pub-location&gt;&lt;publisher&gt;SAGE Publications, Inc&lt;/publisher&gt;&lt;urls&gt;&lt;/urls&gt;&lt;/record&gt;&lt;/Cite&gt;&lt;/EndNote&gt;</w:instrText>
      </w:r>
      <w:r w:rsidRPr="00C52F4A">
        <w:rPr>
          <w:rFonts w:ascii="Times New Roman" w:hAnsi="Times New Roman" w:cs="Times New Roman"/>
        </w:rPr>
        <w:fldChar w:fldCharType="separate"/>
      </w:r>
      <w:r>
        <w:rPr>
          <w:rFonts w:ascii="Times New Roman" w:hAnsi="Times New Roman" w:cs="Times New Roman"/>
          <w:noProof/>
        </w:rPr>
        <w:t>(Baxter, 2011)</w:t>
      </w:r>
      <w:r w:rsidRPr="00C52F4A">
        <w:rPr>
          <w:rFonts w:ascii="Times New Roman" w:hAnsi="Times New Roman" w:cs="Times New Roman"/>
        </w:rPr>
        <w:fldChar w:fldCharType="end"/>
      </w:r>
      <w:r w:rsidRPr="00C52F4A">
        <w:rPr>
          <w:rFonts w:ascii="Times New Roman" w:hAnsi="Times New Roman" w:cs="Times New Roman"/>
        </w:rPr>
        <w:t>.</w:t>
      </w:r>
    </w:p>
    <w:p w14:paraId="67C5B9C2" w14:textId="77777777" w:rsidR="00256B3D" w:rsidRPr="00C52F4A" w:rsidRDefault="00256B3D" w:rsidP="00256B3D">
      <w:pPr>
        <w:spacing w:line="480" w:lineRule="auto"/>
        <w:ind w:firstLine="720"/>
        <w:rPr>
          <w:rFonts w:ascii="Times New Roman" w:hAnsi="Times New Roman" w:cs="Times New Roman"/>
        </w:rPr>
      </w:pPr>
      <w:r>
        <w:rPr>
          <w:rFonts w:ascii="Times New Roman" w:hAnsi="Times New Roman" w:cs="Times New Roman"/>
        </w:rPr>
        <w:t>According to the theory, t</w:t>
      </w:r>
      <w:r w:rsidRPr="00C52F4A">
        <w:rPr>
          <w:rFonts w:ascii="Times New Roman" w:hAnsi="Times New Roman" w:cs="Times New Roman"/>
        </w:rPr>
        <w:t xml:space="preserve">he antagonistic-nonantagonistic struggle describes two speakers aligning with different semantic positions to one utterance. Antagonistic struggle, also called moral conflict </w:t>
      </w:r>
      <w:r w:rsidRPr="00C52F4A">
        <w:rPr>
          <w:rFonts w:ascii="Times New Roman" w:hAnsi="Times New Roman" w:cs="Times New Roman"/>
        </w:rPr>
        <w:fldChar w:fldCharType="begin"/>
      </w:r>
      <w:r w:rsidRPr="00C52F4A">
        <w:rPr>
          <w:rFonts w:ascii="Times New Roman" w:hAnsi="Times New Roman" w:cs="Times New Roman"/>
        </w:rPr>
        <w:instrText xml:space="preserve"> ADDIN EN.CITE &lt;EndNote&gt;&lt;Cite&gt;&lt;Author&gt;Pearce&lt;/Author&gt;&lt;Year&gt;1997&lt;/Year&gt;&lt;RecNum&gt;2201&lt;/RecNum&gt;&lt;DisplayText&gt;(Pearce &amp;amp; Littlejohn, 1997)&lt;/DisplayText&gt;&lt;record&gt;&lt;rec-number&gt;2201&lt;/rec-number&gt;&lt;foreign-keys&gt;&lt;key app="EN" db-id="2pe9e00ros0veneeptspa5vhz0pw2az52v20" timestamp="1698551758" guid="dbb484fd-6588-44bb-a63e-00fd6dd52b4b"&gt;2201&lt;/key&gt;&lt;/foreign-keys&gt;&lt;ref-type name="Book"&gt;6&lt;/ref-type&gt;&lt;contributors&gt;&lt;authors&gt;&lt;author&gt;Pearce, W Barnett&lt;/author&gt;&lt;author&gt;Littlejohn, Stephen W&lt;/author&gt;&lt;/authors&gt;&lt;/contributors&gt;&lt;titles&gt;&lt;title&gt;Moral conflict: When social worlds collide&lt;/title&gt;&lt;/titles&gt;&lt;dates&gt;&lt;year&gt;1997&lt;/year&gt;&lt;/dates&gt;&lt;publisher&gt;Sage&lt;/publisher&gt;&lt;isbn&gt;0761900535&lt;/isbn&gt;&lt;urls&gt;&lt;/urls&gt;&lt;/record&gt;&lt;/Cite&gt;&lt;/EndNote&gt;</w:instrText>
      </w:r>
      <w:r w:rsidRPr="00C52F4A">
        <w:rPr>
          <w:rFonts w:ascii="Times New Roman" w:hAnsi="Times New Roman" w:cs="Times New Roman"/>
        </w:rPr>
        <w:fldChar w:fldCharType="separate"/>
      </w:r>
      <w:r w:rsidRPr="00C52F4A">
        <w:rPr>
          <w:rFonts w:ascii="Times New Roman" w:hAnsi="Times New Roman" w:cs="Times New Roman"/>
          <w:noProof/>
        </w:rPr>
        <w:t>(Pearce &amp; Littlejohn, 1997)</w:t>
      </w:r>
      <w:r w:rsidRPr="00C52F4A">
        <w:rPr>
          <w:rFonts w:ascii="Times New Roman" w:hAnsi="Times New Roman" w:cs="Times New Roman"/>
        </w:rPr>
        <w:fldChar w:fldCharType="end"/>
      </w:r>
      <w:r w:rsidRPr="00C52F4A">
        <w:rPr>
          <w:rFonts w:ascii="Times New Roman" w:hAnsi="Times New Roman" w:cs="Times New Roman"/>
        </w:rPr>
        <w:t xml:space="preserve">, means that utterances cause conflicts in which people are enmeshed in incommensurate social worlds. With this language use, speakers sometimes couple discourse with a specific kind of person rather than reference discourse in a depersonalized way </w:t>
      </w:r>
      <w:r w:rsidRPr="00C52F4A">
        <w:rPr>
          <w:rFonts w:ascii="Times New Roman" w:hAnsi="Times New Roman" w:cs="Times New Roman"/>
        </w:rPr>
        <w:fldChar w:fldCharType="begin"/>
      </w:r>
      <w:r w:rsidRPr="00C52F4A">
        <w:rPr>
          <w:rFonts w:ascii="Times New Roman" w:hAnsi="Times New Roman" w:cs="Times New Roman"/>
        </w:rPr>
        <w:instrText xml:space="preserve"> ADDIN EN.CITE &lt;EndNote&gt;&lt;Cite&gt;&lt;Author&gt;Bakhtin&lt;/Author&gt;&lt;Year&gt;1981&lt;/Year&gt;&lt;RecNum&gt;1667&lt;/RecNum&gt;&lt;DisplayText&gt;(Bakhtin, 1981b)&lt;/DisplayText&gt;&lt;record&gt;&lt;rec-number&gt;1667&lt;/rec-number&gt;&lt;foreign-keys&gt;&lt;key app="EN" db-id="2pe9e00ros0veneeptspa5vhz0pw2az52v20" timestamp="1651806957" guid="b62c0f5a-4ea7-44ee-b369-f0c217769286"&gt;1667&lt;/key&gt;&lt;/foreign-keys&gt;&lt;ref-type name="Book Section"&gt;5&lt;/ref-type&gt;&lt;contributors&gt;&lt;authors&gt;&lt;author&gt;Bakhtin, Mikhail Mikhaĭlovich&lt;/author&gt;&lt;/authors&gt;&lt;secondary-authors&gt;&lt;author&gt;Rivkin, J., &amp;amp; Ryan, M.&lt;/author&gt;&lt;/secondary-authors&gt;&lt;/contributors&gt;&lt;titles&gt;&lt;title&gt;Discourse in the novel&lt;/title&gt;&lt;secondary-title&gt;Literary theory: An anthology&lt;/secondary-title&gt;&lt;/titles&gt;&lt;pages&gt;674-685&lt;/pages&gt;&lt;dates&gt;&lt;year&gt;1981&lt;/year&gt;&lt;/dates&gt;&lt;publisher&gt;Wiley-Blackwell&lt;/publisher&gt;&lt;isbn&gt;0292782861&lt;/isbn&gt;&lt;urls&gt;&lt;/urls&gt;&lt;/record&gt;&lt;/Cite&gt;&lt;/EndNote&gt;</w:instrText>
      </w:r>
      <w:r w:rsidRPr="00C52F4A">
        <w:rPr>
          <w:rFonts w:ascii="Times New Roman" w:hAnsi="Times New Roman" w:cs="Times New Roman"/>
        </w:rPr>
        <w:fldChar w:fldCharType="separate"/>
      </w:r>
      <w:r w:rsidRPr="00C52F4A">
        <w:rPr>
          <w:rFonts w:ascii="Times New Roman" w:hAnsi="Times New Roman" w:cs="Times New Roman"/>
          <w:noProof/>
        </w:rPr>
        <w:t>(Bakhtin, 1981b)</w:t>
      </w:r>
      <w:r w:rsidRPr="00C52F4A">
        <w:rPr>
          <w:rFonts w:ascii="Times New Roman" w:hAnsi="Times New Roman" w:cs="Times New Roman"/>
        </w:rPr>
        <w:fldChar w:fldCharType="end"/>
      </w:r>
      <w:r w:rsidRPr="00C52F4A">
        <w:rPr>
          <w:rFonts w:ascii="Times New Roman" w:hAnsi="Times New Roman" w:cs="Times New Roman"/>
        </w:rPr>
        <w:t xml:space="preserve">. For instance, the utterance “I do not like holidays, which make me lazy” generates a unique discourse of disliking holidays, reflecting the speaker’s personality, which is a criticism of the discourse of liking holidays. Nonantagonistic struggle indicates that people can identify multiple discourses in utterances </w:t>
      </w:r>
      <w:r w:rsidRPr="00C52F4A">
        <w:rPr>
          <w:rFonts w:ascii="Times New Roman" w:hAnsi="Times New Roman" w:cs="Times New Roman"/>
        </w:rPr>
        <w:fldChar w:fldCharType="begin"/>
      </w:r>
      <w:r w:rsidRPr="00C52F4A">
        <w:rPr>
          <w:rFonts w:ascii="Times New Roman" w:hAnsi="Times New Roman" w:cs="Times New Roman"/>
        </w:rPr>
        <w:instrText xml:space="preserve"> ADDIN EN.CITE &lt;EndNote&gt;&lt;Cite&gt;&lt;Author&gt;Bakhtin&lt;/Author&gt;&lt;Year&gt;1984&lt;/Year&gt;&lt;RecNum&gt;2135&lt;/RecNum&gt;&lt;DisplayText&gt;(Bakhtin, 1984)&lt;/DisplayText&gt;&lt;record&gt;&lt;rec-number&gt;2135&lt;/rec-number&gt;&lt;foreign-keys&gt;&lt;key app="EN" db-id="2pe9e00ros0veneeptspa5vhz0pw2az52v20" timestamp="1697746247" guid="51b14384-8e36-44c0-8472-772dfb203d9c"&gt;2135&lt;/key&gt;&lt;/foreign-keys&gt;&lt;ref-type name="Book"&gt;6&lt;/ref-type&gt;&lt;contributors&gt;&lt;authors&gt;&lt;author&gt;Mikhail M. Bakhtin&lt;/author&gt;&lt;/authors&gt;&lt;tertiary-authors&gt;&lt;author&gt;Caryl Emerson&lt;/author&gt;&lt;/tertiary-authors&gt;&lt;subsidiary-authors&gt;&lt;author&gt;Caryl Emerson&lt;/author&gt;&lt;/subsidiary-authors&gt;&lt;/contributors&gt;&lt;titles&gt;&lt;title&gt;Problems of Dostoevsky’s Poetics&lt;/title&gt;&lt;/titles&gt;&lt;dates&gt;&lt;year&gt;1984&lt;/year&gt;&lt;/dates&gt;&lt;publisher&gt;University of Minnesota Press&lt;/publisher&gt;&lt;urls&gt;&lt;/urls&gt;&lt;/record&gt;&lt;/Cite&gt;&lt;/EndNote&gt;</w:instrText>
      </w:r>
      <w:r w:rsidRPr="00C52F4A">
        <w:rPr>
          <w:rFonts w:ascii="Times New Roman" w:hAnsi="Times New Roman" w:cs="Times New Roman"/>
        </w:rPr>
        <w:fldChar w:fldCharType="separate"/>
      </w:r>
      <w:r w:rsidRPr="00C52F4A">
        <w:rPr>
          <w:rFonts w:ascii="Times New Roman" w:hAnsi="Times New Roman" w:cs="Times New Roman"/>
          <w:noProof/>
        </w:rPr>
        <w:t>(Bakhtin, 1984)</w:t>
      </w:r>
      <w:r w:rsidRPr="00C52F4A">
        <w:rPr>
          <w:rFonts w:ascii="Times New Roman" w:hAnsi="Times New Roman" w:cs="Times New Roman"/>
        </w:rPr>
        <w:fldChar w:fldCharType="end"/>
      </w:r>
      <w:r w:rsidRPr="00C52F4A">
        <w:rPr>
          <w:rFonts w:ascii="Times New Roman" w:hAnsi="Times New Roman" w:cs="Times New Roman"/>
        </w:rPr>
        <w:t xml:space="preserve">. For example, the utterance “I guess you could say we are dating but not really dating” contains two discourses: the discourse of romanticism and the discourse of individualism. </w:t>
      </w:r>
    </w:p>
    <w:p w14:paraId="27742E94" w14:textId="77777777" w:rsidR="00256B3D" w:rsidRPr="00C52F4A" w:rsidRDefault="00256B3D" w:rsidP="00256B3D">
      <w:pPr>
        <w:spacing w:line="480" w:lineRule="auto"/>
        <w:ind w:firstLine="720"/>
        <w:rPr>
          <w:rFonts w:ascii="Times New Roman" w:hAnsi="Times New Roman" w:cs="Times New Roman"/>
        </w:rPr>
      </w:pPr>
      <w:r>
        <w:rPr>
          <w:rFonts w:ascii="Times New Roman" w:hAnsi="Times New Roman" w:cs="Times New Roman"/>
        </w:rPr>
        <w:t>In RDT, t</w:t>
      </w:r>
      <w:r w:rsidRPr="00C52F4A">
        <w:rPr>
          <w:rFonts w:ascii="Times New Roman" w:hAnsi="Times New Roman" w:cs="Times New Roman"/>
        </w:rPr>
        <w:t xml:space="preserve">he direct-indirect struggle is about the ambiguous level of an utterance situated in a binary continuum of directness-indirectness. Ambiguity allows multiple interpretations to exist among people who attend to the same message </w:t>
      </w:r>
      <w:r w:rsidRPr="00C52F4A">
        <w:rPr>
          <w:rFonts w:ascii="Times New Roman" w:hAnsi="Times New Roman" w:cs="Times New Roman"/>
        </w:rPr>
        <w:fldChar w:fldCharType="begin"/>
      </w:r>
      <w:r>
        <w:rPr>
          <w:rFonts w:ascii="Times New Roman" w:hAnsi="Times New Roman" w:cs="Times New Roman"/>
        </w:rPr>
        <w:instrText xml:space="preserve"> ADDIN EN.CITE &lt;EndNote&gt;&lt;Cite&gt;&lt;Author&gt;Eisenberg&lt;/Author&gt;&lt;Year&gt;1984&lt;/Year&gt;&lt;RecNum&gt;2202&lt;/RecNum&gt;&lt;DisplayText&gt;(Eisenberg, 1984)&lt;/DisplayText&gt;&lt;record&gt;&lt;rec-number&gt;2202&lt;/rec-number&gt;&lt;foreign-keys&gt;&lt;key app="EN" db-id="2pe9e00ros0veneeptspa5vhz0pw2az52v20" timestamp="1698553610" guid="4d96163b-d541-46c3-8d7d-e5b6c4b22ca2"&gt;2202&lt;/key&gt;&lt;/foreign-keys&gt;&lt;ref-type name="Journal Article"&gt;17&lt;/ref-type&gt;&lt;contributors&gt;&lt;authors&gt;&lt;author&gt;Eisenberg, Eric M.&lt;/author&gt;&lt;/authors&gt;&lt;/contributors&gt;&lt;titles&gt;&lt;title&gt;Ambiguity as strategy in organizational communication&lt;/title&gt;&lt;secondary-title&gt;Communication Monographs&lt;/secondary-title&gt;&lt;/titles&gt;&lt;periodical&gt;&lt;full-title&gt;Communication Monographs&lt;/full-title&gt;&lt;/periodical&gt;&lt;pages&gt;227-242&lt;/pages&gt;&lt;volume&gt;51&lt;/volume&gt;&lt;number&gt;3&lt;/number&gt;&lt;dates&gt;&lt;year&gt;1984&lt;/year&gt;&lt;/dates&gt;&lt;publisher&gt;Routledge&lt;/publisher&gt;&lt;isbn&gt;0363-7751&lt;/isbn&gt;&lt;urls&gt;&lt;related-urls&gt;&lt;url&gt;https://doi.org/10.1080/03637758409390197&lt;/url&gt;&lt;/related-urls&gt;&lt;/urls&gt;&lt;electronic-resource-num&gt;10.1080/03637758409390197&lt;/electronic-resource-num&gt;&lt;/record&gt;&lt;/Cite&gt;&lt;/EndNote&gt;</w:instrText>
      </w:r>
      <w:r w:rsidRPr="00C52F4A">
        <w:rPr>
          <w:rFonts w:ascii="Times New Roman" w:hAnsi="Times New Roman" w:cs="Times New Roman"/>
        </w:rPr>
        <w:fldChar w:fldCharType="separate"/>
      </w:r>
      <w:r w:rsidRPr="00C52F4A">
        <w:rPr>
          <w:rFonts w:ascii="Times New Roman" w:hAnsi="Times New Roman" w:cs="Times New Roman"/>
          <w:noProof/>
        </w:rPr>
        <w:t>(Eisenberg, 1984)</w:t>
      </w:r>
      <w:r w:rsidRPr="00C52F4A">
        <w:rPr>
          <w:rFonts w:ascii="Times New Roman" w:hAnsi="Times New Roman" w:cs="Times New Roman"/>
        </w:rPr>
        <w:fldChar w:fldCharType="end"/>
      </w:r>
      <w:r w:rsidRPr="00C52F4A">
        <w:rPr>
          <w:rFonts w:ascii="Times New Roman" w:hAnsi="Times New Roman" w:cs="Times New Roman"/>
        </w:rPr>
        <w:t xml:space="preserve">. </w:t>
      </w:r>
      <w:r w:rsidRPr="00C52F4A">
        <w:rPr>
          <w:rFonts w:ascii="Times New Roman" w:hAnsi="Times New Roman" w:cs="Times New Roman"/>
        </w:rPr>
        <w:fldChar w:fldCharType="begin"/>
      </w:r>
      <w:r>
        <w:rPr>
          <w:rFonts w:ascii="Times New Roman" w:hAnsi="Times New Roman" w:cs="Times New Roman"/>
        </w:rPr>
        <w:instrText xml:space="preserve"> ADDIN EN.CITE &lt;EndNote&gt;&lt;Cite AuthorYear="1"&gt;&lt;Author&gt;Baxter&lt;/Author&gt;&lt;Year&gt;2011&lt;/Year&gt;&lt;RecNum&gt;1633&lt;/RecNum&gt;&lt;DisplayText&gt;Baxter (2011)&lt;/DisplayText&gt;&lt;record&gt;&lt;rec-number&gt;1633&lt;/rec-number&gt;&lt;foreign-keys&gt;&lt;key app="EN" db-id="2pe9e00ros0veneeptspa5vhz0pw2az52v20" timestamp="1651286064" guid="faff47c4-c762-4121-b9c8-9978bd77054b"&gt;1633&lt;/key&gt;&lt;/foreign-keys&gt;&lt;ref-type name="Book"&gt;6&lt;/ref-type&gt;&lt;contributors&gt;&lt;authors&gt;&lt;author&gt;Baxter, Leslie A.&lt;/author&gt;&lt;/authors&gt;&lt;/contributors&gt;&lt;titles&gt;&lt;title&gt;Voicing relationships: a dialogic perspective&lt;/title&gt;&lt;/titles&gt;&lt;keywords&gt;&lt;keyword&gt;Bakhtin, M. M. (Mikhail Mikhaĭlovich), 1895-1975&lt;/keyword&gt;&lt;keyword&gt;Interpersonal relations&lt;/keyword&gt;&lt;keyword&gt;Dialogue analysis&lt;/keyword&gt;&lt;/keywords&gt;&lt;dates&gt;&lt;year&gt;2011&lt;/year&gt;&lt;/dates&gt;&lt;pub-location&gt;Thousand Oaks, Calif.&lt;/pub-location&gt;&lt;publisher&gt;SAGE Publications, Inc&lt;/publisher&gt;&lt;urls&gt;&lt;/urls&gt;&lt;/record&gt;&lt;/Cite&gt;&lt;/EndNote&gt;</w:instrText>
      </w:r>
      <w:r w:rsidRPr="00C52F4A">
        <w:rPr>
          <w:rFonts w:ascii="Times New Roman" w:hAnsi="Times New Roman" w:cs="Times New Roman"/>
        </w:rPr>
        <w:fldChar w:fldCharType="separate"/>
      </w:r>
      <w:r>
        <w:rPr>
          <w:rFonts w:ascii="Times New Roman" w:hAnsi="Times New Roman" w:cs="Times New Roman"/>
          <w:noProof/>
        </w:rPr>
        <w:t>Baxter (2011)</w:t>
      </w:r>
      <w:r w:rsidRPr="00C52F4A">
        <w:rPr>
          <w:rFonts w:ascii="Times New Roman" w:hAnsi="Times New Roman" w:cs="Times New Roman"/>
        </w:rPr>
        <w:fldChar w:fldCharType="end"/>
      </w:r>
      <w:r w:rsidRPr="00C52F4A">
        <w:rPr>
          <w:rFonts w:ascii="Times New Roman" w:hAnsi="Times New Roman" w:cs="Times New Roman"/>
        </w:rPr>
        <w:t xml:space="preserve"> proposes </w:t>
      </w:r>
      <w:r w:rsidRPr="00C52F4A">
        <w:rPr>
          <w:rFonts w:ascii="Times New Roman" w:hAnsi="Times New Roman" w:cs="Times New Roman"/>
        </w:rPr>
        <w:lastRenderedPageBreak/>
        <w:t>three discursive ways in which ambiguity functions in the interpenetration of discourses. First, ambiguity can elide or avoid the direct interplay between competing discourses. For example, dating is a highly ambiguous term, and it can mean love, romance, sex, gratification, and others, indicating the discourse of romanticism and the discourse of individualism. Second, ambiguity discursively produces a centrifugal discourse to refute centripetal discourse indirectly. For instance, the utterance “My mum does not allow me to go outside at night, although I truly want to hang out with you” utilizes the discourse of community to compete with the discourse of connection</w:t>
      </w:r>
      <w:r>
        <w:rPr>
          <w:rFonts w:ascii="Times New Roman" w:hAnsi="Times New Roman" w:cs="Times New Roman"/>
        </w:rPr>
        <w:t xml:space="preserve"> implicitly</w:t>
      </w:r>
      <w:r w:rsidRPr="00C52F4A">
        <w:rPr>
          <w:rFonts w:ascii="Times New Roman" w:hAnsi="Times New Roman" w:cs="Times New Roman"/>
        </w:rPr>
        <w:t>. Third, ambiguity can temper the authoritativeness of a dominant discourse. The use of modifiers, such as “some,” “sometimes,” “a little bit,” and others, admit but moderate the centripetal discourse. For example, the utterance “Some people (as opposed to everyone) support collectivism” generally supports the discourse of community but retains the possibility of criticism from other discourses.</w:t>
      </w:r>
    </w:p>
    <w:p w14:paraId="2F2BBB35" w14:textId="77777777" w:rsidR="00256B3D" w:rsidRDefault="00256B3D" w:rsidP="00256B3D">
      <w:pPr>
        <w:spacing w:line="480" w:lineRule="auto"/>
        <w:ind w:firstLine="720"/>
        <w:rPr>
          <w:rFonts w:ascii="Times New Roman" w:hAnsi="Times New Roman" w:cs="Times New Roman"/>
        </w:rPr>
      </w:pPr>
      <w:r>
        <w:rPr>
          <w:rFonts w:ascii="Times New Roman" w:hAnsi="Times New Roman" w:cs="Times New Roman"/>
        </w:rPr>
        <w:t xml:space="preserve">The serious-playful struggle draws attention to the tone of an utterance. The utterance tone is a complicated verbal resource through which people can challenge a competing discourse </w:t>
      </w:r>
      <w:r>
        <w:rPr>
          <w:rFonts w:ascii="Times New Roman" w:hAnsi="Times New Roman" w:cs="Times New Roman"/>
        </w:rPr>
        <w:fldChar w:fldCharType="begin"/>
      </w:r>
      <w:r>
        <w:rPr>
          <w:rFonts w:ascii="Times New Roman" w:hAnsi="Times New Roman" w:cs="Times New Roman"/>
        </w:rPr>
        <w:instrText xml:space="preserve"> ADDIN EN.CITE &lt;EndNote&gt;&lt;Cite&gt;&lt;Author&gt;Bakhtin&lt;/Author&gt;&lt;Year&gt;1981&lt;/Year&gt;&lt;RecNum&gt;1667&lt;/RecNum&gt;&lt;DisplayText&gt;(Bakhtin, 1981b)&lt;/DisplayText&gt;&lt;record&gt;&lt;rec-number&gt;1667&lt;/rec-number&gt;&lt;foreign-keys&gt;&lt;key app="EN" db-id="2pe9e00ros0veneeptspa5vhz0pw2az52v20" timestamp="1651806957" guid="b62c0f5a-4ea7-44ee-b369-f0c217769286"&gt;1667&lt;/key&gt;&lt;/foreign-keys&gt;&lt;ref-type name="Book Section"&gt;5&lt;/ref-type&gt;&lt;contributors&gt;&lt;authors&gt;&lt;author&gt;Bakhtin, Mikhail Mikhaĭlovich&lt;/author&gt;&lt;/authors&gt;&lt;secondary-authors&gt;&lt;author&gt;Rivkin, J., &amp;amp; Ryan, M.&lt;/author&gt;&lt;/secondary-authors&gt;&lt;/contributors&gt;&lt;titles&gt;&lt;title&gt;Discourse in the novel&lt;/title&gt;&lt;secondary-title&gt;Literary theory: An anthology&lt;/secondary-title&gt;&lt;/titles&gt;&lt;pages&gt;674-685&lt;/pages&gt;&lt;dates&gt;&lt;year&gt;1981&lt;/year&gt;&lt;/dates&gt;&lt;publisher&gt;Wiley-Blackwell&lt;/publisher&gt;&lt;isbn&gt;0292782861&lt;/isbn&gt;&lt;urls&gt;&lt;/urls&gt;&lt;/record&gt;&lt;/Cite&gt;&lt;/EndNote&gt;</w:instrText>
      </w:r>
      <w:r>
        <w:rPr>
          <w:rFonts w:ascii="Times New Roman" w:hAnsi="Times New Roman" w:cs="Times New Roman"/>
        </w:rPr>
        <w:fldChar w:fldCharType="separate"/>
      </w:r>
      <w:r>
        <w:rPr>
          <w:rFonts w:ascii="Times New Roman" w:hAnsi="Times New Roman" w:cs="Times New Roman"/>
          <w:noProof/>
        </w:rPr>
        <w:t>(Bakhtin, 1981b)</w:t>
      </w:r>
      <w:r>
        <w:rPr>
          <w:rFonts w:ascii="Times New Roman" w:hAnsi="Times New Roman" w:cs="Times New Roman"/>
        </w:rPr>
        <w:fldChar w:fldCharType="end"/>
      </w:r>
      <w:r>
        <w:rPr>
          <w:rFonts w:ascii="Times New Roman" w:hAnsi="Times New Roman" w:cs="Times New Roman"/>
        </w:rPr>
        <w:t xml:space="preserve">. The </w:t>
      </w:r>
      <w:r>
        <w:rPr>
          <w:rFonts w:ascii="Times New Roman" w:hAnsi="Times New Roman" w:cs="Times New Roman"/>
          <w:i/>
          <w:iCs/>
        </w:rPr>
        <w:t>r</w:t>
      </w:r>
      <w:r w:rsidRPr="002126CE">
        <w:rPr>
          <w:rFonts w:ascii="Times New Roman" w:hAnsi="Times New Roman" w:cs="Times New Roman"/>
          <w:i/>
          <w:iCs/>
        </w:rPr>
        <w:t>ogue,</w:t>
      </w:r>
      <w:r>
        <w:rPr>
          <w:rFonts w:ascii="Times New Roman" w:hAnsi="Times New Roman" w:cs="Times New Roman"/>
        </w:rPr>
        <w:t xml:space="preserve"> the </w:t>
      </w:r>
      <w:r w:rsidRPr="002126CE">
        <w:rPr>
          <w:rFonts w:ascii="Times New Roman" w:hAnsi="Times New Roman" w:cs="Times New Roman"/>
          <w:i/>
          <w:iCs/>
        </w:rPr>
        <w:t>fool</w:t>
      </w:r>
      <w:r>
        <w:rPr>
          <w:rFonts w:ascii="Times New Roman" w:hAnsi="Times New Roman" w:cs="Times New Roman"/>
        </w:rPr>
        <w:t xml:space="preserve">, and the </w:t>
      </w:r>
      <w:r w:rsidRPr="002126CE">
        <w:rPr>
          <w:rFonts w:ascii="Times New Roman" w:hAnsi="Times New Roman" w:cs="Times New Roman"/>
          <w:i/>
          <w:iCs/>
        </w:rPr>
        <w:t>clown</w:t>
      </w:r>
      <w:r>
        <w:rPr>
          <w:rFonts w:ascii="Times New Roman" w:hAnsi="Times New Roman" w:cs="Times New Roman"/>
        </w:rPr>
        <w:t xml:space="preserve"> are three playful devices through which a competing discourse can be challenged. The rogue parodies a competing discourse and attributes it to a mocked person. For example, the utterance “Let me count the ways she loves her husband: car, job, income, house, and retirement package” applies the rogue to describe her specific love, indicating the discourse of rationality competing with the discourse of romance. The</w:t>
      </w:r>
      <w:r w:rsidRPr="00CD2EF6">
        <w:rPr>
          <w:rFonts w:ascii="Times New Roman" w:hAnsi="Times New Roman" w:cs="Times New Roman"/>
          <w:i/>
          <w:iCs/>
        </w:rPr>
        <w:t xml:space="preserve"> fool</w:t>
      </w:r>
      <w:r>
        <w:rPr>
          <w:rFonts w:ascii="Times New Roman" w:hAnsi="Times New Roman" w:cs="Times New Roman"/>
        </w:rPr>
        <w:t xml:space="preserve"> involves a deliberate stupidity toward a given utterance. For instance, within the utterance chain, “[Mum:] Son, throw the trash out. [Son:] I forget where the dumpster is,” the son deliberately performs stupidity to challenge his mother’s authority, indicating the discourse of individualism competing with the discourse of community. The clown involves a playfully malicious distortion </w:t>
      </w:r>
      <w:r>
        <w:rPr>
          <w:rFonts w:ascii="Times New Roman" w:hAnsi="Times New Roman" w:cs="Times New Roman"/>
        </w:rPr>
        <w:lastRenderedPageBreak/>
        <w:t xml:space="preserve">of a given system of meaning, creating the possibility for laughter at the absurdity of the targeted discourse. For example, within an utterance chain, “[Dad:] I am </w:t>
      </w:r>
      <w:r>
        <w:rPr>
          <w:rFonts w:ascii="Times New Roman" w:hAnsi="Times New Roman" w:cs="Times New Roman" w:hint="eastAsia"/>
        </w:rPr>
        <w:t>the</w:t>
      </w:r>
      <w:r>
        <w:rPr>
          <w:rFonts w:ascii="Times New Roman" w:hAnsi="Times New Roman" w:cs="Times New Roman"/>
        </w:rPr>
        <w:t xml:space="preserve"> sole breadwinner, so I should control the household’s</w:t>
      </w:r>
      <w:r>
        <w:rPr>
          <w:rFonts w:ascii="Times New Roman" w:hAnsi="Times New Roman" w:cs="Times New Roman" w:hint="eastAsia"/>
        </w:rPr>
        <w:t xml:space="preserve"> </w:t>
      </w:r>
      <w:r>
        <w:rPr>
          <w:rFonts w:ascii="Times New Roman" w:hAnsi="Times New Roman" w:cs="Times New Roman"/>
        </w:rPr>
        <w:t xml:space="preserve">direction. [Mum:] </w:t>
      </w:r>
      <w:r w:rsidRPr="000C4C2D">
        <w:rPr>
          <w:rFonts w:ascii="Times New Roman" w:hAnsi="Times New Roman" w:cs="Times New Roman"/>
        </w:rPr>
        <w:t>Do you know the names of kids’ teachers, how to renew our daughter’s asthma medication, or even where the paper towels are stored? Could you really direct this household?</w:t>
      </w:r>
      <w:r>
        <w:rPr>
          <w:rFonts w:ascii="Times New Roman" w:hAnsi="Times New Roman" w:cs="Times New Roman"/>
        </w:rPr>
        <w:t>” the mother’s response distorts the father’s meaning concerning his contribution to the family and opens a new discussion about the value of the housework chore, indicating the discourse of individualism competing with the discourse of community.</w:t>
      </w:r>
    </w:p>
    <w:p w14:paraId="3BB9B91F" w14:textId="77777777" w:rsidR="00256B3D" w:rsidRDefault="00256B3D" w:rsidP="00256B3D">
      <w:pPr>
        <w:spacing w:line="480" w:lineRule="auto"/>
        <w:ind w:firstLine="720"/>
        <w:rPr>
          <w:rFonts w:ascii="Times New Roman" w:hAnsi="Times New Roman" w:cs="Times New Roman"/>
        </w:rPr>
      </w:pPr>
      <w:r>
        <w:rPr>
          <w:rFonts w:ascii="Times New Roman" w:hAnsi="Times New Roman" w:cs="Times New Roman"/>
        </w:rPr>
        <w:t xml:space="preserve">According to RDT, the polemical-transformative struggle moves from a zero-sum logic, in which competing discourses dance in the center-margin position, to an ideal-fusion logic where new meanings are created. The polemical interplay is enacted when competing discourses achieve a certain truce through </w:t>
      </w:r>
      <w:r w:rsidRPr="00866B72">
        <w:rPr>
          <w:rFonts w:ascii="Times New Roman" w:hAnsi="Times New Roman" w:cs="Times New Roman"/>
          <w:i/>
          <w:iCs/>
        </w:rPr>
        <w:t>compromise</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&lt;EndNote&gt;&lt;Cite&gt;&lt;Author&gt;Baxter&lt;/Author&gt;&lt;Year&gt;1996&lt;/Year&gt;&lt;RecNum&gt;1248&lt;/RecNum&gt;&lt;DisplayText&gt;(Baxter &amp;amp; Montgomery, 1996)&lt;/DisplayText&gt;&lt;record&gt;&lt;rec-number&gt;1248&lt;/rec-number&gt;&lt;foreign-keys&gt;&lt;key app="EN" db-id="2pe9e00ros0veneeptspa5vhz0pw2az52v20" timestamp="1610695201" guid="9076931a-53d8-48c6-8f62-b14ca4e58efb"&gt;1248&lt;/key&gt;&lt;/foreign-keys&gt;&lt;ref-type name="Book"&gt;6&lt;/ref-type&gt;&lt;contributors&gt;&lt;authors&gt;&lt;author&gt;Baxter, Leslie A&lt;/author&gt;&lt;author&gt;Montgomery, Barbara M&lt;/author&gt;&lt;/authors&gt;&lt;/contributors&gt;&lt;titles&gt;&lt;title&gt;Relating: Dialogues and dialectics&lt;/title&gt;&lt;/titles&gt;&lt;dates&gt;&lt;year&gt;1996&lt;/year&gt;&lt;/dates&gt;&lt;publisher&gt;Guilford Press&lt;/publisher&gt;&lt;isbn&gt;1572301015&lt;/isbn&gt;&lt;urls&gt;&lt;/urls&gt;&lt;/record&gt;&lt;/Cite&gt;&lt;/EndNote&gt;</w:instrText>
      </w:r>
      <w:r>
        <w:rPr>
          <w:rFonts w:ascii="Times New Roman" w:hAnsi="Times New Roman" w:cs="Times New Roman"/>
        </w:rPr>
        <w:fldChar w:fldCharType="separate"/>
      </w:r>
      <w:r>
        <w:rPr>
          <w:rFonts w:ascii="Times New Roman" w:hAnsi="Times New Roman" w:cs="Times New Roman"/>
          <w:noProof/>
        </w:rPr>
        <w:t>(Baxter &amp; Montgomery, 1996)</w:t>
      </w:r>
      <w:r>
        <w:rPr>
          <w:rFonts w:ascii="Times New Roman" w:hAnsi="Times New Roman" w:cs="Times New Roman"/>
        </w:rPr>
        <w:fldChar w:fldCharType="end"/>
      </w:r>
      <w:r>
        <w:rPr>
          <w:rFonts w:ascii="Times New Roman" w:hAnsi="Times New Roman" w:cs="Times New Roman"/>
        </w:rPr>
        <w:t xml:space="preserve">. For example, </w:t>
      </w:r>
      <w:r>
        <w:rPr>
          <w:rFonts w:ascii="Times New Roman" w:hAnsi="Times New Roman" w:cs="Times New Roman"/>
        </w:rPr>
        <w:fldChar w:fldCharType="begin"/>
      </w:r>
      <w:r>
        <w:rPr>
          <w:rFonts w:ascii="Times New Roman" w:hAnsi="Times New Roman" w:cs="Times New Roman"/>
        </w:rPr>
        <w:instrText xml:space="preserve"> ADDIN EN.CITE &lt;EndNote&gt;&lt;Cite AuthorYear="1"&gt;&lt;Author&gt;Kline&lt;/Author&gt;&lt;Year&gt;1996&lt;/Year&gt;&lt;RecNum&gt;2203&lt;/RecNum&gt;&lt;DisplayText&gt;Kline et al. (1996)&lt;/DisplayText&gt;&lt;record&gt;&lt;rec-number&gt;2203&lt;/rec-number&gt;&lt;foreign-keys&gt;&lt;key app="EN" db-id="2pe9e00ros0veneeptspa5vhz0pw2az52v20" timestamp="1698628204" guid="3fa6f5b2-79b8-412a-9a7f-1ac95ae7f969"&gt;2203&lt;/key&gt;&lt;/foreign-keys&gt;&lt;ref-type name="Journal Article"&gt;17&lt;/ref-type&gt;&lt;contributors&gt;&lt;authors&gt;&lt;author&gt;Kline, Susan L.&lt;/author&gt;&lt;author&gt;Stafford, Laura&lt;/author&gt;&lt;author&gt;Miklosovic, Jill C.&lt;/author&gt;&lt;/authors&gt;&lt;/contributors&gt;&lt;titles&gt;&lt;title&gt;Women&amp;apos;s surnames: Decisions, interpretations and associations with relational qualities&lt;/title&gt;&lt;secondary-title&gt;Journal of Social and Personal Relationships&lt;/secondary-title&gt;&lt;/titles&gt;&lt;periodical&gt;&lt;full-title&gt;Journal of Social and Personal relationships&lt;/full-title&gt;&lt;/periodical&gt;&lt;pages&gt;593-617&lt;/pages&gt;&lt;volume&gt;13&lt;/volume&gt;&lt;number&gt;4&lt;/number&gt;&lt;keywords&gt;&lt;keyword&gt;identity,marriage,name,surname,women&amp;apos;s issues&lt;/keyword&gt;&lt;/keywords&gt;&lt;dates&gt;&lt;year&gt;1996&lt;/year&gt;&lt;/dates&gt;&lt;urls&gt;&lt;related-urls&gt;&lt;url&gt;https://journals.sagepub.com/doi/abs/10.1177/0265407596134007&lt;/url&gt;&lt;/related-urls&gt;&lt;/urls&gt;&lt;electronic-resource-num&gt;10.1177/0265407596134007&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Kline et al. (1996)</w:t>
      </w:r>
      <w:r>
        <w:rPr>
          <w:rFonts w:ascii="Times New Roman" w:hAnsi="Times New Roman" w:cs="Times New Roman"/>
        </w:rPr>
        <w:fldChar w:fldCharType="end"/>
      </w:r>
      <w:r>
        <w:rPr>
          <w:rFonts w:ascii="Times New Roman" w:hAnsi="Times New Roman" w:cs="Times New Roman"/>
        </w:rPr>
        <w:t xml:space="preserve"> found that women used a combination of wife’s and husband’s surnames upon marriage as a compromise. The transformative interplay creates a new discourse from the fusion of competing discourses, including two approaches of </w:t>
      </w:r>
      <w:r w:rsidRPr="00866B72">
        <w:rPr>
          <w:rFonts w:ascii="Times New Roman" w:hAnsi="Times New Roman" w:cs="Times New Roman"/>
          <w:i/>
          <w:iCs/>
        </w:rPr>
        <w:t>hybridization</w:t>
      </w:r>
      <w:r>
        <w:rPr>
          <w:rFonts w:ascii="Times New Roman" w:hAnsi="Times New Roman" w:cs="Times New Roman"/>
        </w:rPr>
        <w:t xml:space="preserve"> and </w:t>
      </w:r>
      <w:r w:rsidRPr="00866B72">
        <w:rPr>
          <w:rFonts w:ascii="Times New Roman" w:hAnsi="Times New Roman" w:cs="Times New Roman"/>
          <w:i/>
          <w:iCs/>
        </w:rPr>
        <w:t>aesthetic moments</w:t>
      </w:r>
      <w:r>
        <w:rPr>
          <w:rFonts w:ascii="Times New Roman" w:hAnsi="Times New Roman" w:cs="Times New Roman"/>
        </w:rPr>
        <w:t xml:space="preserve">. Hybridization is mixing two or more distinct discourses to create a new meaning. For example, </w:t>
      </w:r>
      <w:r>
        <w:rPr>
          <w:rFonts w:ascii="Times New Roman" w:hAnsi="Times New Roman" w:cs="Times New Roman"/>
        </w:rPr>
        <w:fldChar w:fldCharType="begin"/>
      </w:r>
      <w:r>
        <w:rPr>
          <w:rFonts w:ascii="Times New Roman" w:hAnsi="Times New Roman" w:cs="Times New Roman"/>
        </w:rPr>
        <w:instrText xml:space="preserve"> ADDIN EN.CITE &lt;EndNote&gt;&lt;Cite AuthorYear="1"&gt;&lt;Author&gt;Miller-Day&lt;/Author&gt;&lt;Year&gt;2004&lt;/Year&gt;&lt;RecNum&gt;2204&lt;/RecNum&gt;&lt;DisplayText&gt;Miller-Day (2004)&lt;/DisplayText&gt;&lt;record&gt;&lt;rec-number&gt;2204&lt;/rec-number&gt;&lt;foreign-keys&gt;&lt;key app="EN" db-id="2pe9e00ros0veneeptspa5vhz0pw2az52v20" timestamp="1698629894" guid="2122343b-3df4-4516-8494-b5a35992478e"&gt;2204&lt;/key&gt;&lt;/foreign-keys&gt;&lt;ref-type name="Book"&gt;6&lt;/ref-type&gt;&lt;contributors&gt;&lt;authors&gt;&lt;author&gt;Miller-Day, Michelle A&lt;/author&gt;&lt;/authors&gt;&lt;/contributors&gt;&lt;titles&gt;&lt;title&gt;Communication among grandmothers, mothers, and adult daughters: A qualitative study of maternal relationships&lt;/title&gt;&lt;/titles&gt;&lt;dates&gt;&lt;year&gt;2004&lt;/year&gt;&lt;/dates&gt;&lt;publisher&gt;Routledge&lt;/publisher&gt;&lt;isbn&gt;1135643326&lt;/isbn&gt;&lt;urls&gt;&lt;/urls&gt;&lt;/record&gt;&lt;/Cite&gt;&lt;/EndNote&gt;</w:instrText>
      </w:r>
      <w:r>
        <w:rPr>
          <w:rFonts w:ascii="Times New Roman" w:hAnsi="Times New Roman" w:cs="Times New Roman"/>
        </w:rPr>
        <w:fldChar w:fldCharType="separate"/>
      </w:r>
      <w:r>
        <w:rPr>
          <w:rFonts w:ascii="Times New Roman" w:hAnsi="Times New Roman" w:cs="Times New Roman"/>
          <w:noProof/>
        </w:rPr>
        <w:t>Miller-Day (2004)</w:t>
      </w:r>
      <w:r>
        <w:rPr>
          <w:rFonts w:ascii="Times New Roman" w:hAnsi="Times New Roman" w:cs="Times New Roman"/>
        </w:rPr>
        <w:fldChar w:fldCharType="end"/>
      </w:r>
      <w:r>
        <w:rPr>
          <w:rFonts w:ascii="Times New Roman" w:hAnsi="Times New Roman" w:cs="Times New Roman"/>
        </w:rPr>
        <w:t xml:space="preserve"> studied grandmother-mother-daughter relationships, in which the role of the mother is the hybridization of mother and daughter. Aesthetic moments involve the interpenetration of discourses in which two meaning systems are transformed into one new meaning system. For example, a marriage transforms a man and a woman into a couple, which represents a family’s wholeness. Before marriage, the autonomy-connection competing discourse existed in dating, but after marriage, the discourse of a couple takes over the meaning system of dating. </w:t>
      </w:r>
    </w:p>
    <w:p w14:paraId="5EFF9E12" w14:textId="77777777" w:rsidR="00256B3D" w:rsidRDefault="00256B3D" w:rsidP="00256B3D">
      <w:pPr>
        <w:spacing w:line="480" w:lineRule="auto"/>
        <w:ind w:firstLine="720"/>
        <w:rPr>
          <w:rFonts w:ascii="Times New Roman" w:hAnsi="Times New Roman" w:cs="Times New Roman"/>
        </w:rPr>
      </w:pPr>
      <w:r w:rsidRPr="009B29A6">
        <w:rPr>
          <w:rFonts w:ascii="Times New Roman" w:hAnsi="Times New Roman" w:cs="Times New Roman"/>
          <w:b/>
          <w:bCs/>
        </w:rPr>
        <w:lastRenderedPageBreak/>
        <w:t>Discursive struggle in communication genres</w:t>
      </w:r>
      <w:r>
        <w:rPr>
          <w:rFonts w:ascii="Times New Roman" w:hAnsi="Times New Roman" w:cs="Times New Roman"/>
        </w:rPr>
        <w:t xml:space="preserve">. In RDT, the utterance chains are embedded in larger social packages known as communication genres, which are pre-patterned communication actions to resolve recurrent communication problems </w:t>
      </w:r>
      <w:r>
        <w:rPr>
          <w:rFonts w:ascii="Times New Roman" w:hAnsi="Times New Roman" w:cs="Times New Roman"/>
        </w:rPr>
        <w:fldChar w:fldCharType="begin"/>
      </w:r>
      <w:r>
        <w:rPr>
          <w:rFonts w:ascii="Times New Roman" w:hAnsi="Times New Roman" w:cs="Times New Roman"/>
        </w:rPr>
        <w:instrText xml:space="preserve"> ADDIN EN.CITE &lt;EndNote&gt;&lt;Cite&gt;&lt;Author&gt;Günthner&lt;/Author&gt;&lt;Year&gt;1995&lt;/Year&gt;&lt;RecNum&gt;2206&lt;/RecNum&gt;&lt;DisplayText&gt;(Günthner &amp;amp; Knoblauch, 1995)&lt;/DisplayText&gt;&lt;record&gt;&lt;rec-number&gt;2206&lt;/rec-number&gt;&lt;foreign-keys&gt;&lt;key app="EN" db-id="2pe9e00ros0veneeptspa5vhz0pw2az52v20" timestamp="1698632835" guid="52e12c27-330d-4340-94b5-62dce79f74fe"&gt;2206&lt;/key&gt;&lt;/foreign-keys&gt;&lt;ref-type name="Journal Article"&gt;17&lt;/ref-type&gt;&lt;contributors&gt;&lt;authors&gt;&lt;author&gt;Günthner, Susanne&lt;/author&gt;&lt;author&gt;Knoblauch, Hubert&lt;/author&gt;&lt;/authors&gt;&lt;/contributors&gt;&lt;titles&gt;&lt;title&gt;Culturally patterned speaking practices-the analysis of communicative genres&lt;/title&gt;&lt;secondary-title&gt;Pragmatics&lt;/secondary-title&gt;&lt;/titles&gt;&lt;periodical&gt;&lt;full-title&gt;Pragmatics&lt;/full-title&gt;&lt;/periodical&gt;&lt;pages&gt;1-32&lt;/pages&gt;&lt;volume&gt;5&lt;/volume&gt;&lt;number&gt;1&lt;/number&gt;&lt;dates&gt;&lt;year&gt;1995&lt;/year&gt;&lt;/dates&gt;&lt;isbn&gt;1018-2101&lt;/isbn&gt;&lt;urls&gt;&lt;/urls&gt;&lt;electronic-resource-num&gt;10.1075/prag.5.1.03gun&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(Günthner &amp; Knoblauch, 1995)</w:t>
      </w:r>
      <w:r>
        <w:rPr>
          <w:rFonts w:ascii="Times New Roman" w:hAnsi="Times New Roman" w:cs="Times New Roman"/>
        </w:rPr>
        <w:fldChar w:fldCharType="end"/>
      </w:r>
      <w:r>
        <w:rPr>
          <w:rFonts w:ascii="Times New Roman" w:hAnsi="Times New Roman" w:cs="Times New Roman"/>
        </w:rPr>
        <w:t xml:space="preserve">. Three communication genres are dialogically expansive and deserve RDT scholars’ attention for research, including narrative stories, the carnival, and relationship rituals. </w:t>
      </w:r>
    </w:p>
    <w:p w14:paraId="0F600124" w14:textId="77777777" w:rsidR="00256B3D" w:rsidRDefault="00256B3D" w:rsidP="00256B3D">
      <w:pPr>
        <w:spacing w:line="480" w:lineRule="auto"/>
        <w:ind w:firstLine="720"/>
        <w:rPr>
          <w:rFonts w:ascii="Times New Roman" w:hAnsi="Times New Roman" w:cs="Times New Roman"/>
        </w:rPr>
      </w:pPr>
      <w:r>
        <w:rPr>
          <w:rFonts w:ascii="Times New Roman" w:hAnsi="Times New Roman" w:cs="Times New Roman"/>
        </w:rPr>
        <w:t xml:space="preserve">Narrative stories are novels, tales, and other narratives that hold a good dialogic potential because of their capacity to place several viewpoints in play simultaneously. Most recent RDT studies, analyzing interviews </w:t>
      </w:r>
      <w:r>
        <w:rPr>
          <w:rFonts w:ascii="Times New Roman" w:hAnsi="Times New Roman" w:cs="Times New Roman"/>
        </w:rPr>
        <w:fldChar w:fldCharType="begin"/>
      </w:r>
      <w:r>
        <w:rPr>
          <w:rFonts w:ascii="Times New Roman" w:hAnsi="Times New Roman" w:cs="Times New Roman"/>
        </w:rPr>
        <w:instrText xml:space="preserve"> ADDIN EN.CITE &lt;EndNote&gt;&lt;Cite&gt;&lt;Author&gt;Scharp&lt;/Author&gt;&lt;Year&gt;2021&lt;/Year&gt;&lt;RecNum&gt;2231&lt;/RecNum&gt;&lt;Prefix&gt;e.g.`, &lt;/Prefix&gt;&lt;DisplayText&gt;(e.g., Scharp et al., 2021)&lt;/DisplayText&gt;&lt;record&gt;&lt;rec-number&gt;2231&lt;/rec-number&gt;&lt;foreign-keys&gt;&lt;key app="EN" db-id="2pe9e00ros0veneeptspa5vhz0pw2az52v20" timestamp="1698846771" guid="30e1f097-ddb7-47b3-a2b9-e05be6fb4a1f"&gt;2231&lt;/key&gt;&lt;/foreign-keys&gt;&lt;ref-type name="Journal Article"&gt;17&lt;/ref-type&gt;&lt;contributors&gt;&lt;authors&gt;&lt;author&gt;Scharp, Kristina M.&lt;/author&gt;&lt;author&gt;Hansen, Russell&lt;/author&gt;&lt;author&gt;Kubler, Kyle F.&lt;/author&gt;&lt;author&gt;Wang, Tiffany R.&lt;/author&gt;&lt;/authors&gt;&lt;/contributors&gt;&lt;titles&gt;&lt;title&gt;Making meaning of parenting from the perspective of alienated parents&lt;/title&gt;&lt;secondary-title&gt;Personal Relationships&lt;/secondary-title&gt;&lt;/titles&gt;&lt;periodical&gt;&lt;full-title&gt;Personal Relationships&lt;/full-title&gt;&lt;/periodical&gt;&lt;pages&gt;169-189&lt;/pages&gt;&lt;volume&gt;28&lt;/volume&gt;&lt;number&gt;1&lt;/number&gt;&lt;dates&gt;&lt;year&gt;2021&lt;/year&gt;&lt;/dates&gt;&lt;isbn&gt;1350-4126&lt;/isbn&gt;&lt;urls&gt;&lt;related-urls&gt;&lt;url&gt;https://onlinelibrary.wiley.com/doi/abs/10.1111/pere.12356&lt;/url&gt;&lt;/related-urls&gt;&lt;/urls&gt;&lt;electronic-resource-num&gt;10.1111/pere.12356&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(e.g., Scharp et al., 2021)</w:t>
      </w:r>
      <w:r>
        <w:rPr>
          <w:rFonts w:ascii="Times New Roman" w:hAnsi="Times New Roman" w:cs="Times New Roman"/>
        </w:rPr>
        <w:fldChar w:fldCharType="end"/>
      </w:r>
      <w:r>
        <w:rPr>
          <w:rFonts w:ascii="Times New Roman" w:hAnsi="Times New Roman" w:cs="Times New Roman"/>
        </w:rPr>
        <w:t xml:space="preserve"> or online texts </w:t>
      </w:r>
      <w:r>
        <w:rPr>
          <w:rFonts w:ascii="Times New Roman" w:hAnsi="Times New Roman" w:cs="Times New Roman"/>
        </w:rPr>
        <w:fldChar w:fldCharType="begin"/>
      </w:r>
      <w:r>
        <w:rPr>
          <w:rFonts w:ascii="Times New Roman" w:hAnsi="Times New Roman" w:cs="Times New Roman"/>
        </w:rPr>
        <w:instrText xml:space="preserve"> ADDIN EN.CITE &lt;EndNote&gt;&lt;Cite&gt;&lt;Author&gt;Scharp&lt;/Author&gt;&lt;Year&gt;2020&lt;/Year&gt;&lt;RecNum&gt;1675&lt;/RecNum&gt;&lt;Prefix&gt;e.g.`, &lt;/Prefix&gt;&lt;DisplayText&gt;(e.g., Scharp &amp;amp; Thomas, 2020)&lt;/DisplayText&gt;&lt;record&gt;&lt;rec-number&gt;1675&lt;/rec-number&gt;&lt;foreign-keys&gt;&lt;key app="EN" db-id="2pe9e00ros0veneeptspa5vhz0pw2az52v20" timestamp="1651819828" guid="a2450ce1-db62-4694-af53-7ae91f8e98b1"&gt;1675&lt;/key&gt;&lt;/foreign-keys&gt;&lt;ref-type name="Journal Article"&gt;17&lt;/ref-type&gt;&lt;contributors&gt;&lt;authors&gt;&lt;author&gt;Scharp, Kristina M&lt;/author&gt;&lt;author&gt;Thomas, Lindsey J&lt;/author&gt;&lt;/authors&gt;&lt;/contributors&gt;&lt;titles&gt;&lt;title&gt;A child for every family? Characterizations of “adoptable” foster children in online permanency advocacy publications&lt;/title&gt;&lt;secondary-title&gt;Journal of Social and Personal Relationships&lt;/secondary-title&gt;&lt;/titles&gt;&lt;periodical&gt;&lt;full-title&gt;Journal of Social and Personal relationships&lt;/full-title&gt;&lt;/periodical&gt;&lt;pages&gt;2098-2117&lt;/pages&gt;&lt;volume&gt;37&lt;/volume&gt;&lt;number&gt;7&lt;/number&gt;&lt;dates&gt;&lt;year&gt;2020&lt;/year&gt;&lt;/dates&gt;&lt;isbn&gt;0265-4075&lt;/isbn&gt;&lt;urls&gt;&lt;/urls&gt;&lt;electronic-resource-num&gt;10.1177/0265407520918668&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(e.g., Scharp &amp; Thomas, 2020)</w:t>
      </w:r>
      <w:r>
        <w:rPr>
          <w:rFonts w:ascii="Times New Roman" w:hAnsi="Times New Roman" w:cs="Times New Roman"/>
        </w:rPr>
        <w:fldChar w:fldCharType="end"/>
      </w:r>
      <w:r>
        <w:rPr>
          <w:rFonts w:ascii="Times New Roman" w:hAnsi="Times New Roman" w:cs="Times New Roman"/>
        </w:rPr>
        <w:t xml:space="preserve">, do narrative analysis.  </w:t>
      </w:r>
    </w:p>
    <w:p w14:paraId="71188B6E" w14:textId="77777777" w:rsidR="00256B3D" w:rsidRDefault="00256B3D" w:rsidP="00256B3D">
      <w:pPr>
        <w:spacing w:line="480" w:lineRule="auto"/>
        <w:ind w:firstLine="720"/>
        <w:rPr>
          <w:rFonts w:ascii="Times New Roman" w:hAnsi="Times New Roman" w:cs="Times New Roman"/>
        </w:rPr>
      </w:pPr>
      <w:r>
        <w:rPr>
          <w:rFonts w:ascii="Times New Roman" w:hAnsi="Times New Roman" w:cs="Times New Roman"/>
        </w:rPr>
        <w:t xml:space="preserve">The carnival depicts social events characterized by a carnivalesque spirit, in which people talk freely, frankly, and without concerning rules. For example, a study of American </w:t>
      </w:r>
      <w:r w:rsidRPr="00135EE1">
        <w:rPr>
          <w:rFonts w:ascii="Times New Roman" w:hAnsi="Times New Roman" w:cs="Times New Roman"/>
        </w:rPr>
        <w:t>Halloween</w:t>
      </w:r>
      <w:r>
        <w:rPr>
          <w:rFonts w:ascii="Times New Roman" w:hAnsi="Times New Roman" w:cs="Times New Roman"/>
        </w:rPr>
        <w:t xml:space="preserve"> is an excellent example of a carnivalesque communication event </w:t>
      </w:r>
      <w:r>
        <w:rPr>
          <w:rFonts w:ascii="Times New Roman" w:hAnsi="Times New Roman" w:cs="Times New Roman"/>
        </w:rPr>
        <w:fldChar w:fldCharType="begin"/>
      </w:r>
      <w:r>
        <w:rPr>
          <w:rFonts w:ascii="Times New Roman" w:hAnsi="Times New Roman" w:cs="Times New Roman"/>
        </w:rPr>
        <w:instrText xml:space="preserve"> ADDIN EN.CITE &lt;EndNote&gt;&lt;Cite&gt;&lt;Author&gt;Clark&lt;/Author&gt;&lt;Year&gt;2005&lt;/Year&gt;&lt;RecNum&gt;2208&lt;/RecNum&gt;&lt;DisplayText&gt;(Clark, 2005)&lt;/DisplayText&gt;&lt;record&gt;&lt;rec-number&gt;2208&lt;/rec-number&gt;&lt;foreign-keys&gt;&lt;key app="EN" db-id="2pe9e00ros0veneeptspa5vhz0pw2az52v20" timestamp="1698636433" guid="0e75b821-fe47-46e8-8a7e-84d6e80fadd8"&gt;2208&lt;/key&gt;&lt;/foreign-keys&gt;&lt;ref-type name="Journal Article"&gt;17&lt;/ref-type&gt;&lt;contributors&gt;&lt;authors&gt;&lt;author&gt;Clark, CINDY DELL&lt;/author&gt;&lt;/authors&gt;&lt;/contributors&gt;&lt;titles&gt;&lt;title&gt;Tricks of festival: Children, enculturation, and American Halloween&lt;/title&gt;&lt;secondary-title&gt;Ethos&lt;/secondary-title&gt;&lt;/titles&gt;&lt;periodical&gt;&lt;full-title&gt;Ethos&lt;/full-title&gt;&lt;/periodical&gt;&lt;pages&gt;180-205&lt;/pages&gt;&lt;volume&gt;33&lt;/volume&gt;&lt;number&gt;2&lt;/number&gt;&lt;dates&gt;&lt;year&gt;2005&lt;/year&gt;&lt;/dates&gt;&lt;isbn&gt;0091-2131&lt;/isbn&gt;&lt;urls&gt;&lt;related-urls&gt;&lt;url&gt;https://anthrosource.onlinelibrary.wiley.com/doi/abs/10.1525/eth.2005.33.2.180&lt;/url&gt;&lt;/related-urls&gt;&lt;/urls&gt;&lt;electronic-resource-num&gt;10.1525/eth.2005.33.2.180&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(Clark, 2005)</w:t>
      </w:r>
      <w:r>
        <w:rPr>
          <w:rFonts w:ascii="Times New Roman" w:hAnsi="Times New Roman" w:cs="Times New Roman"/>
        </w:rPr>
        <w:fldChar w:fldCharType="end"/>
      </w:r>
      <w:r>
        <w:rPr>
          <w:rFonts w:ascii="Times New Roman" w:hAnsi="Times New Roman" w:cs="Times New Roman"/>
        </w:rPr>
        <w:t>.</w:t>
      </w:r>
    </w:p>
    <w:p w14:paraId="55A9F47E" w14:textId="77777777" w:rsidR="00256B3D" w:rsidRDefault="00256B3D" w:rsidP="00256B3D">
      <w:pPr>
        <w:spacing w:line="480" w:lineRule="auto"/>
        <w:ind w:firstLine="720"/>
        <w:rPr>
          <w:rFonts w:ascii="Times New Roman" w:hAnsi="Times New Roman" w:cs="Times New Roman"/>
        </w:rPr>
      </w:pPr>
      <w:r>
        <w:rPr>
          <w:rFonts w:ascii="Times New Roman" w:hAnsi="Times New Roman" w:cs="Times New Roman"/>
        </w:rPr>
        <w:t xml:space="preserve">Relationship rituals deserve RDT scholars’ attention because rituals are rich sites where hybridization and aesthetic moments are likely to occur. Durkheim viewed rituals as social instruments to establish collective representations and community identity </w:t>
      </w:r>
      <w:r>
        <w:rPr>
          <w:rFonts w:ascii="Times New Roman" w:hAnsi="Times New Roman" w:cs="Times New Roman"/>
        </w:rPr>
        <w:fldChar w:fldCharType="begin"/>
      </w:r>
      <w:r>
        <w:rPr>
          <w:rFonts w:ascii="Times New Roman" w:hAnsi="Times New Roman" w:cs="Times New Roman"/>
        </w:rPr>
        <w:instrText xml:space="preserve"> ADDIN EN.CITE &lt;EndNote&gt;&lt;Cite&gt;&lt;Author&gt;Giddens&lt;/Author&gt;&lt;Year&gt;1972&lt;/Year&gt;&lt;RecNum&gt;832&lt;/RecNum&gt;&lt;DisplayText&gt;(Giddens, 1972)&lt;/DisplayText&gt;&lt;record&gt;&lt;rec-number&gt;832&lt;/rec-number&gt;&lt;foreign-keys&gt;&lt;key app="EN" db-id="2pe9e00ros0veneeptspa5vhz0pw2az52v20" timestamp="1572291972" guid="0edf245e-9ad6-461e-a245-9f92e1f3fa6e"&gt;832&lt;/key&gt;&lt;/foreign-keys&gt;&lt;ref-type name="Book"&gt;6&lt;/ref-type&gt;&lt;contributors&gt;&lt;authors&gt;&lt;author&gt;Giddens, Anthony&lt;/author&gt;&lt;/authors&gt;&lt;/contributors&gt;&lt;titles&gt;&lt;title&gt;Emile Durkheim: selected writings&lt;/title&gt;&lt;/titles&gt;&lt;dates&gt;&lt;year&gt;1972&lt;/year&gt;&lt;/dates&gt;&lt;pub-location&gt;Cambridge&lt;/pub-location&gt;&lt;publisher&gt;Cambridge University Press&lt;/publisher&gt;&lt;isbn&gt;0521097126&lt;/isbn&gt;&lt;urls&gt;&lt;/urls&gt;&lt;/record&gt;&lt;/Cite&gt;&lt;/EndNote&gt;</w:instrText>
      </w:r>
      <w:r>
        <w:rPr>
          <w:rFonts w:ascii="Times New Roman" w:hAnsi="Times New Roman" w:cs="Times New Roman"/>
        </w:rPr>
        <w:fldChar w:fldCharType="separate"/>
      </w:r>
      <w:r>
        <w:rPr>
          <w:rFonts w:ascii="Times New Roman" w:hAnsi="Times New Roman" w:cs="Times New Roman"/>
          <w:noProof/>
        </w:rPr>
        <w:t>(Giddens, 1972)</w:t>
      </w:r>
      <w:r>
        <w:rPr>
          <w:rFonts w:ascii="Times New Roman" w:hAnsi="Times New Roman" w:cs="Times New Roman"/>
        </w:rPr>
        <w:fldChar w:fldCharType="end"/>
      </w:r>
      <w:r>
        <w:rPr>
          <w:rFonts w:ascii="Times New Roman" w:hAnsi="Times New Roman" w:cs="Times New Roman"/>
        </w:rPr>
        <w:t xml:space="preserve">. In other words, rituals make </w:t>
      </w:r>
      <w:r w:rsidRPr="002D6B76">
        <w:rPr>
          <w:rFonts w:ascii="Times New Roman" w:hAnsi="Times New Roman" w:cs="Times New Roman"/>
        </w:rPr>
        <w:t>profane beings into sacred/deified beings</w:t>
      </w:r>
      <w:r>
        <w:rPr>
          <w:rFonts w:ascii="Times New Roman" w:hAnsi="Times New Roman" w:cs="Times New Roman"/>
        </w:rPr>
        <w:t xml:space="preserve"> with moral obligations. For rituals, the r</w:t>
      </w:r>
      <w:r w:rsidRPr="00D32E00">
        <w:rPr>
          <w:rFonts w:ascii="Times New Roman" w:hAnsi="Times New Roman" w:cs="Times New Roman"/>
        </w:rPr>
        <w:t>ecurring</w:t>
      </w:r>
      <w:r>
        <w:rPr>
          <w:rFonts w:ascii="Times New Roman" w:hAnsi="Times New Roman" w:cs="Times New Roman"/>
        </w:rPr>
        <w:t xml:space="preserve"> </w:t>
      </w:r>
      <w:r w:rsidRPr="00D32E00">
        <w:rPr>
          <w:rFonts w:ascii="Times New Roman" w:hAnsi="Times New Roman" w:cs="Times New Roman"/>
        </w:rPr>
        <w:t>nature, the role of communication, and the need to honor someone or</w:t>
      </w:r>
      <w:r>
        <w:rPr>
          <w:rFonts w:ascii="Times New Roman" w:hAnsi="Times New Roman" w:cs="Times New Roman"/>
        </w:rPr>
        <w:t xml:space="preserve"> </w:t>
      </w:r>
      <w:r w:rsidRPr="00D32E00">
        <w:rPr>
          <w:rFonts w:ascii="Times New Roman" w:hAnsi="Times New Roman" w:cs="Times New Roman"/>
        </w:rPr>
        <w:t>something</w:t>
      </w:r>
      <w:r>
        <w:rPr>
          <w:rFonts w:ascii="Times New Roman" w:hAnsi="Times New Roman" w:cs="Times New Roman"/>
        </w:rPr>
        <w:t xml:space="preserve"> are essential characteristics </w:t>
      </w:r>
      <w:r>
        <w:rPr>
          <w:rFonts w:ascii="Times New Roman" w:hAnsi="Times New Roman" w:cs="Times New Roman"/>
        </w:rPr>
        <w:fldChar w:fldCharType="begin">
          <w:fldData xml:space="preserve">PEVuZE5vdGU+PENpdGU+PEF1dGhvcj5QZWFyc29uPC9BdXRob3I+PFllYXI+MjAxMTwvWWVhcj48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PEVuZE5vdGU+PENpdGU+PEF1dGhvcj5QZWFyc29uPC9BdXRob3I+PFllYXI+MjAxMTwvWWVhcj48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(Baxter &amp; Braithwaite, 2006; Pearson et al., 2011)</w:t>
      </w:r>
      <w:r>
        <w:rPr>
          <w:rFonts w:ascii="Times New Roman" w:hAnsi="Times New Roman" w:cs="Times New Roman"/>
        </w:rPr>
        <w:fldChar w:fldCharType="end"/>
      </w:r>
      <w:r>
        <w:rPr>
          <w:rFonts w:ascii="Times New Roman" w:hAnsi="Times New Roman" w:cs="Times New Roman"/>
        </w:rPr>
        <w:t xml:space="preserve">. Some studies explore interpersonal rituals in marriages and friendships </w:t>
      </w:r>
      <w:r>
        <w:rPr>
          <w:rFonts w:ascii="Times New Roman" w:hAnsi="Times New Roman" w:cs="Times New Roman"/>
        </w:rPr>
        <w:fldChar w:fldCharType="begin">
          <w:fldData xml:space="preserve">PEVuZE5vdGU+PENpdGU+PEF1dGhvcj5CcnVlc3M8L0F1dGhvcj48WWVhcj4xOTk3PC9ZZWFyPjxS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PEVuZE5vdGU+PENpdGU+PEF1dGhvcj5CcnVlc3M8L0F1dGhvcj48WWVhcj4xOTk3PC9ZZWFyPjxS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(Bruess &amp; Pearson, 1997, 2002)</w:t>
      </w:r>
      <w:r>
        <w:rPr>
          <w:rFonts w:ascii="Times New Roman" w:hAnsi="Times New Roman" w:cs="Times New Roman"/>
        </w:rPr>
        <w:fldChar w:fldCharType="end"/>
      </w:r>
      <w:r>
        <w:rPr>
          <w:rFonts w:ascii="Times New Roman" w:hAnsi="Times New Roman" w:cs="Times New Roman"/>
        </w:rPr>
        <w:t xml:space="preserve">, relational culture in romantic couples </w:t>
      </w:r>
      <w:r>
        <w:rPr>
          <w:rFonts w:ascii="Times New Roman" w:hAnsi="Times New Roman" w:cs="Times New Roman"/>
        </w:rPr>
        <w:fldChar w:fldCharType="begin"/>
      </w:r>
      <w:r>
        <w:rPr>
          <w:rFonts w:ascii="Times New Roman" w:hAnsi="Times New Roman" w:cs="Times New Roman"/>
        </w:rPr>
        <w:instrText xml:space="preserve"> ADDIN EN.CITE &lt;EndNote&gt;&lt;Cite&gt;&lt;Author&gt;Farrell&lt;/Author&gt;&lt;Year&gt;2014&lt;/Year&gt;&lt;RecNum&gt;2215&lt;/RecNum&gt;&lt;DisplayText&gt;(Farrell et al., 2014)&lt;/DisplayText&gt;&lt;record&gt;&lt;rec-number&gt;2215&lt;/rec-number&gt;&lt;foreign-keys&gt;&lt;key app="EN" db-id="2pe9e00ros0veneeptspa5vhz0pw2az52v20" timestamp="1698640151" guid="da3b4bd7-afdd-4f25-8cbf-9e4c248b61fe"&gt;2215&lt;/key&gt;&lt;/foreign-keys&gt;&lt;ref-type name="Journal Article"&gt;17&lt;/ref-type&gt;&lt;contributors&gt;&lt;authors&gt;&lt;author&gt;Farrell, Laura C.&lt;/author&gt;&lt;author&gt;DiTunnariello, Nancy&lt;/author&gt;&lt;author&gt;Pearson, Judy C.&lt;/author&gt;&lt;/authors&gt;&lt;/contributors&gt;&lt;titles&gt;&lt;title&gt;Exploring relational cultures: Rituals, privacy disclosure, and relational satisfaction&lt;/title&gt;&lt;secondary-title&gt;Communication Studies&lt;/secondary-title&gt;&lt;/titles&gt;&lt;periodical&gt;&lt;full-title&gt;Communication Studies&lt;/full-title&gt;&lt;/periodical&gt;&lt;pages&gt;314-329&lt;/pages&gt;&lt;volume&gt;65&lt;/volume&gt;&lt;number&gt;3&lt;/number&gt;&lt;dates&gt;&lt;year&gt;2014&lt;/year&gt;&lt;/dates&gt;&lt;publisher&gt;Routledge&lt;/publisher&gt;&lt;isbn&gt;1051-0974&lt;/isbn&gt;&lt;urls&gt;&lt;related-urls&gt;&lt;url&gt;https://doi.org/10.1080/10510974.2013.778892&lt;/url&gt;&lt;/related-urls&gt;&lt;/urls&gt;&lt;electronic-resource-num&gt;10.1080/10510974.2013.778892&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(Farrell et al., 2014)</w:t>
      </w:r>
      <w:r>
        <w:rPr>
          <w:rFonts w:ascii="Times New Roman" w:hAnsi="Times New Roman" w:cs="Times New Roman"/>
        </w:rPr>
        <w:fldChar w:fldCharType="end"/>
      </w:r>
      <w:r>
        <w:rPr>
          <w:rFonts w:ascii="Times New Roman" w:hAnsi="Times New Roman" w:cs="Times New Roman"/>
        </w:rPr>
        <w:t xml:space="preserve">, the ritual event of marriage renewal among long-time married couples </w:t>
      </w:r>
      <w:r>
        <w:rPr>
          <w:rFonts w:ascii="Times New Roman" w:hAnsi="Times New Roman" w:cs="Times New Roman"/>
        </w:rPr>
        <w:fldChar w:fldCharType="begin">
          <w:fldData xml:space="preserve">PEVuZE5vdGU+PENpdGU+PEF1dGhvcj5CcmFpdGh3YWl0ZTwvQXV0aG9yPjxZZWFyPjE5OTU8L1ll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PEVuZE5vdGU+PENpdGU+PEF1dGhvcj5CcmFpdGh3YWl0ZTwvQXV0aG9yPjxZZWFyPjE5OTU8L1ll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(Baxter &amp; Braithwaite, 2002; Braithwaite &amp; Baxter, 1995)</w:t>
      </w:r>
      <w:r>
        <w:rPr>
          <w:rFonts w:ascii="Times New Roman" w:hAnsi="Times New Roman" w:cs="Times New Roman"/>
        </w:rPr>
        <w:fldChar w:fldCharType="end"/>
      </w:r>
      <w:r>
        <w:rPr>
          <w:rFonts w:ascii="Times New Roman" w:hAnsi="Times New Roman" w:cs="Times New Roman"/>
        </w:rPr>
        <w:t xml:space="preserve">, and ritual enactments in blended families </w:t>
      </w:r>
      <w:r>
        <w:rPr>
          <w:rFonts w:ascii="Times New Roman" w:hAnsi="Times New Roman" w:cs="Times New Roman"/>
        </w:rPr>
        <w:fldChar w:fldCharType="begin"/>
      </w:r>
      <w:r>
        <w:rPr>
          <w:rFonts w:ascii="Times New Roman" w:hAnsi="Times New Roman" w:cs="Times New Roman"/>
        </w:rPr>
        <w:instrText xml:space="preserve"> ADDIN EN.CITE &lt;EndNote&gt;&lt;Cite&gt;&lt;Author&gt;Braithwaite&lt;/Author&gt;&lt;Year&gt;1998&lt;/Year&gt;&lt;RecNum&gt;2218&lt;/RecNum&gt;&lt;DisplayText&gt;(Braithwaite et al., 1998)&lt;/DisplayText&gt;&lt;record&gt;&lt;rec-number&gt;2218&lt;/rec-number&gt;&lt;foreign-keys&gt;&lt;key app="EN" db-id="2pe9e00ros0veneeptspa5vhz0pw2az52v20" timestamp="1698640917" guid="7938a995-1125-435b-ad36-c52fe34a66dc"&gt;2218&lt;/key&gt;&lt;/foreign-keys&gt;&lt;ref-type name="Journal Article"&gt;17&lt;/ref-type&gt;&lt;contributors&gt;&lt;authors&gt;&lt;author&gt;Braithwaite, Dawn O.&lt;/author&gt;&lt;author&gt;Baxter, Leslie A.&lt;/author&gt;&lt;author&gt;Harper, Anneliese M.&lt;/author&gt;&lt;/authors&gt;&lt;/contributors&gt;&lt;titles&gt;&lt;title&gt;The role of rituals in the management of the dialectical tension of “old” and “new” in blended families&lt;/title&gt;&lt;secondary-title&gt;Communication Studies&lt;/secondary-title&gt;&lt;/titles&gt;&lt;periodical&gt;&lt;full-title&gt;Communication Studies&lt;/full-title&gt;&lt;/periodical&gt;&lt;pages&gt;101-120&lt;/pages&gt;&lt;volume&gt;49&lt;/volume&gt;&lt;number&gt;2&lt;/number&gt;&lt;dates&gt;&lt;year&gt;1998&lt;/year&gt;&lt;/dates&gt;&lt;publisher&gt;Routledge&lt;/publisher&gt;&lt;isbn&gt;1051-0974&lt;/isbn&gt;&lt;urls&gt;&lt;related-urls&gt;&lt;url&gt;https://doi.org/10.1080/10510979809368523&lt;/url&gt;&lt;/related-urls&gt;&lt;/urls&gt;&lt;electronic-resource-num&gt;10.1080/10510979809368523&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(Braithwaite et al., 1998)</w:t>
      </w:r>
      <w:r>
        <w:rPr>
          <w:rFonts w:ascii="Times New Roman" w:hAnsi="Times New Roman" w:cs="Times New Roman"/>
        </w:rPr>
        <w:fldChar w:fldCharType="end"/>
      </w:r>
      <w:r>
        <w:rPr>
          <w:rFonts w:ascii="Times New Roman" w:hAnsi="Times New Roman" w:cs="Times New Roman"/>
        </w:rPr>
        <w:t>.</w:t>
      </w:r>
    </w:p>
    <w:p w14:paraId="74157796" w14:textId="77777777" w:rsidR="00256B3D" w:rsidRDefault="00256B3D" w:rsidP="00256B3D">
      <w:pPr>
        <w:rPr>
          <w:rFonts w:ascii="Times New Roman" w:hAnsi="Times New Roman" w:cs="Times New Roman"/>
          <w:b/>
          <w:bCs/>
        </w:rPr>
      </w:pPr>
      <w:r>
        <w:rPr>
          <w:rFonts w:ascii="Times New Roman" w:hAnsi="Times New Roman" w:cs="Times New Roman"/>
          <w:b/>
          <w:bCs/>
        </w:rPr>
        <w:br w:type="page"/>
      </w:r>
    </w:p>
    <w:p w14:paraId="7699B252" w14:textId="7B17DC27" w:rsidR="00256B3D" w:rsidRPr="0099613A" w:rsidRDefault="00256B3D" w:rsidP="00256B3D">
      <w:pPr>
        <w:spacing w:line="480" w:lineRule="auto"/>
        <w:rPr>
          <w:rFonts w:ascii="Times New Roman" w:hAnsi="Times New Roman" w:cs="Times New Roman"/>
          <w:b/>
          <w:bCs/>
        </w:rPr>
      </w:pPr>
      <w:r w:rsidRPr="0099613A">
        <w:rPr>
          <w:rFonts w:ascii="Times New Roman" w:hAnsi="Times New Roman" w:cs="Times New Roman"/>
          <w:b/>
          <w:bCs/>
        </w:rPr>
        <w:lastRenderedPageBreak/>
        <w:t xml:space="preserve">Recent RDT Studies </w:t>
      </w:r>
    </w:p>
    <w:p w14:paraId="015AE54F" w14:textId="77777777" w:rsidR="00256B3D" w:rsidRDefault="00256B3D" w:rsidP="00256B3D">
      <w:pPr>
        <w:spacing w:line="480" w:lineRule="auto"/>
        <w:ind w:firstLine="720"/>
        <w:rPr>
          <w:rFonts w:ascii="Times New Roman" w:hAnsi="Times New Roman" w:cs="Times New Roman"/>
        </w:rPr>
      </w:pPr>
      <w:r>
        <w:rPr>
          <w:rFonts w:ascii="Times New Roman" w:hAnsi="Times New Roman" w:cs="Times New Roman"/>
        </w:rPr>
        <w:t>This section reviews RDT-based studies published after Baxter’s book in 2011. In the past decade, few studies have applied the RDT framework</w:t>
      </w:r>
      <w:r w:rsidRPr="00784E30">
        <w:rPr>
          <w:rFonts w:ascii="Times New Roman" w:hAnsi="Times New Roman" w:cs="Times New Roman"/>
        </w:rPr>
        <w:t xml:space="preserve"> </w:t>
      </w:r>
      <w:r>
        <w:rPr>
          <w:rFonts w:ascii="Times New Roman" w:hAnsi="Times New Roman" w:cs="Times New Roman"/>
        </w:rPr>
        <w:t xml:space="preserve">comprehensively, and even fewer studies have attempted to develop RDT. </w:t>
      </w:r>
    </w:p>
    <w:p w14:paraId="171BC25F" w14:textId="77777777" w:rsidR="00256B3D" w:rsidRDefault="00256B3D" w:rsidP="00256B3D">
      <w:pPr>
        <w:spacing w:line="480" w:lineRule="auto"/>
        <w:ind w:firstLine="720"/>
        <w:rPr>
          <w:rFonts w:ascii="Times New Roman" w:hAnsi="Times New Roman" w:cs="Times New Roman"/>
        </w:rPr>
      </w:pPr>
      <w:r>
        <w:rPr>
          <w:rFonts w:ascii="Times New Roman" w:hAnsi="Times New Roman" w:cs="Times New Roman"/>
        </w:rPr>
        <w:t xml:space="preserve">Many studies identified two competing discourses from discursive relational meaning-making in various samples and diverse contexts, such as </w:t>
      </w:r>
      <w:r w:rsidRPr="006D4280">
        <w:rPr>
          <w:rFonts w:ascii="Times New Roman" w:hAnsi="Times New Roman" w:cs="Times New Roman"/>
        </w:rPr>
        <w:t xml:space="preserve">voluntary childlessness </w:t>
      </w:r>
      <w:r w:rsidRPr="006D4280">
        <w:rPr>
          <w:rFonts w:ascii="Times New Roman" w:hAnsi="Times New Roman" w:cs="Times New Roman"/>
        </w:rPr>
        <w:fldChar w:fldCharType="begin"/>
      </w:r>
      <w:r w:rsidRPr="006D4280">
        <w:rPr>
          <w:rFonts w:ascii="Times New Roman" w:hAnsi="Times New Roman" w:cs="Times New Roman"/>
        </w:rPr>
        <w:instrText xml:space="preserve"> ADDIN EN.CITE &lt;EndNote&gt;&lt;Cite&gt;&lt;Author&gt;Hintz&lt;/Author&gt;&lt;Year&gt;2020&lt;/Year&gt;&lt;RecNum&gt;1644&lt;/RecNum&gt;&lt;DisplayText&gt;(Hintz &amp;amp; Brown, 2020)&lt;/DisplayText&gt;&lt;record&gt;&lt;rec-number&gt;1644&lt;/rec-number&gt;&lt;foreign-keys&gt;&lt;key app="EN" db-id="2pe9e00ros0veneeptspa5vhz0pw2az52v20" timestamp="1651612614" guid="c7e0af22-6b7a-4bfb-87f6-348afe8a4547"&gt;1644&lt;/key&gt;&lt;/foreign-keys&gt;&lt;ref-type name="Journal Article"&gt;17&lt;/ref-type&gt;&lt;contributors&gt;&lt;authors&gt;&lt;author&gt;Hintz, Elizabeth A.&lt;/author&gt;&lt;author&gt;Brown, Clinton L.&lt;/author&gt;&lt;/authors&gt;&lt;/contributors&gt;&lt;titles&gt;&lt;title&gt;Childfree and “bingoed”: A relational dialectics theory analysis of meaning creation in online narratives about voluntary childlessness&lt;/title&gt;&lt;secondary-title&gt;Communication Monographs&lt;/secondary-title&gt;&lt;/titles&gt;&lt;periodical&gt;&lt;full-title&gt;Communication Monographs&lt;/full-title&gt;&lt;/periodical&gt;&lt;pages&gt;244-266&lt;/pages&gt;&lt;volume&gt;87&lt;/volume&gt;&lt;number&gt;2&lt;/number&gt;&lt;dates&gt;&lt;year&gt;2020&lt;/year&gt;&lt;/dates&gt;&lt;publisher&gt;Routledge&lt;/publisher&gt;&lt;isbn&gt;0363-7751&lt;/isbn&gt;&lt;urls&gt;&lt;related-urls&gt;&lt;url&gt;https://doi.org/10.1080/03637751.2019.1697891&lt;/url&gt;&lt;/related-urls&gt;&lt;/urls&gt;&lt;electronic-resource-num&gt;10.1080/03637751.2019.1697891&lt;/electronic-resource-num&gt;&lt;/record&gt;&lt;/Cite&gt;&lt;/EndNote&gt;</w:instrText>
      </w:r>
      <w:r w:rsidRPr="006D4280">
        <w:rPr>
          <w:rFonts w:ascii="Times New Roman" w:hAnsi="Times New Roman" w:cs="Times New Roman"/>
        </w:rPr>
        <w:fldChar w:fldCharType="separate"/>
      </w:r>
      <w:r w:rsidRPr="006D4280">
        <w:rPr>
          <w:rFonts w:ascii="Times New Roman" w:hAnsi="Times New Roman" w:cs="Times New Roman"/>
          <w:noProof/>
        </w:rPr>
        <w:t>(Hintz &amp; Brown, 2020)</w:t>
      </w:r>
      <w:r w:rsidRPr="006D4280">
        <w:rPr>
          <w:rFonts w:ascii="Times New Roman" w:hAnsi="Times New Roman" w:cs="Times New Roman"/>
        </w:rPr>
        <w:fldChar w:fldCharType="end"/>
      </w:r>
      <w:r>
        <w:rPr>
          <w:rFonts w:ascii="Times New Roman" w:hAnsi="Times New Roman" w:cs="Times New Roman"/>
        </w:rPr>
        <w:t xml:space="preserve">, opioid use </w:t>
      </w:r>
      <w:r>
        <w:rPr>
          <w:rFonts w:ascii="Times New Roman" w:hAnsi="Times New Roman" w:cs="Times New Roman"/>
        </w:rPr>
        <w:fldChar w:fldCharType="begin"/>
      </w:r>
      <w:r>
        <w:rPr>
          <w:rFonts w:ascii="Times New Roman" w:hAnsi="Times New Roman" w:cs="Times New Roman"/>
        </w:rPr>
        <w:instrText xml:space="preserve"> ADDIN EN.CITE &lt;EndNote&gt;&lt;Cite&gt;&lt;Author&gt;Wolfe&lt;/Author&gt;&lt;Year&gt;2023&lt;/Year&gt;&lt;RecNum&gt;2223&lt;/RecNum&gt;&lt;DisplayText&gt;(Wolfe &amp;amp; Scharp, 2023)&lt;/DisplayText&gt;&lt;record&gt;&lt;rec-number&gt;2223&lt;/rec-number&gt;&lt;foreign-keys&gt;&lt;key app="EN" db-id="2pe9e00ros0veneeptspa5vhz0pw2az52v20" timestamp="1698845084" guid="5bfda747-3ff4-4ab6-94ac-5fd4ae659d84"&gt;2223&lt;/key&gt;&lt;/foreign-keys&gt;&lt;ref-type name="Journal Article"&gt;17&lt;/ref-type&gt;&lt;contributors&gt;&lt;authors&gt;&lt;author&gt;Wolfe, Brooke H.&lt;/author&gt;&lt;author&gt;Scharp, Kristina M.&lt;/author&gt;&lt;/authors&gt;&lt;/contributors&gt;&lt;titles&gt;&lt;title&gt;A (In)curable disease? Making meaning of addiction from the perspective of people in recovery from opioid use disorder&lt;/title&gt;&lt;secondary-title&gt;Health Communication&lt;/secondary-title&gt;&lt;/titles&gt;&lt;periodical&gt;&lt;full-title&gt;Health Communication&lt;/full-title&gt;&lt;/periodical&gt;&lt;pages&gt;2936-2944&lt;/pages&gt;&lt;volume&gt;38&lt;/volume&gt;&lt;number&gt;13&lt;/number&gt;&lt;dates&gt;&lt;year&gt;2023&lt;/year&gt;&lt;/dates&gt;&lt;publisher&gt;Routledge&lt;/publisher&gt;&lt;isbn&gt;1041-0236&lt;/isbn&gt;&lt;urls&gt;&lt;related-urls&gt;&lt;url&gt;https://doi.org/10.1080/10410236.2022.2128157&lt;/url&gt;&lt;/related-urls&gt;&lt;/urls&gt;&lt;electronic-resource-num&gt;10.1080/10410236.2022.2128157&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(Wolfe &amp; Scharp, 2023)</w:t>
      </w:r>
      <w:r>
        <w:rPr>
          <w:rFonts w:ascii="Times New Roman" w:hAnsi="Times New Roman" w:cs="Times New Roman"/>
        </w:rPr>
        <w:fldChar w:fldCharType="end"/>
      </w:r>
      <w:r>
        <w:rPr>
          <w:rFonts w:ascii="Times New Roman" w:hAnsi="Times New Roman" w:cs="Times New Roman"/>
        </w:rPr>
        <w:t>,</w:t>
      </w:r>
      <w:r w:rsidRPr="00750258">
        <w:rPr>
          <w:rFonts w:ascii="Times New Roman" w:hAnsi="Times New Roman" w:cs="Times New Roman"/>
        </w:rPr>
        <w:t xml:space="preserve"> </w:t>
      </w:r>
      <w:r>
        <w:rPr>
          <w:rFonts w:ascii="Times New Roman" w:hAnsi="Times New Roman" w:cs="Times New Roman"/>
        </w:rPr>
        <w:t xml:space="preserve">the </w:t>
      </w:r>
      <w:r w:rsidRPr="006D4280">
        <w:rPr>
          <w:rFonts w:ascii="Times New Roman" w:hAnsi="Times New Roman" w:cs="Times New Roman"/>
        </w:rPr>
        <w:t xml:space="preserve">U.S. fostered care system </w:t>
      </w:r>
      <w:r w:rsidRPr="006D4280">
        <w:rPr>
          <w:rFonts w:ascii="Times New Roman" w:hAnsi="Times New Roman" w:cs="Times New Roman"/>
        </w:rPr>
        <w:fldChar w:fldCharType="begin"/>
      </w:r>
      <w:r>
        <w:rPr>
          <w:rFonts w:ascii="Times New Roman" w:hAnsi="Times New Roman" w:cs="Times New Roman"/>
        </w:rPr>
        <w:instrText xml:space="preserve"> ADDIN EN.CITE &lt;EndNote&gt;&lt;Cite&gt;&lt;Author&gt;Thomas&lt;/Author&gt;&lt;Year&gt;2020&lt;/Year&gt;&lt;RecNum&gt;1674&lt;/RecNum&gt;&lt;DisplayText&gt;(Thomas &amp;amp; Scharp, 2020)&lt;/DisplayText&gt;&lt;record&gt;&lt;rec-number&gt;1674&lt;/rec-number&gt;&lt;foreign-keys&gt;&lt;key app="EN" db-id="2pe9e00ros0veneeptspa5vhz0pw2az52v20" timestamp="1651819794" guid="d956339e-149e-4926-9b56-973295d88286"&gt;1674&lt;/key&gt;&lt;/foreign-keys&gt;&lt;ref-type name="Journal Article"&gt;17&lt;/ref-type&gt;&lt;contributors&gt;&lt;authors&gt;&lt;author&gt;Thomas, Lindsey J&lt;/author&gt;&lt;author&gt;Scharp, Kristina M&lt;/author&gt;&lt;/authors&gt;&lt;/contributors&gt;&lt;titles&gt;&lt;title&gt;Voicing the system: How formerly fostered adults make meaning of the US foster care system&lt;/title&gt;&lt;secondary-title&gt;Journal of Social and Personal Relationships&lt;/secondary-title&gt;&lt;/titles&gt;&lt;periodical&gt;&lt;full-title&gt;Journal of Social and Personal relationships&lt;/full-title&gt;&lt;/periodical&gt;&lt;pages&gt;1806-1824&lt;/pages&gt;&lt;volume&gt;37&lt;/volume&gt;&lt;number&gt;6&lt;/number&gt;&lt;dates&gt;&lt;year&gt;2020&lt;/year&gt;&lt;/dates&gt;&lt;isbn&gt;0265-4075&lt;/isbn&gt;&lt;urls&gt;&lt;/urls&gt;&lt;electronic-resource-num&gt;10.1177/0265407520911104&lt;/electronic-resource-num&gt;&lt;/record&gt;&lt;/Cite&gt;&lt;/EndNote&gt;</w:instrText>
      </w:r>
      <w:r w:rsidRPr="006D4280">
        <w:rPr>
          <w:rFonts w:ascii="Times New Roman" w:hAnsi="Times New Roman" w:cs="Times New Roman"/>
        </w:rPr>
        <w:fldChar w:fldCharType="separate"/>
      </w:r>
      <w:r w:rsidRPr="006D4280">
        <w:rPr>
          <w:rFonts w:ascii="Times New Roman" w:hAnsi="Times New Roman" w:cs="Times New Roman"/>
          <w:noProof/>
        </w:rPr>
        <w:t>(Thomas &amp; Scharp, 2020)</w:t>
      </w:r>
      <w:r w:rsidRPr="006D4280">
        <w:rPr>
          <w:rFonts w:ascii="Times New Roman" w:hAnsi="Times New Roman" w:cs="Times New Roman"/>
        </w:rPr>
        <w:fldChar w:fldCharType="end"/>
      </w:r>
      <w:r>
        <w:rPr>
          <w:rFonts w:ascii="Times New Roman" w:hAnsi="Times New Roman" w:cs="Times New Roman"/>
        </w:rPr>
        <w:t xml:space="preserve">, hearing loss </w:t>
      </w:r>
      <w:r>
        <w:rPr>
          <w:rFonts w:ascii="Times New Roman" w:hAnsi="Times New Roman" w:cs="Times New Roman"/>
        </w:rPr>
        <w:fldChar w:fldCharType="begin"/>
      </w:r>
      <w:r>
        <w:rPr>
          <w:rFonts w:ascii="Times New Roman" w:hAnsi="Times New Roman" w:cs="Times New Roman"/>
        </w:rPr>
        <w:instrText xml:space="preserve"> ADDIN EN.CITE &lt;EndNote&gt;&lt;Cite&gt;&lt;Author&gt;Scharp&lt;/Author&gt;&lt;Year&gt;2021&lt;/Year&gt;&lt;RecNum&gt;2224&lt;/RecNum&gt;&lt;DisplayText&gt;(Scharp &amp;amp; Barker, 2021)&lt;/DisplayText&gt;&lt;record&gt;&lt;rec-number&gt;2224&lt;/rec-number&gt;&lt;foreign-keys&gt;&lt;key app="EN" db-id="2pe9e00ros0veneeptspa5vhz0pw2az52v20" timestamp="1698845210" guid="b6fe1f67-3d79-45e2-9c8b-4294c5c17a91"&gt;2224&lt;/key&gt;&lt;/foreign-keys&gt;&lt;ref-type name="Journal Article"&gt;17&lt;/ref-type&gt;&lt;contributors&gt;&lt;authors&gt;&lt;author&gt;Scharp, Kristina M.&lt;/author&gt;&lt;author&gt;Barker, Brittan A.&lt;/author&gt;&lt;/authors&gt;&lt;/contributors&gt;&lt;titles&gt;&lt;title&gt;“I have to social norm this”: Making meaning of hearing loss from the perspective of adults who use hearing aids&lt;/title&gt;&lt;secondary-title&gt;Health Communication&lt;/secondary-title&gt;&lt;/titles&gt;&lt;periodical&gt;&lt;full-title&gt;Health Communication&lt;/full-title&gt;&lt;/periodical&gt;&lt;pages&gt;774-781&lt;/pages&gt;&lt;volume&gt;36&lt;/volume&gt;&lt;number&gt;6&lt;/number&gt;&lt;dates&gt;&lt;year&gt;2021&lt;/year&gt;&lt;/dates&gt;&lt;publisher&gt;Routledge&lt;/publisher&gt;&lt;isbn&gt;1041-0236&lt;/isbn&gt;&lt;urls&gt;&lt;related-urls&gt;&lt;url&gt;https://doi.org/10.1080/10410236.2020.1712523&lt;/url&gt;&lt;/related-urls&gt;&lt;/urls&gt;&lt;electronic-resource-num&gt;10.1080/10410236.2020.1712523&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(Scharp &amp; Barker, 2021)</w:t>
      </w:r>
      <w:r>
        <w:rPr>
          <w:rFonts w:ascii="Times New Roman" w:hAnsi="Times New Roman" w:cs="Times New Roman"/>
        </w:rPr>
        <w:fldChar w:fldCharType="end"/>
      </w:r>
      <w:r>
        <w:rPr>
          <w:rFonts w:ascii="Times New Roman" w:hAnsi="Times New Roman" w:cs="Times New Roman"/>
        </w:rPr>
        <w:t xml:space="preserve">, and online suicide chat </w:t>
      </w:r>
      <w:r>
        <w:rPr>
          <w:rFonts w:ascii="Times New Roman" w:hAnsi="Times New Roman" w:cs="Times New Roman"/>
        </w:rPr>
        <w:fldChar w:fldCharType="begin"/>
      </w:r>
      <w:r>
        <w:rPr>
          <w:rFonts w:ascii="Times New Roman" w:hAnsi="Times New Roman" w:cs="Times New Roman"/>
        </w:rPr>
        <w:instrText xml:space="preserve"> ADDIN EN.CITE &lt;EndNote&gt;&lt;Cite&gt;&lt;Author&gt;Conrad&lt;/Author&gt;&lt;Year&gt;2023&lt;/Year&gt;&lt;RecNum&gt;2225&lt;/RecNum&gt;&lt;DisplayText&gt;(Conrad &amp;amp; Coohey, 2023)&lt;/DisplayText&gt;&lt;record&gt;&lt;rec-number&gt;2225&lt;/rec-number&gt;&lt;foreign-keys&gt;&lt;key app="EN" db-id="2pe9e00ros0veneeptspa5vhz0pw2az52v20" timestamp="1698845377" guid="d67dde45-aeb2-40f1-b78d-a37b4c69a92d"&gt;2225&lt;/key&gt;&lt;/foreign-keys&gt;&lt;ref-type name="Journal Article"&gt;17&lt;/ref-type&gt;&lt;contributors&gt;&lt;authors&gt;&lt;author&gt;Conrad, Jordan B.&lt;/author&gt;&lt;author&gt;Coohey, Carol&lt;/author&gt;&lt;/authors&gt;&lt;/contributors&gt;&lt;titles&gt;&lt;title&gt;The constructed meaning of suicide: A relational dialectics theory analysis of online suicide chats&lt;/title&gt;&lt;secondary-title&gt;Journal of Communication Inquiry&lt;/secondary-title&gt;&lt;/titles&gt;&lt;periodical&gt;&lt;full-title&gt;Journal of Communication Inquiry&lt;/full-title&gt;&lt;/periodical&gt;&lt;pages&gt;168-186&lt;/pages&gt;&lt;volume&gt;47&lt;/volume&gt;&lt;number&gt;2&lt;/number&gt;&lt;keywords&gt;&lt;keyword&gt;relational dialectics theory,suicide,contrapuntal analysis,crisis chat services&lt;/keyword&gt;&lt;/keywords&gt;&lt;dates&gt;&lt;year&gt;2023&lt;/year&gt;&lt;/dates&gt;&lt;urls&gt;&lt;related-urls&gt;&lt;url&gt;https://journals.sagepub.com/doi/abs/10.1177/01968599221128533&lt;/url&gt;&lt;/related-urls&gt;&lt;/urls&gt;&lt;electronic-resource-num&gt;10.1177/01968599221128533&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(Conrad &amp; Coohey, 2023)</w:t>
      </w:r>
      <w:r>
        <w:rPr>
          <w:rFonts w:ascii="Times New Roman" w:hAnsi="Times New Roman" w:cs="Times New Roman"/>
        </w:rPr>
        <w:fldChar w:fldCharType="end"/>
      </w:r>
      <w:r>
        <w:rPr>
          <w:rFonts w:ascii="Times New Roman" w:hAnsi="Times New Roman" w:cs="Times New Roman"/>
        </w:rPr>
        <w:t xml:space="preserve">. Some studies noticed the complexity of occasions and identified three (or even four) competing discourses in play, such as seahorse dads’ pregnancy </w:t>
      </w:r>
      <w:r>
        <w:rPr>
          <w:rFonts w:ascii="Times New Roman" w:hAnsi="Times New Roman" w:cs="Times New Roman"/>
        </w:rPr>
        <w:fldChar w:fldCharType="begin"/>
      </w:r>
      <w:r>
        <w:rPr>
          <w:rFonts w:ascii="Times New Roman" w:hAnsi="Times New Roman" w:cs="Times New Roman"/>
        </w:rPr>
        <w:instrText xml:space="preserve"> ADDIN EN.CITE &lt;EndNote&gt;&lt;Cite&gt;&lt;Author&gt;Alvarez&lt;/Author&gt;&lt;Year&gt;2023&lt;/Year&gt;&lt;RecNum&gt;2226&lt;/RecNum&gt;&lt;DisplayText&gt;(Alvarez et al., 2023)&lt;/DisplayText&gt;&lt;record&gt;&lt;rec-number&gt;2226&lt;/rec-number&gt;&lt;foreign-keys&gt;&lt;key app="EN" db-id="2pe9e00ros0veneeptspa5vhz0pw2az52v20" timestamp="1698845600" guid="7d386276-2f58-4077-b55c-b107b2e56028"&gt;2226&lt;/key&gt;&lt;/foreign-keys&gt;&lt;ref-type name="Journal Article"&gt;17&lt;/ref-type&gt;&lt;contributors&gt;&lt;authors&gt;&lt;author&gt;Alvarez, Cimmiaron F.&lt;/author&gt;&lt;author&gt;Scharp, Kristina M.&lt;/author&gt;&lt;author&gt;Friz, Amanda M.&lt;/author&gt;&lt;/authors&gt;&lt;/contributors&gt;&lt;titles&gt;&lt;title&gt;“I am a binary trans man and I love being pregnant”: Making meaning of pregnancy in seahorse dad narratives&lt;/title&gt;&lt;secondary-title&gt;Journal of Social and Personal Relationships&lt;/secondary-title&gt;&lt;/titles&gt;&lt;periodical&gt;&lt;full-title&gt;Journal of Social and Personal relationships&lt;/full-title&gt;&lt;/periodical&gt;&lt;pages&gt;3028-3050&lt;/pages&gt;&lt;volume&gt;40&lt;/volume&gt;&lt;number&gt;9&lt;/number&gt;&lt;keywords&gt;&lt;keyword&gt;Seahorse dads,pregnancy,transgender,gender binary,relational dialects theory&lt;/keyword&gt;&lt;/keywords&gt;&lt;dates&gt;&lt;year&gt;2023&lt;/year&gt;&lt;/dates&gt;&lt;urls&gt;&lt;related-urls&gt;&lt;url&gt;https://journals.sagepub.com/doi/abs/10.1177/02654075231165700&lt;/url&gt;&lt;/related-urls&gt;&lt;/urls&gt;&lt;electronic-resource-num&gt;10.1177/02654075231165700&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(Alvarez et al., 2023)</w:t>
      </w:r>
      <w:r>
        <w:rPr>
          <w:rFonts w:ascii="Times New Roman" w:hAnsi="Times New Roman" w:cs="Times New Roman"/>
        </w:rPr>
        <w:fldChar w:fldCharType="end"/>
      </w:r>
      <w:r>
        <w:rPr>
          <w:rFonts w:ascii="Times New Roman" w:hAnsi="Times New Roman" w:cs="Times New Roman"/>
        </w:rPr>
        <w:t xml:space="preserve">, childfree parenting </w:t>
      </w:r>
      <w:r>
        <w:rPr>
          <w:rFonts w:ascii="Times New Roman" w:hAnsi="Times New Roman" w:cs="Times New Roman"/>
        </w:rPr>
        <w:fldChar w:fldCharType="begin"/>
      </w:r>
      <w:r>
        <w:rPr>
          <w:rFonts w:ascii="Times New Roman" w:hAnsi="Times New Roman" w:cs="Times New Roman"/>
        </w:rPr>
        <w:instrText xml:space="preserve"> ADDIN EN.CITE &lt;EndNote&gt;&lt;Cite&gt;&lt;Author&gt;Hintz&lt;/Author&gt;&lt;Year&gt;2023&lt;/Year&gt;&lt;RecNum&gt;2227&lt;/RecNum&gt;&lt;DisplayText&gt;(Hintz &amp;amp; Scharp, 2023)&lt;/DisplayText&gt;&lt;record&gt;&lt;rec-number&gt;2227&lt;/rec-number&gt;&lt;foreign-keys&gt;&lt;key app="EN" db-id="2pe9e00ros0veneeptspa5vhz0pw2az52v20" timestamp="1698845789" guid="579cc16c-e5aa-477d-9f0b-97a29063ef4e"&gt;2227&lt;/key&gt;&lt;/foreign-keys&gt;&lt;ref-type name="Journal Article"&gt;17&lt;/ref-type&gt;&lt;contributors&gt;&lt;authors&gt;&lt;author&gt;Hintz, Elizabeth A.&lt;/author&gt;&lt;author&gt;Scharp, Kristina M.&lt;/author&gt;&lt;/authors&gt;&lt;/contributors&gt;&lt;titles&gt;&lt;title&gt;“I hate all the children, especially mine”: Applying relational dialectics theory to examine the experiences of formerly childfree regretful parents&lt;/title&gt;&lt;secondary-title&gt;Journal of Social and Personal Relationships&lt;/secondary-title&gt;&lt;/titles&gt;&lt;periodical&gt;&lt;full-title&gt;Journal of Social and Personal relationships&lt;/full-title&gt;&lt;/periodical&gt;&lt;pages&gt;3781-3799&lt;/pages&gt;&lt;volume&gt;40&lt;/volume&gt;&lt;number&gt;11&lt;/number&gt;&lt;keywords&gt;&lt;keyword&gt;Child free by choice,communication,dominant culture,fear of missing out,family or families,parenthood,power,qualitative methods&lt;/keyword&gt;&lt;/keywords&gt;&lt;dates&gt;&lt;year&gt;2023&lt;/year&gt;&lt;/dates&gt;&lt;urls&gt;&lt;related-urls&gt;&lt;url&gt;https://journals.sagepub.com/doi/abs/10.1177/02654075231194363&lt;/url&gt;&lt;/related-urls&gt;&lt;/urls&gt;&lt;electronic-resource-num&gt;10.1177/02654075231194363&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(Hintz &amp; Scharp, 2023)</w:t>
      </w:r>
      <w:r>
        <w:rPr>
          <w:rFonts w:ascii="Times New Roman" w:hAnsi="Times New Roman" w:cs="Times New Roman"/>
        </w:rPr>
        <w:fldChar w:fldCharType="end"/>
      </w:r>
      <w:r>
        <w:rPr>
          <w:rFonts w:ascii="Times New Roman" w:hAnsi="Times New Roman" w:cs="Times New Roman"/>
        </w:rPr>
        <w:t xml:space="preserve">, </w:t>
      </w:r>
      <w:r w:rsidRPr="00217009">
        <w:rPr>
          <w:rFonts w:ascii="Times New Roman" w:hAnsi="Times New Roman" w:cs="Times New Roman"/>
        </w:rPr>
        <w:t>women’s experiences of endometriosis diagnoses</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&lt;EndNote&gt;&lt;Cite&gt;&lt;Author&gt;Krebs&lt;/Author&gt;&lt;Year&gt;2020&lt;/Year&gt;&lt;RecNum&gt;2228&lt;/RecNum&gt;&lt;DisplayText&gt;(Krebs &amp;amp; Schoenbauer, 2020)&lt;/DisplayText&gt;&lt;record&gt;&lt;rec-number&gt;2228&lt;/rec-number&gt;&lt;foreign-keys&gt;&lt;key app="EN" db-id="2pe9e00ros0veneeptspa5vhz0pw2az52v20" timestamp="1698846008" guid="c4875b96-18f0-4851-9d5a-6015a6212ed9"&gt;2228&lt;/key&gt;&lt;/foreign-keys&gt;&lt;ref-type name="Journal Article"&gt;17&lt;/ref-type&gt;&lt;contributors&gt;&lt;authors&gt;&lt;author&gt;Krebs, Emily&lt;/author&gt;&lt;author&gt;Schoenbauer, Kelsea V.&lt;/author&gt;&lt;/authors&gt;&lt;/contributors&gt;&lt;titles&gt;&lt;title&gt;Hysterics and Heresy: Using dialogism to explore the problematics of endometriosis diagnosis&lt;/title&gt;&lt;secondary-title&gt;Health Communication&lt;/secondary-title&gt;&lt;/titles&gt;&lt;periodical&gt;&lt;full-title&gt;Health Communication&lt;/full-title&gt;&lt;/periodical&gt;&lt;pages&gt;1013-1022&lt;/pages&gt;&lt;volume&gt;35&lt;/volume&gt;&lt;number&gt;8&lt;/number&gt;&lt;dates&gt;&lt;year&gt;2020&lt;/year&gt;&lt;/dates&gt;&lt;publisher&gt;Routledge&lt;/publisher&gt;&lt;isbn&gt;1041-0236&lt;/isbn&gt;&lt;urls&gt;&lt;related-urls&gt;&lt;url&gt;https://doi.org/10.1080/10410236.2019.1606136&lt;/url&gt;&lt;/related-urls&gt;&lt;/urls&gt;&lt;electronic-resource-num&gt;10.1080/10410236.2019.1606136&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(Krebs &amp; Schoenbauer, 2020)</w:t>
      </w:r>
      <w:r>
        <w:rPr>
          <w:rFonts w:ascii="Times New Roman" w:hAnsi="Times New Roman" w:cs="Times New Roman"/>
        </w:rPr>
        <w:fldChar w:fldCharType="end"/>
      </w:r>
      <w:r>
        <w:rPr>
          <w:rFonts w:ascii="Times New Roman" w:hAnsi="Times New Roman" w:cs="Times New Roman"/>
        </w:rPr>
        <w:t xml:space="preserve">, and </w:t>
      </w:r>
      <w:r w:rsidRPr="00831E66">
        <w:rPr>
          <w:rFonts w:ascii="Times New Roman" w:hAnsi="Times New Roman" w:cs="Times New Roman"/>
        </w:rPr>
        <w:t>Finnish mothers’ mothering</w:t>
      </w:r>
      <w:r>
        <w:rPr>
          <w:rFonts w:ascii="Times New Roman" w:hAnsi="Times New Roman" w:cs="Times New Roman"/>
        </w:rPr>
        <w:t xml:space="preserve"> (four discourses) </w:t>
      </w:r>
      <w:r>
        <w:rPr>
          <w:rFonts w:ascii="Times New Roman" w:hAnsi="Times New Roman" w:cs="Times New Roman"/>
        </w:rPr>
        <w:fldChar w:fldCharType="begin"/>
      </w:r>
      <w:r>
        <w:rPr>
          <w:rFonts w:ascii="Times New Roman" w:hAnsi="Times New Roman" w:cs="Times New Roman"/>
        </w:rPr>
        <w:instrText xml:space="preserve"> ADDIN EN.CITE &lt;EndNote&gt;&lt;Cite&gt;&lt;Author&gt;Raudasoja&lt;/Author&gt;&lt;Year&gt;2022&lt;/Year&gt;&lt;RecNum&gt;2229&lt;/RecNum&gt;&lt;DisplayText&gt;(Raudasoja et al., 2022)&lt;/DisplayText&gt;&lt;record&gt;&lt;rec-number&gt;2229&lt;/rec-number&gt;&lt;foreign-keys&gt;&lt;key app="EN" db-id="2pe9e00ros0veneeptspa5vhz0pw2az52v20" timestamp="1698846157" guid="df89717f-a7e1-4fd6-ac3c-c998d708ccd3"&gt;2229&lt;/key&gt;&lt;/foreign-keys&gt;&lt;ref-type name="Journal Article"&gt;17&lt;/ref-type&gt;&lt;contributors&gt;&lt;authors&gt;&lt;author&gt;Raudasoja, Mirjam&lt;/author&gt;&lt;author&gt;Sorkkila, Matilda&lt;/author&gt;&lt;author&gt;Laitila, Aarno&lt;/author&gt;&lt;author&gt;Aunola, Kaisa&lt;/author&gt;&lt;/authors&gt;&lt;/contributors&gt;&lt;titles&gt;&lt;title&gt;“I feel many contradictory emotions”: Finnish mothers&amp;apos; discursive struggles with motherhood&lt;/title&gt;&lt;secondary-title&gt;Journal of Marriage and Family&lt;/secondary-title&gt;&lt;/titles&gt;&lt;periodical&gt;&lt;full-title&gt;Journal of Marriage and Family&lt;/full-title&gt;&lt;/periodical&gt;&lt;pages&gt;752-772&lt;/pages&gt;&lt;volume&gt;84&lt;/volume&gt;&lt;number&gt;3&lt;/number&gt;&lt;dates&gt;&lt;year&gt;2022&lt;/year&gt;&lt;/dates&gt;&lt;isbn&gt;0022-2445&lt;/isbn&gt;&lt;urls&gt;&lt;related-urls&gt;&lt;url&gt;https://onlinelibrary.wiley.com/doi/abs/10.1111/jomf.12828&lt;/url&gt;&lt;/related-urls&gt;&lt;/urls&gt;&lt;electronic-resource-num&gt;10.1111/jomf.12828&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(Raudasoja et al., 2022)</w:t>
      </w:r>
      <w:r>
        <w:rPr>
          <w:rFonts w:ascii="Times New Roman" w:hAnsi="Times New Roman" w:cs="Times New Roman"/>
        </w:rPr>
        <w:fldChar w:fldCharType="end"/>
      </w:r>
      <w:r>
        <w:rPr>
          <w:rFonts w:ascii="Times New Roman" w:hAnsi="Times New Roman" w:cs="Times New Roman"/>
        </w:rPr>
        <w:t xml:space="preserve">. Although some did not </w:t>
      </w:r>
      <w:r>
        <w:rPr>
          <w:rFonts w:ascii="Times New Roman" w:hAnsi="Times New Roman" w:cs="Times New Roman"/>
        </w:rPr>
        <w:fldChar w:fldCharType="begin"/>
      </w:r>
      <w:r>
        <w:rPr>
          <w:rFonts w:ascii="Times New Roman" w:hAnsi="Times New Roman" w:cs="Times New Roman"/>
        </w:rPr>
        <w:instrText xml:space="preserve"> ADDIN EN.CITE &lt;EndNote&gt;&lt;Cite&gt;&lt;Author&gt;Wozniak&lt;/Author&gt;&lt;Year&gt;2014&lt;/Year&gt;&lt;RecNum&gt;2230&lt;/RecNum&gt;&lt;Prefix&gt;e.g.`, &lt;/Prefix&gt;&lt;DisplayText&gt;(e.g., Wozniak et al., 2014)&lt;/DisplayText&gt;&lt;record&gt;&lt;rec-number&gt;2230&lt;/rec-number&gt;&lt;foreign-keys&gt;&lt;key app="EN" db-id="2pe9e00ros0veneeptspa5vhz0pw2az52v20" timestamp="1698846537" guid="2eeaf924-42d9-4804-94fe-f2b802a3d85d"&gt;2230&lt;/key&gt;&lt;/foreign-keys&gt;&lt;ref-type name="Journal Article"&gt;17&lt;/ref-type&gt;&lt;contributors&gt;&lt;authors&gt;&lt;author&gt;Wozniak, Agnieszka&lt;/author&gt;&lt;author&gt;Lollis, Susan&lt;/author&gt;&lt;author&gt;Marshall, Sheila K.&lt;/author&gt;&lt;/authors&gt;&lt;/contributors&gt;&lt;titles&gt;&lt;title&gt;Competing discourses within parent–adolescent conversations&lt;/title&gt;&lt;secondary-title&gt;Journal of Social and Personal Relationships&lt;/secondary-title&gt;&lt;/titles&gt;&lt;periodical&gt;&lt;full-title&gt;Journal of Social and Personal relationships&lt;/full-title&gt;&lt;/periodical&gt;&lt;pages&gt;847-867&lt;/pages&gt;&lt;volume&gt;31&lt;/volume&gt;&lt;number&gt;6&lt;/number&gt;&lt;keywords&gt;&lt;keyword&gt;Adolescence,communication,competing discourses,conversations,parent–child relationships,qualitative method,relational dialectics&lt;/keyword&gt;&lt;/keywords&gt;&lt;dates&gt;&lt;year&gt;2014&lt;/year&gt;&lt;/dates&gt;&lt;urls&gt;&lt;related-urls&gt;&lt;url&gt;https://journals.sagepub.com/doi/abs/10.1177/0265407513508726&lt;/url&gt;&lt;/related-urls&gt;&lt;/urls&gt;&lt;electronic-resource-num&gt;10.1177/0265407513508726&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(e.g., Wozniak et al., 2014)</w:t>
      </w:r>
      <w:r>
        <w:rPr>
          <w:rFonts w:ascii="Times New Roman" w:hAnsi="Times New Roman" w:cs="Times New Roman"/>
        </w:rPr>
        <w:fldChar w:fldCharType="end"/>
      </w:r>
      <w:r>
        <w:rPr>
          <w:rFonts w:ascii="Times New Roman" w:hAnsi="Times New Roman" w:cs="Times New Roman"/>
        </w:rPr>
        <w:t xml:space="preserve">, many studies have discussed how competing discourses are (primarily synchronic) in play and the meaning-making emergent from the interplay </w:t>
      </w:r>
      <w:r>
        <w:rPr>
          <w:rFonts w:ascii="Times New Roman" w:hAnsi="Times New Roman" w:cs="Times New Roman"/>
        </w:rPr>
        <w:fldChar w:fldCharType="begin"/>
      </w:r>
      <w:r>
        <w:rPr>
          <w:rFonts w:ascii="Times New Roman" w:hAnsi="Times New Roman" w:cs="Times New Roman"/>
        </w:rPr>
        <w:instrText xml:space="preserve"> ADDIN EN.CITE &lt;EndNote&gt;&lt;Cite&gt;&lt;Author&gt;Scharp&lt;/Author&gt;&lt;Year&gt;2021&lt;/Year&gt;&lt;RecNum&gt;1634&lt;/RecNum&gt;&lt;Prefix&gt;e.g.`, &lt;/Prefix&gt;&lt;DisplayText&gt;(e.g., Scharp &amp;amp; Thomas, 2021)&lt;/DisplayText&gt;&lt;record&gt;&lt;rec-number&gt;1634&lt;/rec-number&gt;&lt;foreign-keys&gt;&lt;key app="EN" db-id="2pe9e00ros0veneeptspa5vhz0pw2az52v20" timestamp="1651289025" guid="68212de8-4dae-465f-83b6-5b0d5d1347a7"&gt;1634&lt;/key&gt;&lt;/foreign-keys&gt;&lt;ref-type name="Book Section"&gt;5&lt;/ref-type&gt;&lt;contributors&gt;&lt;authors&gt;&lt;author&gt;Scharp, Kristina M&lt;/author&gt;&lt;author&gt;Thomas, Lindsey J&lt;/author&gt;&lt;/authors&gt;&lt;secondary-authors&gt;&lt;author&gt;Braithwaite, Dawn O&lt;/author&gt;&lt;author&gt;Paul Schrodt&lt;/author&gt;&lt;/secondary-authors&gt;&lt;/contributors&gt;&lt;titles&gt;&lt;title&gt;Relational dialectics theory: A dialogic theory of meaning-making&lt;/title&gt;&lt;secondary-title&gt;Engaging Theories in Interpersonal Communication&lt;/secondary-title&gt;&lt;/titles&gt;&lt;pages&gt;194-205&lt;/pages&gt;&lt;dates&gt;&lt;year&gt;2021&lt;/year&gt;&lt;/dates&gt;&lt;publisher&gt;Routledge&lt;/publisher&gt;&lt;isbn&gt;1003195512&lt;/isbn&gt;&lt;urls&gt;&lt;/urls&gt;&lt;/record&gt;&lt;/Cite&gt;&lt;/EndNote&gt;</w:instrText>
      </w:r>
      <w:r>
        <w:rPr>
          <w:rFonts w:ascii="Times New Roman" w:hAnsi="Times New Roman" w:cs="Times New Roman"/>
        </w:rPr>
        <w:fldChar w:fldCharType="separate"/>
      </w:r>
      <w:r>
        <w:rPr>
          <w:rFonts w:ascii="Times New Roman" w:hAnsi="Times New Roman" w:cs="Times New Roman"/>
          <w:noProof/>
        </w:rPr>
        <w:t>(e.g., Scharp &amp; Thomas, 2021)</w:t>
      </w:r>
      <w:r>
        <w:rPr>
          <w:rFonts w:ascii="Times New Roman" w:hAnsi="Times New Roman" w:cs="Times New Roman"/>
        </w:rPr>
        <w:fldChar w:fldCharType="end"/>
      </w:r>
      <w:r>
        <w:rPr>
          <w:rFonts w:ascii="Times New Roman" w:hAnsi="Times New Roman" w:cs="Times New Roman"/>
        </w:rPr>
        <w:t xml:space="preserve">, especially that some studies attempt to propose decision-making or behavioral guidelines </w:t>
      </w:r>
      <w:r>
        <w:rPr>
          <w:rFonts w:ascii="Times New Roman" w:hAnsi="Times New Roman" w:cs="Times New Roman"/>
        </w:rPr>
        <w:fldChar w:fldCharType="begin">
          <w:fldData xml:space="preserve">PEVuZE5vdGU+PENpdGU+PEF1dGhvcj5IYXJyaWdhbjwvQXV0aG9yPjxZZWFyPjIwMjE8L1llYXI+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PEVuZE5vdGU+PENpdGU+PEF1dGhvcj5IYXJyaWdhbjwvQXV0aG9yPjxZZWFyPjIwMjE8L1llYXI+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(e.g., Apker et al., 2016; Harrigan et al., 2021; Table et al., 2022)</w:t>
      </w:r>
      <w:r>
        <w:rPr>
          <w:rFonts w:ascii="Times New Roman" w:hAnsi="Times New Roman" w:cs="Times New Roman"/>
        </w:rPr>
        <w:fldChar w:fldCharType="end"/>
      </w:r>
      <w:r>
        <w:rPr>
          <w:rFonts w:ascii="Times New Roman" w:hAnsi="Times New Roman" w:cs="Times New Roman"/>
        </w:rPr>
        <w:t xml:space="preserve">. </w:t>
      </w:r>
    </w:p>
    <w:p w14:paraId="1EFC729C" w14:textId="77777777" w:rsidR="00256B3D" w:rsidRDefault="00256B3D" w:rsidP="00256B3D">
      <w:pPr>
        <w:spacing w:line="480" w:lineRule="auto"/>
        <w:ind w:firstLine="720"/>
        <w:rPr>
          <w:rFonts w:ascii="Times New Roman" w:hAnsi="Times New Roman" w:cs="Times New Roman"/>
        </w:rPr>
      </w:pPr>
      <w:r>
        <w:rPr>
          <w:rFonts w:ascii="Times New Roman" w:hAnsi="Times New Roman" w:cs="Times New Roman"/>
        </w:rPr>
        <w:t>Only some studies attempt to develop RDT. Some studies borrowed the critical</w:t>
      </w:r>
      <w:r w:rsidRPr="007D2EBE">
        <w:rPr>
          <w:rFonts w:ascii="Times New Roman" w:hAnsi="Times New Roman" w:cs="Times New Roman"/>
        </w:rPr>
        <w:t xml:space="preserve"> </w:t>
      </w:r>
      <w:r>
        <w:rPr>
          <w:rFonts w:ascii="Times New Roman" w:hAnsi="Times New Roman" w:cs="Times New Roman"/>
        </w:rPr>
        <w:t>i</w:t>
      </w:r>
      <w:r w:rsidRPr="007D2EBE">
        <w:rPr>
          <w:rFonts w:ascii="Times New Roman" w:hAnsi="Times New Roman" w:cs="Times New Roman"/>
        </w:rPr>
        <w:t xml:space="preserve">nterpersonal and </w:t>
      </w:r>
      <w:r>
        <w:rPr>
          <w:rFonts w:ascii="Times New Roman" w:hAnsi="Times New Roman" w:cs="Times New Roman"/>
        </w:rPr>
        <w:t>f</w:t>
      </w:r>
      <w:r w:rsidRPr="007D2EBE">
        <w:rPr>
          <w:rFonts w:ascii="Times New Roman" w:hAnsi="Times New Roman" w:cs="Times New Roman"/>
        </w:rPr>
        <w:t xml:space="preserve">amily </w:t>
      </w:r>
      <w:r>
        <w:rPr>
          <w:rFonts w:ascii="Times New Roman" w:hAnsi="Times New Roman" w:cs="Times New Roman"/>
        </w:rPr>
        <w:t>c</w:t>
      </w:r>
      <w:r w:rsidRPr="007D2EBE">
        <w:rPr>
          <w:rFonts w:ascii="Times New Roman" w:hAnsi="Times New Roman" w:cs="Times New Roman"/>
        </w:rPr>
        <w:t>ommunication (CIFC) framework</w:t>
      </w:r>
      <w:r>
        <w:rPr>
          <w:rFonts w:ascii="Times New Roman" w:hAnsi="Times New Roman" w:cs="Times New Roman"/>
        </w:rPr>
        <w:t xml:space="preserve"> to develop (or at least compare with) the RDT framework </w:t>
      </w:r>
      <w:r>
        <w:rPr>
          <w:rFonts w:ascii="Times New Roman" w:hAnsi="Times New Roman" w:cs="Times New Roman"/>
        </w:rPr>
        <w:fldChar w:fldCharType="begin"/>
      </w:r>
      <w:r>
        <w:rPr>
          <w:rFonts w:ascii="Times New Roman" w:hAnsi="Times New Roman" w:cs="Times New Roman"/>
        </w:rPr>
        <w:instrText xml:space="preserve"> ADDIN EN.CITE &lt;EndNote&gt;&lt;Cite&gt;&lt;Author&gt;Suter&lt;/Author&gt;&lt;Year&gt;2017&lt;/Year&gt;&lt;RecNum&gt;1668&lt;/RecNum&gt;&lt;DisplayText&gt;(Suter, 2018; Suter &amp;amp; Norwood, 2017)&lt;/DisplayText&gt;&lt;record&gt;&lt;rec-number&gt;1668&lt;/rec-number&gt;&lt;foreign-keys&gt;&lt;key app="EN" db-id="2pe9e00ros0veneeptspa5vhz0pw2az52v20" timestamp="1651807385" guid="c9f1c6f7-f083-4584-ba25-777bed973820"&gt;1668&lt;/key&gt;&lt;/foreign-keys&gt;&lt;ref-type name="Journal Article"&gt;17&lt;/ref-type&gt;&lt;contributors&gt;&lt;authors&gt;&lt;author&gt;Suter, Elizabeth A&lt;/author&gt;&lt;author&gt;Norwood, Kristen M&lt;/author&gt;&lt;/authors&gt;&lt;/contributors&gt;&lt;titles&gt;&lt;title&gt;Critical theorizing in family communication studies:(Re) reading relational dialectics theory 2.0&lt;/title&gt;&lt;secondary-title&gt;Communication Theory&lt;/secondary-title&gt;&lt;/titles&gt;&lt;periodical&gt;&lt;full-title&gt;Communication Theory&lt;/full-title&gt;&lt;/periodical&gt;&lt;pages&gt;290-308&lt;/pages&gt;&lt;volume&gt;27&lt;/volume&gt;&lt;number&gt;3&lt;/number&gt;&lt;dates&gt;&lt;year&gt;2017&lt;/year&gt;&lt;/dates&gt;&lt;isbn&gt;1050-3293&lt;/isbn&gt;&lt;urls&gt;&lt;/urls&gt;&lt;electronic-resource-num&gt;10.1111/comt.12117&lt;/electronic-resource-num&gt;&lt;/record&gt;&lt;/Cite&gt;&lt;Cite&gt;&lt;Author&gt;Suter&lt;/Author&gt;&lt;Year&gt;2018&lt;/Year&gt;&lt;RecNum&gt;1643&lt;/RecNum&gt;&lt;record&gt;&lt;rec-number&gt;1643&lt;/rec-number&gt;&lt;foreign-keys&gt;&lt;key app="EN" db-id="2pe9e00ros0veneeptspa5vhz0pw2az52v20" timestamp="1651611646" guid="a5f7018c-ce96-42c1-aea9-ceb83e5ecca2"&gt;1643&lt;/key&gt;&lt;/foreign-keys&gt;&lt;ref-type name="Journal Article"&gt;17&lt;/ref-type&gt;&lt;contributors&gt;&lt;authors&gt;&lt;author&gt;Suter, Elizabeth A.&lt;/author&gt;&lt;/authors&gt;&lt;/contributors&gt;&lt;titles&gt;&lt;title&gt;The promise of contrapuntal and intersectional methods for advancing critical interpersonal and family communication research&lt;/title&gt;&lt;secondary-title&gt;Communication Monographs&lt;/secondary-title&gt;&lt;/titles&gt;&lt;periodical&gt;&lt;full-title&gt;Communication Monographs&lt;/full-title&gt;&lt;/periodical&gt;&lt;pages&gt;123-139&lt;/pages&gt;&lt;volume&gt;85&lt;/volume&gt;&lt;number&gt;1&lt;/number&gt;&lt;dates&gt;&lt;year&gt;2018&lt;/year&gt;&lt;/dates&gt;&lt;publisher&gt;Routledge&lt;/publisher&gt;&lt;isbn&gt;0363-7751&lt;/isbn&gt;&lt;urls&gt;&lt;related-urls&gt;&lt;url&gt;https://doi.org/10.1080/03637751.2017.1375131&lt;/url&gt;&lt;/related-urls&gt;&lt;/urls&gt;&lt;electronic-resource-num&gt;10.1080/03637751.2017.1375131&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(Suter, 2018; Suter &amp; Norwood, 2017)</w:t>
      </w:r>
      <w:r>
        <w:rPr>
          <w:rFonts w:ascii="Times New Roman" w:hAnsi="Times New Roman" w:cs="Times New Roman"/>
        </w:rPr>
        <w:fldChar w:fldCharType="end"/>
      </w:r>
      <w:r>
        <w:rPr>
          <w:rFonts w:ascii="Times New Roman" w:hAnsi="Times New Roman" w:cs="Times New Roman"/>
        </w:rPr>
        <w:t>, which enriches</w:t>
      </w:r>
      <w:r w:rsidRPr="00792000">
        <w:rPr>
          <w:rFonts w:ascii="Times New Roman" w:hAnsi="Times New Roman" w:cs="Times New Roman"/>
        </w:rPr>
        <w:t xml:space="preserve"> critical family communication</w:t>
      </w:r>
      <w:r>
        <w:rPr>
          <w:rFonts w:ascii="Times New Roman" w:hAnsi="Times New Roman" w:cs="Times New Roman"/>
        </w:rPr>
        <w:t xml:space="preserve"> theorizing. Additionally, </w:t>
      </w:r>
      <w:r w:rsidRPr="006D4280">
        <w:rPr>
          <w:rFonts w:ascii="Times New Roman" w:hAnsi="Times New Roman" w:cs="Times New Roman"/>
        </w:rPr>
        <w:fldChar w:fldCharType="begin"/>
      </w:r>
      <w:r>
        <w:rPr>
          <w:rFonts w:ascii="Times New Roman" w:hAnsi="Times New Roman" w:cs="Times New Roman"/>
        </w:rPr>
        <w:instrText xml:space="preserve"> ADDIN EN.CITE &lt;EndNote&gt;&lt;Cite AuthorYear="1"&gt;&lt;Author&gt;Malhotra&lt;/Author&gt;&lt;Year&gt;2022&lt;/Year&gt;&lt;RecNum&gt;1645&lt;/RecNum&gt;&lt;DisplayText&gt;Malhotra et al. (2022)&lt;/DisplayText&gt;&lt;record&gt;&lt;rec-number&gt;1645&lt;/rec-number&gt;&lt;foreign-keys&gt;&lt;key app="EN" db-id="2pe9e00ros0veneeptspa5vhz0pw2az52v20" timestamp="1651612698" guid="3dba9fba-a38b-44dd-aa91-37fa441b7f23"&gt;1645&lt;/key&gt;&lt;/foreign-keys&gt;&lt;ref-type name="Journal Article"&gt;17&lt;/ref-type&gt;&lt;contributors&gt;&lt;authors&gt;&lt;author&gt;Malhotra, Pranav&lt;/author&gt;&lt;author&gt;Scharp, Kristina&lt;/author&gt;&lt;author&gt;Thomas, Lindsey&lt;/author&gt;&lt;/authors&gt;&lt;/contributors&gt;&lt;titles&gt;&lt;title&gt;The meaning of misinformation and those who correct it: An extension of relational dialectics theory&lt;/title&gt;&lt;secondary-title&gt;Journal of Social and Personal Relationships&lt;/secondary-title&gt;&lt;/titles&gt;&lt;periodical&gt;&lt;full-title&gt;Journal of Social and Personal relationships&lt;/full-title&gt;&lt;/periodical&gt;&lt;pages&gt;1256-1276&lt;/pages&gt;&lt;volume&gt;39&lt;/volume&gt;&lt;number&gt;5&lt;/number&gt;&lt;dates&gt;&lt;year&gt;2022&lt;/year&gt;&lt;/dates&gt;&lt;publisher&gt;SAGE Publications Ltd&lt;/publisher&gt;&lt;isbn&gt;0265-4075&lt;/isbn&gt;&lt;urls&gt;&lt;related-urls&gt;&lt;url&gt;https://doi.org/10.1177/02654075211050429&lt;/url&gt;&lt;/related-urls&gt;&lt;/urls&gt;&lt;electronic-resource-num&gt;10.1177/02654075211050429&lt;/electronic-resource-num&gt;&lt;access-date&gt;2022/05/03&lt;/access-date&gt;&lt;/record&gt;&lt;/Cite&gt;&lt;/EndNote&gt;</w:instrText>
      </w:r>
      <w:r w:rsidRPr="006D4280">
        <w:rPr>
          <w:rFonts w:ascii="Times New Roman" w:hAnsi="Times New Roman" w:cs="Times New Roman"/>
        </w:rPr>
        <w:fldChar w:fldCharType="separate"/>
      </w:r>
      <w:r>
        <w:rPr>
          <w:rFonts w:ascii="Times New Roman" w:hAnsi="Times New Roman" w:cs="Times New Roman"/>
          <w:noProof/>
        </w:rPr>
        <w:t>Malhotra et al. (2022)</w:t>
      </w:r>
      <w:r w:rsidRPr="006D4280">
        <w:rPr>
          <w:rFonts w:ascii="Times New Roman" w:hAnsi="Times New Roman" w:cs="Times New Roman"/>
        </w:rPr>
        <w:fldChar w:fldCharType="end"/>
      </w:r>
      <w:r w:rsidRPr="006D4280">
        <w:rPr>
          <w:rFonts w:ascii="Times New Roman" w:hAnsi="Times New Roman" w:cs="Times New Roman"/>
        </w:rPr>
        <w:t xml:space="preserve"> </w:t>
      </w:r>
      <w:r>
        <w:rPr>
          <w:rFonts w:ascii="Times New Roman" w:hAnsi="Times New Roman" w:cs="Times New Roman"/>
        </w:rPr>
        <w:t xml:space="preserve">argue for extending RDT by elucidating that </w:t>
      </w:r>
      <w:r w:rsidRPr="00792000">
        <w:rPr>
          <w:rFonts w:ascii="Times New Roman" w:hAnsi="Times New Roman" w:cs="Times New Roman"/>
        </w:rPr>
        <w:t>the meaning of a semantic object is predicated on a web of larger intertextual meaning</w:t>
      </w:r>
      <w:r>
        <w:rPr>
          <w:rFonts w:ascii="Times New Roman" w:hAnsi="Times New Roman" w:cs="Times New Roman"/>
        </w:rPr>
        <w:t xml:space="preserve">. However, Baxter makes a similar point in </w:t>
      </w:r>
      <w:r w:rsidRPr="00792000">
        <w:rPr>
          <w:rFonts w:ascii="Times New Roman" w:hAnsi="Times New Roman" w:cs="Times New Roman"/>
          <w:i/>
          <w:iCs/>
        </w:rPr>
        <w:t>distal non-spoken utterances</w:t>
      </w:r>
      <w:r>
        <w:rPr>
          <w:rFonts w:ascii="Times New Roman" w:hAnsi="Times New Roman" w:cs="Times New Roman"/>
        </w:rPr>
        <w:t xml:space="preserve"> and so an </w:t>
      </w:r>
      <w:r>
        <w:rPr>
          <w:rFonts w:ascii="Times New Roman" w:hAnsi="Times New Roman" w:cs="Times New Roman"/>
        </w:rPr>
        <w:lastRenderedPageBreak/>
        <w:t xml:space="preserve">extension may not be necessary. Lastly, </w:t>
      </w:r>
      <w:r>
        <w:rPr>
          <w:rFonts w:ascii="Times New Roman" w:hAnsi="Times New Roman" w:cs="Times New Roman"/>
        </w:rPr>
        <w:fldChar w:fldCharType="begin"/>
      </w:r>
      <w:r>
        <w:rPr>
          <w:rFonts w:ascii="Times New Roman" w:hAnsi="Times New Roman" w:cs="Times New Roman"/>
        </w:rPr>
        <w:instrText xml:space="preserve"> ADDIN EN.CITE &lt;EndNote&gt;&lt;Cite AuthorYear="1"&gt;&lt;Author&gt;Thompson&lt;/Author&gt;&lt;Year&gt;2018&lt;/Year&gt;&lt;RecNum&gt;2221&lt;/RecNum&gt;&lt;DisplayText&gt;Thompson et al. (2018)&lt;/DisplayText&gt;&lt;record&gt;&lt;rec-number&gt;2221&lt;/rec-number&gt;&lt;foreign-keys&gt;&lt;key app="EN" db-id="2pe9e00ros0veneeptspa5vhz0pw2az52v20" timestamp="1698843582" guid="95fc298b-1c73-4263-b97f-45600cab33f5"&gt;2221&lt;/key&gt;&lt;/foreign-keys&gt;&lt;ref-type name="Journal Article"&gt;17&lt;/ref-type&gt;&lt;contributors&gt;&lt;authors&gt;&lt;author&gt;Thompson, Blair&lt;/author&gt;&lt;author&gt;Rudick, C. Kyle&lt;/author&gt;&lt;author&gt;Kerssen-Griep, Jeff&lt;/author&gt;&lt;author&gt;Golsan, Kathryn&lt;/author&gt;&lt;/authors&gt;&lt;/contributors&gt;&lt;titles&gt;&lt;title&gt;Navigating instructional dialectics: empirical exploration of paradox in teaching&lt;/title&gt;&lt;secondary-title&gt;Communication Education&lt;/secondary-title&gt;&lt;/titles&gt;&lt;periodical&gt;&lt;full-title&gt;Communication Education&lt;/full-title&gt;&lt;/periodical&gt;&lt;pages&gt;7-30&lt;/pages&gt;&lt;volume&gt;67&lt;/volume&gt;&lt;number&gt;1&lt;/number&gt;&lt;dates&gt;&lt;year&gt;2018&lt;/year&gt;&lt;/dates&gt;&lt;publisher&gt;Routledge&lt;/publisher&gt;&lt;isbn&gt;0363-4523&lt;/isbn&gt;&lt;urls&gt;&lt;related-urls&gt;&lt;url&gt;https://doi.org/10.1080/03634523.2017.1388527&lt;/url&gt;&lt;/related-urls&gt;&lt;/urls&gt;&lt;electronic-resource-num&gt;10.1080/03634523.2017.1388527&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Thompson et al. (2018)</w:t>
      </w:r>
      <w:r>
        <w:rPr>
          <w:rFonts w:ascii="Times New Roman" w:hAnsi="Times New Roman" w:cs="Times New Roman"/>
        </w:rPr>
        <w:fldChar w:fldCharType="end"/>
      </w:r>
      <w:r>
        <w:rPr>
          <w:rFonts w:ascii="Times New Roman" w:hAnsi="Times New Roman" w:cs="Times New Roman"/>
        </w:rPr>
        <w:t xml:space="preserve"> argue for identifying three supra-dialectics, which the author disproves as an extension because </w:t>
      </w:r>
      <w:r w:rsidRPr="001B7E64">
        <w:rPr>
          <w:rFonts w:ascii="Times New Roman" w:hAnsi="Times New Roman" w:cs="Times New Roman"/>
          <w:i/>
          <w:iCs/>
        </w:rPr>
        <w:t>supra-dialectics</w:t>
      </w:r>
      <w:r>
        <w:rPr>
          <w:rFonts w:ascii="Times New Roman" w:hAnsi="Times New Roman" w:cs="Times New Roman"/>
        </w:rPr>
        <w:t xml:space="preserve"> do not go beyond the term </w:t>
      </w:r>
      <w:r w:rsidRPr="00792000">
        <w:rPr>
          <w:rFonts w:ascii="Times New Roman" w:hAnsi="Times New Roman" w:cs="Times New Roman"/>
          <w:i/>
          <w:iCs/>
        </w:rPr>
        <w:t>discourses</w:t>
      </w:r>
      <w:r>
        <w:rPr>
          <w:rFonts w:ascii="Times New Roman" w:hAnsi="Times New Roman" w:cs="Times New Roman"/>
        </w:rPr>
        <w:t xml:space="preserve">. </w:t>
      </w:r>
    </w:p>
    <w:p w14:paraId="55C57D36" w14:textId="77777777" w:rsidR="00256B3D" w:rsidRDefault="00256B3D" w:rsidP="00256B3D">
      <w:pPr>
        <w:spacing w:line="480" w:lineRule="auto"/>
        <w:ind w:firstLine="720"/>
        <w:rPr>
          <w:rFonts w:ascii="Times New Roman" w:hAnsi="Times New Roman" w:cs="Times New Roman"/>
        </w:rPr>
      </w:pPr>
      <w:r w:rsidRPr="006D4280">
        <w:rPr>
          <w:rFonts w:ascii="Times New Roman" w:hAnsi="Times New Roman" w:cs="Times New Roman"/>
        </w:rPr>
        <w:fldChar w:fldCharType="begin"/>
      </w:r>
      <w:r w:rsidRPr="006D4280">
        <w:rPr>
          <w:rFonts w:ascii="Times New Roman" w:hAnsi="Times New Roman" w:cs="Times New Roman"/>
        </w:rPr>
        <w:instrText xml:space="preserve"> ADDIN EN.CITE &lt;EndNote&gt;&lt;Cite AuthorYear="1"&gt;&lt;Author&gt;Baxter&lt;/Author&gt;&lt;Year&gt;2021&lt;/Year&gt;&lt;RecNum&gt;1635&lt;/RecNum&gt;&lt;DisplayText&gt;Baxter et al. (2021)&lt;/DisplayText&gt;&lt;record&gt;&lt;rec-number&gt;1635&lt;/rec-number&gt;&lt;foreign-keys&gt;&lt;key app="EN" db-id="2pe9e00ros0veneeptspa5vhz0pw2az52v20" timestamp="1651291792" guid="9386a910-98ed-4546-a0ef-92560d132ee4"&gt;1635&lt;/key&gt;&lt;/foreign-keys&gt;&lt;ref-type name="Journal Article"&gt;17&lt;/ref-type&gt;&lt;contributors&gt;&lt;authors&gt;&lt;author&gt;Baxter, Leslie A&lt;/author&gt;&lt;author&gt;Scharp, Kristina M&lt;/author&gt;&lt;author&gt;Thomas, Lindsey J&lt;/author&gt;&lt;/authors&gt;&lt;/contributors&gt;&lt;titles&gt;&lt;title&gt;Relational dialectics theory&lt;/title&gt;&lt;secondary-title&gt;Journal of Family Theory &amp;amp; Review&lt;/secondary-title&gt;&lt;/titles&gt;&lt;periodical&gt;&lt;full-title&gt;Journal of Family Theory &amp;amp; Review&lt;/full-title&gt;&lt;/periodical&gt;&lt;pages&gt;7-20&lt;/pages&gt;&lt;volume&gt;13&lt;/volume&gt;&lt;number&gt;1&lt;/number&gt;&lt;dates&gt;&lt;year&gt;2021&lt;/year&gt;&lt;/dates&gt;&lt;isbn&gt;1756-2570&lt;/isbn&gt;&lt;urls&gt;&lt;/urls&gt;&lt;electronic-resource-num&gt;10.1111/jftr.12405&lt;/electronic-resource-num&gt;&lt;/record&gt;&lt;/Cite&gt;&lt;/EndNote&gt;</w:instrText>
      </w:r>
      <w:r w:rsidRPr="006D4280">
        <w:rPr>
          <w:rFonts w:ascii="Times New Roman" w:hAnsi="Times New Roman" w:cs="Times New Roman"/>
        </w:rPr>
        <w:fldChar w:fldCharType="separate"/>
      </w:r>
      <w:r w:rsidRPr="006D4280">
        <w:rPr>
          <w:rFonts w:ascii="Times New Roman" w:hAnsi="Times New Roman" w:cs="Times New Roman"/>
          <w:noProof/>
        </w:rPr>
        <w:t>Baxter et al. (2021)</w:t>
      </w:r>
      <w:r w:rsidRPr="006D4280">
        <w:rPr>
          <w:rFonts w:ascii="Times New Roman" w:hAnsi="Times New Roman" w:cs="Times New Roman"/>
        </w:rPr>
        <w:fldChar w:fldCharType="end"/>
      </w:r>
      <w:r>
        <w:rPr>
          <w:rFonts w:ascii="Times New Roman" w:hAnsi="Times New Roman" w:cs="Times New Roman"/>
        </w:rPr>
        <w:t xml:space="preserve"> review RDT studies in the past decade, and three suggestions are proposed. First, RDT researchers should study communication genres other than narratives, especially relationship rituals and carnivalesque enactments. Second, researchers should study the full utterance chain – discourses in relationship history and anticipated responses to utterances, such as the distal not-yet-spoken and distal already-spoken utterances. In other words, scholars have focused on discourses in synchronic interplay but lack attention to discourse in diachronic interplay. Third, researchers should collect longitudinal data to document and represent discourses in relationship history and anticipated responses to utterances. </w:t>
      </w:r>
    </w:p>
    <w:p w14:paraId="4050FED0" w14:textId="77777777" w:rsidR="006700F8" w:rsidRDefault="006700F8" w:rsidP="006700F8">
      <w:pPr>
        <w:spacing w:line="480" w:lineRule="auto"/>
        <w:ind w:firstLine="720"/>
        <w:rPr>
          <w:rFonts w:ascii="Times New Roman" w:hAnsi="Times New Roman" w:cs="Times New Roman"/>
        </w:rPr>
      </w:pPr>
    </w:p>
    <w:p w14:paraId="7E4C38D1" w14:textId="77777777" w:rsidR="006700F8" w:rsidRDefault="006700F8" w:rsidP="006700F8">
      <w:pPr>
        <w:spacing w:line="480" w:lineRule="auto"/>
        <w:ind w:firstLine="720"/>
        <w:rPr>
          <w:rFonts w:ascii="Times New Roman" w:hAnsi="Times New Roman" w:cs="Times New Roman"/>
        </w:rPr>
      </w:pPr>
    </w:p>
    <w:p w14:paraId="4D2CA02A" w14:textId="77777777" w:rsidR="006700F8" w:rsidRDefault="006700F8" w:rsidP="006700F8">
      <w:pPr>
        <w:spacing w:line="480" w:lineRule="auto"/>
        <w:ind w:firstLine="720"/>
        <w:rPr>
          <w:rFonts w:ascii="Times New Roman" w:hAnsi="Times New Roman" w:cs="Times New Roman"/>
        </w:rPr>
      </w:pPr>
    </w:p>
    <w:p w14:paraId="44093703" w14:textId="77777777" w:rsidR="006700F8" w:rsidRDefault="006700F8" w:rsidP="006700F8">
      <w:pPr>
        <w:spacing w:line="480" w:lineRule="auto"/>
        <w:ind w:firstLine="720"/>
        <w:rPr>
          <w:rFonts w:ascii="Times New Roman" w:hAnsi="Times New Roman" w:cs="Times New Roman"/>
        </w:rPr>
      </w:pPr>
    </w:p>
    <w:p w14:paraId="30903A12" w14:textId="77777777" w:rsidR="006700F8" w:rsidRDefault="006700F8" w:rsidP="006700F8">
      <w:pPr>
        <w:spacing w:line="480" w:lineRule="auto"/>
        <w:ind w:firstLine="720"/>
        <w:rPr>
          <w:rFonts w:ascii="Times New Roman" w:hAnsi="Times New Roman" w:cs="Times New Roman"/>
        </w:rPr>
      </w:pPr>
    </w:p>
    <w:p w14:paraId="28107F0F" w14:textId="77777777" w:rsidR="006700F8" w:rsidRDefault="006700F8" w:rsidP="006700F8">
      <w:pPr>
        <w:spacing w:line="480" w:lineRule="auto"/>
        <w:ind w:firstLine="720"/>
        <w:rPr>
          <w:rFonts w:ascii="Times New Roman" w:hAnsi="Times New Roman" w:cs="Times New Roman"/>
        </w:rPr>
      </w:pPr>
    </w:p>
    <w:p w14:paraId="1BE736F9" w14:textId="77777777" w:rsidR="006700F8" w:rsidRDefault="006700F8" w:rsidP="006700F8">
      <w:pPr>
        <w:spacing w:line="480" w:lineRule="auto"/>
        <w:ind w:firstLine="720"/>
        <w:rPr>
          <w:rFonts w:ascii="Times New Roman" w:hAnsi="Times New Roman" w:cs="Times New Roman"/>
        </w:rPr>
      </w:pPr>
    </w:p>
    <w:p w14:paraId="10349DBD" w14:textId="77777777" w:rsidR="006700F8" w:rsidRDefault="006700F8" w:rsidP="006700F8">
      <w:pPr>
        <w:spacing w:line="480" w:lineRule="auto"/>
        <w:ind w:firstLine="720"/>
        <w:rPr>
          <w:rFonts w:ascii="Times New Roman" w:hAnsi="Times New Roman" w:cs="Times New Roman"/>
        </w:rPr>
      </w:pPr>
    </w:p>
    <w:p w14:paraId="4D9426BD" w14:textId="77777777" w:rsidR="006700F8" w:rsidRDefault="006700F8" w:rsidP="006700F8">
      <w:pPr>
        <w:spacing w:line="480" w:lineRule="auto"/>
        <w:ind w:firstLine="720"/>
        <w:rPr>
          <w:rFonts w:ascii="Times New Roman" w:hAnsi="Times New Roman" w:cs="Times New Roman"/>
        </w:rPr>
      </w:pPr>
    </w:p>
    <w:p w14:paraId="479EFAA6" w14:textId="77777777" w:rsidR="006700F8" w:rsidRDefault="006700F8" w:rsidP="006700F8">
      <w:pPr>
        <w:spacing w:line="480" w:lineRule="auto"/>
        <w:ind w:firstLine="720"/>
        <w:rPr>
          <w:rFonts w:ascii="Times New Roman" w:hAnsi="Times New Roman" w:cs="Times New Roman"/>
        </w:rPr>
      </w:pPr>
    </w:p>
    <w:p w14:paraId="390291EA" w14:textId="77777777" w:rsidR="006700F8" w:rsidRDefault="006700F8" w:rsidP="006700F8">
      <w:pPr>
        <w:spacing w:line="480" w:lineRule="auto"/>
        <w:ind w:firstLine="720"/>
        <w:rPr>
          <w:rFonts w:ascii="Times New Roman" w:hAnsi="Times New Roman" w:cs="Times New Roman"/>
        </w:rPr>
      </w:pPr>
    </w:p>
    <w:p w14:paraId="32A48F28" w14:textId="4F8375CE" w:rsidR="00FE6B90" w:rsidRDefault="00FE6B90">
      <w:pPr>
        <w:rPr>
          <w:rFonts w:ascii="Times New Roman" w:hAnsi="Times New Roman" w:cs="Times New Roman"/>
          <w:b/>
          <w:bCs/>
        </w:rPr>
      </w:pPr>
      <w:r>
        <w:rPr>
          <w:rFonts w:ascii="Times New Roman" w:hAnsi="Times New Roman" w:cs="Times New Roman"/>
          <w:b/>
          <w:bCs/>
        </w:rPr>
        <w:br w:type="page"/>
      </w:r>
    </w:p>
    <w:p w14:paraId="3731CD44" w14:textId="77777777" w:rsidR="00256B3D" w:rsidRPr="004128BD" w:rsidRDefault="00256B3D" w:rsidP="00256B3D">
      <w:pPr>
        <w:spacing w:line="480" w:lineRule="auto"/>
        <w:jc w:val="center"/>
        <w:rPr>
          <w:rFonts w:ascii="Times New Roman" w:hAnsi="Times New Roman" w:cs="Times New Roman"/>
        </w:rPr>
      </w:pPr>
      <w:r w:rsidRPr="004128BD">
        <w:rPr>
          <w:rFonts w:ascii="Times New Roman" w:hAnsi="Times New Roman" w:cs="Times New Roman"/>
          <w:b/>
          <w:bCs/>
        </w:rPr>
        <w:lastRenderedPageBreak/>
        <w:t>Chapter 4: Literature Review: The Commerce-Care Dialectic in Funeral Planning</w:t>
      </w:r>
    </w:p>
    <w:p w14:paraId="0C9C68F2" w14:textId="77777777" w:rsidR="00256B3D" w:rsidRDefault="00256B3D" w:rsidP="00256B3D">
      <w:pPr>
        <w:pStyle w:val="BodyText"/>
        <w:rPr>
          <w:lang w:val="en-US"/>
        </w:rPr>
      </w:pPr>
      <w:r w:rsidRPr="00C54929">
        <w:t xml:space="preserve">The National Funeral Directors Association </w:t>
      </w:r>
      <w:r w:rsidRPr="00C54929">
        <w:rPr>
          <w:lang w:val="en-US"/>
        </w:rPr>
        <w:fldChar w:fldCharType="begin"/>
      </w:r>
      <w:r>
        <w:rPr>
          <w:lang w:val="en-US"/>
        </w:rPr>
        <w:instrText xml:space="preserve"> ADDIN EN.CITE &lt;EndNote&gt;&lt;Cite ExcludeAuth="1"&gt;&lt;Author&gt;National Funeral Directors Association&lt;/Author&gt;&lt;Year&gt;2023&lt;/Year&gt;&lt;RecNum&gt;1113&lt;/RecNum&gt;&lt;Prefix&gt;NFDA`, &lt;/Prefix&gt;&lt;DisplayText&gt;(NFDA, 2023)&lt;/DisplayText&gt;&lt;record&gt;&lt;rec-number&gt;1113&lt;/rec-number&gt;&lt;foreign-keys&gt;&lt;key app="EN" db-id="2pe9e00ros0veneeptspa5vhz0pw2az52v20" timestamp="1609653771" guid="84425635-4dd1-4892-b169-16e3e80f8048"&gt;1113&lt;/key&gt;&lt;/foreign-keys&gt;&lt;ref-type name="Web Page"&gt;12&lt;/ref-type&gt;&lt;contributors&gt;&lt;authors&gt;&lt;author&gt;National Funeral Directors Association,&lt;/author&gt;&lt;/authors&gt;&lt;/contributors&gt;&lt;titles&gt;&lt;title&gt;Statistics&lt;/title&gt;&lt;/titles&gt;&lt;volume&gt;2023&lt;/volume&gt;&lt;number&gt;Aug. 3&lt;/number&gt;&lt;dates&gt;&lt;year&gt;2023&lt;/year&gt;&lt;/dates&gt;&lt;pub-location&gt;National Funeral Directors Association&lt;/pub-location&gt;&lt;publisher&gt;National Funeral Directors Association&lt;/publisher&gt;&lt;urls&gt;&lt;related-urls&gt;&lt;url&gt;https://nfda.org/news/statistics&lt;/url&gt;&lt;/related-urls&gt;&lt;/urls&gt;&lt;/record&gt;&lt;/Cite&gt;&lt;/EndNote&gt;</w:instrText>
      </w:r>
      <w:r w:rsidRPr="00C54929">
        <w:rPr>
          <w:lang w:val="en-US"/>
        </w:rPr>
        <w:fldChar w:fldCharType="separate"/>
      </w:r>
      <w:r>
        <w:rPr>
          <w:noProof/>
          <w:lang w:val="en-US"/>
        </w:rPr>
        <w:t>(NFDA, 2023)</w:t>
      </w:r>
      <w:r w:rsidRPr="00C54929">
        <w:rPr>
          <w:lang w:val="en-US"/>
        </w:rPr>
        <w:fldChar w:fldCharType="end"/>
      </w:r>
      <w:r w:rsidRPr="00C54929">
        <w:rPr>
          <w:lang w:val="en-US"/>
        </w:rPr>
        <w:t xml:space="preserve"> reported more than </w:t>
      </w:r>
      <w:r w:rsidRPr="00C54929">
        <w:t>1</w:t>
      </w:r>
      <w:r w:rsidRPr="00C54929">
        <w:rPr>
          <w:lang w:val="en-US"/>
        </w:rPr>
        <w:t>8,800</w:t>
      </w:r>
      <w:r w:rsidRPr="00C54929">
        <w:t xml:space="preserve"> funeral homes throughout the United States in 20</w:t>
      </w:r>
      <w:r w:rsidRPr="00C54929">
        <w:rPr>
          <w:lang w:val="en-US"/>
        </w:rPr>
        <w:t xml:space="preserve">21; 89.2 % of those were family-owned, with an average </w:t>
      </w:r>
      <w:r>
        <w:rPr>
          <w:lang w:val="en-US"/>
        </w:rPr>
        <w:t xml:space="preserve">of </w:t>
      </w:r>
      <w:r w:rsidRPr="00C54929">
        <w:t xml:space="preserve">three full-time </w:t>
      </w:r>
      <w:r w:rsidRPr="00C54929">
        <w:rPr>
          <w:lang w:val="en-US"/>
        </w:rPr>
        <w:t xml:space="preserve">employees </w:t>
      </w:r>
      <w:r w:rsidRPr="00C54929">
        <w:t>and four part-time employees</w:t>
      </w:r>
      <w:r w:rsidRPr="00C54929">
        <w:rPr>
          <w:lang w:val="en-US"/>
        </w:rPr>
        <w:t xml:space="preserve">. </w:t>
      </w:r>
      <w:r w:rsidRPr="00C54929">
        <w:t xml:space="preserve">The </w:t>
      </w:r>
      <w:r w:rsidRPr="00C54929">
        <w:rPr>
          <w:lang w:val="en-US"/>
        </w:rPr>
        <w:t xml:space="preserve">NFDA </w:t>
      </w:r>
      <w:r w:rsidRPr="00C54929">
        <w:t xml:space="preserve">lists </w:t>
      </w:r>
      <w:r w:rsidRPr="00C54929">
        <w:rPr>
          <w:lang w:val="en-US"/>
        </w:rPr>
        <w:t>funeral directors’</w:t>
      </w:r>
      <w:r w:rsidRPr="00C54929">
        <w:t xml:space="preserve"> duties</w:t>
      </w:r>
      <w:r>
        <w:rPr>
          <w:lang w:val="en-US"/>
        </w:rPr>
        <w:t>, which</w:t>
      </w:r>
      <w:r w:rsidRPr="00C54929">
        <w:t xml:space="preserve"> include embalming, burial and cremation, securing legal papers,</w:t>
      </w:r>
      <w:r w:rsidRPr="00C54929">
        <w:rPr>
          <w:lang w:val="en-US"/>
        </w:rPr>
        <w:t xml:space="preserve"> arranging</w:t>
      </w:r>
      <w:r w:rsidRPr="00C54929">
        <w:t xml:space="preserve"> memorial services, directing funerals</w:t>
      </w:r>
      <w:r w:rsidRPr="00C54929">
        <w:rPr>
          <w:lang w:val="en-US"/>
        </w:rPr>
        <w:t xml:space="preserve">, and offering grief support. </w:t>
      </w:r>
    </w:p>
    <w:p w14:paraId="6772CB14" w14:textId="77777777" w:rsidR="00256B3D" w:rsidRPr="009E1FE6" w:rsidRDefault="00256B3D" w:rsidP="00256B3D">
      <w:pPr>
        <w:pStyle w:val="BodyText"/>
        <w:rPr>
          <w:lang w:val="en-US"/>
        </w:rPr>
      </w:pPr>
      <w:r>
        <w:rPr>
          <w:lang w:val="en-US"/>
        </w:rPr>
        <w:t xml:space="preserve">Funeral services are </w:t>
      </w:r>
      <w:r w:rsidRPr="00FD733F">
        <w:rPr>
          <w:i/>
          <w:iCs/>
          <w:lang w:val="en-US"/>
        </w:rPr>
        <w:t xml:space="preserve">(un)wanted </w:t>
      </w:r>
      <w:r w:rsidRPr="00130578">
        <w:rPr>
          <w:lang w:val="en-US"/>
        </w:rPr>
        <w:t>and</w:t>
      </w:r>
      <w:r w:rsidRPr="00FD733F">
        <w:rPr>
          <w:i/>
          <w:iCs/>
          <w:lang w:val="en-US"/>
        </w:rPr>
        <w:t xml:space="preserve"> (un)sought</w:t>
      </w:r>
      <w:r>
        <w:rPr>
          <w:lang w:val="en-US"/>
        </w:rPr>
        <w:t xml:space="preserve"> </w:t>
      </w:r>
      <w:r>
        <w:rPr>
          <w:lang w:val="en-US"/>
        </w:rPr>
        <w:fldChar w:fldCharType="begin"/>
      </w:r>
      <w:r>
        <w:rPr>
          <w:lang w:val="en-US"/>
        </w:rPr>
        <w:instrText xml:space="preserve"> ADDIN EN.CITE &lt;EndNote&gt;&lt;Cite&gt;&lt;Author&gt;Bi&lt;/Author&gt;&lt;Year&gt;2022&lt;/Year&gt;&lt;RecNum&gt;1801&lt;/RecNum&gt;&lt;DisplayText&gt;(Bi &amp;amp; Ploeger-Lyons, 2022)&lt;/DisplayText&gt;&lt;record&gt;&lt;rec-number&gt;1801&lt;/rec-number&gt;&lt;foreign-keys&gt;&lt;key app="EN" db-id="2pe9e00ros0veneeptspa5vhz0pw2az52v20" timestamp="1670911990" guid="c599132e-c9af-4490-8fcd-a06e4212ae9c"&gt;1801&lt;/key&gt;&lt;/foreign-keys&gt;&lt;ref-type name="Journal Article"&gt;17&lt;/ref-type&gt;&lt;contributors&gt;&lt;authors&gt;&lt;author&gt;Bi, Da&lt;/author&gt;&lt;author&gt;Ploeger-Lyons, Nicole A.&lt;/author&gt;&lt;/authors&gt;&lt;/contributors&gt;&lt;titles&gt;&lt;title&gt;(Un)wanted and (Un)sought services: Exploring the funeral industry positivity and rural funeral directors’ destigmatization&lt;/title&gt;&lt;secondary-title&gt;Communication Studies&lt;/secondary-title&gt;&lt;/titles&gt;&lt;periodical&gt;&lt;full-title&gt;Communication Studies&lt;/full-title&gt;&lt;/periodical&gt;&lt;pages&gt;511-526&lt;/pages&gt;&lt;volume&gt;73&lt;/volume&gt;&lt;number&gt;5-6&lt;/number&gt;&lt;dates&gt;&lt;year&gt;2022&lt;/year&gt;&lt;/dates&gt;&lt;publisher&gt;Routledge&lt;/publisher&gt;&lt;isbn&gt;1051-0974&lt;/isbn&gt;&lt;urls&gt;&lt;related-urls&gt;&lt;url&gt;https://doi.org/10.1080/10510974.2022.2149583&lt;/url&gt;&lt;/related-urls&gt;&lt;/urls&gt;&lt;electronic-resource-num&gt;10.1080/10510974.2022.2149583&lt;/electronic-resource-num&gt;&lt;/record&gt;&lt;/Cite&gt;&lt;/EndNote&gt;</w:instrText>
      </w:r>
      <w:r>
        <w:rPr>
          <w:lang w:val="en-US"/>
        </w:rPr>
        <w:fldChar w:fldCharType="separate"/>
      </w:r>
      <w:r>
        <w:rPr>
          <w:noProof/>
          <w:lang w:val="en-US"/>
        </w:rPr>
        <w:t>(Bi &amp; Ploeger-Lyons, 2022)</w:t>
      </w:r>
      <w:r>
        <w:rPr>
          <w:lang w:val="en-US"/>
        </w:rPr>
        <w:fldChar w:fldCharType="end"/>
      </w:r>
      <w:r>
        <w:rPr>
          <w:lang w:val="en-US"/>
        </w:rPr>
        <w:t>, referring to the fact that they are needed and accepted by communities and society,</w:t>
      </w:r>
      <w:r w:rsidRPr="00D17C5F">
        <w:rPr>
          <w:lang w:val="en-US"/>
        </w:rPr>
        <w:t xml:space="preserve"> </w:t>
      </w:r>
      <w:r>
        <w:rPr>
          <w:lang w:val="en-US"/>
        </w:rPr>
        <w:t xml:space="preserve">yet, also associated with death and dying and therefore . Funeral services have three characteristics: </w:t>
      </w:r>
      <w:r w:rsidRPr="00C54929">
        <w:rPr>
          <w:noProof/>
          <w:lang w:eastAsia="zh-CN"/>
        </w:rPr>
        <w:t xml:space="preserve">services or products </w:t>
      </w:r>
      <w:r>
        <w:rPr>
          <w:lang w:val="en-US"/>
        </w:rPr>
        <w:t xml:space="preserve">(1) </w:t>
      </w:r>
      <w:r w:rsidRPr="00C54929">
        <w:rPr>
          <w:noProof/>
          <w:lang w:eastAsia="zh-CN"/>
        </w:rPr>
        <w:t xml:space="preserve">evoke negative emotions in buying situations, </w:t>
      </w:r>
      <w:r>
        <w:rPr>
          <w:noProof/>
          <w:lang w:val="en-US" w:eastAsia="zh-CN"/>
        </w:rPr>
        <w:t xml:space="preserve">(2) </w:t>
      </w:r>
      <w:r w:rsidRPr="00C54929">
        <w:rPr>
          <w:noProof/>
          <w:lang w:eastAsia="zh-CN"/>
        </w:rPr>
        <w:t>are unknown and/or reluctant to be known, but</w:t>
      </w:r>
      <w:r>
        <w:rPr>
          <w:noProof/>
          <w:lang w:val="en-US" w:eastAsia="zh-CN"/>
        </w:rPr>
        <w:t xml:space="preserve"> (3)</w:t>
      </w:r>
      <w:r w:rsidRPr="00C54929">
        <w:rPr>
          <w:noProof/>
          <w:lang w:eastAsia="zh-CN"/>
        </w:rPr>
        <w:t xml:space="preserve"> are essentially needed and accepted by society</w:t>
      </w:r>
      <w:r>
        <w:rPr>
          <w:noProof/>
          <w:lang w:val="en-US" w:eastAsia="zh-CN"/>
        </w:rPr>
        <w:t xml:space="preserve"> </w:t>
      </w:r>
      <w:r>
        <w:rPr>
          <w:noProof/>
          <w:lang w:eastAsia="zh-CN"/>
        </w:rPr>
        <w:fldChar w:fldCharType="begin"/>
      </w:r>
      <w:r>
        <w:rPr>
          <w:noProof/>
          <w:lang w:eastAsia="zh-CN"/>
        </w:rPr>
        <w:instrText xml:space="preserve"> ADDIN EN.CITE &lt;EndNote&gt;&lt;Cite&gt;&lt;Author&gt;Schwartz&lt;/Author&gt;&lt;Year&gt;1986&lt;/Year&gt;&lt;RecNum&gt;1530&lt;/RecNum&gt;&lt;DisplayText&gt;(Schwartz et al., 1986; Wilson &amp;amp; West, 1981)&lt;/DisplayText&gt;&lt;record&gt;&lt;rec-number&gt;1530&lt;/rec-number&gt;&lt;foreign-keys&gt;&lt;key app="EN" db-id="2pe9e00ros0veneeptspa5vhz0pw2az52v20" timestamp="1646627688" guid="8d988f43-1e29-4db1-8c52-d4a682271368"&gt;1530&lt;/key&gt;&lt;/foreign-keys&gt;&lt;ref-type name="Journal Article"&gt;17&lt;/ref-type&gt;&lt;contributors&gt;&lt;authors&gt;&lt;author&gt;Schwartz, M. L.&lt;/author&gt;&lt;author&gt;Jolson, M. A.&lt;/author&gt;&lt;author&gt;Lee, R. H.&lt;/author&gt;&lt;/authors&gt;&lt;/contributors&gt;&lt;auth-address&gt;Univ Maryland,Mkt,College Pk,Md 20742&amp;#xD;Deloitte Haskins &amp;amp; Sells,Honolulu,Hi&lt;/auth-address&gt;&lt;titles&gt;&lt;title&gt;The marketing of funeral services - Past, present, and future&lt;/title&gt;&lt;secondary-title&gt;Business Horizons&lt;/secondary-title&gt;&lt;alt-title&gt;Bus Horizons&lt;/alt-title&gt;&lt;/titles&gt;&lt;periodical&gt;&lt;full-title&gt;Business Horizons&lt;/full-title&gt;&lt;/periodical&gt;&lt;pages&gt;40-45&lt;/pages&gt;&lt;volume&gt;29&lt;/volume&gt;&lt;number&gt;2&lt;/number&gt;&lt;dates&gt;&lt;year&gt;1986&lt;/year&gt;&lt;/dates&gt;&lt;isbn&gt;0007-6813&lt;/isbn&gt;&lt;urls&gt;&lt;/urls&gt;&lt;electronic-resource-num&gt;10.1016/0007-6813(86)90068-6&lt;/electronic-resource-num&gt;&lt;language&gt;English&lt;/language&gt;&lt;/record&gt;&lt;/Cite&gt;&lt;Cite&gt;&lt;Author&gt;Wilson&lt;/Author&gt;&lt;Year&gt;1981&lt;/Year&gt;&lt;RecNum&gt;1538&lt;/RecNum&gt;&lt;record&gt;&lt;rec-number&gt;1538&lt;/rec-number&gt;&lt;foreign-keys&gt;&lt;key app="EN" db-id="2pe9e00ros0veneeptspa5vhz0pw2az52v20" timestamp="1646760442" guid="d30b2bad-a5cc-49e4-91ec-3cf87af2f1cf"&gt;1538&lt;/key&gt;&lt;/foreign-keys&gt;&lt;ref-type name="Journal Article"&gt;17&lt;/ref-type&gt;&lt;contributors&gt;&lt;authors&gt;&lt;author&gt;Wilson, A.&lt;/author&gt;&lt;author&gt;West, C.&lt;/author&gt;&lt;/authors&gt;&lt;/contributors&gt;&lt;auth-address&gt;Ind Market Res Ltd,London,England&lt;/auth-address&gt;&lt;titles&gt;&lt;title&gt;The marketing of unmentionables&lt;/title&gt;&lt;secondary-title&gt;Harvard Business Review&lt;/secondary-title&gt;&lt;alt-title&gt;Harvard Bus Rev&lt;/alt-title&gt;&lt;/titles&gt;&lt;periodical&gt;&lt;full-title&gt;Harvard Business Review&lt;/full-title&gt;&lt;/periodical&gt;&lt;pages&gt;91-102&lt;/pages&gt;&lt;volume&gt;59&lt;/volume&gt;&lt;number&gt;1&lt;/number&gt;&lt;dates&gt;&lt;year&gt;1981&lt;/year&gt;&lt;/dates&gt;&lt;isbn&gt;0017-8012&lt;/isbn&gt;&lt;urls&gt;&lt;/urls&gt;&lt;language&gt;English&lt;/language&gt;&lt;/record&gt;&lt;/Cite&gt;&lt;/EndNote&gt;</w:instrText>
      </w:r>
      <w:r>
        <w:rPr>
          <w:noProof/>
          <w:lang w:eastAsia="zh-CN"/>
        </w:rPr>
        <w:fldChar w:fldCharType="separate"/>
      </w:r>
      <w:r>
        <w:rPr>
          <w:noProof/>
          <w:lang w:eastAsia="zh-CN"/>
        </w:rPr>
        <w:t>(Schwartz et al., 1986; Wilson &amp; West, 1981)</w:t>
      </w:r>
      <w:r>
        <w:rPr>
          <w:noProof/>
          <w:lang w:eastAsia="zh-CN"/>
        </w:rPr>
        <w:fldChar w:fldCharType="end"/>
      </w:r>
      <w:r>
        <w:rPr>
          <w:noProof/>
          <w:lang w:val="en-US" w:eastAsia="zh-CN"/>
        </w:rPr>
        <w:t>.</w:t>
      </w:r>
    </w:p>
    <w:p w14:paraId="39E59CD3" w14:textId="77777777" w:rsidR="00256B3D" w:rsidRPr="004128BD" w:rsidRDefault="00256B3D" w:rsidP="00256B3D">
      <w:pPr>
        <w:pStyle w:val="BodyText"/>
        <w:rPr>
          <w:lang w:val="en-US"/>
        </w:rPr>
      </w:pPr>
      <w:r w:rsidRPr="004128BD">
        <w:rPr>
          <w:lang w:val="en-US"/>
        </w:rPr>
        <w:t xml:space="preserve">Funeral planning is the core of funeral services. To arrange a funeral, funeral directors and clients are involved in contextual conversations to decide on </w:t>
      </w:r>
      <w:r>
        <w:rPr>
          <w:lang w:val="en-US"/>
        </w:rPr>
        <w:t xml:space="preserve">funeral service </w:t>
      </w:r>
      <w:r w:rsidRPr="004128BD">
        <w:rPr>
          <w:lang w:val="en-US"/>
        </w:rPr>
        <w:t>details</w:t>
      </w:r>
      <w:r>
        <w:rPr>
          <w:lang w:val="en-US"/>
        </w:rPr>
        <w:t xml:space="preserve"> </w:t>
      </w:r>
      <w:r w:rsidRPr="004128BD">
        <w:fldChar w:fldCharType="begin">
          <w:fldData xml:space="preserve">PEVuZE5vdGU+PENpdGU+PEF1dGhvcj5UdXJuZXI8L0F1dGhvcj48WWVhcj4xOTkwPC9ZZWFyPjxS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</w:fldData>
        </w:fldChar>
      </w:r>
      <w:r>
        <w:instrText xml:space="preserve"> ADDIN EN.CITE </w:instrText>
      </w:r>
      <w:r>
        <w:fldChar w:fldCharType="begin">
          <w:fldData xml:space="preserve">PEVuZE5vdGU+PENpdGU+PEF1dGhvcj5UdXJuZXI8L0F1dGhvcj48WWVhcj4xOTkwPC9ZZWFyPjxS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</w:fldData>
        </w:fldChar>
      </w:r>
      <w:r>
        <w:instrText xml:space="preserve"> ADDIN EN.CITE.DATA </w:instrText>
      </w:r>
      <w:r>
        <w:fldChar w:fldCharType="end"/>
      </w:r>
      <w:r w:rsidRPr="004128BD">
        <w:fldChar w:fldCharType="separate"/>
      </w:r>
      <w:r w:rsidRPr="004128BD">
        <w:rPr>
          <w:noProof/>
        </w:rPr>
        <w:t>(e.g., Barley, 1983; Campbell, 2021; Turner &amp; Edgley, 1990)</w:t>
      </w:r>
      <w:r w:rsidRPr="004128BD">
        <w:fldChar w:fldCharType="end"/>
      </w:r>
      <w:r w:rsidRPr="004128BD">
        <w:rPr>
          <w:lang w:val="en-US"/>
        </w:rPr>
        <w:t>,</w:t>
      </w:r>
      <w:r>
        <w:rPr>
          <w:lang w:val="en-US"/>
        </w:rPr>
        <w:t xml:space="preserve"> </w:t>
      </w:r>
      <w:r w:rsidRPr="004128BD">
        <w:rPr>
          <w:lang w:val="en-US"/>
        </w:rPr>
        <w:t>such as location, setting, procedure, music, and other information. Ironically, although mattering to everyone across class, race, gender, and culture, few scholars examine funeral services, fewer of those explore funeral planning, and fewer and fewer researchers directly discuss the issue related to the commerce-care dialectic in funeral planning. This section aims to review the commerce-care dialectic in funeral planning, including funeral planning, commodification and decommodification, and</w:t>
      </w:r>
      <w:r>
        <w:rPr>
          <w:lang w:val="en-US"/>
        </w:rPr>
        <w:t xml:space="preserve"> </w:t>
      </w:r>
      <w:r w:rsidRPr="004128BD">
        <w:rPr>
          <w:lang w:val="en-US"/>
        </w:rPr>
        <w:t>researc</w:t>
      </w:r>
      <w:r>
        <w:rPr>
          <w:lang w:val="en-US"/>
        </w:rPr>
        <w:t>h</w:t>
      </w:r>
      <w:r w:rsidRPr="004128BD">
        <w:rPr>
          <w:lang w:val="en-US"/>
        </w:rPr>
        <w:t xml:space="preserve"> on the commerce-care dialectic in funeral </w:t>
      </w:r>
      <w:r>
        <w:rPr>
          <w:lang w:val="en-US"/>
        </w:rPr>
        <w:t>services</w:t>
      </w:r>
      <w:r w:rsidRPr="004128BD">
        <w:rPr>
          <w:lang w:val="en-US"/>
        </w:rPr>
        <w:t>. Impressively, the author is likely to be the first person to integrate the literature of the commerce-care dialectic in funeral planning.</w:t>
      </w:r>
      <w:r>
        <w:rPr>
          <w:lang w:val="en-US"/>
        </w:rPr>
        <w:t xml:space="preserve"> </w:t>
      </w:r>
    </w:p>
    <w:p w14:paraId="38BE2D55" w14:textId="77777777" w:rsidR="00256B3D" w:rsidRDefault="00256B3D" w:rsidP="00256B3D">
      <w:pPr>
        <w:rPr>
          <w:rFonts w:ascii="Times New Roman" w:eastAsia="SimSun" w:hAnsi="Times New Roman" w:cs="Times New Roman"/>
          <w:b/>
          <w:bCs/>
          <w:lang w:val="x-none" w:eastAsia="x-none"/>
        </w:rPr>
      </w:pPr>
      <w:r>
        <w:rPr>
          <w:b/>
          <w:bCs/>
        </w:rPr>
        <w:br w:type="page"/>
      </w:r>
    </w:p>
    <w:p w14:paraId="72DDF82F" w14:textId="77777777" w:rsidR="00256B3D" w:rsidRPr="00AB0517" w:rsidRDefault="00256B3D" w:rsidP="00256B3D">
      <w:pPr>
        <w:pStyle w:val="BodyText"/>
        <w:ind w:firstLine="0"/>
        <w:rPr>
          <w:lang w:val="en-US"/>
        </w:rPr>
      </w:pPr>
      <w:r w:rsidRPr="004128BD">
        <w:rPr>
          <w:b/>
          <w:bCs/>
        </w:rPr>
        <w:lastRenderedPageBreak/>
        <w:t>Funeral Planning</w:t>
      </w:r>
    </w:p>
    <w:p w14:paraId="488708E7" w14:textId="77777777" w:rsidR="00256B3D" w:rsidRPr="004128BD" w:rsidRDefault="00256B3D" w:rsidP="00256B3D">
      <w:pPr>
        <w:spacing w:line="480" w:lineRule="auto"/>
        <w:ind w:firstLine="720"/>
        <w:rPr>
          <w:rFonts w:ascii="Times New Roman" w:hAnsi="Times New Roman" w:cs="Times New Roman"/>
        </w:rPr>
      </w:pPr>
      <w:r w:rsidRPr="004128BD">
        <w:rPr>
          <w:rFonts w:ascii="Times New Roman" w:hAnsi="Times New Roman" w:cs="Times New Roman"/>
        </w:rPr>
        <w:t xml:space="preserve">The section explicates death, funeral, and funeral planning.  </w:t>
      </w:r>
    </w:p>
    <w:p w14:paraId="7F6D5A0F" w14:textId="77777777" w:rsidR="00256B3D" w:rsidRPr="004128BD" w:rsidRDefault="00256B3D" w:rsidP="00256B3D">
      <w:pPr>
        <w:spacing w:line="480" w:lineRule="auto"/>
        <w:ind w:firstLine="720"/>
        <w:rPr>
          <w:rFonts w:ascii="Times New Roman" w:hAnsi="Times New Roman" w:cs="Times New Roman"/>
        </w:rPr>
      </w:pPr>
      <w:r w:rsidRPr="004128BD">
        <w:rPr>
          <w:rFonts w:ascii="Times New Roman" w:hAnsi="Times New Roman" w:cs="Times New Roman"/>
          <w:b/>
          <w:bCs/>
        </w:rPr>
        <w:t>Death</w:t>
      </w:r>
      <w:r w:rsidRPr="004128BD">
        <w:rPr>
          <w:rFonts w:ascii="Times New Roman" w:hAnsi="Times New Roman" w:cs="Times New Roman"/>
        </w:rPr>
        <w:t xml:space="preserve">. Death is known as “the end” </w:t>
      </w:r>
      <w:r w:rsidRPr="004128BD">
        <w:rPr>
          <w:rFonts w:ascii="Times New Roman" w:hAnsi="Times New Roman" w:cs="Times New Roman"/>
        </w:rPr>
        <w:fldChar w:fldCharType="begin"/>
      </w:r>
      <w:r w:rsidRPr="004128BD">
        <w:rPr>
          <w:rFonts w:ascii="Times New Roman" w:hAnsi="Times New Roman" w:cs="Times New Roman"/>
        </w:rPr>
        <w:instrText xml:space="preserve"> ADDIN EN.CITE &lt;EndNote&gt;&lt;Cite&gt;&lt;Author&gt;Jung&lt;/Author&gt;&lt;Year&gt;1959&lt;/Year&gt;&lt;RecNum&gt;1637&lt;/RecNum&gt;&lt;DisplayText&gt;(Jung, 1959)&lt;/DisplayText&gt;&lt;record&gt;&lt;rec-number&gt;1637&lt;/rec-number&gt;&lt;foreign-keys&gt;&lt;key app="EN" db-id="2pe9e00ros0veneeptspa5vhz0pw2az52v20" timestamp="1651464002" guid="15126ffe-788a-4712-b002-ec1682c4be88"&gt;1637&lt;/key&gt;&lt;/foreign-keys&gt;&lt;ref-type name="Book Section"&gt;5&lt;/ref-type&gt;&lt;contributors&gt;&lt;authors&gt;&lt;author&gt;Carl G. Jung&lt;/author&gt;&lt;/authors&gt;&lt;secondary-authors&gt;&lt;author&gt;Herman Feifel&lt;/author&gt;&lt;/secondary-authors&gt;&lt;/contributors&gt;&lt;titles&gt;&lt;title&gt;The soul and death&lt;/title&gt;&lt;secondary-title&gt;The meaning of death&lt;/secondary-title&gt;&lt;/titles&gt;&lt;pages&gt;3-15&lt;/pages&gt;&lt;dates&gt;&lt;year&gt;1959&lt;/year&gt;&lt;/dates&gt;&lt;publisher&gt;New York, McGraw-Hill&lt;/publisher&gt;&lt;urls&gt;&lt;/urls&gt;&lt;/record&gt;&lt;/Cite&gt;&lt;/EndNote&gt;</w:instrText>
      </w:r>
      <w:r w:rsidRPr="004128BD">
        <w:rPr>
          <w:rFonts w:ascii="Times New Roman" w:hAnsi="Times New Roman" w:cs="Times New Roman"/>
        </w:rPr>
        <w:fldChar w:fldCharType="separate"/>
      </w:r>
      <w:r w:rsidRPr="004128BD">
        <w:rPr>
          <w:rFonts w:ascii="Times New Roman" w:hAnsi="Times New Roman" w:cs="Times New Roman"/>
          <w:noProof/>
        </w:rPr>
        <w:t>(Jung, 1959)</w:t>
      </w:r>
      <w:r w:rsidRPr="004128BD">
        <w:rPr>
          <w:rFonts w:ascii="Times New Roman" w:hAnsi="Times New Roman" w:cs="Times New Roman"/>
        </w:rPr>
        <w:fldChar w:fldCharType="end"/>
      </w:r>
      <w:r w:rsidRPr="004128BD">
        <w:rPr>
          <w:rFonts w:ascii="Times New Roman" w:hAnsi="Times New Roman" w:cs="Times New Roman"/>
        </w:rPr>
        <w:t xml:space="preserve">, and physical death in science is typically identified by the loss of the heartbeat, the absence of spontaneous breathing, and brain death. Socially, </w:t>
      </w:r>
      <w:r w:rsidRPr="004128BD">
        <w:rPr>
          <w:rFonts w:ascii="Times New Roman" w:hAnsi="Times New Roman" w:cs="Times New Roman"/>
        </w:rPr>
        <w:fldChar w:fldCharType="begin"/>
      </w:r>
      <w:r w:rsidRPr="004128BD">
        <w:rPr>
          <w:rFonts w:ascii="Times New Roman" w:hAnsi="Times New Roman" w:cs="Times New Roman"/>
        </w:rPr>
        <w:instrText xml:space="preserve"> ADDIN EN.CITE &lt;EndNote&gt;&lt;Cite AuthorYear="1"&gt;&lt;Author&gt;Hertz&lt;/Author&gt;&lt;Year&gt;1960&lt;/Year&gt;&lt;RecNum&gt;656&lt;/RecNum&gt;&lt;DisplayText&gt;Hertz (1960)&lt;/DisplayText&gt;&lt;record&gt;&lt;rec-number&gt;656&lt;/rec-number&gt;&lt;foreign-keys&gt;&lt;key app="EN" db-id="2pe9e00ros0veneeptspa5vhz0pw2az52v20" timestamp="1556561127" guid="b5284792-1937-4413-8617-8424277011fc"&gt;656&lt;/key&gt;&lt;/foreign-keys&gt;&lt;ref-type name="Book Section"&gt;5&lt;/ref-type&gt;&lt;contributors&gt;&lt;authors&gt;&lt;author&gt;Hertz, Robert&lt;/author&gt;&lt;/authors&gt;&lt;secondary-authors&gt;&lt;author&gt;R. Needham&lt;/author&gt;&lt;author&gt;C. Needham&lt;/author&gt;&lt;/secondary-authors&gt;&lt;subsidiary-authors&gt;&lt;author&gt;R. Needham&lt;/author&gt;&lt;author&gt;C. Needham &lt;/author&gt;&lt;/subsidiary-authors&gt;&lt;/contributors&gt;&lt;titles&gt;&lt;title&gt;A Contribution to the Study of the Collective Representation of Death&lt;/title&gt;&lt;secondary-title&gt;Death and the Right Hand&lt;/secondary-title&gt;&lt;/titles&gt;&lt;pages&gt;27-86&lt;/pages&gt;&lt;dates&gt;&lt;year&gt;1960&lt;/year&gt;&lt;/dates&gt;&lt;publisher&gt;Aberdeen: Cohen &amp;amp; West.&lt;/publisher&gt;&lt;urls&gt;&lt;/urls&gt;&lt;/record&gt;&lt;/Cite&gt;&lt;/EndNote&gt;</w:instrText>
      </w:r>
      <w:r w:rsidRPr="004128BD">
        <w:rPr>
          <w:rFonts w:ascii="Times New Roman" w:hAnsi="Times New Roman" w:cs="Times New Roman"/>
        </w:rPr>
        <w:fldChar w:fldCharType="separate"/>
      </w:r>
      <w:r w:rsidRPr="004128BD">
        <w:rPr>
          <w:rFonts w:ascii="Times New Roman" w:hAnsi="Times New Roman" w:cs="Times New Roman"/>
          <w:noProof/>
        </w:rPr>
        <w:t>Hertz (1960)</w:t>
      </w:r>
      <w:r w:rsidRPr="004128BD">
        <w:rPr>
          <w:rFonts w:ascii="Times New Roman" w:hAnsi="Times New Roman" w:cs="Times New Roman"/>
        </w:rPr>
        <w:fldChar w:fldCharType="end"/>
      </w:r>
      <w:r w:rsidRPr="004128BD">
        <w:rPr>
          <w:rFonts w:ascii="Times New Roman" w:hAnsi="Times New Roman" w:cs="Times New Roman"/>
        </w:rPr>
        <w:t xml:space="preserve"> describes the collective consciousness of death in four natures. First, death has a mythical nature. Death is a temporary exclusion of the individual from human society (e.g., resurrection, communal memories, and the soul survival). Second, death has a transitional nature. Death is considered a turning point when individuals are excluded from the visible society of the living into the invisible society of the dead. Third, death has an emotional nature. Mourning is a necessary and natural emotional reaction when living in front of death. Fourth, death has an adaptive and processing nature. Death consists of a dual and painful process of mental disintegration and synthesis, and the process lasts until peace is recovered in society. The ontology of death essentially falls into the philosophical discussion of agnosticism and existentialism, such as questions, “Do humans have the freedom/power to master over death? Do humans have the wish/willingness to quit a life of untruth?”</w:t>
      </w:r>
    </w:p>
    <w:p w14:paraId="2124F0FB" w14:textId="77777777" w:rsidR="00256B3D" w:rsidRPr="000C4C2D" w:rsidRDefault="00256B3D" w:rsidP="00256B3D">
      <w:pPr>
        <w:spacing w:line="480" w:lineRule="auto"/>
        <w:ind w:firstLine="720"/>
        <w:rPr>
          <w:rFonts w:ascii="Times New Roman" w:hAnsi="Times New Roman" w:cs="Times New Roman"/>
        </w:rPr>
      </w:pPr>
      <w:r w:rsidRPr="004128BD">
        <w:rPr>
          <w:rFonts w:ascii="Times New Roman" w:hAnsi="Times New Roman" w:cs="Times New Roman"/>
        </w:rPr>
        <w:t>Social scientists are devoted to acknowledging and interpreting death from various perspectives</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&lt;EndNote&gt;&lt;Cite&gt;&lt;Author&gt;Feifel&lt;/Author&gt;&lt;Year&gt;1959&lt;/Year&gt;&lt;RecNum&gt;1992&lt;/RecNum&gt;&lt;Prefix&gt;for a review`, see the book`, &lt;/Prefix&gt;&lt;DisplayText&gt;(for a review, see the book, Feifel, 1959)&lt;/DisplayText&gt;&lt;record&gt;&lt;rec-number&gt;1992&lt;/rec-number&gt;&lt;foreign-keys&gt;&lt;key app="EN" db-id="2pe9e00ros0veneeptspa5vhz0pw2az52v20" timestamp="1694789453" guid="7eaf8544-50e1-4506-a152-fca852cf6c43"&gt;1992&lt;/key&gt;&lt;/foreign-keys&gt;&lt;ref-type name="Book"&gt;6&lt;/ref-type&gt;&lt;contributors&gt;&lt;authors&gt;&lt;author&gt;Feifel, Herman&lt;/author&gt;&lt;/authors&gt;&lt;/contributors&gt;&lt;titles&gt;&lt;title&gt;The meaning of death&lt;/title&gt;&lt;/titles&gt;&lt;dates&gt;&lt;year&gt;1959&lt;/year&gt;&lt;/dates&gt;&lt;publisher&gt;Blakiston Division, McGraw-Hill&lt;/publisher&gt;&lt;urls&gt;&lt;/urls&gt;&lt;/record&gt;&lt;/Cite&gt;&lt;/EndNote&gt;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(for a review, see the book, Feifel, 1959)</w:t>
      </w:r>
      <w:r>
        <w:rPr>
          <w:rFonts w:ascii="Times New Roman" w:hAnsi="Times New Roman" w:cs="Times New Roman"/>
        </w:rPr>
        <w:fldChar w:fldCharType="end"/>
      </w:r>
      <w:r>
        <w:rPr>
          <w:rFonts w:ascii="Times New Roman" w:hAnsi="Times New Roman" w:cs="Times New Roman"/>
        </w:rPr>
        <w:t>.</w:t>
      </w:r>
      <w:r w:rsidRPr="004128BD">
        <w:rPr>
          <w:rFonts w:ascii="Times New Roman" w:hAnsi="Times New Roman" w:cs="Times New Roman"/>
        </w:rPr>
        <w:t xml:space="preserve"> </w:t>
      </w:r>
      <w:r w:rsidRPr="004128BD">
        <w:rPr>
          <w:rFonts w:ascii="Times New Roman" w:hAnsi="Times New Roman" w:cs="Times New Roman"/>
        </w:rPr>
        <w:fldChar w:fldCharType="begin"/>
      </w:r>
      <w:r w:rsidRPr="004128BD">
        <w:rPr>
          <w:rFonts w:ascii="Times New Roman" w:hAnsi="Times New Roman" w:cs="Times New Roman"/>
        </w:rPr>
        <w:instrText xml:space="preserve"> ADDIN EN.CITE &lt;EndNote&gt;&lt;Cite AuthorYear="1"&gt;&lt;Author&gt;Glaser&lt;/Author&gt;&lt;Year&gt;1965&lt;/Year&gt;&lt;RecNum&gt;1558&lt;/RecNum&gt;&lt;DisplayText&gt;Glaser and Strauss (1965)&lt;/DisplayText&gt;&lt;record&gt;&lt;rec-number&gt;1558&lt;/rec-number&gt;&lt;foreign-keys&gt;&lt;key app="EN" db-id="2pe9e00ros0veneeptspa5vhz0pw2az52v20" timestamp="1646933604" guid="78ee4251-860a-42ce-a728-3b491dcc3fa0"&gt;1558&lt;/key&gt;&lt;/foreign-keys&gt;&lt;ref-type name="Book"&gt;6&lt;/ref-type&gt;&lt;contributors&gt;&lt;authors&gt;&lt;author&gt;Glaser, Barney Galland&lt;/author&gt;&lt;author&gt;Strauss, Anselm Leonard&lt;/author&gt;&lt;/authors&gt;&lt;/contributors&gt;&lt;titles&gt;&lt;title&gt;Awareness of dying&lt;/title&gt;&lt;/titles&gt;&lt;dates&gt;&lt;year&gt;1965&lt;/year&gt;&lt;/dates&gt;&lt;publisher&gt;Aldine&lt;/publisher&gt;&lt;isbn&gt;0202364445&lt;/isbn&gt;&lt;urls&gt;&lt;/urls&gt;&lt;/record&gt;&lt;/Cite&gt;&lt;/EndNote&gt;</w:instrText>
      </w:r>
      <w:r w:rsidRPr="004128BD">
        <w:rPr>
          <w:rFonts w:ascii="Times New Roman" w:hAnsi="Times New Roman" w:cs="Times New Roman"/>
        </w:rPr>
        <w:fldChar w:fldCharType="separate"/>
      </w:r>
      <w:r w:rsidRPr="004128BD">
        <w:rPr>
          <w:rFonts w:ascii="Times New Roman" w:hAnsi="Times New Roman" w:cs="Times New Roman"/>
          <w:noProof/>
        </w:rPr>
        <w:t>Glaser and Strauss (1965)</w:t>
      </w:r>
      <w:r w:rsidRPr="004128BD">
        <w:rPr>
          <w:rFonts w:ascii="Times New Roman" w:hAnsi="Times New Roman" w:cs="Times New Roman"/>
        </w:rPr>
        <w:fldChar w:fldCharType="end"/>
      </w:r>
      <w:r w:rsidRPr="004128BD">
        <w:rPr>
          <w:rFonts w:ascii="Times New Roman" w:hAnsi="Times New Roman" w:cs="Times New Roman"/>
        </w:rPr>
        <w:t xml:space="preserve"> propose four distinctly different stages of being aware of dying: closed awareness (e.g., the patient does not recognize his impending death), suspected awareness (e.g., the patient attempts to confirm his suspicion), mutual pretense awareness (e.g., each party defines the patients as dying, but each pretends that the other has not done so), and open awareness (e.g., personnel and patient both are aware that he is dying).</w:t>
      </w:r>
      <w:r w:rsidRPr="004128BD">
        <w:rPr>
          <w:rFonts w:ascii="Times New Roman" w:hAnsi="Times New Roman" w:cs="Times New Roman"/>
          <w:lang w:eastAsia="zh-TW"/>
        </w:rPr>
        <w:t xml:space="preserve"> </w:t>
      </w:r>
      <w:r w:rsidRPr="004128BD">
        <w:rPr>
          <w:rFonts w:ascii="Times New Roman" w:hAnsi="Times New Roman" w:cs="Times New Roman"/>
        </w:rPr>
        <w:t xml:space="preserve">Similarly, </w:t>
      </w:r>
      <w:r w:rsidRPr="004128BD">
        <w:rPr>
          <w:rFonts w:ascii="Times New Roman" w:hAnsi="Times New Roman" w:cs="Times New Roman"/>
        </w:rPr>
        <w:fldChar w:fldCharType="begin"/>
      </w:r>
      <w:r w:rsidRPr="004128BD">
        <w:rPr>
          <w:rFonts w:ascii="Times New Roman" w:hAnsi="Times New Roman" w:cs="Times New Roman"/>
          <w:lang w:eastAsia="zh-TW"/>
        </w:rPr>
        <w:instrText xml:space="preserve"> ADDIN EN.CITE &lt;EndNote&gt;&lt;Cite AuthorYear="1"&gt;&lt;Author&gt;Rando&lt;/Author&gt;&lt;Year&gt;1984&lt;/Year&gt;&lt;RecNum&gt;1193&lt;/RecNum&gt;&lt;DisplayText&gt;Rando (1984)&lt;/DisplayText&gt;&lt;record&gt;&lt;rec-number&gt;1193&lt;/rec-number&gt;&lt;foreign-keys&gt;&lt;key app="EN" db-id="2pe9e00ros0veneeptspa5vhz0pw2az52v20" timestamp="1609970616" guid="af491eb1-31eb-4160-a1dc-f6c14937816b"&gt;1193&lt;/key&gt;&lt;/foreign-keys&gt;&lt;ref-type name="Book"&gt;6&lt;/ref-type&gt;&lt;contributors&gt;&lt;authors&gt;&lt;author&gt;Rando, Therese A.&lt;/author&gt;&lt;/authors&gt;&lt;/contributors&gt;&lt;titles&gt;&lt;title&gt;Grief, dying, and death : clinical interventions for caregivers&lt;/title&gt;&lt;/titles&gt;&lt;dates&gt;&lt;year&gt;1984&lt;/year&gt;&lt;/dates&gt;&lt;pub-location&gt;Champaign, Ill.&lt;/pub-location&gt;&lt;publisher&gt;Research Press Co.&lt;/publisher&gt;&lt;isbn&gt;0878222324 9780878222322&lt;/isbn&gt;&lt;urls&gt;&lt;/urls&gt;&lt;remote-database-name&gt;/z-wcorg/&lt;/remote-database-name&gt;&lt;remote-database-provider&gt;http://worldcat.org&lt;/remote-database-provider&gt;&lt;language&gt;English&lt;/language&gt;&lt;/record&gt;&lt;/Cite&gt;&lt;/EndNote&gt;</w:instrText>
      </w:r>
      <w:r w:rsidRPr="004128BD">
        <w:rPr>
          <w:rFonts w:ascii="Times New Roman" w:hAnsi="Times New Roman" w:cs="Times New Roman"/>
        </w:rPr>
        <w:fldChar w:fldCharType="separate"/>
      </w:r>
      <w:r w:rsidRPr="004128BD">
        <w:rPr>
          <w:rFonts w:ascii="Times New Roman" w:hAnsi="Times New Roman" w:cs="Times New Roman"/>
          <w:noProof/>
          <w:lang w:eastAsia="zh-TW"/>
        </w:rPr>
        <w:t>Rando (1984)</w:t>
      </w:r>
      <w:r w:rsidRPr="004128BD">
        <w:rPr>
          <w:rFonts w:ascii="Times New Roman" w:hAnsi="Times New Roman" w:cs="Times New Roman"/>
        </w:rPr>
        <w:fldChar w:fldCharType="end"/>
      </w:r>
      <w:r w:rsidRPr="004128BD">
        <w:rPr>
          <w:rFonts w:ascii="Times New Roman" w:hAnsi="Times New Roman" w:cs="Times New Roman"/>
          <w:lang w:eastAsia="zh-TW"/>
        </w:rPr>
        <w:t xml:space="preserve"> argues that all societies can fit into death-accepting, death-defying, and death-denying general models of responding to death. </w:t>
      </w:r>
      <w:r w:rsidRPr="004128BD">
        <w:rPr>
          <w:rFonts w:ascii="Times New Roman" w:hAnsi="Times New Roman" w:cs="Times New Roman"/>
          <w:i/>
          <w:iCs/>
          <w:lang w:eastAsia="zh-TW"/>
        </w:rPr>
        <w:t>Death-</w:t>
      </w:r>
      <w:r w:rsidRPr="004128BD">
        <w:rPr>
          <w:rFonts w:ascii="Times New Roman" w:hAnsi="Times New Roman" w:cs="Times New Roman"/>
          <w:i/>
          <w:iCs/>
          <w:lang w:eastAsia="zh-TW"/>
        </w:rPr>
        <w:lastRenderedPageBreak/>
        <w:t>defying</w:t>
      </w:r>
      <w:r w:rsidRPr="004128BD">
        <w:rPr>
          <w:rFonts w:ascii="Times New Roman" w:hAnsi="Times New Roman" w:cs="Times New Roman"/>
          <w:lang w:eastAsia="zh-TW"/>
        </w:rPr>
        <w:t xml:space="preserve"> societies (e.g., Egypt) are mythical and refuse to believe death would take anything away. </w:t>
      </w:r>
      <w:r w:rsidRPr="004128BD">
        <w:rPr>
          <w:rFonts w:ascii="Times New Roman" w:hAnsi="Times New Roman" w:cs="Times New Roman"/>
          <w:i/>
          <w:iCs/>
          <w:lang w:eastAsia="zh-TW"/>
        </w:rPr>
        <w:t>Death-denying</w:t>
      </w:r>
      <w:r w:rsidRPr="004128BD">
        <w:rPr>
          <w:rFonts w:ascii="Times New Roman" w:hAnsi="Times New Roman" w:cs="Times New Roman"/>
          <w:lang w:eastAsia="zh-TW"/>
        </w:rPr>
        <w:t xml:space="preserve"> societies (e.g., the United States) deny death in culture and refuse to confront death until the </w:t>
      </w:r>
      <w:r w:rsidRPr="004128BD">
        <w:rPr>
          <w:rFonts w:ascii="Times New Roman" w:hAnsi="Times New Roman" w:cs="Times New Roman"/>
        </w:rPr>
        <w:t xml:space="preserve">last second. </w:t>
      </w:r>
      <w:r w:rsidRPr="004128BD">
        <w:rPr>
          <w:rFonts w:ascii="Times New Roman" w:hAnsi="Times New Roman" w:cs="Times New Roman"/>
          <w:i/>
          <w:iCs/>
          <w:lang w:eastAsia="zh-TW"/>
        </w:rPr>
        <w:t>Death-accepting</w:t>
      </w:r>
      <w:r w:rsidRPr="004128BD">
        <w:rPr>
          <w:rFonts w:ascii="Times New Roman" w:hAnsi="Times New Roman" w:cs="Times New Roman"/>
          <w:lang w:eastAsia="zh-TW"/>
        </w:rPr>
        <w:t xml:space="preserve"> societies (e.g., Fiji) view death as an inevitable and natural part of the life cycle. Moreover, humans construct standards for evaluating </w:t>
      </w:r>
      <w:r w:rsidRPr="004128BD">
        <w:rPr>
          <w:rFonts w:ascii="Times New Roman" w:hAnsi="Times New Roman" w:cs="Times New Roman"/>
        </w:rPr>
        <w:t xml:space="preserve">death. The term “good death” describes that individuals are satisfied with the process of addressing and experiencing death </w:t>
      </w:r>
      <w:r w:rsidRPr="004128BD">
        <w:rPr>
          <w:rFonts w:ascii="Times New Roman" w:hAnsi="Times New Roman" w:cs="Times New Roman"/>
          <w:lang w:eastAsia="zh-TW"/>
        </w:rPr>
        <w:fldChar w:fldCharType="begin"/>
      </w:r>
      <w:r w:rsidRPr="004128BD">
        <w:rPr>
          <w:rFonts w:ascii="Times New Roman" w:hAnsi="Times New Roman" w:cs="Times New Roman"/>
          <w:lang w:eastAsia="zh-TW"/>
        </w:rPr>
        <w:instrText xml:space="preserve"> ADDIN EN.CITE &lt;EndNote&gt;&lt;Cite&gt;&lt;Author&gt;Kehl&lt;/Author&gt;&lt;Year&gt;2006&lt;/Year&gt;&lt;RecNum&gt;1639&lt;/RecNum&gt;&lt;DisplayText&gt;(Kehl, 2006)&lt;/DisplayText&gt;&lt;record&gt;&lt;rec-number&gt;1639&lt;/rec-number&gt;&lt;foreign-keys&gt;&lt;key app="EN" db-id="2pe9e00ros0veneeptspa5vhz0pw2az52v20" timestamp="1651589438" guid="3c620a6c-bb91-4d32-a221-e92e2b9840b4"&gt;1639&lt;/key&gt;&lt;/foreign-keys&gt;&lt;ref-type name="Journal Article"&gt;17&lt;/ref-type&gt;&lt;contributors&gt;&lt;authors&gt;&lt;author&gt;Kehl, Karen A&lt;/author&gt;&lt;/authors&gt;&lt;/contributors&gt;&lt;titles&gt;&lt;title&gt;Moving toward peace: an analysis of the concept of a good death&lt;/title&gt;&lt;secondary-title&gt;American Journal of Hospice and Palliative Medicine®&lt;/secondary-title&gt;&lt;/titles&gt;&lt;periodical&gt;&lt;full-title&gt;American Journal of Hospice and Palliative Medicine®&lt;/full-title&gt;&lt;/periodical&gt;&lt;pages&gt;277-286&lt;/pages&gt;&lt;volume&gt;23&lt;/volume&gt;&lt;number&gt;4&lt;/number&gt;&lt;dates&gt;&lt;year&gt;2006&lt;/year&gt;&lt;/dates&gt;&lt;isbn&gt;1049-9091&lt;/isbn&gt;&lt;urls&gt;&lt;/urls&gt;&lt;electronic-resource-num&gt;10.1177/1049909106290380&lt;/electronic-resource-num&gt;&lt;/record&gt;&lt;/Cite&gt;&lt;/EndNote&gt;</w:instrText>
      </w:r>
      <w:r w:rsidRPr="004128BD">
        <w:rPr>
          <w:rFonts w:ascii="Times New Roman" w:hAnsi="Times New Roman" w:cs="Times New Roman"/>
          <w:lang w:eastAsia="zh-TW"/>
        </w:rPr>
        <w:fldChar w:fldCharType="separate"/>
      </w:r>
      <w:r w:rsidRPr="004128BD">
        <w:rPr>
          <w:rFonts w:ascii="Times New Roman" w:hAnsi="Times New Roman" w:cs="Times New Roman"/>
          <w:noProof/>
          <w:lang w:eastAsia="zh-TW"/>
        </w:rPr>
        <w:t>(Kehl, 2006)</w:t>
      </w:r>
      <w:r w:rsidRPr="004128BD">
        <w:rPr>
          <w:rFonts w:ascii="Times New Roman" w:hAnsi="Times New Roman" w:cs="Times New Roman"/>
          <w:lang w:eastAsia="zh-TW"/>
        </w:rPr>
        <w:fldChar w:fldCharType="end"/>
      </w:r>
      <w:r w:rsidRPr="004128BD">
        <w:rPr>
          <w:rFonts w:ascii="Times New Roman" w:hAnsi="Times New Roman" w:cs="Times New Roman"/>
          <w:lang w:eastAsia="zh-TW"/>
        </w:rPr>
        <w:t xml:space="preserve">, and it </w:t>
      </w:r>
      <w:r w:rsidRPr="004128BD">
        <w:rPr>
          <w:rFonts w:ascii="Times New Roman" w:hAnsi="Times New Roman" w:cs="Times New Roman"/>
        </w:rPr>
        <w:t>t</w:t>
      </w:r>
      <w:r w:rsidRPr="004128BD">
        <w:rPr>
          <w:rFonts w:ascii="Times New Roman" w:hAnsi="Times New Roman" w:cs="Times New Roman"/>
          <w:lang w:eastAsia="zh-TW"/>
        </w:rPr>
        <w:t xml:space="preserve">ypically shares characteristics with having peacefulness, being in control, having frank conversations, honoring beliefs and values, and having trust </w:t>
      </w:r>
      <w:r w:rsidRPr="004128BD">
        <w:rPr>
          <w:rFonts w:ascii="Times New Roman" w:hAnsi="Times New Roman" w:cs="Times New Roman"/>
          <w:lang w:eastAsia="zh-TW"/>
        </w:rPr>
        <w:fldChar w:fldCharType="begin">
          <w:fldData xml:space="preserve">PEVuZE5vdGU+PENpdGU+PEF1dGhvcj5LZWhsPC9BdXRob3I+PFllYXI+MjAwNjwvWWVhcj48UmVj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</w:fldData>
        </w:fldChar>
      </w:r>
      <w:r w:rsidRPr="004128BD">
        <w:rPr>
          <w:rFonts w:ascii="Times New Roman" w:hAnsi="Times New Roman" w:cs="Times New Roman"/>
          <w:lang w:eastAsia="zh-TW"/>
        </w:rPr>
        <w:instrText xml:space="preserve"> ADDIN EN.CITE </w:instrText>
      </w:r>
      <w:r w:rsidRPr="004128BD">
        <w:rPr>
          <w:rFonts w:ascii="Times New Roman" w:hAnsi="Times New Roman" w:cs="Times New Roman"/>
          <w:lang w:eastAsia="zh-TW"/>
        </w:rPr>
        <w:fldChar w:fldCharType="begin">
          <w:fldData xml:space="preserve">PEVuZE5vdGU+PENpdGU+PEF1dGhvcj5LZWhsPC9BdXRob3I+PFllYXI+MjAwNjwvWWVhcj48UmVj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</w:fldData>
        </w:fldChar>
      </w:r>
      <w:r w:rsidRPr="004128BD">
        <w:rPr>
          <w:rFonts w:ascii="Times New Roman" w:hAnsi="Times New Roman" w:cs="Times New Roman"/>
          <w:lang w:eastAsia="zh-TW"/>
        </w:rPr>
        <w:instrText xml:space="preserve"> ADDIN EN.CITE.DATA </w:instrText>
      </w:r>
      <w:r w:rsidRPr="004128BD">
        <w:rPr>
          <w:rFonts w:ascii="Times New Roman" w:hAnsi="Times New Roman" w:cs="Times New Roman"/>
          <w:lang w:eastAsia="zh-TW"/>
        </w:rPr>
      </w:r>
      <w:r w:rsidRPr="004128BD">
        <w:rPr>
          <w:rFonts w:ascii="Times New Roman" w:hAnsi="Times New Roman" w:cs="Times New Roman"/>
          <w:lang w:eastAsia="zh-TW"/>
        </w:rPr>
        <w:fldChar w:fldCharType="end"/>
      </w:r>
      <w:r w:rsidRPr="004128BD">
        <w:rPr>
          <w:rFonts w:ascii="Times New Roman" w:hAnsi="Times New Roman" w:cs="Times New Roman"/>
          <w:lang w:eastAsia="zh-TW"/>
        </w:rPr>
      </w:r>
      <w:r w:rsidRPr="004128BD">
        <w:rPr>
          <w:rFonts w:ascii="Times New Roman" w:hAnsi="Times New Roman" w:cs="Times New Roman"/>
          <w:lang w:eastAsia="zh-TW"/>
        </w:rPr>
        <w:fldChar w:fldCharType="separate"/>
      </w:r>
      <w:r w:rsidRPr="004128BD">
        <w:rPr>
          <w:rFonts w:ascii="Times New Roman" w:hAnsi="Times New Roman" w:cs="Times New Roman"/>
          <w:noProof/>
          <w:lang w:eastAsia="zh-TW"/>
        </w:rPr>
        <w:t>(e.g., Kehl, 2006; Lang, 2020; Semino et al., 2014)</w:t>
      </w:r>
      <w:r w:rsidRPr="004128BD">
        <w:rPr>
          <w:rFonts w:ascii="Times New Roman" w:hAnsi="Times New Roman" w:cs="Times New Roman"/>
          <w:lang w:eastAsia="zh-TW"/>
        </w:rPr>
        <w:fldChar w:fldCharType="end"/>
      </w:r>
      <w:r w:rsidRPr="004128BD">
        <w:rPr>
          <w:rFonts w:ascii="Times New Roman" w:hAnsi="Times New Roman" w:cs="Times New Roman"/>
          <w:lang w:eastAsia="zh-TW"/>
        </w:rPr>
        <w:t>.</w:t>
      </w:r>
      <w:r>
        <w:rPr>
          <w:rFonts w:ascii="Times New Roman" w:hAnsi="Times New Roman" w:cs="Times New Roman"/>
          <w:b/>
          <w:bCs/>
        </w:rPr>
        <w:t xml:space="preserve"> </w:t>
      </w:r>
      <w:r>
        <w:rPr>
          <w:rFonts w:ascii="Times New Roman" w:hAnsi="Times New Roman" w:cs="Times New Roman"/>
        </w:rPr>
        <w:t>Lastly, the d</w:t>
      </w:r>
      <w:r w:rsidRPr="006D4280">
        <w:rPr>
          <w:rFonts w:ascii="Times New Roman" w:hAnsi="Times New Roman" w:cs="Times New Roman"/>
        </w:rPr>
        <w:t xml:space="preserve">enial of death thesis is about the most fundamental human motivation and argues that all human beings instinctively deny their awareness of death, repressing it from consciousness </w:t>
      </w:r>
      <w:r w:rsidRPr="006D4280">
        <w:rPr>
          <w:rFonts w:ascii="Times New Roman" w:hAnsi="Times New Roman" w:cs="Times New Roman"/>
        </w:rPr>
        <w:fldChar w:fldCharType="begin"/>
      </w:r>
      <w:r>
        <w:rPr>
          <w:rFonts w:ascii="Times New Roman" w:hAnsi="Times New Roman" w:cs="Times New Roman"/>
        </w:rPr>
        <w:instrText xml:space="preserve"> ADDIN EN.CITE &lt;EndNote&gt;&lt;Cite&gt;&lt;Author&gt;Becker&lt;/Author&gt;&lt;Year&gt;1973&lt;/Year&gt;&lt;RecNum&gt;1736&lt;/RecNum&gt;&lt;DisplayText&gt;(Becker, 1973)&lt;/DisplayText&gt;&lt;record&gt;&lt;rec-number&gt;1736&lt;/rec-number&gt;&lt;foreign-keys&gt;&lt;key app="EN" db-id="2pe9e00ros0veneeptspa5vhz0pw2az52v20" timestamp="1655956400" guid="7cf98180-3dbf-4cb1-92ad-4964e0710c7e"&gt;1736&lt;/key&gt;&lt;/foreign-keys&gt;&lt;ref-type name="Book"&gt;6&lt;/ref-type&gt;&lt;contributors&gt;&lt;authors&gt;&lt;author&gt;Becker, Ernest&lt;/author&gt;&lt;/authors&gt;&lt;/contributors&gt;&lt;titles&gt;&lt;title&gt;The denial of death&lt;/title&gt;&lt;/titles&gt;&lt;dates&gt;&lt;year&gt;1973&lt;/year&gt;&lt;/dates&gt;&lt;publisher&gt;Free Press&lt;/publisher&gt;&lt;isbn&gt;0684832402&lt;/isbn&gt;&lt;urls&gt;&lt;/urls&gt;&lt;/record&gt;&lt;/Cite&gt;&lt;/EndNote&gt;</w:instrText>
      </w:r>
      <w:r w:rsidRPr="006D4280">
        <w:rPr>
          <w:rFonts w:ascii="Times New Roman" w:hAnsi="Times New Roman" w:cs="Times New Roman"/>
        </w:rPr>
        <w:fldChar w:fldCharType="separate"/>
      </w:r>
      <w:r>
        <w:rPr>
          <w:rFonts w:ascii="Times New Roman" w:hAnsi="Times New Roman" w:cs="Times New Roman"/>
          <w:noProof/>
        </w:rPr>
        <w:t>(Becker, 1973)</w:t>
      </w:r>
      <w:r w:rsidRPr="006D4280">
        <w:rPr>
          <w:rFonts w:ascii="Times New Roman" w:hAnsi="Times New Roman" w:cs="Times New Roman"/>
        </w:rPr>
        <w:fldChar w:fldCharType="end"/>
      </w:r>
      <w:r w:rsidRPr="006D4280">
        <w:rPr>
          <w:rFonts w:ascii="Times New Roman" w:hAnsi="Times New Roman" w:cs="Times New Roman"/>
        </w:rPr>
        <w:t xml:space="preserve">. The basis of the denial of death thesis </w:t>
      </w:r>
      <w:r>
        <w:rPr>
          <w:rFonts w:ascii="Times New Roman" w:hAnsi="Times New Roman" w:cs="Times New Roman"/>
        </w:rPr>
        <w:t>is</w:t>
      </w:r>
      <w:r w:rsidRPr="006D4280">
        <w:rPr>
          <w:rFonts w:ascii="Times New Roman" w:hAnsi="Times New Roman" w:cs="Times New Roman"/>
        </w:rPr>
        <w:t xml:space="preserve"> two existential tensions in human nature </w:t>
      </w:r>
      <w:r w:rsidRPr="006D4280">
        <w:rPr>
          <w:rFonts w:ascii="Times New Roman" w:hAnsi="Times New Roman" w:cs="Times New Roman"/>
        </w:rPr>
        <w:fldChar w:fldCharType="begin"/>
      </w:r>
      <w:r w:rsidRPr="006D4280">
        <w:rPr>
          <w:rFonts w:ascii="Times New Roman" w:hAnsi="Times New Roman" w:cs="Times New Roman"/>
        </w:rPr>
        <w:instrText xml:space="preserve"> ADDIN EN.CITE &lt;EndNote&gt;&lt;Cite&gt;&lt;Author&gt;Runstrom&lt;/Author&gt;&lt;Year&gt;2015&lt;/Year&gt;&lt;RecNum&gt;1752&lt;/RecNum&gt;&lt;DisplayText&gt;(Runstrom, 2015)&lt;/DisplayText&gt;&lt;record&gt;&lt;rec-number&gt;1752&lt;/rec-number&gt;&lt;foreign-keys&gt;&lt;key app="EN" db-id="2pe9e00ros0veneeptspa5vhz0pw2az52v20" timestamp="1656655514" guid="1ddbbb4b-e416-4752-99c2-f5eb4f864c22"&gt;1752&lt;/key&gt;&lt;/foreign-keys&gt;&lt;ref-type name="Thesis"&gt;32&lt;/ref-type&gt;&lt;contributors&gt;&lt;authors&gt;&lt;author&gt;Runstrom, Madeline R&lt;/author&gt;&lt;/authors&gt;&lt;/contributors&gt;&lt;titles&gt;&lt;title&gt;Death in life: approaches to the contemporary denial of death in theoretical &amp;amp; experimental psychology and continental philosophy&lt;/title&gt;&lt;/titles&gt;&lt;dates&gt;&lt;year&gt;2015&lt;/year&gt;&lt;/dates&gt;&lt;publisher&gt;DePaul University.&lt;/publisher&gt;&lt;work-type&gt;dissertation&lt;/work-type&gt;&lt;urls&gt;&lt;/urls&gt;&lt;/record&gt;&lt;/Cite&gt;&lt;/EndNote&gt;</w:instrText>
      </w:r>
      <w:r w:rsidRPr="006D4280">
        <w:rPr>
          <w:rFonts w:ascii="Times New Roman" w:hAnsi="Times New Roman" w:cs="Times New Roman"/>
        </w:rPr>
        <w:fldChar w:fldCharType="separate"/>
      </w:r>
      <w:r w:rsidRPr="006D4280">
        <w:rPr>
          <w:rFonts w:ascii="Times New Roman" w:hAnsi="Times New Roman" w:cs="Times New Roman"/>
          <w:noProof/>
        </w:rPr>
        <w:t>(Runstrom, 2015)</w:t>
      </w:r>
      <w:r w:rsidRPr="006D4280">
        <w:rPr>
          <w:rFonts w:ascii="Times New Roman" w:hAnsi="Times New Roman" w:cs="Times New Roman"/>
        </w:rPr>
        <w:fldChar w:fldCharType="end"/>
      </w:r>
      <w:r w:rsidRPr="006D4280">
        <w:rPr>
          <w:rFonts w:ascii="Times New Roman" w:hAnsi="Times New Roman" w:cs="Times New Roman"/>
        </w:rPr>
        <w:t xml:space="preserve">. One is that the human’s </w:t>
      </w:r>
      <w:r w:rsidRPr="006D4280">
        <w:rPr>
          <w:rFonts w:ascii="Times New Roman" w:hAnsi="Times New Roman" w:cs="Times New Roman"/>
          <w:i/>
          <w:iCs/>
        </w:rPr>
        <w:t>causa-sui</w:t>
      </w:r>
      <w:r w:rsidRPr="006D4280">
        <w:rPr>
          <w:rFonts w:ascii="Times New Roman" w:hAnsi="Times New Roman" w:cs="Times New Roman"/>
        </w:rPr>
        <w:t xml:space="preserve"> (</w:t>
      </w:r>
      <w:proofErr w:type="gramStart"/>
      <w:r w:rsidRPr="006D4280">
        <w:rPr>
          <w:rFonts w:ascii="Times New Roman" w:hAnsi="Times New Roman" w:cs="Times New Roman"/>
        </w:rPr>
        <w:t>cause</w:t>
      </w:r>
      <w:proofErr w:type="gramEnd"/>
      <w:r w:rsidRPr="006D4280">
        <w:rPr>
          <w:rFonts w:ascii="Times New Roman" w:hAnsi="Times New Roman" w:cs="Times New Roman"/>
        </w:rPr>
        <w:t xml:space="preserve"> of himself) aspiration is teased by its mortality. The other is the human’s </w:t>
      </w:r>
      <w:r w:rsidRPr="006D4280">
        <w:rPr>
          <w:rFonts w:ascii="Times New Roman" w:hAnsi="Times New Roman" w:cs="Times New Roman"/>
          <w:i/>
          <w:iCs/>
        </w:rPr>
        <w:t xml:space="preserve">desire to yield </w:t>
      </w:r>
      <w:r w:rsidRPr="006D4280">
        <w:rPr>
          <w:rFonts w:ascii="Times New Roman" w:hAnsi="Times New Roman" w:cs="Times New Roman"/>
        </w:rPr>
        <w:t>(abandonment of the causa-sui project) because of fear of death and life.</w:t>
      </w:r>
      <w:r w:rsidRPr="00C03997">
        <w:rPr>
          <w:rFonts w:ascii="Times New Roman" w:hAnsi="Times New Roman" w:cs="Times New Roman"/>
        </w:rPr>
        <w:t xml:space="preserve"> </w:t>
      </w:r>
      <w:r>
        <w:rPr>
          <w:rFonts w:ascii="Times New Roman" w:hAnsi="Times New Roman" w:cs="Times New Roman"/>
        </w:rPr>
        <w:t>S</w:t>
      </w:r>
      <w:r w:rsidRPr="006D4280">
        <w:rPr>
          <w:rFonts w:ascii="Times New Roman" w:hAnsi="Times New Roman" w:cs="Times New Roman"/>
        </w:rPr>
        <w:t>cholars scrutinize the nature of denial</w:t>
      </w:r>
      <w:r w:rsidRPr="00C03997">
        <w:rPr>
          <w:rFonts w:ascii="Times New Roman" w:hAnsi="Times New Roman" w:cs="Times New Roman"/>
        </w:rPr>
        <w:t xml:space="preserve"> </w:t>
      </w:r>
      <w:r w:rsidRPr="006D4280">
        <w:rPr>
          <w:rFonts w:ascii="Times New Roman" w:hAnsi="Times New Roman" w:cs="Times New Roman"/>
        </w:rPr>
        <w:fldChar w:fldCharType="begin"/>
      </w:r>
      <w:r>
        <w:rPr>
          <w:rFonts w:ascii="Times New Roman" w:hAnsi="Times New Roman" w:cs="Times New Roman"/>
        </w:rPr>
        <w:instrText xml:space="preserve"> ADDIN EN.CITE &lt;EndNote&gt;&lt;Cite&gt;&lt;Author&gt;Kauffman&lt;/Author&gt;&lt;Year&gt;2001&lt;/Year&gt;&lt;RecNum&gt;1749&lt;/RecNum&gt;&lt;DisplayText&gt;(Kauffman, 2001)&lt;/DisplayText&gt;&lt;record&gt;&lt;rec-number&gt;1749&lt;/rec-number&gt;&lt;foreign-keys&gt;&lt;key app="EN" db-id="2pe9e00ros0veneeptspa5vhz0pw2az52v20" timestamp="1656573236" guid="830bf94c-3578-4efb-99cd-70bea9c33f01"&gt;1749&lt;/key&gt;&lt;/foreign-keys&gt;&lt;ref-type name="Book Section"&gt;5&lt;/ref-type&gt;&lt;contributors&gt;&lt;authors&gt;&lt;author&gt;Kauffman, Jeffrey&lt;/author&gt;&lt;/authors&gt;&lt;secondary-authors&gt;&lt;author&gt;Howarth, Glennys&lt;/author&gt;&lt;author&gt;Leaman, Oliver&lt;/author&gt;&lt;/secondary-authors&gt;&lt;/contributors&gt;&lt;titles&gt;&lt;title&gt;Denial&lt;/title&gt;&lt;secondary-title&gt;Encyclopedia of death and dying / edited by Glennys Howarth and Oliver Leaman&lt;/secondary-title&gt;&lt;/titles&gt;&lt;keywords&gt;&lt;keyword&gt;Thanatology -- Encyclopedias&lt;/keyword&gt;&lt;/keywords&gt;&lt;dates&gt;&lt;year&gt;2001&lt;/year&gt;&lt;/dates&gt;&lt;pub-location&gt;London ; New York&lt;/pub-location&gt;&lt;publisher&gt;London ; New York : Routledge&lt;/publisher&gt;&lt;urls&gt;&lt;/urls&gt;&lt;/record&gt;&lt;/Cite&gt;&lt;/EndNote&gt;</w:instrText>
      </w:r>
      <w:r w:rsidRPr="006D4280">
        <w:rPr>
          <w:rFonts w:ascii="Times New Roman" w:hAnsi="Times New Roman" w:cs="Times New Roman"/>
        </w:rPr>
        <w:fldChar w:fldCharType="separate"/>
      </w:r>
      <w:r>
        <w:rPr>
          <w:rFonts w:ascii="Times New Roman" w:hAnsi="Times New Roman" w:cs="Times New Roman"/>
          <w:noProof/>
        </w:rPr>
        <w:t>(Kauffman, 2001)</w:t>
      </w:r>
      <w:r w:rsidRPr="006D4280">
        <w:rPr>
          <w:rFonts w:ascii="Times New Roman" w:hAnsi="Times New Roman" w:cs="Times New Roman"/>
        </w:rPr>
        <w:fldChar w:fldCharType="end"/>
      </w:r>
      <w:r>
        <w:rPr>
          <w:rFonts w:ascii="Times New Roman" w:hAnsi="Times New Roman" w:cs="Times New Roman"/>
        </w:rPr>
        <w:t xml:space="preserve"> as a </w:t>
      </w:r>
      <w:r w:rsidRPr="006D4280">
        <w:rPr>
          <w:rFonts w:ascii="Times New Roman" w:hAnsi="Times New Roman" w:cs="Times New Roman"/>
          <w:lang w:eastAsia="zh-TW"/>
        </w:rPr>
        <w:t>defensive behavior or psychological mechanism</w:t>
      </w:r>
      <w:r w:rsidRPr="006D4280">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lang w:eastAsia="zh-TW"/>
        </w:rPr>
        <w:t>M</w:t>
      </w:r>
      <w:r w:rsidRPr="006D4280">
        <w:rPr>
          <w:rFonts w:ascii="Times New Roman" w:hAnsi="Times New Roman" w:cs="Times New Roman"/>
          <w:lang w:eastAsia="zh-TW"/>
        </w:rPr>
        <w:t xml:space="preserve">any critiques </w:t>
      </w:r>
      <w:r>
        <w:rPr>
          <w:rFonts w:ascii="Times New Roman" w:hAnsi="Times New Roman" w:cs="Times New Roman"/>
          <w:lang w:eastAsia="zh-TW"/>
        </w:rPr>
        <w:t xml:space="preserve">of the thesis </w:t>
      </w:r>
      <w:r w:rsidRPr="006D4280">
        <w:rPr>
          <w:rFonts w:ascii="Times New Roman" w:hAnsi="Times New Roman" w:cs="Times New Roman"/>
          <w:lang w:eastAsia="zh-TW"/>
        </w:rPr>
        <w:t xml:space="preserve">are proposed primarily because of postmodern philosophy’s skepticism, subjectivism, and relativism </w:t>
      </w:r>
      <w:r w:rsidRPr="006D4280">
        <w:rPr>
          <w:rFonts w:ascii="Times New Roman" w:hAnsi="Times New Roman" w:cs="Times New Roman"/>
          <w:lang w:eastAsia="zh-TW"/>
        </w:rPr>
        <w:fldChar w:fldCharType="begin">
          <w:fldData xml:space="preserve">PEVuZE5vdGU+PENpdGU+PEF1dGhvcj5NZWxsb3I8L0F1dGhvcj48WWVhcj4xOTkyPC9ZZWFyPjxS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</w:fldData>
        </w:fldChar>
      </w:r>
      <w:r>
        <w:rPr>
          <w:rFonts w:ascii="Times New Roman" w:hAnsi="Times New Roman" w:cs="Times New Roman"/>
          <w:lang w:eastAsia="zh-TW"/>
        </w:rPr>
        <w:instrText xml:space="preserve"> ADDIN EN.CITE </w:instrText>
      </w:r>
      <w:r>
        <w:rPr>
          <w:rFonts w:ascii="Times New Roman" w:hAnsi="Times New Roman" w:cs="Times New Roman"/>
          <w:lang w:eastAsia="zh-TW"/>
        </w:rPr>
        <w:fldChar w:fldCharType="begin">
          <w:fldData xml:space="preserve">PEVuZE5vdGU+PENpdGU+PEF1dGhvcj5NZWxsb3I8L0F1dGhvcj48WWVhcj4xOTkyPC9ZZWFyPjxS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</w:fldData>
        </w:fldChar>
      </w:r>
      <w:r>
        <w:rPr>
          <w:rFonts w:ascii="Times New Roman" w:hAnsi="Times New Roman" w:cs="Times New Roman"/>
          <w:lang w:eastAsia="zh-TW"/>
        </w:rPr>
        <w:instrText xml:space="preserve"> ADDIN EN.CITE.DATA </w:instrText>
      </w:r>
      <w:r>
        <w:rPr>
          <w:rFonts w:ascii="Times New Roman" w:hAnsi="Times New Roman" w:cs="Times New Roman"/>
          <w:lang w:eastAsia="zh-TW"/>
        </w:rPr>
      </w:r>
      <w:r>
        <w:rPr>
          <w:rFonts w:ascii="Times New Roman" w:hAnsi="Times New Roman" w:cs="Times New Roman"/>
          <w:lang w:eastAsia="zh-TW"/>
        </w:rPr>
        <w:fldChar w:fldCharType="end"/>
      </w:r>
      <w:r w:rsidRPr="006D4280">
        <w:rPr>
          <w:rFonts w:ascii="Times New Roman" w:hAnsi="Times New Roman" w:cs="Times New Roman"/>
          <w:lang w:eastAsia="zh-TW"/>
        </w:rPr>
      </w:r>
      <w:r w:rsidRPr="006D4280">
        <w:rPr>
          <w:rFonts w:ascii="Times New Roman" w:hAnsi="Times New Roman" w:cs="Times New Roman"/>
          <w:lang w:eastAsia="zh-TW"/>
        </w:rPr>
        <w:fldChar w:fldCharType="separate"/>
      </w:r>
      <w:r>
        <w:rPr>
          <w:rFonts w:ascii="Times New Roman" w:hAnsi="Times New Roman" w:cs="Times New Roman"/>
          <w:noProof/>
          <w:lang w:eastAsia="zh-TW"/>
        </w:rPr>
        <w:t>(e.g., Mellor, 1992; Simon et al., 1993)</w:t>
      </w:r>
      <w:r w:rsidRPr="006D4280">
        <w:rPr>
          <w:rFonts w:ascii="Times New Roman" w:hAnsi="Times New Roman" w:cs="Times New Roman"/>
          <w:lang w:eastAsia="zh-TW"/>
        </w:rPr>
        <w:fldChar w:fldCharType="end"/>
      </w:r>
      <w:r w:rsidRPr="006D4280">
        <w:rPr>
          <w:rFonts w:ascii="Times New Roman" w:hAnsi="Times New Roman" w:cs="Times New Roman"/>
          <w:lang w:eastAsia="zh-TW"/>
        </w:rPr>
        <w:t>.</w:t>
      </w:r>
      <w:r>
        <w:rPr>
          <w:rFonts w:ascii="Times New Roman" w:hAnsi="Times New Roman" w:cs="Times New Roman"/>
        </w:rPr>
        <w:t xml:space="preserve"> </w:t>
      </w:r>
      <w:r>
        <w:rPr>
          <w:rFonts w:ascii="Times New Roman" w:hAnsi="Times New Roman" w:cs="Times New Roman"/>
          <w:lang w:eastAsia="zh-TW"/>
        </w:rPr>
        <w:t>T</w:t>
      </w:r>
      <w:r w:rsidRPr="006D4280">
        <w:rPr>
          <w:rFonts w:ascii="Times New Roman" w:hAnsi="Times New Roman" w:cs="Times New Roman"/>
          <w:lang w:eastAsia="zh-TW"/>
        </w:rPr>
        <w:t>he denial of death thesis is primarily persistent in contemporary American society</w:t>
      </w:r>
      <w:r>
        <w:rPr>
          <w:rFonts w:ascii="Times New Roman" w:hAnsi="Times New Roman" w:cs="Times New Roman"/>
          <w:lang w:eastAsia="zh-TW"/>
        </w:rPr>
        <w:t>, as well as many others</w:t>
      </w:r>
      <w:r w:rsidRPr="006D4280">
        <w:rPr>
          <w:rFonts w:ascii="Times New Roman" w:hAnsi="Times New Roman" w:cs="Times New Roman"/>
          <w:lang w:eastAsia="zh-TW"/>
        </w:rPr>
        <w:t xml:space="preserve"> </w:t>
      </w:r>
      <w:r w:rsidRPr="006D4280">
        <w:rPr>
          <w:rFonts w:ascii="Times New Roman" w:hAnsi="Times New Roman" w:cs="Times New Roman"/>
          <w:lang w:eastAsia="zh-TW"/>
        </w:rPr>
        <w:fldChar w:fldCharType="begin"/>
      </w:r>
      <w:r>
        <w:rPr>
          <w:rFonts w:ascii="Times New Roman" w:hAnsi="Times New Roman" w:cs="Times New Roman"/>
          <w:lang w:eastAsia="zh-TW"/>
        </w:rPr>
        <w:instrText xml:space="preserve"> ADDIN EN.CITE &lt;EndNote&gt;&lt;Cite&gt;&lt;Author&gt;Tradii&lt;/Author&gt;&lt;Year&gt;2019&lt;/Year&gt;&lt;RecNum&gt;1746&lt;/RecNum&gt;&lt;Prefix&gt;e.g.`, &lt;/Prefix&gt;&lt;DisplayText&gt;(e.g., Tradii &amp;amp; Robert, 2019)&lt;/DisplayText&gt;&lt;record&gt;&lt;rec-number&gt;1746&lt;/rec-number&gt;&lt;foreign-keys&gt;&lt;key app="EN" db-id="2pe9e00ros0veneeptspa5vhz0pw2az52v20" timestamp="1656563224" guid="ad0509a0-f2dc-48bf-9756-317374717932"&gt;1746&lt;/key&gt;&lt;/foreign-keys&gt;&lt;ref-type name="Journal Article"&gt;17&lt;/ref-type&gt;&lt;contributors&gt;&lt;authors&gt;&lt;author&gt;Tradii, Laura&lt;/author&gt;&lt;author&gt;Robert, Martin&lt;/author&gt;&lt;/authors&gt;&lt;/contributors&gt;&lt;titles&gt;&lt;title&gt;Do we deny death? II. Critiques of the death-denial thesis&lt;/title&gt;&lt;secondary-title&gt;Mortality&lt;/secondary-title&gt;&lt;/titles&gt;&lt;periodical&gt;&lt;full-title&gt;Mortality&lt;/full-title&gt;&lt;/periodical&gt;&lt;pages&gt;377-388&lt;/pages&gt;&lt;volume&gt;24&lt;/volume&gt;&lt;number&gt;4&lt;/number&gt;&lt;dates&gt;&lt;year&gt;2019&lt;/year&gt;&lt;/dates&gt;&lt;isbn&gt;1357-6275&lt;/isbn&gt;&lt;urls&gt;&lt;/urls&gt;&lt;electronic-resource-num&gt;10.1080/13576275.2017.1415319&lt;/electronic-resource-num&gt;&lt;/record&gt;&lt;/Cite&gt;&lt;/EndNote&gt;</w:instrText>
      </w:r>
      <w:r w:rsidRPr="006D4280">
        <w:rPr>
          <w:rFonts w:ascii="Times New Roman" w:hAnsi="Times New Roman" w:cs="Times New Roman"/>
          <w:lang w:eastAsia="zh-TW"/>
        </w:rPr>
        <w:fldChar w:fldCharType="separate"/>
      </w:r>
      <w:r w:rsidRPr="006D4280">
        <w:rPr>
          <w:rFonts w:ascii="Times New Roman" w:hAnsi="Times New Roman" w:cs="Times New Roman"/>
          <w:noProof/>
          <w:lang w:eastAsia="zh-TW"/>
        </w:rPr>
        <w:t>(e.g., Tradii &amp; Robert, 2019)</w:t>
      </w:r>
      <w:r w:rsidRPr="006D4280">
        <w:rPr>
          <w:rFonts w:ascii="Times New Roman" w:hAnsi="Times New Roman" w:cs="Times New Roman"/>
          <w:lang w:eastAsia="zh-TW"/>
        </w:rPr>
        <w:fldChar w:fldCharType="end"/>
      </w:r>
      <w:r w:rsidRPr="006D4280">
        <w:rPr>
          <w:rFonts w:ascii="Times New Roman" w:hAnsi="Times New Roman" w:cs="Times New Roman"/>
          <w:lang w:eastAsia="zh-TW"/>
        </w:rPr>
        <w:t>.</w:t>
      </w:r>
    </w:p>
    <w:p w14:paraId="213D86A8" w14:textId="77777777" w:rsidR="00256B3D" w:rsidRDefault="00256B3D" w:rsidP="00256B3D">
      <w:pPr>
        <w:spacing w:line="480" w:lineRule="auto"/>
        <w:ind w:firstLine="720"/>
        <w:rPr>
          <w:rFonts w:ascii="Times New Roman" w:hAnsi="Times New Roman" w:cs="Times New Roman"/>
          <w:lang w:eastAsia="zh-TW"/>
        </w:rPr>
      </w:pPr>
      <w:r w:rsidRPr="004128BD">
        <w:rPr>
          <w:rFonts w:ascii="Times New Roman" w:hAnsi="Times New Roman" w:cs="Times New Roman"/>
          <w:b/>
          <w:bCs/>
        </w:rPr>
        <w:t>Funeral</w:t>
      </w:r>
      <w:r w:rsidRPr="004128BD">
        <w:rPr>
          <w:rFonts w:ascii="Times New Roman" w:hAnsi="Times New Roman" w:cs="Times New Roman"/>
        </w:rPr>
        <w:t xml:space="preserve">. A funeral is a rite commonly employed by humans to cope with and adapt to death </w:t>
      </w:r>
      <w:r w:rsidRPr="004128BD">
        <w:rPr>
          <w:rFonts w:ascii="Times New Roman" w:hAnsi="Times New Roman" w:cs="Times New Roman"/>
        </w:rPr>
        <w:fldChar w:fldCharType="begin"/>
      </w:r>
      <w:r w:rsidRPr="004128BD">
        <w:rPr>
          <w:rFonts w:ascii="Times New Roman" w:hAnsi="Times New Roman" w:cs="Times New Roman"/>
        </w:rPr>
        <w:instrText xml:space="preserve"> ADDIN EN.CITE &lt;EndNote&gt;&lt;Cite&gt;&lt;Author&gt;Howarth&lt;/Author&gt;&lt;Year&gt;1996&lt;/Year&gt;&lt;RecNum&gt;2012&lt;/RecNum&gt;&lt;DisplayText&gt;(Corr &amp;amp; Doka, 2001; Howarth, 1996)&lt;/DisplayText&gt;&lt;record&gt;&lt;rec-number&gt;2012&lt;/rec-number&gt;&lt;foreign-keys&gt;&lt;key app="EN" db-id="2pe9e00ros0veneeptspa5vhz0pw2az52v20" timestamp="1694985725" guid="93a47a5b-6edc-4f70-90e2-69de2f28e4b7"&gt;2012&lt;/key&gt;&lt;/foreign-keys&gt;&lt;ref-type name="Book"&gt;6&lt;/ref-type&gt;&lt;contributors&gt;&lt;authors&gt;&lt;author&gt;Howarth, Glennys&lt;/author&gt;&lt;/authors&gt;&lt;/contributors&gt;&lt;titles&gt;&lt;title&gt;Last rites : the work of the modern funeral director&lt;/title&gt;&lt;/titles&gt;&lt;keywords&gt;&lt;keyword&gt;Undertakers and undertaking&lt;/keyword&gt;&lt;keyword&gt;Undertakers and undertaking -- Social aspects&lt;/keyword&gt;&lt;keyword&gt;Funeral rites and ceremonies&lt;/keyword&gt;&lt;keyword&gt;Death -- Social aspects&lt;/keyword&gt;&lt;/keywords&gt;&lt;dates&gt;&lt;year&gt;1996&lt;/year&gt;&lt;/dates&gt;&lt;pub-location&gt;Amityville, N.Y.&lt;/pub-location&gt;&lt;publisher&gt;Baywood Pub. Co.&lt;/publisher&gt;&lt;urls&gt;&lt;/urls&gt;&lt;/record&gt;&lt;/Cite&gt;&lt;Cite&gt;&lt;Author&gt;Corr&lt;/Author&gt;&lt;Year&gt;2001&lt;/Year&gt;&lt;RecNum&gt;1647&lt;/RecNum&gt;&lt;record&gt;&lt;rec-number&gt;1647&lt;/rec-number&gt;&lt;foreign-keys&gt;&lt;key app="EN" db-id="2pe9e00ros0veneeptspa5vhz0pw2az52v20" timestamp="1651636442" guid="e593befc-cc14-4ca9-b641-8c1fe0926fce"&gt;1647&lt;/key&gt;&lt;/foreign-keys&gt;&lt;ref-type name="Journal Article"&gt;17&lt;/ref-type&gt;&lt;contributors&gt;&lt;authors&gt;&lt;author&gt;Corr, Charles A&lt;/author&gt;&lt;author&gt;Doka, Kenneth J&lt;/author&gt;&lt;/authors&gt;&lt;/contributors&gt;&lt;titles&gt;&lt;title&gt;Master concepts in the field of death, dying, and bereavement: Coping versus adaptive strategies&lt;/title&gt;&lt;secondary-title&gt;OMEGA-Journal of Death and Dying&lt;/secondary-title&gt;&lt;/titles&gt;&lt;periodical&gt;&lt;full-title&gt;OMEGA-Journal of Death and Dying&lt;/full-title&gt;&lt;/periodical&gt;&lt;pages&gt;183-199&lt;/pages&gt;&lt;volume&gt;43&lt;/volume&gt;&lt;number&gt;3&lt;/number&gt;&lt;dates&gt;&lt;year&gt;2001&lt;/year&gt;&lt;/dates&gt;&lt;isbn&gt;0030-2228&lt;/isbn&gt;&lt;urls&gt;&lt;/urls&gt;&lt;electronic-resource-num&gt;10.2190/2T3W-MEL5-L4WL-VGG&lt;/electronic-resource-num&gt;&lt;/record&gt;&lt;/Cite&gt;&lt;/EndNote&gt;</w:instrText>
      </w:r>
      <w:r w:rsidRPr="004128BD">
        <w:rPr>
          <w:rFonts w:ascii="Times New Roman" w:hAnsi="Times New Roman" w:cs="Times New Roman"/>
        </w:rPr>
        <w:fldChar w:fldCharType="separate"/>
      </w:r>
      <w:r w:rsidRPr="004128BD">
        <w:rPr>
          <w:rFonts w:ascii="Times New Roman" w:hAnsi="Times New Roman" w:cs="Times New Roman"/>
          <w:noProof/>
        </w:rPr>
        <w:t>(Corr &amp; Doka, 2001; Howarth, 1996)</w:t>
      </w:r>
      <w:r w:rsidRPr="004128BD">
        <w:rPr>
          <w:rFonts w:ascii="Times New Roman" w:hAnsi="Times New Roman" w:cs="Times New Roman"/>
        </w:rPr>
        <w:fldChar w:fldCharType="end"/>
      </w:r>
      <w:r w:rsidRPr="004128BD">
        <w:rPr>
          <w:rFonts w:ascii="Times New Roman" w:hAnsi="Times New Roman" w:cs="Times New Roman"/>
        </w:rPr>
        <w:t xml:space="preserve">. In other words, a funeral does not prevent or delay the coming of death; it occurs after the confirmation of death and encourages the bereaved to cope with and adapt to death. Funerals function to “catalyze acute grief responses, prescribe structured behaviors in a time of flux, and encourage recognition of the loss and development of </w:t>
      </w:r>
      <w:r w:rsidRPr="004128BD">
        <w:rPr>
          <w:rFonts w:ascii="Times New Roman" w:hAnsi="Times New Roman" w:cs="Times New Roman"/>
        </w:rPr>
        <w:lastRenderedPageBreak/>
        <w:t xml:space="preserve">new relationships with both the deceased and the community” </w:t>
      </w:r>
      <w:r w:rsidRPr="004128BD">
        <w:rPr>
          <w:rFonts w:ascii="Times New Roman" w:hAnsi="Times New Roman" w:cs="Times New Roman"/>
        </w:rPr>
        <w:fldChar w:fldCharType="begin"/>
      </w:r>
      <w:r w:rsidRPr="004128BD">
        <w:rPr>
          <w:rFonts w:ascii="Times New Roman" w:hAnsi="Times New Roman" w:cs="Times New Roman"/>
        </w:rPr>
        <w:instrText xml:space="preserve"> ADDIN EN.CITE &lt;EndNote&gt;&lt;Cite&gt;&lt;Author&gt;Rando&lt;/Author&gt;&lt;Year&gt;1984&lt;/Year&gt;&lt;RecNum&gt;1193&lt;/RecNum&gt;&lt;Pages&gt;190&lt;/Pages&gt;&lt;DisplayText&gt;(Rando, 1984, p. 190)&lt;/DisplayText&gt;&lt;record&gt;&lt;rec-number&gt;1193&lt;/rec-number&gt;&lt;foreign-keys&gt;&lt;key app="EN" db-id="2pe9e00ros0veneeptspa5vhz0pw2az52v20" timestamp="1609970616" guid="af491eb1-31eb-4160-a1dc-f6c14937816b"&gt;1193&lt;/key&gt;&lt;/foreign-keys&gt;&lt;ref-type name="Book"&gt;6&lt;/ref-type&gt;&lt;contributors&gt;&lt;authors&gt;&lt;author&gt;Rando, Therese A.&lt;/author&gt;&lt;/authors&gt;&lt;/contributors&gt;&lt;titles&gt;&lt;title&gt;Grief, dying, and death : clinical interventions for caregivers&lt;/title&gt;&lt;/titles&gt;&lt;dates&gt;&lt;year&gt;1984&lt;/year&gt;&lt;/dates&gt;&lt;pub-location&gt;Champaign, Ill.&lt;/pub-location&gt;&lt;publisher&gt;Research Press Co.&lt;/publisher&gt;&lt;isbn&gt;0878222324 9780878222322&lt;/isbn&gt;&lt;urls&gt;&lt;/urls&gt;&lt;remote-database-name&gt;/z-wcorg/&lt;/remote-database-name&gt;&lt;remote-database-provider&gt;http://worldcat.org&lt;/remote-database-provider&gt;&lt;language&gt;English&lt;/language&gt;&lt;/record&gt;&lt;/Cite&gt;&lt;/EndNote&gt;</w:instrText>
      </w:r>
      <w:r w:rsidRPr="004128BD">
        <w:rPr>
          <w:rFonts w:ascii="Times New Roman" w:hAnsi="Times New Roman" w:cs="Times New Roman"/>
        </w:rPr>
        <w:fldChar w:fldCharType="separate"/>
      </w:r>
      <w:r w:rsidRPr="004128BD">
        <w:rPr>
          <w:rFonts w:ascii="Times New Roman" w:hAnsi="Times New Roman" w:cs="Times New Roman"/>
          <w:noProof/>
        </w:rPr>
        <w:t>(Rando, 1984, p. 190)</w:t>
      </w:r>
      <w:r w:rsidRPr="004128BD">
        <w:rPr>
          <w:rFonts w:ascii="Times New Roman" w:hAnsi="Times New Roman" w:cs="Times New Roman"/>
        </w:rPr>
        <w:fldChar w:fldCharType="end"/>
      </w:r>
      <w:r w:rsidRPr="004128BD">
        <w:rPr>
          <w:rFonts w:ascii="Times New Roman" w:hAnsi="Times New Roman" w:cs="Times New Roman"/>
        </w:rPr>
        <w:t xml:space="preserve">. </w:t>
      </w:r>
      <w:r>
        <w:rPr>
          <w:rFonts w:ascii="Times New Roman" w:hAnsi="Times New Roman" w:cs="Times New Roman"/>
        </w:rPr>
        <w:t xml:space="preserve">The nature of funerals includes the elements of </w:t>
      </w:r>
      <w:r w:rsidRPr="00E55660">
        <w:rPr>
          <w:rFonts w:ascii="Times New Roman" w:hAnsi="Times New Roman" w:cs="Times New Roman"/>
        </w:rPr>
        <w:t>disposal of a corpse, marking of a death, affirmation of the deceased</w:t>
      </w:r>
      <w:r>
        <w:rPr>
          <w:rFonts w:ascii="Times New Roman" w:hAnsi="Times New Roman" w:cs="Times New Roman"/>
        </w:rPr>
        <w:t>’</w:t>
      </w:r>
      <w:r w:rsidRPr="00E55660">
        <w:rPr>
          <w:rFonts w:ascii="Times New Roman" w:hAnsi="Times New Roman" w:cs="Times New Roman"/>
        </w:rPr>
        <w:t>s life, commendation of the deceased, proclaiming faith, grieving, and cultural mirroring</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&lt;EndNote&gt;&lt;Cite&gt;&lt;Author&gt;James&lt;/Author&gt;&lt;Year&gt;2004&lt;/Year&gt;&lt;RecNum&gt;1592&lt;/RecNum&gt;&lt;DisplayText&gt;(James, 2004)&lt;/DisplayText&gt;&lt;record&gt;&lt;rec-number&gt;1592&lt;/rec-number&gt;&lt;foreign-keys&gt;&lt;key app="EN" db-id="2pe9e00ros0veneeptspa5vhz0pw2az52v20" timestamp="1647622141" guid="99a764be-48ea-4918-95ff-67d40ba29f4f"&gt;1592&lt;/key&gt;&lt;/foreign-keys&gt;&lt;ref-type name="Journal Article"&gt;17&lt;/ref-type&gt;&lt;contributors&gt;&lt;authors&gt;&lt;author&gt;James, J&lt;/author&gt;&lt;/authors&gt;&lt;/contributors&gt;&lt;titles&gt;&lt;title&gt;What is a funeral for?&lt;/title&gt;&lt;secondary-title&gt;Rural Theology&lt;/secondary-title&gt;&lt;/titles&gt;&lt;periodical&gt;&lt;full-title&gt;Rural Theology&lt;/full-title&gt;&lt;/periodical&gt;&lt;pages&gt;15-27&lt;/pages&gt;&lt;volume&gt;2&lt;/volume&gt;&lt;number&gt;1&lt;/number&gt;&lt;dates&gt;&lt;year&gt;2004&lt;/year&gt;&lt;/dates&gt;&lt;isbn&gt;1470-4994&lt;/isbn&gt;&lt;urls&gt;&lt;/urls&gt;&lt;electronic-resource-num&gt;10.1179/rut.2.1.16mwl6nj0up5kp36&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(James, 2004)</w:t>
      </w:r>
      <w:r>
        <w:rPr>
          <w:rFonts w:ascii="Times New Roman" w:hAnsi="Times New Roman" w:cs="Times New Roman"/>
        </w:rPr>
        <w:fldChar w:fldCharType="end"/>
      </w:r>
      <w:r>
        <w:rPr>
          <w:rFonts w:ascii="Times New Roman" w:hAnsi="Times New Roman" w:cs="Times New Roman"/>
        </w:rPr>
        <w:t xml:space="preserve">. </w:t>
      </w:r>
      <w:r w:rsidRPr="004128BD">
        <w:rPr>
          <w:rFonts w:ascii="Times New Roman" w:hAnsi="Times New Roman" w:cs="Times New Roman"/>
        </w:rPr>
        <w:t xml:space="preserve">In short, funerals, although honoring decedents, are primarily held for the living to facilitate the bereavement process and adapt to life change. Further, two psychological mechanisms explain how funerals help people overcome difficult times: the return-to-baseline model and the meaning-making model </w:t>
      </w:r>
      <w:r w:rsidRPr="004128BD">
        <w:rPr>
          <w:rFonts w:ascii="Times New Roman" w:hAnsi="Times New Roman" w:cs="Times New Roman"/>
        </w:rPr>
        <w:fldChar w:fldCharType="begin"/>
      </w:r>
      <w:r w:rsidRPr="004128BD">
        <w:rPr>
          <w:rFonts w:ascii="Times New Roman" w:hAnsi="Times New Roman" w:cs="Times New Roman"/>
        </w:rPr>
        <w:instrText xml:space="preserve"> ADDIN EN.CITE &lt;EndNote&gt;&lt;Cite&gt;&lt;Author&gt;O’Connor&lt;/Author&gt;&lt;Year&gt;2003&lt;/Year&gt;&lt;RecNum&gt;1641&lt;/RecNum&gt;&lt;DisplayText&gt;(O’Connor, 2003)&lt;/DisplayText&gt;&lt;record&gt;&lt;rec-number&gt;1641&lt;/rec-number&gt;&lt;foreign-keys&gt;&lt;key app="EN" db-id="2pe9e00ros0veneeptspa5vhz0pw2az52v20" timestamp="1651590944" guid="fbbe5ded-ceba-48ff-a5bb-0edb2bfce920"&gt;1641&lt;/key&gt;&lt;/foreign-keys&gt;&lt;ref-type name="Journal Article"&gt;17&lt;/ref-type&gt;&lt;contributors&gt;&lt;authors&gt;&lt;author&gt;O’Connor, Mary-Frances&lt;/author&gt;&lt;/authors&gt;&lt;/contributors&gt;&lt;titles&gt;&lt;title&gt;Making meaning of life events: Theory, evidence, and research directions for an alternative model&lt;/title&gt;&lt;secondary-title&gt;OMEGA-journal of death and dying&lt;/secondary-title&gt;&lt;/titles&gt;&lt;periodical&gt;&lt;full-title&gt;OMEGA-Journal of Death and Dying&lt;/full-title&gt;&lt;/periodical&gt;&lt;pages&gt;51-75&lt;/pages&gt;&lt;volume&gt;46&lt;/volume&gt;&lt;number&gt;1&lt;/number&gt;&lt;dates&gt;&lt;year&gt;2003&lt;/year&gt;&lt;/dates&gt;&lt;isbn&gt;0030-2228&lt;/isbn&gt;&lt;urls&gt;&lt;/urls&gt;&lt;electronic-resource-num&gt;10.2190/0CKD-PVQ0-T260-NTXU&lt;/electronic-resource-num&gt;&lt;/record&gt;&lt;/Cite&gt;&lt;/EndNote&gt;</w:instrText>
      </w:r>
      <w:r w:rsidRPr="004128BD">
        <w:rPr>
          <w:rFonts w:ascii="Times New Roman" w:hAnsi="Times New Roman" w:cs="Times New Roman"/>
        </w:rPr>
        <w:fldChar w:fldCharType="separate"/>
      </w:r>
      <w:r w:rsidRPr="004128BD">
        <w:rPr>
          <w:rFonts w:ascii="Times New Roman" w:hAnsi="Times New Roman" w:cs="Times New Roman"/>
          <w:noProof/>
        </w:rPr>
        <w:t>(O’Connor, 2003)</w:t>
      </w:r>
      <w:r w:rsidRPr="004128BD">
        <w:rPr>
          <w:rFonts w:ascii="Times New Roman" w:hAnsi="Times New Roman" w:cs="Times New Roman"/>
        </w:rPr>
        <w:fldChar w:fldCharType="end"/>
      </w:r>
      <w:r w:rsidRPr="004128BD">
        <w:rPr>
          <w:rFonts w:ascii="Times New Roman" w:hAnsi="Times New Roman" w:cs="Times New Roman"/>
        </w:rPr>
        <w:t xml:space="preserve">. The </w:t>
      </w:r>
      <w:r w:rsidRPr="004128BD">
        <w:rPr>
          <w:rFonts w:ascii="Times New Roman" w:hAnsi="Times New Roman" w:cs="Times New Roman"/>
          <w:i/>
          <w:iCs/>
        </w:rPr>
        <w:t>return-to-baseline</w:t>
      </w:r>
      <w:r w:rsidRPr="004128BD">
        <w:rPr>
          <w:rFonts w:ascii="Times New Roman" w:hAnsi="Times New Roman" w:cs="Times New Roman"/>
        </w:rPr>
        <w:t xml:space="preserve"> model explains that mental homeostasis will return through time and the expression of negative affect. T</w:t>
      </w:r>
      <w:r w:rsidRPr="004128BD">
        <w:rPr>
          <w:rFonts w:ascii="Times New Roman" w:hAnsi="Times New Roman" w:cs="Times New Roman"/>
          <w:lang w:eastAsia="zh-TW"/>
        </w:rPr>
        <w:t xml:space="preserve">he </w:t>
      </w:r>
      <w:r w:rsidRPr="004128BD">
        <w:rPr>
          <w:rFonts w:ascii="Times New Roman" w:hAnsi="Times New Roman" w:cs="Times New Roman"/>
          <w:i/>
          <w:iCs/>
          <w:lang w:eastAsia="zh-TW"/>
        </w:rPr>
        <w:t>meaning-making</w:t>
      </w:r>
      <w:r w:rsidRPr="004128BD">
        <w:rPr>
          <w:rFonts w:ascii="Times New Roman" w:hAnsi="Times New Roman" w:cs="Times New Roman"/>
          <w:lang w:eastAsia="zh-TW"/>
        </w:rPr>
        <w:t xml:space="preserve"> model involves restructuring cognition and emotion and generating new meanings.</w:t>
      </w:r>
    </w:p>
    <w:p w14:paraId="50639AB8" w14:textId="77777777" w:rsidR="00256B3D" w:rsidRPr="004128BD" w:rsidRDefault="00256B3D" w:rsidP="00256B3D">
      <w:pPr>
        <w:spacing w:line="480" w:lineRule="auto"/>
        <w:ind w:firstLine="720"/>
        <w:rPr>
          <w:rFonts w:ascii="Times New Roman" w:hAnsi="Times New Roman" w:cs="Times New Roman"/>
        </w:rPr>
      </w:pPr>
      <w:r w:rsidRPr="004128BD">
        <w:rPr>
          <w:rFonts w:ascii="Times New Roman" w:hAnsi="Times New Roman" w:cs="Times New Roman"/>
        </w:rPr>
        <w:fldChar w:fldCharType="begin"/>
      </w:r>
      <w:r w:rsidRPr="004128BD">
        <w:rPr>
          <w:rFonts w:ascii="Times New Roman" w:hAnsi="Times New Roman" w:cs="Times New Roman"/>
        </w:rPr>
        <w:instrText xml:space="preserve"> ADDIN EN.CITE &lt;EndNote&gt;&lt;Cite AuthorYear="1"&gt;&lt;Author&gt;Walter&lt;/Author&gt;&lt;Year&gt;2005&lt;/Year&gt;&lt;RecNum&gt;1594&lt;/RecNum&gt;&lt;DisplayText&gt;Walter (2005)&lt;/DisplayText&gt;&lt;record&gt;&lt;rec-number&gt;1594&lt;/rec-number&gt;&lt;foreign-keys&gt;&lt;key app="EN" db-id="2pe9e00ros0veneeptspa5vhz0pw2az52v20" timestamp="1647623525" guid="544844b1-d3a0-4085-b274-49a7973041c3"&gt;1594&lt;/key&gt;&lt;/foreign-keys&gt;&lt;ref-type name="Journal Article"&gt;17&lt;/ref-type&gt;&lt;contributors&gt;&lt;authors&gt;&lt;author&gt;Walter, Tony&lt;/author&gt;&lt;/authors&gt;&lt;/contributors&gt;&lt;titles&gt;&lt;title&gt;Three ways to arrange a funeral: Mortuary variation in the modern West&lt;/title&gt;&lt;secondary-title&gt;Mortality&lt;/secondary-title&gt;&lt;/titles&gt;&lt;periodical&gt;&lt;full-title&gt;Mortality&lt;/full-title&gt;&lt;/periodical&gt;&lt;pages&gt;173-192&lt;/pages&gt;&lt;volume&gt;10&lt;/volume&gt;&lt;number&gt;3&lt;/number&gt;&lt;dates&gt;&lt;year&gt;2005&lt;/year&gt;&lt;/dates&gt;&lt;isbn&gt;1357-6275&lt;/isbn&gt;&lt;urls&gt;&lt;/urls&gt;&lt;electronic-resource-num&gt;10.1080/13576270500178369&lt;/electronic-resource-num&gt;&lt;/record&gt;&lt;/Cite&gt;&lt;/EndNote&gt;</w:instrText>
      </w:r>
      <w:r w:rsidRPr="004128BD">
        <w:rPr>
          <w:rFonts w:ascii="Times New Roman" w:hAnsi="Times New Roman" w:cs="Times New Roman"/>
        </w:rPr>
        <w:fldChar w:fldCharType="separate"/>
      </w:r>
      <w:r w:rsidRPr="004128BD">
        <w:rPr>
          <w:rFonts w:ascii="Times New Roman" w:hAnsi="Times New Roman" w:cs="Times New Roman"/>
          <w:noProof/>
        </w:rPr>
        <w:t>Walter (2005)</w:t>
      </w:r>
      <w:r w:rsidRPr="004128BD">
        <w:rPr>
          <w:rFonts w:ascii="Times New Roman" w:hAnsi="Times New Roman" w:cs="Times New Roman"/>
        </w:rPr>
        <w:fldChar w:fldCharType="end"/>
      </w:r>
      <w:r w:rsidRPr="004128BD">
        <w:rPr>
          <w:rFonts w:ascii="Times New Roman" w:hAnsi="Times New Roman" w:cs="Times New Roman"/>
        </w:rPr>
        <w:t xml:space="preserve"> summarized three models of the modern Western funeral arrangement: commercial, municipal, and religious. The </w:t>
      </w:r>
      <w:r w:rsidRPr="004128BD">
        <w:rPr>
          <w:rFonts w:ascii="Times New Roman" w:hAnsi="Times New Roman" w:cs="Times New Roman"/>
          <w:i/>
          <w:iCs/>
        </w:rPr>
        <w:t>commercial</w:t>
      </w:r>
      <w:r w:rsidRPr="004128BD">
        <w:rPr>
          <w:rFonts w:ascii="Times New Roman" w:hAnsi="Times New Roman" w:cs="Times New Roman"/>
        </w:rPr>
        <w:t xml:space="preserve"> model is that the liberal market is responsible for providing funeral services (e.g., the United States). The </w:t>
      </w:r>
      <w:r w:rsidRPr="004128BD">
        <w:rPr>
          <w:rFonts w:ascii="Times New Roman" w:hAnsi="Times New Roman" w:cs="Times New Roman"/>
          <w:i/>
          <w:iCs/>
        </w:rPr>
        <w:t>municipal</w:t>
      </w:r>
      <w:r w:rsidRPr="004128BD">
        <w:rPr>
          <w:rFonts w:ascii="Times New Roman" w:hAnsi="Times New Roman" w:cs="Times New Roman"/>
        </w:rPr>
        <w:t xml:space="preserve"> model is that funeral services are subject to municipal control (e.g., France). The </w:t>
      </w:r>
      <w:r w:rsidRPr="004128BD">
        <w:rPr>
          <w:rFonts w:ascii="Times New Roman" w:hAnsi="Times New Roman" w:cs="Times New Roman"/>
          <w:i/>
          <w:iCs/>
        </w:rPr>
        <w:t>religious</w:t>
      </w:r>
      <w:r w:rsidRPr="004128BD">
        <w:rPr>
          <w:rFonts w:ascii="Times New Roman" w:hAnsi="Times New Roman" w:cs="Times New Roman"/>
        </w:rPr>
        <w:t xml:space="preserve"> model is that churches </w:t>
      </w:r>
      <w:proofErr w:type="gramStart"/>
      <w:r w:rsidRPr="004128BD">
        <w:rPr>
          <w:rFonts w:ascii="Times New Roman" w:hAnsi="Times New Roman" w:cs="Times New Roman"/>
        </w:rPr>
        <w:t>are in charge of</w:t>
      </w:r>
      <w:proofErr w:type="gramEnd"/>
      <w:r w:rsidRPr="004128BD">
        <w:rPr>
          <w:rFonts w:ascii="Times New Roman" w:hAnsi="Times New Roman" w:cs="Times New Roman"/>
        </w:rPr>
        <w:t xml:space="preserve"> cemeteries, crematoria, and death registration (e.g., Sweden).</w:t>
      </w:r>
    </w:p>
    <w:p w14:paraId="18336DD2" w14:textId="77777777" w:rsidR="00256B3D" w:rsidRPr="004128BD" w:rsidRDefault="00256B3D" w:rsidP="00256B3D">
      <w:pPr>
        <w:pStyle w:val="BodyText"/>
        <w:tabs>
          <w:tab w:val="clear" w:pos="8640"/>
          <w:tab w:val="left" w:pos="3405"/>
        </w:tabs>
        <w:rPr>
          <w:lang w:val="en-US"/>
        </w:rPr>
      </w:pPr>
      <w:r w:rsidRPr="004128BD">
        <w:rPr>
          <w:b/>
          <w:bCs/>
          <w:lang w:val="en-US"/>
        </w:rPr>
        <w:t>Funeral planning</w:t>
      </w:r>
      <w:r w:rsidRPr="004128BD">
        <w:rPr>
          <w:lang w:val="en-US"/>
        </w:rPr>
        <w:t xml:space="preserve">. Funeral planning is the process of making arrangements for a funeral, including wishes about funerals, financial arrangements, and messages to family members </w:t>
      </w:r>
      <w:r w:rsidRPr="004128BD">
        <w:rPr>
          <w:lang w:val="en-US"/>
        </w:rPr>
        <w:fldChar w:fldCharType="begin"/>
      </w:r>
      <w:r w:rsidRPr="004128BD">
        <w:rPr>
          <w:lang w:val="en-US"/>
        </w:rPr>
        <w:instrText xml:space="preserve"> ADDIN EN.CITE &lt;EndNote&gt;&lt;Cite&gt;&lt;Author&gt;Cremation.com&lt;/Author&gt;&lt;Year&gt;n.d.&lt;/Year&gt;&lt;RecNum&gt;2257&lt;/RecNum&gt;&lt;DisplayText&gt;(Cremation.com, n.d.)&lt;/DisplayText&gt;&lt;record&gt;&lt;rec-number&gt;2257&lt;/rec-number&gt;&lt;foreign-keys&gt;&lt;key app="EN" db-id="2pe9e00ros0veneeptspa5vhz0pw2az52v20" timestamp="1704513122" guid="c231f1ef-252d-4aa1-907d-ef5fc26e51d5"&gt;2257&lt;/key&gt;&lt;/foreign-keys&gt;&lt;ref-type name="Web Page"&gt;12&lt;/ref-type&gt;&lt;contributors&gt;&lt;authors&gt;&lt;author&gt;Cremation.com&lt;/author&gt;&lt;/authors&gt;&lt;/contributors&gt;&lt;titles&gt;&lt;title&gt;Glossary of Funeral Terms&lt;/title&gt;&lt;/titles&gt;&lt;dates&gt;&lt;year&gt;n.d.&lt;/year&gt;&lt;/dates&gt;&lt;pub-location&gt;Cremation.com&lt;/pub-location&gt;&lt;publisher&gt;Cremation.com&lt;/publisher&gt;&lt;urls&gt;&lt;related-urls&gt;&lt;url&gt;https://www.cremation.com/consumer-resources/glossary-of-funeral-terms&lt;/url&gt;&lt;/related-urls&gt;&lt;/urls&gt;&lt;/record&gt;&lt;/Cite&gt;&lt;/EndNote&gt;</w:instrText>
      </w:r>
      <w:r w:rsidRPr="004128BD">
        <w:rPr>
          <w:lang w:val="en-US"/>
        </w:rPr>
        <w:fldChar w:fldCharType="separate"/>
      </w:r>
      <w:r w:rsidRPr="004128BD">
        <w:rPr>
          <w:noProof/>
          <w:lang w:val="en-US"/>
        </w:rPr>
        <w:t>(Cremation.com, n.d.)</w:t>
      </w:r>
      <w:r w:rsidRPr="004128BD">
        <w:rPr>
          <w:lang w:val="en-US"/>
        </w:rPr>
        <w:fldChar w:fldCharType="end"/>
      </w:r>
      <w:r w:rsidRPr="004128BD">
        <w:rPr>
          <w:lang w:val="en-US"/>
        </w:rPr>
        <w:t xml:space="preserve">. Funeral planning includes two types: </w:t>
      </w:r>
      <w:r w:rsidRPr="004128BD">
        <w:rPr>
          <w:i/>
          <w:iCs/>
          <w:lang w:val="en-US"/>
        </w:rPr>
        <w:t xml:space="preserve">pre-planning </w:t>
      </w:r>
      <w:r w:rsidRPr="004128BD">
        <w:rPr>
          <w:lang w:val="en-US"/>
        </w:rPr>
        <w:t>and</w:t>
      </w:r>
      <w:r w:rsidRPr="004128BD">
        <w:rPr>
          <w:i/>
          <w:iCs/>
          <w:lang w:val="en-US"/>
        </w:rPr>
        <w:t xml:space="preserve"> at-need planning </w:t>
      </w:r>
      <w:r w:rsidRPr="004128BD">
        <w:rPr>
          <w:lang w:val="en-US"/>
        </w:rPr>
        <w:fldChar w:fldCharType="begin"/>
      </w:r>
      <w:r w:rsidRPr="004128BD">
        <w:rPr>
          <w:lang w:val="en-US"/>
        </w:rPr>
        <w:instrText xml:space="preserve"> ADDIN EN.CITE &lt;EndNote&gt;&lt;Cite&gt;&lt;Author&gt;Schinzel&lt;/Author&gt;&lt;Year&gt;2006&lt;/Year&gt;&lt;RecNum&gt;2258&lt;/RecNum&gt;&lt;DisplayText&gt;(Schinzel, 2006)&lt;/DisplayText&gt;&lt;record&gt;&lt;rec-number&gt;2258&lt;/rec-number&gt;&lt;foreign-keys&gt;&lt;key app="EN" db-id="2pe9e00ros0veneeptspa5vhz0pw2az52v20" timestamp="1704514663" guid="046e7ab8-d7e3-4cc3-8bfd-ded88abc9cb8"&gt;2258&lt;/key&gt;&lt;/foreign-keys&gt;&lt;ref-type name="Book Section"&gt;5&lt;/ref-type&gt;&lt;contributors&gt;&lt;authors&gt;&lt;author&gt;Christine Schinzel&lt;/author&gt;&lt;/authors&gt;&lt;secondary-authors&gt;&lt;author&gt;Pauley, Lucy, A. Schroeder, C. Ehmke and C. Paseneaux&lt;/author&gt;&lt;/secondary-authors&gt;&lt;/contributors&gt;&lt;titles&gt;&lt;title&gt;Funeral Planning&lt;/title&gt;&lt;secondary-title&gt;Passing it on : an estate planning resource guide for Wyoming&amp;apos;s farmers and ranchers&lt;/secondary-title&gt;&lt;/titles&gt;&lt;pages&gt;155-161&lt;/pages&gt;&lt;dates&gt;&lt;year&gt;2006&lt;/year&gt;&lt;/dates&gt;&lt;publisher&gt;Wyoming Agriculture and Natural Resource Mediation Program&lt;/publisher&gt;&lt;urls&gt;&lt;/urls&gt;&lt;/record&gt;&lt;/Cite&gt;&lt;/EndNote&gt;</w:instrText>
      </w:r>
      <w:r w:rsidRPr="004128BD">
        <w:rPr>
          <w:lang w:val="en-US"/>
        </w:rPr>
        <w:fldChar w:fldCharType="separate"/>
      </w:r>
      <w:r w:rsidRPr="004128BD">
        <w:rPr>
          <w:noProof/>
          <w:lang w:val="en-US"/>
        </w:rPr>
        <w:t>(Schinzel, 2006)</w:t>
      </w:r>
      <w:r w:rsidRPr="004128BD">
        <w:rPr>
          <w:lang w:val="en-US"/>
        </w:rPr>
        <w:fldChar w:fldCharType="end"/>
      </w:r>
      <w:r w:rsidRPr="004128BD">
        <w:rPr>
          <w:lang w:val="en-US"/>
        </w:rPr>
        <w:t xml:space="preserve">. </w:t>
      </w:r>
    </w:p>
    <w:p w14:paraId="0808D720" w14:textId="77777777" w:rsidR="00256B3D" w:rsidRPr="004128BD" w:rsidRDefault="00256B3D" w:rsidP="00256B3D">
      <w:pPr>
        <w:pStyle w:val="BodyText"/>
        <w:tabs>
          <w:tab w:val="clear" w:pos="8640"/>
          <w:tab w:val="left" w:pos="3405"/>
        </w:tabs>
        <w:rPr>
          <w:lang w:val="en-US"/>
        </w:rPr>
      </w:pPr>
      <w:r w:rsidRPr="004128BD">
        <w:rPr>
          <w:lang w:val="en-US"/>
        </w:rPr>
        <w:t xml:space="preserve">Pre-planning is when funeral planning is done before passing. Pre-planning usually reduces fear and stress, likely reduces expenses by allowing for cost comparisons, and offsets emotional decision-making </w:t>
      </w:r>
      <w:r w:rsidRPr="004128BD">
        <w:rPr>
          <w:lang w:val="en-US"/>
        </w:rPr>
        <w:fldChar w:fldCharType="begin"/>
      </w:r>
      <w:r w:rsidRPr="004128BD">
        <w:rPr>
          <w:lang w:val="en-US"/>
        </w:rPr>
        <w:instrText xml:space="preserve"> ADDIN EN.CITE &lt;EndNote&gt;&lt;Cite&gt;&lt;Author&gt;Spence&lt;/Author&gt;&lt;Year&gt;2016&lt;/Year&gt;&lt;RecNum&gt;2255&lt;/RecNum&gt;&lt;DisplayText&gt;(Spence, 2016)&lt;/DisplayText&gt;&lt;record&gt;&lt;rec-number&gt;2255&lt;/rec-number&gt;&lt;foreign-keys&gt;&lt;key app="EN" db-id="2pe9e00ros0veneeptspa5vhz0pw2az52v20" timestamp="1704484999" guid="bc77bad1-caf2-4ed3-b851-675264c5849e"&gt;2255&lt;/key&gt;&lt;/foreign-keys&gt;&lt;ref-type name="Journal Article"&gt;17&lt;/ref-type&gt;&lt;contributors&gt;&lt;authors&gt;&lt;author&gt;Spence, Lynda&lt;/author&gt;&lt;/authors&gt;&lt;/contributors&gt;&lt;titles&gt;&lt;title&gt;The Art of Goodbye: Planning Final Arrangements: FCS3335/FY1466, 7/2016&lt;/title&gt;&lt;secondary-title&gt;EDIS&lt;/secondary-title&gt;&lt;/titles&gt;&lt;periodical&gt;&lt;full-title&gt;EDIS&lt;/full-title&gt;&lt;/periodical&gt;&lt;pages&gt;7-7&lt;/pages&gt;&lt;volume&gt;2016&lt;/volume&gt;&lt;number&gt;6&lt;/number&gt;&lt;dates&gt;&lt;year&gt;2016&lt;/year&gt;&lt;/dates&gt;&lt;isbn&gt;2576-0009&lt;/isbn&gt;&lt;urls&gt;&lt;related-urls&gt;&lt;url&gt;https://edis.ifas.ufl.edu/publication/FY1466&lt;/url&gt;&lt;/related-urls&gt;&lt;/urls&gt;&lt;/record&gt;&lt;/Cite&gt;&lt;/EndNote&gt;</w:instrText>
      </w:r>
      <w:r w:rsidRPr="004128BD">
        <w:rPr>
          <w:lang w:val="en-US"/>
        </w:rPr>
        <w:fldChar w:fldCharType="separate"/>
      </w:r>
      <w:r w:rsidRPr="004128BD">
        <w:rPr>
          <w:noProof/>
          <w:lang w:val="en-US"/>
        </w:rPr>
        <w:t>(Spence, 2016)</w:t>
      </w:r>
      <w:r w:rsidRPr="004128BD">
        <w:rPr>
          <w:lang w:val="en-US"/>
        </w:rPr>
        <w:fldChar w:fldCharType="end"/>
      </w:r>
      <w:r w:rsidRPr="004128BD">
        <w:rPr>
          <w:lang w:val="en-US"/>
        </w:rPr>
        <w:t xml:space="preserve">. Several reasons encourage people to do funeral pre-planning </w:t>
      </w:r>
      <w:r w:rsidRPr="004128BD">
        <w:rPr>
          <w:lang w:val="en-US"/>
        </w:rPr>
        <w:fldChar w:fldCharType="begin"/>
      </w:r>
      <w:r w:rsidRPr="004128BD">
        <w:rPr>
          <w:lang w:val="en-US"/>
        </w:rPr>
        <w:instrText xml:space="preserve"> ADDIN EN.CITE &lt;EndNote&gt;&lt;Cite&gt;&lt;Author&gt;Torres&lt;/Author&gt;&lt;Year&gt;1989&lt;/Year&gt;&lt;RecNum&gt;2256&lt;/RecNum&gt;&lt;DisplayText&gt;(Torres &amp;amp; Turner, 1989)&lt;/DisplayText&gt;&lt;record&gt;&lt;rec-number&gt;2256&lt;/rec-number&gt;&lt;foreign-keys&gt;&lt;key app="EN" db-id="2pe9e00ros0veneeptspa5vhz0pw2az52v20" timestamp="1704485803" guid="2c93fba8-f3f6-487b-844e-53b0e571d84e"&gt;2256&lt;/key&gt;&lt;/foreign-keys&gt;&lt;ref-type name="Journal Article"&gt;17&lt;/ref-type&gt;&lt;contributors&gt;&lt;authors&gt;&lt;author&gt;Nayda I. Torres &lt;/author&gt;&lt;author&gt;Josephine Turner&lt;/author&gt;&lt;/authors&gt;&lt;/contributors&gt;&lt;titles&gt;&lt;title&gt;Funeral Planning: FCS7050&lt;/title&gt;&lt;secondary-title&gt;EDIS, 2007&lt;/secondary-title&gt;&lt;/titles&gt;&lt;periodical&gt;&lt;full-title&gt;EDIS, 2007&lt;/full-title&gt;&lt;/periodical&gt;&lt;dates&gt;&lt;year&gt;1989&lt;/year&gt;&lt;/dates&gt;&lt;urls&gt;&lt;related-urls&gt;&lt;url&gt;https://ufdcimages.uflib.ufl.edu/IR/00/00/25/54/00001/HE79700.pdf&lt;/url&gt;&lt;/related-urls&gt;&lt;/urls&gt;&lt;/record&gt;&lt;/Cite&gt;&lt;/EndNote&gt;</w:instrText>
      </w:r>
      <w:r w:rsidRPr="004128BD">
        <w:rPr>
          <w:lang w:val="en-US"/>
        </w:rPr>
        <w:fldChar w:fldCharType="separate"/>
      </w:r>
      <w:r w:rsidRPr="004128BD">
        <w:rPr>
          <w:noProof/>
          <w:lang w:val="en-US"/>
        </w:rPr>
        <w:t>(Torres &amp; Turner, 1989)</w:t>
      </w:r>
      <w:r w:rsidRPr="004128BD">
        <w:rPr>
          <w:lang w:val="en-US"/>
        </w:rPr>
        <w:fldChar w:fldCharType="end"/>
      </w:r>
      <w:r w:rsidRPr="004128BD">
        <w:rPr>
          <w:lang w:val="en-US"/>
        </w:rPr>
        <w:t xml:space="preserve">, including overcoming grief and stress, making an appropriate </w:t>
      </w:r>
      <w:r w:rsidRPr="004128BD">
        <w:rPr>
          <w:lang w:val="en-US"/>
        </w:rPr>
        <w:lastRenderedPageBreak/>
        <w:t xml:space="preserve">decision not in a hurry, being aware of customers’ rights and options, and bargaining with funeral directors. As a pre-need event, a client reaches a trustworthy funeral home, meets with a funeral director several times, and discusses funeral arrangements in advance. When the passing occurs, a funeral director will take over the deceased, follow the arrangement, and provide a funeral service (which is either pre-paid, pre-arranged, or both). </w:t>
      </w:r>
    </w:p>
    <w:p w14:paraId="5631A530" w14:textId="77777777" w:rsidR="00256B3D" w:rsidRPr="004128BD" w:rsidRDefault="00256B3D" w:rsidP="00256B3D">
      <w:pPr>
        <w:pStyle w:val="BodyText"/>
        <w:tabs>
          <w:tab w:val="clear" w:pos="8640"/>
          <w:tab w:val="left" w:pos="3405"/>
        </w:tabs>
        <w:rPr>
          <w:lang w:val="en-US"/>
        </w:rPr>
      </w:pPr>
      <w:r w:rsidRPr="004128BD">
        <w:rPr>
          <w:lang w:val="en-US"/>
        </w:rPr>
        <w:t>At-need planning</w:t>
      </w:r>
      <w:r w:rsidRPr="004128BD">
        <w:rPr>
          <w:i/>
          <w:iCs/>
          <w:lang w:val="en-US"/>
        </w:rPr>
        <w:t xml:space="preserve"> </w:t>
      </w:r>
      <w:r w:rsidRPr="004128BD">
        <w:rPr>
          <w:lang w:val="en-US"/>
        </w:rPr>
        <w:t xml:space="preserve">is when no pre-arrangements have been made as of the time of passing, so, as a result, all details must be attended to at that time. As an at-need event, a client makes the first contact with a funeral home and meets with a funeral director on behalf of a deceased family member or friend to plan funeral services. Usually, funeral service is required to be arranged in a time-sensitive need, so a client is under pressure with likely emotional disorder reactions.  </w:t>
      </w:r>
    </w:p>
    <w:p w14:paraId="499B15FA" w14:textId="77777777" w:rsidR="00256B3D" w:rsidRPr="004128BD" w:rsidRDefault="00256B3D" w:rsidP="00256B3D">
      <w:pPr>
        <w:spacing w:line="480" w:lineRule="auto"/>
        <w:rPr>
          <w:rFonts w:ascii="Times New Roman" w:hAnsi="Times New Roman" w:cs="Times New Roman"/>
          <w:b/>
          <w:bCs/>
        </w:rPr>
      </w:pPr>
      <w:r w:rsidRPr="004128BD">
        <w:rPr>
          <w:rFonts w:ascii="Times New Roman" w:hAnsi="Times New Roman" w:cs="Times New Roman"/>
          <w:b/>
          <w:bCs/>
        </w:rPr>
        <w:t>Commodification and Decommodification</w:t>
      </w:r>
    </w:p>
    <w:p w14:paraId="5DA6F51B" w14:textId="77777777" w:rsidR="00256B3D" w:rsidRPr="004128BD" w:rsidRDefault="00256B3D" w:rsidP="00256B3D">
      <w:pPr>
        <w:spacing w:line="480" w:lineRule="auto"/>
        <w:ind w:firstLine="720"/>
        <w:rPr>
          <w:rFonts w:ascii="Times New Roman" w:hAnsi="Times New Roman" w:cs="Times New Roman"/>
        </w:rPr>
      </w:pPr>
      <w:r w:rsidRPr="004128BD">
        <w:rPr>
          <w:rFonts w:ascii="Times New Roman" w:hAnsi="Times New Roman" w:cs="Times New Roman"/>
        </w:rPr>
        <w:t>This section explains the commerce-care dialectic by</w:t>
      </w:r>
      <w:r>
        <w:rPr>
          <w:rFonts w:ascii="Times New Roman" w:hAnsi="Times New Roman" w:cs="Times New Roman"/>
        </w:rPr>
        <w:t xml:space="preserve"> explaining</w:t>
      </w:r>
      <w:r w:rsidRPr="004128BD">
        <w:rPr>
          <w:rFonts w:ascii="Times New Roman" w:hAnsi="Times New Roman" w:cs="Times New Roman"/>
        </w:rPr>
        <w:t xml:space="preserve"> commodity, commodification, and decommodification. </w:t>
      </w:r>
    </w:p>
    <w:p w14:paraId="6915EC1D" w14:textId="77777777" w:rsidR="00256B3D" w:rsidRPr="004128BD" w:rsidRDefault="00256B3D" w:rsidP="00256B3D">
      <w:pPr>
        <w:spacing w:line="480" w:lineRule="auto"/>
        <w:ind w:firstLine="720"/>
        <w:rPr>
          <w:rFonts w:ascii="Times New Roman" w:hAnsi="Times New Roman" w:cs="Times New Roman"/>
        </w:rPr>
      </w:pPr>
      <w:r w:rsidRPr="004128BD">
        <w:rPr>
          <w:rFonts w:ascii="Times New Roman" w:hAnsi="Times New Roman" w:cs="Times New Roman"/>
          <w:b/>
          <w:bCs/>
        </w:rPr>
        <w:t xml:space="preserve">Commodity. </w:t>
      </w:r>
      <w:r>
        <w:rPr>
          <w:rFonts w:ascii="Times New Roman" w:hAnsi="Times New Roman" w:cs="Times New Roman"/>
        </w:rPr>
        <w:t>A</w:t>
      </w:r>
      <w:r w:rsidRPr="004128BD">
        <w:rPr>
          <w:rFonts w:ascii="Times New Roman" w:hAnsi="Times New Roman" w:cs="Times New Roman"/>
        </w:rPr>
        <w:t xml:space="preserve"> commodity is a useful and valuable thing, and it consists of “the same unsubstantial reality in each, a mere congelation of homogeneous human labor, of labor power expended without regard to the mode of its expenditure… When looked at as crystals of this social substance, common to them all, they are – Values” </w:t>
      </w:r>
      <w:r w:rsidRPr="004128BD">
        <w:rPr>
          <w:rFonts w:ascii="Times New Roman" w:hAnsi="Times New Roman" w:cs="Times New Roman"/>
        </w:rPr>
        <w:fldChar w:fldCharType="begin"/>
      </w:r>
      <w:r w:rsidRPr="004128BD">
        <w:rPr>
          <w:rFonts w:ascii="Times New Roman" w:hAnsi="Times New Roman" w:cs="Times New Roman"/>
        </w:rPr>
        <w:instrText xml:space="preserve"> ADDIN EN.CITE &lt;EndNote&gt;&lt;Cite&gt;&lt;Author&gt;Marx&lt;/Author&gt;&lt;Year&gt;1867&lt;/Year&gt;&lt;RecNum&gt;2263&lt;/RecNum&gt;&lt;Pages&gt;27&lt;/Pages&gt;&lt;DisplayText&gt;(Marx, 1867b, p. 27)&lt;/DisplayText&gt;&lt;record&gt;&lt;rec-number&gt;2263&lt;/rec-number&gt;&lt;foreign-keys&gt;&lt;key app="EN" db-id="2pe9e00ros0veneeptspa5vhz0pw2az52v20" timestamp="1704764812" guid="de177c7a-8d73-443d-b8fa-29f38d791e78"&gt;2263&lt;/key&gt;&lt;/foreign-keys&gt;&lt;ref-type name="Book Section"&gt;5&lt;/ref-type&gt;&lt;contributors&gt;&lt;authors&gt;&lt;author&gt;Marx, Karl&lt;/author&gt;&lt;/authors&gt;&lt;subsidiary-authors&gt;&lt;author&gt;Samuel, Moore, &amp;amp; E. Aveling&lt;/author&gt;&lt;/subsidiary-authors&gt;&lt;/contributors&gt;&lt;titles&gt;&lt;title&gt;Two Factors of a Commodity&lt;/title&gt;&lt;secondary-title&gt;Capital: A Critique of Political Economy&lt;/secondary-title&gt;&lt;/titles&gt;&lt;periodical&gt;&lt;full-title&gt;Capital: A Critique of Political Economy&lt;/full-title&gt;&lt;/periodical&gt;&lt;pages&gt;26-29&lt;/pages&gt;&lt;volume&gt;1&lt;/volume&gt;&lt;dates&gt;&lt;year&gt;1867&lt;/year&gt;&lt;/dates&gt;&lt;pub-location&gt;Moscow&lt;/pub-location&gt;&lt;publisher&gt;Progress Publishers&lt;/publisher&gt;&lt;urls&gt;&lt;/urls&gt;&lt;/record&gt;&lt;/Cite&gt;&lt;/EndNote&gt;</w:instrText>
      </w:r>
      <w:r w:rsidRPr="004128BD">
        <w:rPr>
          <w:rFonts w:ascii="Times New Roman" w:hAnsi="Times New Roman" w:cs="Times New Roman"/>
        </w:rPr>
        <w:fldChar w:fldCharType="separate"/>
      </w:r>
      <w:r w:rsidRPr="004128BD">
        <w:rPr>
          <w:rFonts w:ascii="Times New Roman" w:hAnsi="Times New Roman" w:cs="Times New Roman"/>
          <w:noProof/>
        </w:rPr>
        <w:t>(Marx, 1867b, p. 27)</w:t>
      </w:r>
      <w:r w:rsidRPr="004128BD">
        <w:rPr>
          <w:rFonts w:ascii="Times New Roman" w:hAnsi="Times New Roman" w:cs="Times New Roman"/>
        </w:rPr>
        <w:fldChar w:fldCharType="end"/>
      </w:r>
      <w:r w:rsidRPr="004128BD">
        <w:rPr>
          <w:rFonts w:ascii="Times New Roman" w:hAnsi="Times New Roman" w:cs="Times New Roman"/>
        </w:rPr>
        <w:t xml:space="preserve">. According to </w:t>
      </w:r>
      <w:r w:rsidRPr="004128BD">
        <w:rPr>
          <w:rFonts w:ascii="Times New Roman" w:hAnsi="Times New Roman" w:cs="Times New Roman"/>
        </w:rPr>
        <w:fldChar w:fldCharType="begin"/>
      </w:r>
      <w:r w:rsidRPr="004128BD">
        <w:rPr>
          <w:rFonts w:ascii="Times New Roman" w:hAnsi="Times New Roman" w:cs="Times New Roman"/>
        </w:rPr>
        <w:instrText xml:space="preserve"> ADDIN EN.CITE &lt;EndNote&gt;&lt;Cite AuthorYear="1"&gt;&lt;Author&gt;Marx&lt;/Author&gt;&lt;Year&gt;1867&lt;/Year&gt;&lt;RecNum&gt;2263&lt;/RecNum&gt;&lt;DisplayText&gt;Marx (1867b)&lt;/DisplayText&gt;&lt;record&gt;&lt;rec-number&gt;2263&lt;/rec-number&gt;&lt;foreign-keys&gt;&lt;key app="EN" db-id="2pe9e00ros0veneeptspa5vhz0pw2az52v20" timestamp="1704764812" guid="de177c7a-8d73-443d-b8fa-29f38d791e78"&gt;2263&lt;/key&gt;&lt;/foreign-keys&gt;&lt;ref-type name="Book Section"&gt;5&lt;/ref-type&gt;&lt;contributors&gt;&lt;authors&gt;&lt;author&gt;Marx, Karl&lt;/author&gt;&lt;/authors&gt;&lt;subsidiary-authors&gt;&lt;author&gt;Samuel, Moore, &amp;amp; E. Aveling&lt;/author&gt;&lt;/subsidiary-authors&gt;&lt;/contributors&gt;&lt;titles&gt;&lt;title&gt;Two Factors of a Commodity&lt;/title&gt;&lt;secondary-title&gt;Capital: A Critique of Political Economy&lt;/secondary-title&gt;&lt;/titles&gt;&lt;periodical&gt;&lt;full-title&gt;Capital: A Critique of Political Economy&lt;/full-title&gt;&lt;/periodical&gt;&lt;pages&gt;26-29&lt;/pages&gt;&lt;volume&gt;1&lt;/volume&gt;&lt;dates&gt;&lt;year&gt;1867&lt;/year&gt;&lt;/dates&gt;&lt;pub-location&gt;Moscow&lt;/pub-location&gt;&lt;publisher&gt;Progress Publishers&lt;/publisher&gt;&lt;urls&gt;&lt;/urls&gt;&lt;/record&gt;&lt;/Cite&gt;&lt;/EndNote&gt;</w:instrText>
      </w:r>
      <w:r w:rsidRPr="004128BD">
        <w:rPr>
          <w:rFonts w:ascii="Times New Roman" w:hAnsi="Times New Roman" w:cs="Times New Roman"/>
        </w:rPr>
        <w:fldChar w:fldCharType="separate"/>
      </w:r>
      <w:r w:rsidRPr="004128BD">
        <w:rPr>
          <w:rFonts w:ascii="Times New Roman" w:hAnsi="Times New Roman" w:cs="Times New Roman"/>
          <w:noProof/>
        </w:rPr>
        <w:t>Marx (1867b)</w:t>
      </w:r>
      <w:r w:rsidRPr="004128BD">
        <w:rPr>
          <w:rFonts w:ascii="Times New Roman" w:hAnsi="Times New Roman" w:cs="Times New Roman"/>
        </w:rPr>
        <w:fldChar w:fldCharType="end"/>
      </w:r>
      <w:r w:rsidRPr="004128BD">
        <w:rPr>
          <w:rFonts w:ascii="Times New Roman" w:hAnsi="Times New Roman" w:cs="Times New Roman"/>
        </w:rPr>
        <w:t xml:space="preserve">, a commodity has two factors: </w:t>
      </w:r>
      <w:r w:rsidRPr="004128BD">
        <w:rPr>
          <w:rFonts w:ascii="Times New Roman" w:hAnsi="Times New Roman" w:cs="Times New Roman"/>
          <w:i/>
          <w:iCs/>
        </w:rPr>
        <w:t>use-value</w:t>
      </w:r>
      <w:r w:rsidRPr="004128BD">
        <w:rPr>
          <w:rFonts w:ascii="Times New Roman" w:hAnsi="Times New Roman" w:cs="Times New Roman"/>
        </w:rPr>
        <w:t xml:space="preserve"> and </w:t>
      </w:r>
      <w:r w:rsidRPr="004128BD">
        <w:rPr>
          <w:rFonts w:ascii="Times New Roman" w:hAnsi="Times New Roman" w:cs="Times New Roman"/>
          <w:i/>
          <w:iCs/>
        </w:rPr>
        <w:t>exchange-value</w:t>
      </w:r>
      <w:r w:rsidRPr="004128BD">
        <w:rPr>
          <w:rFonts w:ascii="Times New Roman" w:hAnsi="Times New Roman" w:cs="Times New Roman"/>
        </w:rPr>
        <w:t>. The utility of a thing makes it a use-value. For example, corn can be used to feed people and produce corn oil. Exchange-value presents itself as a quantitative relation, as the proportion in which values in use of one sort are exchanged for those of another sort, a relation constantly changing with time and place. For example, gasoline in Saudi Arabia is cheaper than that in the United States.</w:t>
      </w:r>
    </w:p>
    <w:p w14:paraId="0910168A" w14:textId="77777777" w:rsidR="00256B3D" w:rsidRPr="004128BD" w:rsidRDefault="00256B3D" w:rsidP="00256B3D">
      <w:pPr>
        <w:spacing w:line="480" w:lineRule="auto"/>
        <w:ind w:firstLine="720"/>
        <w:rPr>
          <w:rFonts w:ascii="Times New Roman" w:hAnsi="Times New Roman" w:cs="Times New Roman"/>
        </w:rPr>
      </w:pPr>
      <w:r w:rsidRPr="004128BD">
        <w:rPr>
          <w:rFonts w:ascii="Times New Roman" w:hAnsi="Times New Roman" w:cs="Times New Roman"/>
        </w:rPr>
        <w:lastRenderedPageBreak/>
        <w:t xml:space="preserve">The character of commodities does not originate in their use-value but functions in human brains. Commodity fetishism explains that people transform the subjective, abstract aspects of economic value into objective, real things that people believe have intrinsic value. </w:t>
      </w:r>
      <w:r w:rsidRPr="004128BD">
        <w:rPr>
          <w:rFonts w:ascii="Times New Roman" w:hAnsi="Times New Roman" w:cs="Times New Roman"/>
        </w:rPr>
        <w:fldChar w:fldCharType="begin"/>
      </w:r>
      <w:r w:rsidRPr="004128BD">
        <w:rPr>
          <w:rFonts w:ascii="Times New Roman" w:hAnsi="Times New Roman" w:cs="Times New Roman"/>
        </w:rPr>
        <w:instrText xml:space="preserve"> ADDIN EN.CITE &lt;EndNote&gt;&lt;Cite&gt;&lt;Author&gt;Marx&lt;/Author&gt;&lt;Year&gt;1867&lt;/Year&gt;&lt;RecNum&gt;829&lt;/RecNum&gt;&lt;DisplayText&gt;(Marx, 1867a)&lt;/DisplayText&gt;&lt;record&gt;&lt;rec-number&gt;829&lt;/rec-number&gt;&lt;foreign-keys&gt;&lt;key app="EN" db-id="2pe9e00ros0veneeptspa5vhz0pw2az52v20" timestamp="1572247769" guid="869058bb-125d-4f44-9f9a-03836159380b"&gt;829&lt;/key&gt;&lt;/foreign-keys&gt;&lt;ref-type name="Book Section"&gt;5&lt;/ref-type&gt;&lt;contributors&gt;&lt;authors&gt;&lt;author&gt;Marx, Karl&lt;/author&gt;&lt;/authors&gt;&lt;subsidiary-authors&gt;&lt;author&gt;Samuel, Moore, &amp;amp; E. Aveling&lt;/author&gt;&lt;/subsidiary-authors&gt;&lt;/contributors&gt;&lt;titles&gt;&lt;title&gt;The fetishism of commodities and the secret thereof&lt;/title&gt;&lt;secondary-title&gt;Capital: A Critique of Political Economy&lt;/secondary-title&gt;&lt;/titles&gt;&lt;periodical&gt;&lt;full-title&gt;Capital: A Critique of Political Economy&lt;/full-title&gt;&lt;/periodical&gt;&lt;pages&gt;46-59&lt;/pages&gt;&lt;volume&gt;1&lt;/volume&gt;&lt;dates&gt;&lt;year&gt;1867&lt;/year&gt;&lt;/dates&gt;&lt;pub-location&gt;Moscow&lt;/pub-location&gt;&lt;publisher&gt;Progress Publishers&lt;/publisher&gt;&lt;urls&gt;&lt;/urls&gt;&lt;/record&gt;&lt;/Cite&gt;&lt;/EndNote&gt;</w:instrText>
      </w:r>
      <w:r w:rsidRPr="004128BD">
        <w:rPr>
          <w:rFonts w:ascii="Times New Roman" w:hAnsi="Times New Roman" w:cs="Times New Roman"/>
        </w:rPr>
        <w:fldChar w:fldCharType="separate"/>
      </w:r>
      <w:r w:rsidRPr="004128BD">
        <w:rPr>
          <w:rFonts w:ascii="Times New Roman" w:hAnsi="Times New Roman" w:cs="Times New Roman"/>
          <w:noProof/>
        </w:rPr>
        <w:t>(Marx, 1867a)</w:t>
      </w:r>
      <w:r w:rsidRPr="004128BD">
        <w:rPr>
          <w:rFonts w:ascii="Times New Roman" w:hAnsi="Times New Roman" w:cs="Times New Roman"/>
        </w:rPr>
        <w:fldChar w:fldCharType="end"/>
      </w:r>
      <w:r w:rsidRPr="004128BD">
        <w:rPr>
          <w:rFonts w:ascii="Times New Roman" w:hAnsi="Times New Roman" w:cs="Times New Roman"/>
        </w:rPr>
        <w:t>. Two phenomena are usually in tandem with commodity fetishism. First, people buy products not for consumption and satisfaction but to sell them, and they aim at a never-ending augmentation of exchange value and a never-ending process of making a profit alone. For instance, people buy stocks to sell those in the financial market and sell stocks to buy more from the financial market. Second, people are even willing to be alienated to satisfy the need for the desired commodity. For example, some people take a secondary job to have a big diamond or luxurious wallet.</w:t>
      </w:r>
    </w:p>
    <w:p w14:paraId="493D653A" w14:textId="77777777" w:rsidR="00256B3D" w:rsidRPr="004128BD" w:rsidRDefault="00256B3D" w:rsidP="00256B3D">
      <w:pPr>
        <w:spacing w:line="480" w:lineRule="auto"/>
        <w:ind w:firstLine="720"/>
        <w:rPr>
          <w:rFonts w:ascii="Times New Roman" w:hAnsi="Times New Roman" w:cs="Times New Roman"/>
        </w:rPr>
      </w:pPr>
      <w:r w:rsidRPr="004128BD">
        <w:rPr>
          <w:rFonts w:ascii="Times New Roman" w:hAnsi="Times New Roman" w:cs="Times New Roman"/>
          <w:b/>
          <w:bCs/>
        </w:rPr>
        <w:t xml:space="preserve">Commodification and </w:t>
      </w:r>
      <w:r>
        <w:rPr>
          <w:rFonts w:ascii="Times New Roman" w:hAnsi="Times New Roman" w:cs="Times New Roman"/>
          <w:b/>
          <w:bCs/>
        </w:rPr>
        <w:t>d</w:t>
      </w:r>
      <w:r w:rsidRPr="004128BD">
        <w:rPr>
          <w:rFonts w:ascii="Times New Roman" w:hAnsi="Times New Roman" w:cs="Times New Roman"/>
          <w:b/>
          <w:bCs/>
        </w:rPr>
        <w:t>ecommodification</w:t>
      </w:r>
      <w:r w:rsidRPr="004128BD">
        <w:rPr>
          <w:rFonts w:ascii="Times New Roman" w:hAnsi="Times New Roman" w:cs="Times New Roman"/>
        </w:rPr>
        <w:t xml:space="preserve">. Commodification and decommodification provide a central theoretical element for the work </w:t>
      </w:r>
      <w:r w:rsidRPr="004128BD">
        <w:rPr>
          <w:rFonts w:ascii="Times New Roman" w:hAnsi="Times New Roman" w:cs="Times New Roman"/>
          <w:i/>
          <w:iCs/>
        </w:rPr>
        <w:t>The Three Worlds of Welfare Capitalism</w:t>
      </w:r>
      <w:r w:rsidRPr="004128BD">
        <w:rPr>
          <w:rFonts w:ascii="Times New Roman" w:hAnsi="Times New Roman" w:cs="Times New Roman"/>
        </w:rPr>
        <w:t xml:space="preserve"> </w:t>
      </w:r>
      <w:r w:rsidRPr="004128BD">
        <w:rPr>
          <w:rFonts w:ascii="Times New Roman" w:hAnsi="Times New Roman" w:cs="Times New Roman"/>
        </w:rPr>
        <w:fldChar w:fldCharType="begin"/>
      </w:r>
      <w:r w:rsidRPr="004128BD">
        <w:rPr>
          <w:rFonts w:ascii="Times New Roman" w:hAnsi="Times New Roman" w:cs="Times New Roman"/>
        </w:rPr>
        <w:instrText xml:space="preserve"> ADDIN EN.CITE &lt;EndNote&gt;&lt;Cite&gt;&lt;Author&gt;Esping-Andersen&lt;/Author&gt;&lt;Year&gt;1990&lt;/Year&gt;&lt;RecNum&gt;2259&lt;/RecNum&gt;&lt;DisplayText&gt;(Esping-Andersen, 1990)&lt;/DisplayText&gt;&lt;record&gt;&lt;rec-number&gt;2259&lt;/rec-number&gt;&lt;foreign-keys&gt;&lt;key app="EN" db-id="2pe9e00ros0veneeptspa5vhz0pw2az52v20" timestamp="1704665809" guid="159e43f2-a53c-4a02-aa15-735e98f9e0ca"&gt;2259&lt;/key&gt;&lt;/foreign-keys&gt;&lt;ref-type name="Book"&gt;6&lt;/ref-type&gt;&lt;contributors&gt;&lt;authors&gt;&lt;author&gt;Esping-Andersen, Gosta&lt;/author&gt;&lt;/authors&gt;&lt;/contributors&gt;&lt;titles&gt;&lt;title&gt;The three worlds of welfare capitalism&lt;/title&gt;&lt;/titles&gt;&lt;dates&gt;&lt;year&gt;1990&lt;/year&gt;&lt;/dates&gt;&lt;publisher&gt;Princeton University Press&lt;/publisher&gt;&lt;isbn&gt;0691028575&lt;/isbn&gt;&lt;urls&gt;&lt;/urls&gt;&lt;/record&gt;&lt;/Cite&gt;&lt;/EndNote&gt;</w:instrText>
      </w:r>
      <w:r w:rsidRPr="004128BD">
        <w:rPr>
          <w:rFonts w:ascii="Times New Roman" w:hAnsi="Times New Roman" w:cs="Times New Roman"/>
        </w:rPr>
        <w:fldChar w:fldCharType="separate"/>
      </w:r>
      <w:r w:rsidRPr="004128BD">
        <w:rPr>
          <w:rFonts w:ascii="Times New Roman" w:hAnsi="Times New Roman" w:cs="Times New Roman"/>
          <w:noProof/>
        </w:rPr>
        <w:t>(Esping-Andersen, 1990)</w:t>
      </w:r>
      <w:r w:rsidRPr="004128BD">
        <w:rPr>
          <w:rFonts w:ascii="Times New Roman" w:hAnsi="Times New Roman" w:cs="Times New Roman"/>
        </w:rPr>
        <w:fldChar w:fldCharType="end"/>
      </w:r>
      <w:r w:rsidRPr="004128BD">
        <w:rPr>
          <w:rFonts w:ascii="Times New Roman" w:hAnsi="Times New Roman" w:cs="Times New Roman"/>
        </w:rPr>
        <w:t xml:space="preserve">, which discusses the state welfare system and follows the Marxist tradition </w:t>
      </w:r>
      <w:r w:rsidRPr="004128BD">
        <w:rPr>
          <w:rFonts w:ascii="Times New Roman" w:hAnsi="Times New Roman" w:cs="Times New Roman"/>
        </w:rPr>
        <w:fldChar w:fldCharType="begin"/>
      </w:r>
      <w:r w:rsidRPr="004128BD">
        <w:rPr>
          <w:rFonts w:ascii="Times New Roman" w:hAnsi="Times New Roman" w:cs="Times New Roman"/>
        </w:rPr>
        <w:instrText xml:space="preserve"> ADDIN EN.CITE &lt;EndNote&gt;&lt;Cite&gt;&lt;Author&gt;Marx&lt;/Author&gt;&lt;Year&gt;2016&lt;/Year&gt;&lt;RecNum&gt;2260&lt;/RecNum&gt;&lt;Prefix&gt;e.g.`, &lt;/Prefix&gt;&lt;DisplayText&gt;(e.g., Marx, 2016)&lt;/DisplayText&gt;&lt;record&gt;&lt;rec-number&gt;2260&lt;/rec-number&gt;&lt;foreign-keys&gt;&lt;key app="EN" db-id="2pe9e00ros0veneeptspa5vhz0pw2az52v20" timestamp="1704666062" guid="51146de8-42ef-457c-a2ad-02c85f37e402"&gt;2260&lt;/key&gt;&lt;/foreign-keys&gt;&lt;ref-type name="Book Section"&gt;5&lt;/ref-type&gt;&lt;contributors&gt;&lt;authors&gt;&lt;author&gt;Marx, Karl&lt;/author&gt;&lt;/authors&gt;&lt;secondary-authors&gt;&lt;author&gt;Wesley, Longhofer, &amp;amp; D. Winchester &lt;/author&gt;&lt;/secondary-authors&gt;&lt;/contributors&gt;&lt;titles&gt;&lt;title&gt;Economic and philosophic manuscripts of 1844&lt;/title&gt;&lt;secondary-title&gt;Social Theory Re-Wired: New Connections to Classical and Contemporary Perspectives&lt;/secondary-title&gt;&lt;/titles&gt;&lt;pages&gt;152-158&lt;/pages&gt;&lt;dates&gt;&lt;year&gt;2016&lt;/year&gt;&lt;/dates&gt;&lt;publisher&gt;Routledge&lt;/publisher&gt;&lt;urls&gt;&lt;/urls&gt;&lt;/record&gt;&lt;/Cite&gt;&lt;/EndNote&gt;</w:instrText>
      </w:r>
      <w:r w:rsidRPr="004128BD">
        <w:rPr>
          <w:rFonts w:ascii="Times New Roman" w:hAnsi="Times New Roman" w:cs="Times New Roman"/>
        </w:rPr>
        <w:fldChar w:fldCharType="separate"/>
      </w:r>
      <w:r w:rsidRPr="004128BD">
        <w:rPr>
          <w:rFonts w:ascii="Times New Roman" w:hAnsi="Times New Roman" w:cs="Times New Roman"/>
          <w:noProof/>
        </w:rPr>
        <w:t>(e.g., Marx, 2016)</w:t>
      </w:r>
      <w:r w:rsidRPr="004128BD">
        <w:rPr>
          <w:rFonts w:ascii="Times New Roman" w:hAnsi="Times New Roman" w:cs="Times New Roman"/>
        </w:rPr>
        <w:fldChar w:fldCharType="end"/>
      </w:r>
      <w:r w:rsidRPr="004128BD">
        <w:rPr>
          <w:rFonts w:ascii="Times New Roman" w:hAnsi="Times New Roman" w:cs="Times New Roman"/>
        </w:rPr>
        <w:t xml:space="preserve">. </w:t>
      </w:r>
    </w:p>
    <w:p w14:paraId="53614BA5" w14:textId="77777777" w:rsidR="00256B3D" w:rsidRPr="004128BD" w:rsidRDefault="00256B3D" w:rsidP="00256B3D">
      <w:pPr>
        <w:spacing w:line="480" w:lineRule="auto"/>
        <w:ind w:firstLine="720"/>
        <w:rPr>
          <w:rFonts w:ascii="Times New Roman" w:hAnsi="Times New Roman" w:cs="Times New Roman"/>
        </w:rPr>
      </w:pPr>
      <w:r w:rsidRPr="004128BD">
        <w:rPr>
          <w:rFonts w:ascii="Times New Roman" w:hAnsi="Times New Roman" w:cs="Times New Roman"/>
        </w:rPr>
        <w:t xml:space="preserve">Commodification describes the condition of labor power under capitalism, that is, “without employment, the worker lacks the means to subsist, and from the standpoint of capitalist society, he is unreal, lacking any significance” </w:t>
      </w:r>
      <w:r w:rsidRPr="004128BD">
        <w:rPr>
          <w:rFonts w:ascii="Times New Roman" w:hAnsi="Times New Roman" w:cs="Times New Roman"/>
        </w:rPr>
        <w:fldChar w:fldCharType="begin"/>
      </w:r>
      <w:r w:rsidRPr="004128BD">
        <w:rPr>
          <w:rFonts w:ascii="Times New Roman" w:hAnsi="Times New Roman" w:cs="Times New Roman"/>
        </w:rPr>
        <w:instrText xml:space="preserve"> ADDIN EN.CITE &lt;EndNote&gt;&lt;Cite&gt;&lt;Author&gt;Room&lt;/Author&gt;&lt;Year&gt;2000&lt;/Year&gt;&lt;RecNum&gt;2261&lt;/RecNum&gt;&lt;Pages&gt;332&lt;/Pages&gt;&lt;DisplayText&gt;(Room, 2000, p. 332)&lt;/DisplayText&gt;&lt;record&gt;&lt;rec-number&gt;2261&lt;/rec-number&gt;&lt;foreign-keys&gt;&lt;key app="EN" db-id="2pe9e00ros0veneeptspa5vhz0pw2az52v20" timestamp="1704679721" guid="a495e45a-7199-4516-95e8-46ca4b95d8cd"&gt;2261&lt;/key&gt;&lt;/foreign-keys&gt;&lt;ref-type name="Journal Article"&gt;17&lt;/ref-type&gt;&lt;contributors&gt;&lt;authors&gt;&lt;author&gt;Room, Graham&lt;/author&gt;&lt;/authors&gt;&lt;/contributors&gt;&lt;titles&gt;&lt;title&gt;Commodification and decommodification: a developmental critique&lt;/title&gt;&lt;secondary-title&gt;Policy &amp;amp; Politics&lt;/secondary-title&gt;&lt;/titles&gt;&lt;periodical&gt;&lt;full-title&gt;Policy &amp;amp; Politics&lt;/full-title&gt;&lt;/periodical&gt;&lt;pages&gt;331-351&lt;/pages&gt;&lt;volume&gt;28&lt;/volume&gt;&lt;number&gt;3&lt;/number&gt;&lt;dates&gt;&lt;year&gt;2000&lt;/year&gt;&lt;/dates&gt;&lt;pub-location&gt;Bristol, UK&lt;/pub-location&gt;&lt;publisher&gt;Policy Press&lt;/publisher&gt;&lt;urls&gt;&lt;related-urls&gt;&lt;url&gt;https://bristoluniversitypressdigital.com/view/journals/pp/28/3/article-p331.xml&lt;/url&gt;&lt;/related-urls&gt;&lt;/urls&gt;&lt;electronic-resource-num&gt;10.1332/0305573002501009&lt;/electronic-resource-num&gt;&lt;language&gt;English&lt;/language&gt;&lt;/record&gt;&lt;/Cite&gt;&lt;/EndNote&gt;</w:instrText>
      </w:r>
      <w:r w:rsidRPr="004128BD">
        <w:rPr>
          <w:rFonts w:ascii="Times New Roman" w:hAnsi="Times New Roman" w:cs="Times New Roman"/>
        </w:rPr>
        <w:fldChar w:fldCharType="separate"/>
      </w:r>
      <w:r w:rsidRPr="004128BD">
        <w:rPr>
          <w:rFonts w:ascii="Times New Roman" w:hAnsi="Times New Roman" w:cs="Times New Roman"/>
          <w:noProof/>
        </w:rPr>
        <w:t>(Room, 2000, p. 332)</w:t>
      </w:r>
      <w:r w:rsidRPr="004128BD">
        <w:rPr>
          <w:rFonts w:ascii="Times New Roman" w:hAnsi="Times New Roman" w:cs="Times New Roman"/>
        </w:rPr>
        <w:fldChar w:fldCharType="end"/>
      </w:r>
      <w:r w:rsidRPr="004128BD">
        <w:rPr>
          <w:rFonts w:ascii="Times New Roman" w:hAnsi="Times New Roman" w:cs="Times New Roman"/>
        </w:rPr>
        <w:t xml:space="preserve">. Based on </w:t>
      </w:r>
      <w:r w:rsidRPr="004128BD">
        <w:rPr>
          <w:rFonts w:ascii="Times New Roman" w:hAnsi="Times New Roman" w:cs="Times New Roman"/>
          <w:i/>
          <w:iCs/>
        </w:rPr>
        <w:t>the Communist Manifesto</w:t>
      </w:r>
      <w:r w:rsidRPr="004128BD">
        <w:rPr>
          <w:rFonts w:ascii="Times New Roman" w:hAnsi="Times New Roman" w:cs="Times New Roman"/>
        </w:rPr>
        <w:t xml:space="preserve"> </w:t>
      </w:r>
      <w:r w:rsidRPr="004128BD">
        <w:rPr>
          <w:rFonts w:ascii="Times New Roman" w:hAnsi="Times New Roman" w:cs="Times New Roman"/>
        </w:rPr>
        <w:fldChar w:fldCharType="begin"/>
      </w:r>
      <w:r>
        <w:rPr>
          <w:rFonts w:ascii="Times New Roman" w:hAnsi="Times New Roman" w:cs="Times New Roman"/>
        </w:rPr>
        <w:instrText xml:space="preserve"> ADDIN EN.CITE &lt;EndNote&gt;&lt;Cite&gt;&lt;Author&gt;Marx&lt;/Author&gt;&lt;Year&gt;2002&lt;/Year&gt;&lt;RecNum&gt;850&lt;/RecNum&gt;&lt;DisplayText&gt;(Marx &amp;amp; Engels, 2002)&lt;/DisplayText&gt;&lt;record&gt;&lt;rec-number&gt;850&lt;/rec-number&gt;&lt;foreign-keys&gt;&lt;key app="EN" db-id="2pe9e00ros0veneeptspa5vhz0pw2az52v20" timestamp="1575685809" guid="a0cbd106-0e5a-475f-acd8-9c708a264dc4"&gt;850&lt;/key&gt;&lt;/foreign-keys&gt;&lt;ref-type name="Book"&gt;6&lt;/ref-type&gt;&lt;contributors&gt;&lt;authors&gt;&lt;author&gt;Marx, Karl&lt;/author&gt;&lt;author&gt;Engels, Friedrich&lt;/author&gt;&lt;/authors&gt;&lt;/contributors&gt;&lt;titles&gt;&lt;title&gt;The Communist Manifesto&lt;/title&gt;&lt;/titles&gt;&lt;dates&gt;&lt;year&gt;2002&lt;/year&gt;&lt;/dates&gt;&lt;publisher&gt;Penguin&lt;/publisher&gt;&lt;isbn&gt;0140447571&lt;/isbn&gt;&lt;urls&gt;&lt;/urls&gt;&lt;/record&gt;&lt;/Cite&gt;&lt;/EndNote&gt;</w:instrText>
      </w:r>
      <w:r w:rsidRPr="004128BD">
        <w:rPr>
          <w:rFonts w:ascii="Times New Roman" w:hAnsi="Times New Roman" w:cs="Times New Roman"/>
        </w:rPr>
        <w:fldChar w:fldCharType="separate"/>
      </w:r>
      <w:r w:rsidRPr="004128BD">
        <w:rPr>
          <w:rFonts w:ascii="Times New Roman" w:hAnsi="Times New Roman" w:cs="Times New Roman"/>
          <w:noProof/>
        </w:rPr>
        <w:t>(Marx &amp; Engels, 2002)</w:t>
      </w:r>
      <w:r w:rsidRPr="004128BD">
        <w:rPr>
          <w:rFonts w:ascii="Times New Roman" w:hAnsi="Times New Roman" w:cs="Times New Roman"/>
        </w:rPr>
        <w:fldChar w:fldCharType="end"/>
      </w:r>
      <w:r w:rsidRPr="004128BD">
        <w:rPr>
          <w:rFonts w:ascii="Times New Roman" w:hAnsi="Times New Roman" w:cs="Times New Roman"/>
        </w:rPr>
        <w:t>, commodities are constantly revolutionized by advancing the instruments of production. Commodification is also accompanied by</w:t>
      </w:r>
      <w:r w:rsidRPr="004128BD">
        <w:rPr>
          <w:rFonts w:ascii="Times New Roman" w:hAnsi="Times New Roman" w:cs="Times New Roman"/>
          <w:i/>
          <w:iCs/>
        </w:rPr>
        <w:t xml:space="preserve"> division of labor in society</w:t>
      </w:r>
      <w:r w:rsidRPr="004128BD">
        <w:rPr>
          <w:rFonts w:ascii="Times New Roman" w:hAnsi="Times New Roman" w:cs="Times New Roman"/>
        </w:rPr>
        <w:t xml:space="preserve">, particularly related to characteristics of the growth of structural difference, the extension of individualism to the suicide of collective conscience, and the higher competition level within the population </w:t>
      </w:r>
      <w:r w:rsidRPr="004128BD">
        <w:rPr>
          <w:rFonts w:ascii="Times New Roman" w:hAnsi="Times New Roman" w:cs="Times New Roman"/>
        </w:rPr>
        <w:fldChar w:fldCharType="begin"/>
      </w:r>
      <w:r w:rsidRPr="004128BD">
        <w:rPr>
          <w:rFonts w:ascii="Times New Roman" w:hAnsi="Times New Roman" w:cs="Times New Roman"/>
        </w:rPr>
        <w:instrText xml:space="preserve"> ADDIN EN.CITE &lt;EndNote&gt;&lt;Cite&gt;&lt;Author&gt;Giddens&lt;/Author&gt;&lt;Year&gt;1972&lt;/Year&gt;&lt;RecNum&gt;832&lt;/RecNum&gt;&lt;DisplayText&gt;(Giddens, 1972)&lt;/DisplayText&gt;&lt;record&gt;&lt;rec-number&gt;832&lt;/rec-number&gt;&lt;foreign-keys&gt;&lt;key app="EN" db-id="2pe9e00ros0veneeptspa5vhz0pw2az52v20" timestamp="1572291972" guid="0edf245e-9ad6-461e-a245-9f92e1f3fa6e"&gt;832&lt;/key&gt;&lt;/foreign-keys&gt;&lt;ref-type name="Book"&gt;6&lt;/ref-type&gt;&lt;contributors&gt;&lt;authors&gt;&lt;author&gt;Giddens, Anthony&lt;/author&gt;&lt;/authors&gt;&lt;/contributors&gt;&lt;titles&gt;&lt;title&gt;Emile Durkheim: selected writings&lt;/title&gt;&lt;/titles&gt;&lt;dates&gt;&lt;year&gt;1972&lt;/year&gt;&lt;/dates&gt;&lt;pub-location&gt;Cambridge&lt;/pub-location&gt;&lt;publisher&gt;Cambridge University Press&lt;/publisher&gt;&lt;isbn&gt;0521097126&lt;/isbn&gt;&lt;urls&gt;&lt;/urls&gt;&lt;/record&gt;&lt;/Cite&gt;&lt;/EndNote&gt;</w:instrText>
      </w:r>
      <w:r w:rsidRPr="004128BD">
        <w:rPr>
          <w:rFonts w:ascii="Times New Roman" w:hAnsi="Times New Roman" w:cs="Times New Roman"/>
        </w:rPr>
        <w:fldChar w:fldCharType="separate"/>
      </w:r>
      <w:r w:rsidRPr="004128BD">
        <w:rPr>
          <w:rFonts w:ascii="Times New Roman" w:hAnsi="Times New Roman" w:cs="Times New Roman"/>
          <w:noProof/>
        </w:rPr>
        <w:t>(Giddens, 1972)</w:t>
      </w:r>
      <w:r w:rsidRPr="004128BD">
        <w:rPr>
          <w:rFonts w:ascii="Times New Roman" w:hAnsi="Times New Roman" w:cs="Times New Roman"/>
        </w:rPr>
        <w:fldChar w:fldCharType="end"/>
      </w:r>
      <w:r w:rsidRPr="004128BD">
        <w:rPr>
          <w:rFonts w:ascii="Times New Roman" w:hAnsi="Times New Roman" w:cs="Times New Roman"/>
        </w:rPr>
        <w:t>.</w:t>
      </w:r>
    </w:p>
    <w:p w14:paraId="569FD028" w14:textId="77777777" w:rsidR="00256B3D" w:rsidRDefault="00256B3D" w:rsidP="00256B3D">
      <w:pPr>
        <w:spacing w:line="480" w:lineRule="auto"/>
        <w:ind w:firstLine="720"/>
        <w:rPr>
          <w:rFonts w:ascii="Times New Roman" w:hAnsi="Times New Roman" w:cs="Times New Roman"/>
        </w:rPr>
      </w:pPr>
      <w:r w:rsidRPr="004128BD">
        <w:rPr>
          <w:rFonts w:ascii="Times New Roman" w:hAnsi="Times New Roman" w:cs="Times New Roman"/>
        </w:rPr>
        <w:lastRenderedPageBreak/>
        <w:t xml:space="preserve">Decommodification describes a worker “who, notwithstanding unemployment, sickness, or other interruption to normal earnings, is able to maintain a basic standard of living” </w:t>
      </w:r>
      <w:r w:rsidRPr="004128BD">
        <w:rPr>
          <w:rFonts w:ascii="Times New Roman" w:hAnsi="Times New Roman" w:cs="Times New Roman"/>
        </w:rPr>
        <w:fldChar w:fldCharType="begin"/>
      </w:r>
      <w:r w:rsidRPr="004128BD">
        <w:rPr>
          <w:rFonts w:ascii="Times New Roman" w:hAnsi="Times New Roman" w:cs="Times New Roman"/>
        </w:rPr>
        <w:instrText xml:space="preserve"> ADDIN EN.CITE &lt;EndNote&gt;&lt;Cite&gt;&lt;Author&gt;Room&lt;/Author&gt;&lt;Year&gt;2000&lt;/Year&gt;&lt;RecNum&gt;2261&lt;/RecNum&gt;&lt;Pages&gt;333&lt;/Pages&gt;&lt;DisplayText&gt;(Room, 2000, p. 333)&lt;/DisplayText&gt;&lt;record&gt;&lt;rec-number&gt;2261&lt;/rec-number&gt;&lt;foreign-keys&gt;&lt;key app="EN" db-id="2pe9e00ros0veneeptspa5vhz0pw2az52v20" timestamp="1704679721" guid="a495e45a-7199-4516-95e8-46ca4b95d8cd"&gt;2261&lt;/key&gt;&lt;/foreign-keys&gt;&lt;ref-type name="Journal Article"&gt;17&lt;/ref-type&gt;&lt;contributors&gt;&lt;authors&gt;&lt;author&gt;Room, Graham&lt;/author&gt;&lt;/authors&gt;&lt;/contributors&gt;&lt;titles&gt;&lt;title&gt;Commodification and decommodification: a developmental critique&lt;/title&gt;&lt;secondary-title&gt;Policy &amp;amp; Politics&lt;/secondary-title&gt;&lt;/titles&gt;&lt;periodical&gt;&lt;full-title&gt;Policy &amp;amp; Politics&lt;/full-title&gt;&lt;/periodical&gt;&lt;pages&gt;331-351&lt;/pages&gt;&lt;volume&gt;28&lt;/volume&gt;&lt;number&gt;3&lt;/number&gt;&lt;dates&gt;&lt;year&gt;2000&lt;/year&gt;&lt;/dates&gt;&lt;pub-location&gt;Bristol, UK&lt;/pub-location&gt;&lt;publisher&gt;Policy Press&lt;/publisher&gt;&lt;urls&gt;&lt;related-urls&gt;&lt;url&gt;https://bristoluniversitypressdigital.com/view/journals/pp/28/3/article-p331.xml&lt;/url&gt;&lt;/related-urls&gt;&lt;/urls&gt;&lt;electronic-resource-num&gt;10.1332/0305573002501009&lt;/electronic-resource-num&gt;&lt;language&gt;English&lt;/language&gt;&lt;/record&gt;&lt;/Cite&gt;&lt;/EndNote&gt;</w:instrText>
      </w:r>
      <w:r w:rsidRPr="004128BD">
        <w:rPr>
          <w:rFonts w:ascii="Times New Roman" w:hAnsi="Times New Roman" w:cs="Times New Roman"/>
        </w:rPr>
        <w:fldChar w:fldCharType="separate"/>
      </w:r>
      <w:r w:rsidRPr="004128BD">
        <w:rPr>
          <w:rFonts w:ascii="Times New Roman" w:hAnsi="Times New Roman" w:cs="Times New Roman"/>
          <w:noProof/>
        </w:rPr>
        <w:t>(Room, 2000, p. 333)</w:t>
      </w:r>
      <w:r w:rsidRPr="004128BD">
        <w:rPr>
          <w:rFonts w:ascii="Times New Roman" w:hAnsi="Times New Roman" w:cs="Times New Roman"/>
        </w:rPr>
        <w:fldChar w:fldCharType="end"/>
      </w:r>
      <w:r w:rsidRPr="004128BD">
        <w:rPr>
          <w:rFonts w:ascii="Times New Roman" w:hAnsi="Times New Roman" w:cs="Times New Roman"/>
        </w:rPr>
        <w:t xml:space="preserve">. According to </w:t>
      </w:r>
      <w:r>
        <w:rPr>
          <w:rFonts w:ascii="Times New Roman" w:hAnsi="Times New Roman" w:cs="Times New Roman"/>
        </w:rPr>
        <w:t>Esping-Andersen’s explanations</w:t>
      </w:r>
      <w:r w:rsidRPr="004128BD">
        <w:rPr>
          <w:rFonts w:ascii="Times New Roman" w:hAnsi="Times New Roman" w:cs="Times New Roman"/>
        </w:rPr>
        <w:t>, decommodification is achieved through the welfare systems of the 20</w:t>
      </w:r>
      <w:r w:rsidRPr="004128BD">
        <w:rPr>
          <w:rFonts w:ascii="Times New Roman" w:hAnsi="Times New Roman" w:cs="Times New Roman"/>
          <w:vertAlign w:val="superscript"/>
        </w:rPr>
        <w:t>th</w:t>
      </w:r>
      <w:r w:rsidRPr="004128BD">
        <w:rPr>
          <w:rFonts w:ascii="Times New Roman" w:hAnsi="Times New Roman" w:cs="Times New Roman"/>
        </w:rPr>
        <w:t xml:space="preserve"> century, and he operationalized the welfare system by the index of pension, unemployment, and other social benefit. Two forms of decommodification are with reference to </w:t>
      </w:r>
      <w:r w:rsidRPr="00BC7C0E">
        <w:rPr>
          <w:rFonts w:ascii="Times New Roman" w:hAnsi="Times New Roman" w:cs="Times New Roman"/>
          <w:i/>
          <w:iCs/>
        </w:rPr>
        <w:t>common basic needs</w:t>
      </w:r>
      <w:r w:rsidRPr="004128BD">
        <w:rPr>
          <w:rFonts w:ascii="Times New Roman" w:hAnsi="Times New Roman" w:cs="Times New Roman"/>
        </w:rPr>
        <w:t xml:space="preserve"> and </w:t>
      </w:r>
      <w:r w:rsidRPr="00BC7C0E">
        <w:rPr>
          <w:rFonts w:ascii="Times New Roman" w:hAnsi="Times New Roman" w:cs="Times New Roman"/>
          <w:i/>
          <w:iCs/>
        </w:rPr>
        <w:t>income continuity within an income hierarchy</w:t>
      </w:r>
      <w:r w:rsidRPr="004128BD">
        <w:rPr>
          <w:rFonts w:ascii="Times New Roman" w:hAnsi="Times New Roman" w:cs="Times New Roman"/>
        </w:rPr>
        <w:t>.</w:t>
      </w:r>
      <w:r>
        <w:rPr>
          <w:rFonts w:ascii="Times New Roman" w:hAnsi="Times New Roman" w:cs="Times New Roman"/>
        </w:rPr>
        <w:t xml:space="preserve"> </w:t>
      </w:r>
      <w:r w:rsidRPr="004128BD">
        <w:rPr>
          <w:rFonts w:ascii="Times New Roman" w:hAnsi="Times New Roman" w:cs="Times New Roman"/>
        </w:rPr>
        <w:fldChar w:fldCharType="begin"/>
      </w:r>
      <w:r>
        <w:rPr>
          <w:rFonts w:ascii="Times New Roman" w:hAnsi="Times New Roman" w:cs="Times New Roman"/>
        </w:rPr>
        <w:instrText xml:space="preserve"> ADDIN EN.CITE &lt;EndNote&gt;&lt;Cite AuthorYear="1"&gt;&lt;Author&gt;Esping-Andersen&lt;/Author&gt;&lt;Year&gt;1990&lt;/Year&gt;&lt;RecNum&gt;2259&lt;/RecNum&gt;&lt;DisplayText&gt;Esping-Andersen (1990)&lt;/DisplayText&gt;&lt;record&gt;&lt;rec-number&gt;2259&lt;/rec-number&gt;&lt;foreign-keys&gt;&lt;key app="EN" db-id="2pe9e00ros0veneeptspa5vhz0pw2az52v20" timestamp="1704665809" guid="159e43f2-a53c-4a02-aa15-735e98f9e0ca"&gt;2259&lt;/key&gt;&lt;/foreign-keys&gt;&lt;ref-type name="Book"&gt;6&lt;/ref-type&gt;&lt;contributors&gt;&lt;authors&gt;&lt;author&gt;Esping-Andersen, Gosta&lt;/author&gt;&lt;/authors&gt;&lt;/contributors&gt;&lt;titles&gt;&lt;title&gt;The three worlds of welfare capitalism&lt;/title&gt;&lt;/titles&gt;&lt;dates&gt;&lt;year&gt;1990&lt;/year&gt;&lt;/dates&gt;&lt;publisher&gt;Princeton University Press&lt;/publisher&gt;&lt;isbn&gt;0691028575&lt;/isbn&gt;&lt;urls&gt;&lt;/urls&gt;&lt;/record&gt;&lt;/Cite&gt;&lt;/EndNote&gt;</w:instrText>
      </w:r>
      <w:r w:rsidRPr="004128BD">
        <w:rPr>
          <w:rFonts w:ascii="Times New Roman" w:hAnsi="Times New Roman" w:cs="Times New Roman"/>
        </w:rPr>
        <w:fldChar w:fldCharType="separate"/>
      </w:r>
      <w:r>
        <w:rPr>
          <w:rFonts w:ascii="Times New Roman" w:hAnsi="Times New Roman" w:cs="Times New Roman"/>
          <w:noProof/>
        </w:rPr>
        <w:t>Esping-Andersen (1990)</w:t>
      </w:r>
      <w:r w:rsidRPr="004128BD">
        <w:rPr>
          <w:rFonts w:ascii="Times New Roman" w:hAnsi="Times New Roman" w:cs="Times New Roman"/>
        </w:rPr>
        <w:fldChar w:fldCharType="end"/>
      </w:r>
      <w:r>
        <w:rPr>
          <w:rFonts w:ascii="Times New Roman" w:hAnsi="Times New Roman" w:cs="Times New Roman"/>
        </w:rPr>
        <w:t xml:space="preserve"> also identifies three kinds of decommodification. The </w:t>
      </w:r>
      <w:r w:rsidRPr="00010331">
        <w:rPr>
          <w:rFonts w:ascii="Times New Roman" w:hAnsi="Times New Roman" w:cs="Times New Roman"/>
          <w:i/>
          <w:iCs/>
        </w:rPr>
        <w:t>conservative</w:t>
      </w:r>
      <w:r>
        <w:rPr>
          <w:rFonts w:ascii="Times New Roman" w:hAnsi="Times New Roman" w:cs="Times New Roman"/>
        </w:rPr>
        <w:t xml:space="preserve"> approach considers social stability to be based on church and family. The </w:t>
      </w:r>
      <w:r w:rsidRPr="00010331">
        <w:rPr>
          <w:rFonts w:ascii="Times New Roman" w:hAnsi="Times New Roman" w:cs="Times New Roman"/>
          <w:i/>
          <w:iCs/>
        </w:rPr>
        <w:t>liberal</w:t>
      </w:r>
      <w:r>
        <w:rPr>
          <w:rFonts w:ascii="Times New Roman" w:hAnsi="Times New Roman" w:cs="Times New Roman"/>
        </w:rPr>
        <w:t xml:space="preserve"> approach relies on the market but recognizes that the market will always leave gaps that need to be filled by charity and the family. The</w:t>
      </w:r>
      <w:r w:rsidRPr="00010331">
        <w:rPr>
          <w:rFonts w:ascii="Times New Roman" w:hAnsi="Times New Roman" w:cs="Times New Roman"/>
          <w:i/>
          <w:iCs/>
        </w:rPr>
        <w:t xml:space="preserve"> socialist</w:t>
      </w:r>
      <w:r>
        <w:rPr>
          <w:rFonts w:ascii="Times New Roman" w:hAnsi="Times New Roman" w:cs="Times New Roman"/>
        </w:rPr>
        <w:t xml:space="preserve"> approach reflects the state-funded universal services, such as free K-12 education. </w:t>
      </w:r>
    </w:p>
    <w:p w14:paraId="4C0178DB" w14:textId="77777777" w:rsidR="00256B3D" w:rsidRPr="004128BD" w:rsidRDefault="00256B3D" w:rsidP="00256B3D">
      <w:pPr>
        <w:spacing w:line="480" w:lineRule="auto"/>
        <w:ind w:firstLine="720"/>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 AuthorYear="1"&gt;&lt;Author&gt;Robison&lt;/Author&gt;&lt;Year&gt;2015&lt;/Year&gt;&lt;RecNum&gt;2265&lt;/RecNum&gt;&lt;DisplayText&gt;Robison et al. (2015)&lt;/DisplayText&gt;&lt;record&gt;&lt;rec-number&gt;2265&lt;/rec-number&gt;&lt;foreign-keys&gt;&lt;key app="EN" db-id="2pe9e00ros0veneeptspa5vhz0pw2az52v20" timestamp="1705031950" guid="525042b1-9c51-4da6-aaba-72fd104bf4a5"&gt;2265&lt;/key&gt;&lt;/foreign-keys&gt;&lt;ref-type name="Conference Paper"&gt;47&lt;/ref-type&gt;&lt;contributors&gt;&lt;authors&gt;&lt;author&gt;Robison, Lindon&lt;/author&gt;&lt;author&gt;Oliver, Jeffrey&lt;/author&gt;&lt;author&gt;Frank, Kenneth&lt;/author&gt;&lt;/authors&gt;&lt;/contributors&gt;&lt;titles&gt;&lt;title&gt;Commodity and Relational Good Exchanges: Commodification and Decommodification&lt;/title&gt;&lt;secondary-title&gt;2015 Allied Social Sciences Association (ASSA) Annual Meeting&lt;/secondary-title&gt;&lt;/titles&gt;&lt;keywords&gt;&lt;keyword&gt;International Development&lt;/keyword&gt;&lt;keyword&gt;Productivity Analysis&lt;/keyword&gt;&lt;keyword&gt;Public Economics&lt;/keyword&gt;&lt;/keywords&gt;&lt;dates&gt;&lt;year&gt;2015&lt;/year&gt;&lt;/dates&gt;&lt;pub-location&gt;Boston, Massachusetts&lt;/pub-location&gt;&lt;publisher&gt;Agricultural and Applied Economics Association&lt;/publisher&gt;&lt;urls&gt;&lt;related-urls&gt;&lt;url&gt;http://purl.umn.edu/189690&lt;/url&gt;&lt;/related-urls&gt;&lt;/urls&gt;&lt;electronic-resource-num&gt;10.22004/ag.econ.189690&lt;/electronic-resource-num&gt;&lt;/record&gt;&lt;/Cite&gt;&lt;/EndNote&gt;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Robison et al. (2015)</w:t>
      </w:r>
      <w:r>
        <w:rPr>
          <w:rFonts w:ascii="Times New Roman" w:hAnsi="Times New Roman" w:cs="Times New Roman"/>
        </w:rPr>
        <w:fldChar w:fldCharType="end"/>
      </w:r>
      <w:r>
        <w:rPr>
          <w:rFonts w:ascii="Times New Roman" w:hAnsi="Times New Roman" w:cs="Times New Roman"/>
        </w:rPr>
        <w:t xml:space="preserve"> applied the exchange perspective to understand relational goods and conceptualized commodification and decommodification. In concrete, commodification is a process in which relational goods are converted into commodities, such as land, art, culture, relationship, identity, and history; decommodification represents the reverse of commodification – specifically, the processes in which commodities are converted into relational goods or in something’s value as a commodity is enhanced by embedding it with feelings related to validation, </w:t>
      </w:r>
      <w:proofErr w:type="gramStart"/>
      <w:r>
        <w:rPr>
          <w:rFonts w:ascii="Times New Roman" w:hAnsi="Times New Roman" w:cs="Times New Roman"/>
        </w:rPr>
        <w:t>belonging</w:t>
      </w:r>
      <w:proofErr w:type="gramEnd"/>
      <w:r>
        <w:rPr>
          <w:rFonts w:ascii="Times New Roman" w:hAnsi="Times New Roman" w:cs="Times New Roman"/>
        </w:rPr>
        <w:t xml:space="preserve"> or knowing – resulting in the emergence of a relational good. </w:t>
      </w:r>
    </w:p>
    <w:p w14:paraId="6F8639BB" w14:textId="77777777" w:rsidR="00256B3D" w:rsidRPr="00323245" w:rsidRDefault="00256B3D" w:rsidP="00256B3D">
      <w:pPr>
        <w:spacing w:line="480" w:lineRule="auto"/>
        <w:rPr>
          <w:rFonts w:ascii="Times New Roman" w:hAnsi="Times New Roman" w:cs="Times New Roman"/>
          <w:b/>
          <w:bCs/>
        </w:rPr>
      </w:pPr>
      <w:r>
        <w:rPr>
          <w:rFonts w:ascii="Times New Roman" w:hAnsi="Times New Roman" w:cs="Times New Roman"/>
          <w:b/>
          <w:bCs/>
        </w:rPr>
        <w:t>Research on the Commerce-Care Dialectic in Funeral Services</w:t>
      </w:r>
    </w:p>
    <w:p w14:paraId="0B61A26A" w14:textId="77777777" w:rsidR="00256B3D" w:rsidRDefault="00256B3D" w:rsidP="00256B3D">
      <w:pPr>
        <w:spacing w:line="480" w:lineRule="auto"/>
        <w:ind w:firstLine="720"/>
        <w:rPr>
          <w:rFonts w:ascii="Times New Roman" w:hAnsi="Times New Roman" w:cs="Times New Roman"/>
        </w:rPr>
      </w:pPr>
      <w:r>
        <w:rPr>
          <w:rFonts w:ascii="Times New Roman" w:hAnsi="Times New Roman" w:cs="Times New Roman"/>
        </w:rPr>
        <w:t xml:space="preserve">The manuscript identifies three research groups on the commerce-care dialectic in funeral services: dialectic management, dialectic trend, and dialectic difference. </w:t>
      </w:r>
    </w:p>
    <w:p w14:paraId="3BA06A24" w14:textId="77777777" w:rsidR="00256B3D" w:rsidRDefault="00256B3D" w:rsidP="00256B3D">
      <w:pPr>
        <w:spacing w:line="480" w:lineRule="auto"/>
        <w:ind w:firstLine="720"/>
        <w:rPr>
          <w:rFonts w:ascii="Times New Roman" w:hAnsi="Times New Roman" w:cs="Times New Roman"/>
        </w:rPr>
      </w:pPr>
      <w:r w:rsidRPr="00733C1F">
        <w:rPr>
          <w:rFonts w:ascii="Times New Roman" w:hAnsi="Times New Roman" w:cs="Times New Roman"/>
          <w:b/>
          <w:bCs/>
        </w:rPr>
        <w:t>Dialectic management</w:t>
      </w:r>
      <w:r>
        <w:rPr>
          <w:rFonts w:ascii="Times New Roman" w:hAnsi="Times New Roman" w:cs="Times New Roman"/>
        </w:rPr>
        <w:t xml:space="preserve">. Research explores how governmental agencies and funeral professionals manage the commerce-care dialectic in arranging and displaying funeral services. </w:t>
      </w:r>
    </w:p>
    <w:p w14:paraId="1414B24F" w14:textId="77777777" w:rsidR="00256B3D" w:rsidRDefault="00256B3D" w:rsidP="00256B3D">
      <w:pPr>
        <w:spacing w:line="480" w:lineRule="auto"/>
        <w:ind w:firstLine="720"/>
        <w:rPr>
          <w:rFonts w:ascii="Times New Roman" w:hAnsi="Times New Roman" w:cs="Times New Roman"/>
        </w:rPr>
      </w:pPr>
      <w:r>
        <w:rPr>
          <w:rFonts w:ascii="Times New Roman" w:hAnsi="Times New Roman" w:cs="Times New Roman"/>
        </w:rPr>
        <w:lastRenderedPageBreak/>
        <w:t xml:space="preserve">Governmental agencies enact policies for regulating funeral services. </w:t>
      </w:r>
      <w:r w:rsidRPr="00F223BC">
        <w:rPr>
          <w:rFonts w:ascii="Times New Roman" w:hAnsi="Times New Roman" w:cs="Times New Roman"/>
        </w:rPr>
        <w:t xml:space="preserve">In 1975, the FTC news bulletin proposed a “trading rule” to regulate the business of death and carried out even more extensive investigations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&lt;EndNote&gt;&lt;Cite&gt;&lt;Author&gt;Federal Trade Commission&lt;/Author&gt;&lt;Year&gt;1975&lt;/Year&gt;&lt;RecNum&gt;2007&lt;/RecNum&gt;&lt;DisplayText&gt;(Federal Trade Commission, 1975)&lt;/DisplayText&gt;&lt;record&gt;&lt;rec-number&gt;2007&lt;/rec-number&gt;&lt;foreign-keys&gt;&lt;key app="EN" db-id="2pe9e00ros0veneeptspa5vhz0pw2az52v20" timestamp="1694882856" guid="0a5276fc-f2be-4bf0-aa59-0c00f719e597"&gt;2007&lt;/key&gt;&lt;/foreign-keys&gt;&lt;ref-type name="Book"&gt;6&lt;/ref-type&gt;&lt;contributors&gt;&lt;authors&gt;&lt;author&gt;Federal Trade Commission,&lt;/author&gt;&lt;/authors&gt;&lt;/contributors&gt;&lt;titles&gt;&lt;title&gt;Funeral industry practices: proposed trade regulation rule and staff memorandum&lt;/title&gt;&lt;/titles&gt;&lt;dates&gt;&lt;year&gt;1975&lt;/year&gt;&lt;/dates&gt;&lt;pub-location&gt;District of Columbia&lt;/pub-location&gt;&lt;publisher&gt;District of Columbia: Division of Special Projects, Bureau of Consumer Protection&lt;/publisher&gt;&lt;urls&gt;&lt;/urls&gt;&lt;/record&gt;&lt;/Cite&gt;&lt;/EndNote&gt;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(Federal Trade Commission, 1975)</w:t>
      </w:r>
      <w:r w:rsidRPr="00F223BC">
        <w:rPr>
          <w:rFonts w:ascii="Times New Roman" w:hAnsi="Times New Roman" w:cs="Times New Roman"/>
        </w:rPr>
        <w:fldChar w:fldCharType="end"/>
      </w:r>
      <w:r w:rsidRPr="00F223BC">
        <w:rPr>
          <w:rFonts w:ascii="Times New Roman" w:hAnsi="Times New Roman" w:cs="Times New Roman"/>
        </w:rPr>
        <w:t xml:space="preserve">. The trade regulation rule on the funeral industry was amended as time changed, and the current one is entitled </w:t>
      </w:r>
      <w:r w:rsidRPr="00F223BC">
        <w:rPr>
          <w:rFonts w:ascii="Times New Roman" w:hAnsi="Times New Roman" w:cs="Times New Roman"/>
          <w:i/>
          <w:iCs/>
        </w:rPr>
        <w:t>Complying with the Funeral Rule</w:t>
      </w:r>
      <w:r w:rsidRPr="00F223BC">
        <w:rPr>
          <w:rFonts w:ascii="Times New Roman" w:hAnsi="Times New Roman" w:cs="Times New Roman"/>
        </w:rPr>
        <w:t xml:space="preserve"> </w:t>
      </w:r>
      <w:r w:rsidRPr="00F223BC">
        <w:rPr>
          <w:rFonts w:ascii="Times New Roman" w:hAnsi="Times New Roman" w:cs="Times New Roman"/>
        </w:rPr>
        <w:fldChar w:fldCharType="begin"/>
      </w:r>
      <w:r w:rsidRPr="00F223BC">
        <w:rPr>
          <w:rFonts w:ascii="Times New Roman" w:hAnsi="Times New Roman" w:cs="Times New Roman"/>
        </w:rPr>
        <w:instrText xml:space="preserve"> ADDIN EN.CITE &lt;EndNote&gt;&lt;Cite&gt;&lt;Author&gt;Federal Trade Commission&lt;/Author&gt;&lt;Year&gt;2023&lt;/Year&gt;&lt;RecNum&gt;2009&lt;/RecNum&gt;&lt;DisplayText&gt;(Federal Trade Commission, 2023)&lt;/DisplayText&gt;&lt;record&gt;&lt;rec-number&gt;2009&lt;/rec-number&gt;&lt;foreign-keys&gt;&lt;key app="EN" db-id="2pe9e00ros0veneeptspa5vhz0pw2az52v20" timestamp="1694885448" guid="ecc679a8-6ba5-4450-b3f6-5f06481617ce"&gt;2009&lt;/key&gt;&lt;/foreign-keys&gt;&lt;ref-type name="Web Page"&gt;12&lt;/ref-type&gt;&lt;contributors&gt;&lt;authors&gt;&lt;author&gt;Federal Trade Commission,&lt;/author&gt;&lt;/authors&gt;&lt;/contributors&gt;&lt;titles&gt;&lt;title&gt;Complying with the Funeral Rule&lt;/title&gt;&lt;/titles&gt;&lt;volume&gt;2023&lt;/volume&gt;&lt;number&gt;Sep. 16&lt;/number&gt;&lt;dates&gt;&lt;year&gt;2023&lt;/year&gt;&lt;/dates&gt;&lt;urls&gt;&lt;related-urls&gt;&lt;url&gt;https://www.ftc.gov/business-guidance/resources/complying-funeral-rule&lt;/url&gt;&lt;/related-urls&gt;&lt;/urls&gt;&lt;/record&gt;&lt;/Cite&gt;&lt;/EndNote&gt;</w:instrText>
      </w:r>
      <w:r w:rsidRPr="00F223BC">
        <w:rPr>
          <w:rFonts w:ascii="Times New Roman" w:hAnsi="Times New Roman" w:cs="Times New Roman"/>
        </w:rPr>
        <w:fldChar w:fldCharType="separate"/>
      </w:r>
      <w:r w:rsidRPr="00F223BC">
        <w:rPr>
          <w:rFonts w:ascii="Times New Roman" w:hAnsi="Times New Roman" w:cs="Times New Roman"/>
          <w:noProof/>
        </w:rPr>
        <w:t>(Federal Trade Commission, 2023)</w:t>
      </w:r>
      <w:r w:rsidRPr="00F223BC">
        <w:rPr>
          <w:rFonts w:ascii="Times New Roman" w:hAnsi="Times New Roman" w:cs="Times New Roman"/>
        </w:rPr>
        <w:fldChar w:fldCharType="end"/>
      </w:r>
      <w:r w:rsidRPr="00F223BC">
        <w:rPr>
          <w:rFonts w:ascii="Times New Roman" w:hAnsi="Times New Roman" w:cs="Times New Roman"/>
        </w:rPr>
        <w:t>.</w:t>
      </w:r>
      <w:r>
        <w:rPr>
          <w:rFonts w:ascii="Times New Roman" w:hAnsi="Times New Roman" w:cs="Times New Roman"/>
        </w:rPr>
        <w:t xml:space="preserve"> </w:t>
      </w:r>
      <w:r w:rsidRPr="00F223BC">
        <w:rPr>
          <w:rFonts w:ascii="Times New Roman" w:hAnsi="Times New Roman" w:cs="Times New Roman"/>
        </w:rPr>
        <w:t xml:space="preserve">Two key messages are in the trading rule for funeral practices: </w:t>
      </w:r>
      <w:r>
        <w:rPr>
          <w:rFonts w:ascii="Times New Roman" w:hAnsi="Times New Roman" w:cs="Times New Roman"/>
        </w:rPr>
        <w:t xml:space="preserve">clients’ </w:t>
      </w:r>
      <w:r w:rsidRPr="003E3BD5">
        <w:rPr>
          <w:rFonts w:ascii="Times New Roman" w:hAnsi="Times New Roman" w:cs="Times New Roman"/>
        </w:rPr>
        <w:t>control of their funeral services and open information about merchandise of funeral items.</w:t>
      </w:r>
      <w:r>
        <w:rPr>
          <w:rFonts w:ascii="Times New Roman" w:hAnsi="Times New Roman" w:cs="Times New Roman"/>
        </w:rPr>
        <w:t xml:space="preserve"> Governmental agencies adapt to their regulations aligned with culture, technology, and societal development. For example, </w:t>
      </w:r>
      <w:r>
        <w:rPr>
          <w:rFonts w:ascii="Times New Roman" w:hAnsi="Times New Roman" w:cs="Times New Roman"/>
        </w:rPr>
        <w:fldChar w:fldCharType="begin"/>
      </w:r>
      <w:r>
        <w:rPr>
          <w:rFonts w:ascii="Times New Roman" w:hAnsi="Times New Roman" w:cs="Times New Roman"/>
        </w:rPr>
        <w:instrText xml:space="preserve"> ADDIN EN.CITE &lt;EndNote&gt;&lt;Cite AuthorYear="1"&gt;&lt;Author&gt;Maphela&lt;/Author&gt;&lt;Year&gt;2021&lt;/Year&gt;&lt;RecNum&gt;1618&lt;/RecNum&gt;&lt;DisplayText&gt;Maphela (2021)&lt;/DisplayText&gt;&lt;record&gt;&lt;rec-number&gt;1618&lt;/rec-number&gt;&lt;foreign-keys&gt;&lt;key app="EN" db-id="2pe9e00ros0veneeptspa5vhz0pw2az52v20" timestamp="1648570170" guid="190e100b-a171-4b76-b434-c50b770d474b"&gt;1618&lt;/key&gt;&lt;/foreign-keys&gt;&lt;ref-type name="Journal Article"&gt;17&lt;/ref-type&gt;&lt;contributors&gt;&lt;authors&gt;&lt;author&gt;Maphela, Bulelwa&lt;/author&gt;&lt;/authors&gt;&lt;/contributors&gt;&lt;titles&gt;&lt;title&gt;The role of local economic development and environmental health in the emerging funeral home sector in Mpumalanga, South Africa&lt;/title&gt;&lt;secondary-title&gt;African Journal of Development Studies&lt;/secondary-title&gt;&lt;/titles&gt;&lt;periodical&gt;&lt;full-title&gt;African Journal of Development Studies&lt;/full-title&gt;&lt;/periodical&gt;&lt;pages&gt;117&lt;/pages&gt;&lt;volume&gt;11&lt;/volume&gt;&lt;number&gt;4&lt;/number&gt;&lt;dates&gt;&lt;year&gt;2021&lt;/year&gt;&lt;/dates&gt;&lt;isbn&gt;2634-3630&lt;/isbn&gt;&lt;urls&gt;&lt;/urls&gt;&lt;electronic-resource-num&gt;10.31920/2634-3649/2021/v11n4a6&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Maphela (2021)</w:t>
      </w:r>
      <w:r>
        <w:rPr>
          <w:rFonts w:ascii="Times New Roman" w:hAnsi="Times New Roman" w:cs="Times New Roman"/>
        </w:rPr>
        <w:fldChar w:fldCharType="end"/>
      </w:r>
      <w:r>
        <w:rPr>
          <w:rFonts w:ascii="Times New Roman" w:hAnsi="Times New Roman" w:cs="Times New Roman"/>
        </w:rPr>
        <w:t xml:space="preserve"> proposed that emerging funeral homes should grow in tandem with local environmental health and economic development. Similarly, </w:t>
      </w:r>
      <w:r>
        <w:rPr>
          <w:rFonts w:ascii="Times New Roman" w:hAnsi="Times New Roman" w:cs="Times New Roman"/>
        </w:rPr>
        <w:fldChar w:fldCharType="begin"/>
      </w:r>
      <w:r>
        <w:rPr>
          <w:rFonts w:ascii="Times New Roman" w:hAnsi="Times New Roman" w:cs="Times New Roman"/>
        </w:rPr>
        <w:instrText xml:space="preserve"> ADDIN EN.CITE &lt;EndNote&gt;&lt;Cite AuthorYear="1"&gt;&lt;Author&gt;Marsh&lt;/Author&gt;&lt;Year&gt;2018&lt;/Year&gt;&lt;RecNum&gt;1600&lt;/RecNum&gt;&lt;DisplayText&gt;Marsh (2018)&lt;/DisplayText&gt;&lt;record&gt;&lt;rec-number&gt;1600&lt;/rec-number&gt;&lt;foreign-keys&gt;&lt;key app="EN" db-id="2pe9e00ros0veneeptspa5vhz0pw2az52v20" timestamp="1647626200" guid="08035ca4-a330-4d31-ac8a-7bdd3cf349fd"&gt;1600&lt;/key&gt;&lt;/foreign-keys&gt;&lt;ref-type name="Journal Article"&gt;17&lt;/ref-type&gt;&lt;contributors&gt;&lt;authors&gt;&lt;author&gt;Marsh, Tanya D&lt;/author&gt;&lt;/authors&gt;&lt;/contributors&gt;&lt;titles&gt;&lt;title&gt;Regulated to death: Occupational licensing and the demise of the US funeral services industry&lt;/title&gt;&lt;secondary-title&gt;Wake Forest JL &amp;amp; Pol&amp;apos;y&lt;/secondary-title&gt;&lt;/titles&gt;&lt;periodical&gt;&lt;full-title&gt;Wake Forest JL &amp;amp; Pol&amp;apos;y&lt;/full-title&gt;&lt;/periodical&gt;&lt;pages&gt;5&lt;/pages&gt;&lt;volume&gt;8&lt;/volume&gt;&lt;dates&gt;&lt;year&gt;2018&lt;/year&gt;&lt;/dates&gt;&lt;urls&gt;&lt;/urls&gt;&lt;/record&gt;&lt;/Cite&gt;&lt;/EndNote&gt;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Marsh (2018)</w:t>
      </w:r>
      <w:r>
        <w:rPr>
          <w:rFonts w:ascii="Times New Roman" w:hAnsi="Times New Roman" w:cs="Times New Roman"/>
        </w:rPr>
        <w:fldChar w:fldCharType="end"/>
      </w:r>
      <w:r>
        <w:rPr>
          <w:rFonts w:ascii="Times New Roman" w:hAnsi="Times New Roman" w:cs="Times New Roman"/>
        </w:rPr>
        <w:t xml:space="preserve"> argued that the occupational licensing regime of the funeral industry has limited </w:t>
      </w:r>
      <w:r w:rsidRPr="00D74391">
        <w:rPr>
          <w:rFonts w:ascii="Times New Roman" w:hAnsi="Times New Roman" w:cs="Times New Roman"/>
        </w:rPr>
        <w:t>competition and innovation through expensive barriers to entry that emphasize embalming education and equipment</w:t>
      </w:r>
      <w:r>
        <w:rPr>
          <w:rFonts w:ascii="Times New Roman" w:hAnsi="Times New Roman" w:cs="Times New Roman"/>
        </w:rPr>
        <w:t xml:space="preserve">. Moreover, </w:t>
      </w:r>
      <w:r>
        <w:rPr>
          <w:rFonts w:ascii="Times New Roman" w:hAnsi="Times New Roman" w:cs="Times New Roman"/>
        </w:rPr>
        <w:fldChar w:fldCharType="begin"/>
      </w:r>
      <w:r>
        <w:rPr>
          <w:rFonts w:ascii="Times New Roman" w:hAnsi="Times New Roman" w:cs="Times New Roman"/>
        </w:rPr>
        <w:instrText xml:space="preserve"> ADDIN EN.CITE &lt;EndNote&gt;&lt;Cite AuthorYear="1"&gt;&lt;Author&gt;James&lt;/Author&gt;&lt;Year&gt;2022&lt;/Year&gt;&lt;RecNum&gt;2280&lt;/RecNum&gt;&lt;DisplayText&gt;James et al. (2022)&lt;/DisplayText&gt;&lt;record&gt;&lt;rec-number&gt;2280&lt;/rec-number&gt;&lt;foreign-keys&gt;&lt;key app="EN" db-id="2pe9e00ros0veneeptspa5vhz0pw2az52v20" timestamp="1705290425" guid="32701e00-4d85-444f-a08e-0b426a6ae099"&gt;2280&lt;/key&gt;&lt;/foreign-keys&gt;&lt;ref-type name="Journal Article"&gt;17&lt;/ref-type&gt;&lt;contributors&gt;&lt;authors&gt;&lt;author&gt;James, Kristin&lt;/author&gt;&lt;author&gt;Hawley, Betsy&lt;/author&gt;&lt;author&gt;McCoy, Carrie R.&lt;/author&gt;&lt;author&gt;Lindley, Lisa C.&lt;/author&gt;&lt;/authors&gt;&lt;/contributors&gt;&lt;titles&gt;&lt;title&gt;Challenges and opportunities of providing pediatric funeral services: A national survey of funeral professionals&lt;/title&gt;&lt;secondary-title&gt;American Journal of Hospice and Palliative Medicine®&lt;/secondary-title&gt;&lt;/titles&gt;&lt;periodical&gt;&lt;full-title&gt;American Journal of Hospice and Palliative Medicine®&lt;/full-title&gt;&lt;/periodical&gt;&lt;pages&gt;289-294&lt;/pages&gt;&lt;volume&gt;39&lt;/volume&gt;&lt;number&gt;3&lt;/number&gt;&lt;keywords&gt;&lt;keyword&gt;pediatric end-of-life,pediatric funerals,funeral professionals,National Funeral Directors Association&lt;/keyword&gt;&lt;/keywords&gt;&lt;dates&gt;&lt;year&gt;2022&lt;/year&gt;&lt;/dates&gt;&lt;accession-num&gt;34036797&lt;/accession-num&gt;&lt;urls&gt;&lt;related-urls&gt;&lt;url&gt;https://journals.sagepub.com/doi/abs/10.1177/10499091211019298&lt;/url&gt;&lt;/related-urls&gt;&lt;/urls&gt;&lt;electronic-resource-num&gt;10.1177/10499091211019298&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James et al. (2022)</w:t>
      </w:r>
      <w:r>
        <w:rPr>
          <w:rFonts w:ascii="Times New Roman" w:hAnsi="Times New Roman" w:cs="Times New Roman"/>
        </w:rPr>
        <w:fldChar w:fldCharType="end"/>
      </w:r>
      <w:r>
        <w:rPr>
          <w:rFonts w:ascii="Times New Roman" w:hAnsi="Times New Roman" w:cs="Times New Roman"/>
        </w:rPr>
        <w:t xml:space="preserve"> advocated specific training for funeral professionals to improve </w:t>
      </w:r>
      <w:r w:rsidRPr="00BC0975">
        <w:rPr>
          <w:rFonts w:ascii="Times New Roman" w:hAnsi="Times New Roman" w:cs="Times New Roman"/>
        </w:rPr>
        <w:t>their skills and knowledge of pediatric funeral services</w:t>
      </w:r>
      <w:r>
        <w:rPr>
          <w:rFonts w:ascii="Times New Roman" w:hAnsi="Times New Roman" w:cs="Times New Roman"/>
        </w:rPr>
        <w:t xml:space="preserve">. </w:t>
      </w:r>
    </w:p>
    <w:p w14:paraId="79094242" w14:textId="77777777" w:rsidR="00256B3D" w:rsidRDefault="00256B3D" w:rsidP="00256B3D">
      <w:pPr>
        <w:spacing w:line="480" w:lineRule="auto"/>
        <w:ind w:firstLine="720"/>
        <w:rPr>
          <w:rFonts w:ascii="Times New Roman" w:hAnsi="Times New Roman" w:cs="Times New Roman"/>
        </w:rPr>
      </w:pPr>
      <w:r>
        <w:rPr>
          <w:rFonts w:ascii="Times New Roman" w:hAnsi="Times New Roman" w:cs="Times New Roman"/>
        </w:rPr>
        <w:t xml:space="preserve">Some research discusses how to manage the commerce-care dialectic when funeral professionals interact with clients. </w:t>
      </w:r>
      <w:r w:rsidRPr="00AB3B00">
        <w:rPr>
          <w:rFonts w:ascii="Times New Roman" w:hAnsi="Times New Roman" w:cs="Times New Roman"/>
        </w:rPr>
        <w:t xml:space="preserve">Four areas of </w:t>
      </w:r>
      <w:r>
        <w:rPr>
          <w:rFonts w:ascii="Times New Roman" w:hAnsi="Times New Roman" w:cs="Times New Roman"/>
        </w:rPr>
        <w:t xml:space="preserve">interaction deserve scholars’ attention to manifest the commerce-care dialectic: </w:t>
      </w:r>
      <w:r w:rsidRPr="00AB3B00">
        <w:rPr>
          <w:rFonts w:ascii="Times New Roman" w:hAnsi="Times New Roman" w:cs="Times New Roman"/>
        </w:rPr>
        <w:t>the economic environment of funerals</w:t>
      </w:r>
      <w:r>
        <w:rPr>
          <w:rFonts w:ascii="Times New Roman" w:hAnsi="Times New Roman" w:cs="Times New Roman"/>
        </w:rPr>
        <w:t>, the contractual relationship between the funeral director and client, control of the funeral,</w:t>
      </w:r>
      <w:r w:rsidRPr="00AB3B00">
        <w:rPr>
          <w:rFonts w:ascii="Times New Roman" w:hAnsi="Times New Roman" w:cs="Times New Roman"/>
        </w:rPr>
        <w:t xml:space="preserve"> and </w:t>
      </w:r>
      <w:r>
        <w:rPr>
          <w:rFonts w:ascii="Times New Roman" w:hAnsi="Times New Roman" w:cs="Times New Roman"/>
        </w:rPr>
        <w:t xml:space="preserve">the </w:t>
      </w:r>
      <w:r w:rsidRPr="00AB3B00">
        <w:rPr>
          <w:rFonts w:ascii="Times New Roman" w:hAnsi="Times New Roman" w:cs="Times New Roman"/>
        </w:rPr>
        <w:t xml:space="preserve">funeral director as </w:t>
      </w:r>
      <w:r>
        <w:rPr>
          <w:rFonts w:ascii="Times New Roman" w:hAnsi="Times New Roman" w:cs="Times New Roman"/>
        </w:rPr>
        <w:t xml:space="preserve">an </w:t>
      </w:r>
      <w:r w:rsidRPr="00AB3B00">
        <w:rPr>
          <w:rFonts w:ascii="Times New Roman" w:hAnsi="Times New Roman" w:cs="Times New Roman"/>
        </w:rPr>
        <w:t>agent between the bereaved and third parties</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&lt;EndNote&gt;&lt;Cite&gt;&lt;Author&gt;Parsons&lt;/Author&gt;&lt;Year&gt;2003&lt;/Year&gt;&lt;RecNum&gt;1115&lt;/RecNum&gt;&lt;DisplayText&gt;(Parsons, 2003)&lt;/DisplayText&gt;&lt;record&gt;&lt;rec-number&gt;1115&lt;/rec-number&gt;&lt;foreign-keys&gt;&lt;key app="EN" db-id="2pe9e00ros0veneeptspa5vhz0pw2az52v20" timestamp="1609653771" guid="399a2ea2-1239-4a5a-a691-d38e7d5597dd"&gt;1115&lt;/key&gt;&lt;/foreign-keys&gt;&lt;ref-type name="Journal Article"&gt;17&lt;/ref-type&gt;&lt;contributors&gt;&lt;authors&gt;&lt;author&gt;Parsons, Brian&lt;/author&gt;&lt;/authors&gt;&lt;/contributors&gt;&lt;titles&gt;&lt;title&gt;Conflict in the context of care: an examination of role conflict between the bereaved and the funeral director in the UK&lt;/title&gt;&lt;secondary-title&gt;Mortality&lt;/secondary-title&gt;&lt;/titles&gt;&lt;periodical&gt;&lt;full-title&gt;Mortality&lt;/full-title&gt;&lt;/periodical&gt;&lt;pages&gt;67-87&lt;/pages&gt;&lt;volume&gt;8&lt;/volume&gt;&lt;number&gt;1&lt;/number&gt;&lt;dates&gt;&lt;year&gt;2003&lt;/year&gt;&lt;/dates&gt;&lt;isbn&gt;1357-6275&lt;/isbn&gt;&lt;urls&gt;&lt;/urls&gt;&lt;electronic-resource-num&gt;10.1080/1357627021000063133&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(Parsons, 2003)</w:t>
      </w:r>
      <w:r>
        <w:rPr>
          <w:rFonts w:ascii="Times New Roman" w:hAnsi="Times New Roman" w:cs="Times New Roman"/>
        </w:rPr>
        <w:fldChar w:fldCharType="end"/>
      </w:r>
      <w:r>
        <w:rPr>
          <w:rFonts w:ascii="Times New Roman" w:hAnsi="Times New Roman" w:cs="Times New Roman"/>
        </w:rPr>
        <w:t xml:space="preserve">. </w:t>
      </w:r>
      <w:r w:rsidRPr="007D00AC">
        <w:rPr>
          <w:rFonts w:ascii="Times New Roman" w:hAnsi="Times New Roman" w:cs="Times New Roman"/>
        </w:rPr>
        <w:t>Three research directions have been conducted to manage the commerce-care dialectic</w:t>
      </w:r>
      <w:r>
        <w:rPr>
          <w:rFonts w:ascii="Times New Roman" w:hAnsi="Times New Roman" w:cs="Times New Roman"/>
        </w:rPr>
        <w:t xml:space="preserve"> in funeral services</w:t>
      </w:r>
      <w:r w:rsidRPr="007D00AC">
        <w:rPr>
          <w:rFonts w:ascii="Times New Roman" w:hAnsi="Times New Roman" w:cs="Times New Roman"/>
        </w:rPr>
        <w:t>.</w:t>
      </w:r>
      <w:r>
        <w:rPr>
          <w:rFonts w:ascii="Times New Roman" w:hAnsi="Times New Roman" w:cs="Times New Roman"/>
        </w:rPr>
        <w:t xml:space="preserve"> First, for role performance, funeral directors commonly perform the roles of businessman and comforter in conversations with the bereaved  </w:t>
      </w:r>
      <w:r>
        <w:rPr>
          <w:rFonts w:ascii="Times New Roman" w:hAnsi="Times New Roman" w:cs="Times New Roman"/>
        </w:rPr>
        <w:fldChar w:fldCharType="begin">
          <w:fldData xml:space="preserve">PEVuZE5vdGU+PENpdGU+PEF1dGhvcj5IeWxhbmQ8L0F1dGhvcj48WWVhcj4xOTk1PC9ZZWFyPjxS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PEVuZE5vdGU+PENpdGU+PEF1dGhvcj5IeWxhbmQ8L0F1dGhvcj48WWVhcj4xOTk1PC9ZZWFyPjxS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(Hyland &amp; Morse, 1995; Reynolds &amp; Kalish, 1974)</w:t>
      </w:r>
      <w:r>
        <w:rPr>
          <w:rFonts w:ascii="Times New Roman" w:hAnsi="Times New Roman" w:cs="Times New Roman"/>
        </w:rPr>
        <w:fldChar w:fldCharType="end"/>
      </w:r>
      <w:r>
        <w:rPr>
          <w:rFonts w:ascii="Times New Roman" w:hAnsi="Times New Roman" w:cs="Times New Roman"/>
        </w:rPr>
        <w:t xml:space="preserve">. Second, some studies further explore the professionalism of funeral directors while </w:t>
      </w:r>
      <w:r>
        <w:rPr>
          <w:rFonts w:ascii="Times New Roman" w:hAnsi="Times New Roman" w:cs="Times New Roman"/>
        </w:rPr>
        <w:lastRenderedPageBreak/>
        <w:t xml:space="preserve">interacting with the bereaved </w:t>
      </w:r>
      <w:r>
        <w:rPr>
          <w:rFonts w:ascii="Times New Roman" w:hAnsi="Times New Roman" w:cs="Times New Roman"/>
        </w:rPr>
        <w:fldChar w:fldCharType="begin">
          <w:fldData xml:space="preserve">PEVuZE5vdGU+PENpdGU+PEF1dGhvcj5TYW5kZXJzPC9BdXRob3I+PFllYXI+MjAwOTwvWWVhcj48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PEVuZE5vdGU+PENpdGU+PEF1dGhvcj5TYW5kZXJzPC9BdXRob3I+PFllYXI+MjAwOTwvWWVhcj48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(McCarthy, 2016; Sanders, 2009)</w:t>
      </w:r>
      <w:r>
        <w:rPr>
          <w:rFonts w:ascii="Times New Roman" w:hAnsi="Times New Roman" w:cs="Times New Roman"/>
        </w:rPr>
        <w:fldChar w:fldCharType="end"/>
      </w:r>
      <w:r>
        <w:rPr>
          <w:rFonts w:ascii="Times New Roman" w:hAnsi="Times New Roman" w:cs="Times New Roman"/>
        </w:rPr>
        <w:t>, and typically, the professionalism shares features of emotional detachment,</w:t>
      </w:r>
      <w:r w:rsidRPr="003A570D">
        <w:rPr>
          <w:rFonts w:ascii="Times New Roman" w:hAnsi="Times New Roman" w:cs="Times New Roman"/>
        </w:rPr>
        <w:t xml:space="preserve"> decision-making </w:t>
      </w:r>
      <w:r>
        <w:rPr>
          <w:rFonts w:ascii="Times New Roman" w:hAnsi="Times New Roman" w:cs="Times New Roman"/>
        </w:rPr>
        <w:t xml:space="preserve">facilitation for the bereaved, dead body preparation, and caring for the bereaved. Third, other studies examine emotional management </w:t>
      </w:r>
      <w:r w:rsidRPr="00262D2A">
        <w:rPr>
          <w:rFonts w:ascii="Times New Roman" w:hAnsi="Times New Roman" w:cs="Times New Roman"/>
        </w:rPr>
        <w:t>in organizing funeral services</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&lt;EndNote&gt;&lt;Cite&gt;&lt;Author&gt;Korai&lt;/Author&gt;&lt;Year&gt;2022&lt;/Year&gt;&lt;RecNum&gt;1611&lt;/RecNum&gt;&lt;DisplayText&gt;(Bailey, 2010; Korai et al., 2022)&lt;/DisplayText&gt;&lt;record&gt;&lt;rec-number&gt;1611&lt;/rec-number&gt;&lt;foreign-keys&gt;&lt;key app="EN" db-id="2pe9e00ros0veneeptspa5vhz0pw2az52v20" timestamp="1648256610" guid="ddbeb590-c5a6-4bf4-ad71-366fa5833d11"&gt;1611&lt;/key&gt;&lt;/foreign-keys&gt;&lt;ref-type name="Journal Article"&gt;17&lt;/ref-type&gt;&lt;contributors&gt;&lt;authors&gt;&lt;author&gt;Korai, Bernard&lt;/author&gt;&lt;author&gt;Ouellet, Claudine&lt;/author&gt;&lt;author&gt;Cloutier, Jacinthe&lt;/author&gt;&lt;/authors&gt;&lt;/contributors&gt;&lt;titles&gt;&lt;title&gt;What are these strange things called emotions? An analysis of service interactions in the funeral industry: Issues, implications, and future research directions&lt;/title&gt;&lt;secondary-title&gt;Services Marketing Quarterly&lt;/secondary-title&gt;&lt;/titles&gt;&lt;periodical&gt;&lt;full-title&gt;Services Marketing Quarterly&lt;/full-title&gt;&lt;/periodical&gt;&lt;pages&gt;1-23&lt;/pages&gt;&lt;volume&gt;43&lt;/volume&gt;&lt;number&gt;2&lt;/number&gt;&lt;dates&gt;&lt;year&gt;2022&lt;/year&gt;&lt;/dates&gt;&lt;isbn&gt;1533-2969&lt;/isbn&gt;&lt;urls&gt;&lt;/urls&gt;&lt;electronic-resource-num&gt;10.1080/15332969.2021.1987611&lt;/electronic-resource-num&gt;&lt;/record&gt;&lt;/Cite&gt;&lt;Cite&gt;&lt;Author&gt;Bailey&lt;/Author&gt;&lt;Year&gt;2010&lt;/Year&gt;&lt;RecNum&gt;1157&lt;/RecNum&gt;&lt;record&gt;&lt;rec-number&gt;1157&lt;/rec-number&gt;&lt;foreign-keys&gt;&lt;key app="EN" db-id="2pe9e00ros0veneeptspa5vhz0pw2az52v20" timestamp="1609653874" guid="01c610d6-1053-4a49-821a-9941141c6985"&gt;1157&lt;/key&gt;&lt;/foreign-keys&gt;&lt;ref-type name="Journal Article"&gt;17&lt;/ref-type&gt;&lt;contributors&gt;&lt;authors&gt;&lt;author&gt;Bailey, Tara&lt;/author&gt;&lt;/authors&gt;&lt;/contributors&gt;&lt;titles&gt;&lt;title&gt;When commerce meets care: Emotion management in UK funeral directing&lt;/title&gt;&lt;secondary-title&gt;Mortality&lt;/secondary-title&gt;&lt;/titles&gt;&lt;periodical&gt;&lt;full-title&gt;Mortality&lt;/full-title&gt;&lt;/periodical&gt;&lt;pages&gt;205-222&lt;/pages&gt;&lt;volume&gt;15&lt;/volume&gt;&lt;number&gt;3&lt;/number&gt;&lt;dates&gt;&lt;year&gt;2010&lt;/year&gt;&lt;/dates&gt;&lt;isbn&gt;1357-6275&lt;/isbn&gt;&lt;urls&gt;&lt;/urls&gt;&lt;electronic-resource-num&gt;10.1080/13576275.2010.496613&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(Bailey, 2010; Korai et al., 2022)</w:t>
      </w:r>
      <w:r>
        <w:rPr>
          <w:rFonts w:ascii="Times New Roman" w:hAnsi="Times New Roman" w:cs="Times New Roman"/>
        </w:rPr>
        <w:fldChar w:fldCharType="end"/>
      </w:r>
      <w:r>
        <w:rPr>
          <w:rFonts w:ascii="Times New Roman" w:hAnsi="Times New Roman" w:cs="Times New Roman"/>
        </w:rPr>
        <w:t>.</w:t>
      </w:r>
    </w:p>
    <w:p w14:paraId="733FDBB4" w14:textId="77777777" w:rsidR="00256B3D" w:rsidRDefault="00256B3D" w:rsidP="00256B3D">
      <w:pPr>
        <w:spacing w:line="480" w:lineRule="auto"/>
        <w:ind w:firstLine="720"/>
        <w:rPr>
          <w:rFonts w:ascii="Times New Roman" w:hAnsi="Times New Roman" w:cs="Times New Roman"/>
        </w:rPr>
      </w:pPr>
      <w:r>
        <w:rPr>
          <w:rFonts w:ascii="Times New Roman" w:hAnsi="Times New Roman" w:cs="Times New Roman"/>
        </w:rPr>
        <w:t xml:space="preserve">Other research develops marketing strategies for managing the commerce-care dialectic with the public. Some studies explore advertising strategies. For example, </w:t>
      </w:r>
      <w:r>
        <w:rPr>
          <w:rFonts w:ascii="Times New Roman" w:hAnsi="Times New Roman" w:cs="Times New Roman"/>
        </w:rPr>
        <w:fldChar w:fldCharType="begin"/>
      </w:r>
      <w:r>
        <w:rPr>
          <w:rFonts w:ascii="Times New Roman" w:hAnsi="Times New Roman" w:cs="Times New Roman"/>
        </w:rPr>
        <w:instrText xml:space="preserve"> ADDIN EN.CITE &lt;EndNote&gt;&lt;Cite AuthorYear="1"&gt;&lt;Author&gt;Trompette&lt;/Author&gt;&lt;Year&gt;2007&lt;/Year&gt;&lt;RecNum&gt;890&lt;/RecNum&gt;&lt;DisplayText&gt;Trompette (2007)&lt;/DisplayText&gt;&lt;record&gt;&lt;rec-number&gt;890&lt;/rec-number&gt;&lt;foreign-keys&gt;&lt;key app="EN" db-id="2pe9e00ros0veneeptspa5vhz0pw2az52v20" timestamp="1596825907" guid="e95a3040-03c7-4dd9-9396-d24bac3490c3"&gt;890&lt;/key&gt;&lt;/foreign-keys&gt;&lt;ref-type name="Journal Article"&gt;17&lt;/ref-type&gt;&lt;contributors&gt;&lt;authors&gt;&lt;author&gt;Trompette, P.&lt;/author&gt;&lt;/authors&gt;&lt;/contributors&gt;&lt;auth-address&gt;Univ Pierre Mendes France, Ctr Rech Innovat Sociotech &amp;amp; Organ Ind, F-38040 Grenoble 9, France&lt;/auth-address&gt;&lt;titles&gt;&lt;title&gt;Customer channeling arrangements in market organization: Competition dynamics in the funeral business in France&lt;/title&gt;&lt;secondary-title&gt;Revue Francaise De Sociologie&lt;/secondary-title&gt;&lt;alt-title&gt;Rev Fr Sociol&lt;/alt-title&gt;&lt;/titles&gt;&lt;periodical&gt;&lt;full-title&gt;Revue française de sociologie&lt;/full-title&gt;&lt;/periodical&gt;&lt;pages&gt;3-33&lt;/pages&gt;&lt;volume&gt;48&lt;/volume&gt;&lt;number&gt;5&lt;/number&gt;&lt;keywords&gt;&lt;keyword&gt;death&lt;/keyword&gt;&lt;keyword&gt;commitment&lt;/keyword&gt;&lt;keyword&gt;industry&lt;/keyword&gt;&lt;keyword&gt;quality&lt;/keyword&gt;&lt;/keywords&gt;&lt;dates&gt;&lt;year&gt;2007&lt;/year&gt;&lt;/dates&gt;&lt;isbn&gt;0035-2969&lt;/isbn&gt;&lt;accession-num&gt;WOS:000246774200001&lt;/accession-num&gt;&lt;urls&gt;&lt;related-urls&gt;&lt;url&gt;&amp;lt;Go to ISI&amp;gt;://WOS:000246774200001&lt;/url&gt;&lt;/related-urls&gt;&lt;/urls&gt;&lt;electronic-resource-num&gt;10.3917/rfs.485.0003&lt;/electronic-resource-num&gt;&lt;language&gt;English&lt;/language&gt;&lt;/record&gt;&lt;/Cite&gt;&lt;/EndNote&gt;</w:instrText>
      </w:r>
      <w:r>
        <w:rPr>
          <w:rFonts w:ascii="Times New Roman" w:hAnsi="Times New Roman" w:cs="Times New Roman"/>
        </w:rPr>
        <w:fldChar w:fldCharType="separate"/>
      </w:r>
      <w:r>
        <w:rPr>
          <w:rFonts w:ascii="Times New Roman" w:hAnsi="Times New Roman" w:cs="Times New Roman"/>
          <w:noProof/>
        </w:rPr>
        <w:t>Trompette (2007)</w:t>
      </w:r>
      <w:r>
        <w:rPr>
          <w:rFonts w:ascii="Times New Roman" w:hAnsi="Times New Roman" w:cs="Times New Roman"/>
        </w:rPr>
        <w:fldChar w:fldCharType="end"/>
      </w:r>
      <w:r>
        <w:rPr>
          <w:rFonts w:ascii="Times New Roman" w:hAnsi="Times New Roman" w:cs="Times New Roman"/>
        </w:rPr>
        <w:t xml:space="preserve"> explored the use of </w:t>
      </w:r>
      <w:r w:rsidRPr="008D5298">
        <w:rPr>
          <w:rFonts w:ascii="Times New Roman" w:hAnsi="Times New Roman" w:cs="Times New Roman"/>
        </w:rPr>
        <w:t>diverse devices and arrangements</w:t>
      </w:r>
      <w:r>
        <w:rPr>
          <w:rFonts w:ascii="Times New Roman" w:hAnsi="Times New Roman" w:cs="Times New Roman"/>
        </w:rPr>
        <w:t xml:space="preserve"> to capture the funeral business market. </w:t>
      </w:r>
      <w:r>
        <w:rPr>
          <w:rFonts w:ascii="Times New Roman" w:hAnsi="Times New Roman" w:cs="Times New Roman"/>
        </w:rPr>
        <w:fldChar w:fldCharType="begin"/>
      </w:r>
      <w:r>
        <w:rPr>
          <w:rFonts w:ascii="Times New Roman" w:hAnsi="Times New Roman" w:cs="Times New Roman"/>
        </w:rPr>
        <w:instrText xml:space="preserve"> ADDIN EN.CITE &lt;EndNote&gt;&lt;Cite AuthorYear="1"&gt;&lt;Author&gt;Coetzee&lt;/Author&gt;&lt;Year&gt;2014&lt;/Year&gt;&lt;RecNum&gt;1531&lt;/RecNum&gt;&lt;DisplayText&gt;Coetzee et al. (2014)&lt;/DisplayText&gt;&lt;record&gt;&lt;rec-number&gt;1531&lt;/rec-number&gt;&lt;foreign-keys&gt;&lt;key app="EN" db-id="2pe9e00ros0veneeptspa5vhz0pw2az52v20" timestamp="1646627729" guid="fbc81478-7e22-4f3f-893d-b33cb7d66f62"&gt;1531&lt;/key&gt;&lt;/foreign-keys&gt;&lt;ref-type name="Journal Article"&gt;17&lt;/ref-type&gt;&lt;contributors&gt;&lt;authors&gt;&lt;author&gt;Coetzee, CA&lt;/author&gt;&lt;author&gt;Van Heerden, CH&lt;/author&gt;&lt;author&gt;Maree, T&lt;/author&gt;&lt;/authors&gt;&lt;/contributors&gt;&lt;titles&gt;&lt;title&gt;The marketing of an unsought service through an unobtrusive medium: A content analysis of the websites of members of the National Funeral Directors Association of South Africa&lt;/title&gt;&lt;secondary-title&gt;Communicare: Journal for Communication Sciences in Southern Africa&lt;/secondary-title&gt;&lt;/titles&gt;&lt;periodical&gt;&lt;full-title&gt;Communicare: Journal for Communication Sciences in Southern Africa&lt;/full-title&gt;&lt;/periodical&gt;&lt;pages&gt;35-56&lt;/pages&gt;&lt;volume&gt;33&lt;/volume&gt;&lt;number&gt;1&lt;/number&gt;&lt;dates&gt;&lt;year&gt;2014&lt;/year&gt;&lt;/dates&gt;&lt;isbn&gt;0259-0069&lt;/isbn&gt;&lt;urls&gt;&lt;/urls&gt;&lt;electronic-resource-num&gt;10.10520/EJC156801&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Coetzee et al. (2014)</w:t>
      </w:r>
      <w:r>
        <w:rPr>
          <w:rFonts w:ascii="Times New Roman" w:hAnsi="Times New Roman" w:cs="Times New Roman"/>
        </w:rPr>
        <w:fldChar w:fldCharType="end"/>
      </w:r>
      <w:r>
        <w:rPr>
          <w:rFonts w:ascii="Times New Roman" w:hAnsi="Times New Roman" w:cs="Times New Roman"/>
        </w:rPr>
        <w:t xml:space="preserve"> found that the user-friendliness of funeral home websites was satisfactory in terms of their overall ease of use. Other studies discussed innovative approaches to mediating relationships between clients and funeral corporations by funeral directors, such as </w:t>
      </w:r>
      <w:r w:rsidRPr="00CB0CE6">
        <w:rPr>
          <w:rFonts w:ascii="Times New Roman" w:hAnsi="Times New Roman" w:cs="Times New Roman"/>
        </w:rPr>
        <w:t>offering digital products and services</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&lt;EndNote&gt;&lt;Cite&gt;&lt;Author&gt;Van Ryn&lt;/Author&gt;&lt;Year&gt;2019&lt;/Year&gt;&lt;RecNum&gt;1217&lt;/RecNum&gt;&lt;DisplayText&gt;(Van Ryn et al., 2019)&lt;/DisplayText&gt;&lt;record&gt;&lt;rec-number&gt;1217&lt;/rec-number&gt;&lt;foreign-keys&gt;&lt;key app="EN" db-id="2pe9e00ros0veneeptspa5vhz0pw2az52v20" timestamp="1610244750" guid="d2da8df0-2f44-4651-bda4-7800dc6f6045"&gt;1217&lt;/key&gt;&lt;/foreign-keys&gt;&lt;ref-type name="Journal Article"&gt;17&lt;/ref-type&gt;&lt;contributors&gt;&lt;authors&gt;&lt;author&gt;Van Ryn, Luke&lt;/author&gt;&lt;author&gt;Meese, James&lt;/author&gt;&lt;author&gt;Arnold, Michael&lt;/author&gt;&lt;author&gt;Nansen, Bjorn&lt;/author&gt;&lt;author&gt;Gibbs, Martin&lt;/author&gt;&lt;author&gt;Kohn, Tamara&lt;/author&gt;&lt;/authors&gt;&lt;/contributors&gt;&lt;titles&gt;&lt;title&gt;Managing the consumption of death and digital media: The funeral director as market intermediary&lt;/title&gt;&lt;secondary-title&gt;Death studies&lt;/secondary-title&gt;&lt;/titles&gt;&lt;periodical&gt;&lt;full-title&gt;Death Studies&lt;/full-title&gt;&lt;/periodical&gt;&lt;pages&gt;446-455&lt;/pages&gt;&lt;volume&gt;43&lt;/volume&gt;&lt;number&gt;7&lt;/number&gt;&lt;dates&gt;&lt;year&gt;2019&lt;/year&gt;&lt;/dates&gt;&lt;isbn&gt;0748-1187&lt;/isbn&gt;&lt;urls&gt;&lt;/urls&gt;&lt;electronic-resource-num&gt;10.1080/07481187.2018.1522387&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(Van Ryn et al., 2019)</w:t>
      </w:r>
      <w:r>
        <w:rPr>
          <w:rFonts w:ascii="Times New Roman" w:hAnsi="Times New Roman" w:cs="Times New Roman"/>
        </w:rPr>
        <w:fldChar w:fldCharType="end"/>
      </w:r>
      <w:r>
        <w:rPr>
          <w:rFonts w:ascii="Times New Roman" w:hAnsi="Times New Roman" w:cs="Times New Roman"/>
        </w:rPr>
        <w:t xml:space="preserve">, applying </w:t>
      </w:r>
      <w:r w:rsidRPr="008503BD">
        <w:rPr>
          <w:rFonts w:ascii="Times New Roman" w:hAnsi="Times New Roman" w:cs="Times New Roman"/>
        </w:rPr>
        <w:t>music-related funeral practices</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&lt;EndNote&gt;&lt;Cite&gt;&lt;Author&gt;Parsons&lt;/Author&gt;&lt;Year&gt;2012&lt;/Year&gt;&lt;RecNum&gt;925&lt;/RecNum&gt;&lt;DisplayText&gt;(Parsons, 2012)&lt;/DisplayText&gt;&lt;record&gt;&lt;rec-number&gt;925&lt;/rec-number&gt;&lt;foreign-keys&gt;&lt;key app="EN" db-id="2pe9e00ros0veneeptspa5vhz0pw2az52v20" timestamp="1598068012" guid="65c69f4f-b7f1-4a3b-a912-262bbae84c63"&gt;925&lt;/key&gt;&lt;/foreign-keys&gt;&lt;ref-type name="Journal Article"&gt;17&lt;/ref-type&gt;&lt;contributors&gt;&lt;authors&gt;&lt;author&gt;Parsons, Brian&lt;/author&gt;&lt;/authors&gt;&lt;/contributors&gt;&lt;titles&gt;&lt;title&gt;Identifying key changes: The progress of cremation and its influence on music at funerals in England, 1874–2010&lt;/title&gt;&lt;secondary-title&gt;Mortality&lt;/secondary-title&gt;&lt;/titles&gt;&lt;periodical&gt;&lt;full-title&gt;Mortality&lt;/full-title&gt;&lt;/periodical&gt;&lt;pages&gt;130-144&lt;/pages&gt;&lt;volume&gt;17&lt;/volume&gt;&lt;number&gt;2&lt;/number&gt;&lt;dates&gt;&lt;year&gt;2012&lt;/year&gt;&lt;/dates&gt;&lt;isbn&gt;1357-6275&lt;/isbn&gt;&lt;urls&gt;&lt;/urls&gt;&lt;electronic-resource-num&gt;10.1080/13576275.2012.675228&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(Parsons, 2012)</w:t>
      </w:r>
      <w:r>
        <w:rPr>
          <w:rFonts w:ascii="Times New Roman" w:hAnsi="Times New Roman" w:cs="Times New Roman"/>
        </w:rPr>
        <w:fldChar w:fldCharType="end"/>
      </w:r>
      <w:r>
        <w:rPr>
          <w:rFonts w:ascii="Times New Roman" w:hAnsi="Times New Roman" w:cs="Times New Roman"/>
        </w:rPr>
        <w:t>, and organizing the Mem</w:t>
      </w:r>
      <w:r w:rsidRPr="008503BD">
        <w:rPr>
          <w:rFonts w:ascii="Times New Roman" w:hAnsi="Times New Roman" w:cs="Times New Roman"/>
        </w:rPr>
        <w:t xml:space="preserve">orial </w:t>
      </w:r>
      <w:r>
        <w:rPr>
          <w:rFonts w:ascii="Times New Roman" w:hAnsi="Times New Roman" w:cs="Times New Roman"/>
        </w:rPr>
        <w:t>S</w:t>
      </w:r>
      <w:r w:rsidRPr="008503BD">
        <w:rPr>
          <w:rFonts w:ascii="Times New Roman" w:hAnsi="Times New Roman" w:cs="Times New Roman"/>
        </w:rPr>
        <w:t>ocieties</w:t>
      </w:r>
      <w:r>
        <w:rPr>
          <w:rFonts w:ascii="Times New Roman" w:hAnsi="Times New Roman" w:cs="Times New Roman"/>
        </w:rPr>
        <w:t>’</w:t>
      </w:r>
      <w:r w:rsidRPr="008503BD">
        <w:rPr>
          <w:rFonts w:ascii="Times New Roman" w:hAnsi="Times New Roman" w:cs="Times New Roman"/>
        </w:rPr>
        <w:t xml:space="preserve"> movement</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&lt;EndNote&gt;&lt;Cite&gt;&lt;Author&gt;Sommer&lt;/Author&gt;&lt;Year&gt;1985&lt;/Year&gt;&lt;RecNum&gt;1597&lt;/RecNum&gt;&lt;DisplayText&gt;(Sommer et al., 1985)&lt;/DisplayText&gt;&lt;record&gt;&lt;rec-number&gt;1597&lt;/rec-number&gt;&lt;foreign-keys&gt;&lt;key app="EN" db-id="2pe9e00ros0veneeptspa5vhz0pw2az52v20" timestamp="1647625435" guid="76ddd800-b146-4547-823a-73c828098d4f"&gt;1597&lt;/key&gt;&lt;/foreign-keys&gt;&lt;ref-type name="Journal Article"&gt;17&lt;/ref-type&gt;&lt;contributors&gt;&lt;authors&gt;&lt;author&gt;Sommer, Robert&lt;/author&gt;&lt;author&gt;Hess, Katherine&lt;/author&gt;&lt;author&gt;Nelson, Sandra&lt;/author&gt;&lt;/authors&gt;&lt;/contributors&gt;&lt;titles&gt;&lt;title&gt;Funeral co-op members&amp;apos; characteristics and motives&lt;/title&gt;&lt;secondary-title&gt;Sociological Perspectives&lt;/secondary-title&gt;&lt;/titles&gt;&lt;periodical&gt;&lt;full-title&gt;Sociological Perspectives&lt;/full-title&gt;&lt;/periodical&gt;&lt;pages&gt;487-500&lt;/pages&gt;&lt;volume&gt;28&lt;/volume&gt;&lt;number&gt;4&lt;/number&gt;&lt;dates&gt;&lt;year&gt;1985&lt;/year&gt;&lt;/dates&gt;&lt;isbn&gt;0731-1214&lt;/isbn&gt;&lt;urls&gt;&lt;/urls&gt;&lt;electronic-resource-num&gt;10.2307/1389230&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(Sommer et al., 1985)</w:t>
      </w:r>
      <w:r>
        <w:rPr>
          <w:rFonts w:ascii="Times New Roman" w:hAnsi="Times New Roman" w:cs="Times New Roman"/>
        </w:rPr>
        <w:fldChar w:fldCharType="end"/>
      </w:r>
      <w:r>
        <w:rPr>
          <w:rFonts w:ascii="Times New Roman" w:hAnsi="Times New Roman" w:cs="Times New Roman"/>
        </w:rPr>
        <w:t xml:space="preserve">. </w:t>
      </w:r>
    </w:p>
    <w:p w14:paraId="73DC80CC" w14:textId="77777777" w:rsidR="00256B3D" w:rsidRDefault="00256B3D" w:rsidP="00256B3D">
      <w:pPr>
        <w:spacing w:line="480" w:lineRule="auto"/>
        <w:ind w:firstLine="720"/>
        <w:rPr>
          <w:rFonts w:ascii="Times New Roman" w:hAnsi="Times New Roman" w:cs="Times New Roman"/>
        </w:rPr>
      </w:pPr>
      <w:r w:rsidRPr="00733C1F">
        <w:rPr>
          <w:rFonts w:ascii="Times New Roman" w:hAnsi="Times New Roman" w:cs="Times New Roman"/>
          <w:b/>
          <w:bCs/>
        </w:rPr>
        <w:t>Dialectic trend</w:t>
      </w:r>
      <w:r>
        <w:rPr>
          <w:rFonts w:ascii="Times New Roman" w:hAnsi="Times New Roman" w:cs="Times New Roman"/>
        </w:rPr>
        <w:t>. Research documents social trends in funeral services related to the commerce-care dialectic.</w:t>
      </w:r>
      <w:r w:rsidRPr="006D493A">
        <w:rPr>
          <w:rFonts w:ascii="Times New Roman" w:hAnsi="Times New Roman" w:cs="Times New Roman"/>
        </w:rPr>
        <w:t xml:space="preserve"> </w:t>
      </w:r>
    </w:p>
    <w:p w14:paraId="6D460E6A" w14:textId="77777777" w:rsidR="00256B3D" w:rsidRPr="00D01808" w:rsidRDefault="00256B3D" w:rsidP="00256B3D">
      <w:pPr>
        <w:pStyle w:val="BodyText"/>
        <w:rPr>
          <w:lang w:val="en-US"/>
        </w:rPr>
      </w:pPr>
      <w:r>
        <w:rPr>
          <w:lang w:val="en-US"/>
        </w:rPr>
        <w:t xml:space="preserve">A modern way of death is characterized by </w:t>
      </w:r>
      <w:r>
        <w:rPr>
          <w:color w:val="000000"/>
        </w:rPr>
        <w:t>rationality, secularization, medicalization, a loss of community, individualization</w:t>
      </w:r>
      <w:r>
        <w:rPr>
          <w:color w:val="000000"/>
          <w:lang w:val="en-US"/>
        </w:rPr>
        <w:t>,</w:t>
      </w:r>
      <w:r>
        <w:rPr>
          <w:color w:val="000000"/>
        </w:rPr>
        <w:t xml:space="preserve"> and a consequent loss of ritual</w:t>
      </w:r>
      <w:r>
        <w:rPr>
          <w:color w:val="000000"/>
          <w:lang w:val="en-US"/>
        </w:rPr>
        <w:t xml:space="preserve"> </w:t>
      </w:r>
      <w:r>
        <w:rPr>
          <w:color w:val="000000"/>
          <w:lang w:val="en-US"/>
        </w:rPr>
        <w:fldChar w:fldCharType="begin">
          <w:fldData xml:space="preserve">PEVuZE5vdGU+PENpdGU+PEF1dGhvcj5NZWxsb3I8L0F1dGhvcj48WWVhcj4xOTkyPC9ZZWFyPjxS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</w:fldData>
        </w:fldChar>
      </w:r>
      <w:r>
        <w:rPr>
          <w:color w:val="000000"/>
          <w:lang w:val="en-US"/>
        </w:rPr>
        <w:instrText xml:space="preserve"> ADDIN EN.CITE </w:instrText>
      </w:r>
      <w:r>
        <w:rPr>
          <w:color w:val="000000"/>
          <w:lang w:val="en-US"/>
        </w:rPr>
        <w:fldChar w:fldCharType="begin">
          <w:fldData xml:space="preserve">PEVuZE5vdGU+PENpdGU+PEF1dGhvcj5NZWxsb3I8L0F1dGhvcj48WWVhcj4xOTkyPC9ZZWFyPjxS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</w:fldData>
        </w:fldChar>
      </w:r>
      <w:r>
        <w:rPr>
          <w:color w:val="000000"/>
          <w:lang w:val="en-US"/>
        </w:rPr>
        <w:instrText xml:space="preserve"> ADDIN EN.CITE.DATA </w:instrText>
      </w:r>
      <w:r>
        <w:rPr>
          <w:color w:val="000000"/>
          <w:lang w:val="en-US"/>
        </w:rPr>
      </w:r>
      <w:r>
        <w:rPr>
          <w:color w:val="000000"/>
          <w:lang w:val="en-US"/>
        </w:rPr>
        <w:fldChar w:fldCharType="end"/>
      </w:r>
      <w:r>
        <w:rPr>
          <w:color w:val="000000"/>
          <w:lang w:val="en-US"/>
        </w:rPr>
      </w:r>
      <w:r>
        <w:rPr>
          <w:color w:val="000000"/>
          <w:lang w:val="en-US"/>
        </w:rPr>
        <w:fldChar w:fldCharType="separate"/>
      </w:r>
      <w:r>
        <w:rPr>
          <w:noProof/>
          <w:color w:val="000000"/>
          <w:lang w:val="en-US"/>
        </w:rPr>
        <w:t>(e.g., Aries, 1974; Blauner, 1966; Mellor, 1992; Mellor &amp; Shilling, 1993; Walter, 2002)</w:t>
      </w:r>
      <w:r>
        <w:rPr>
          <w:color w:val="000000"/>
          <w:lang w:val="en-US"/>
        </w:rPr>
        <w:fldChar w:fldCharType="end"/>
      </w:r>
      <w:r>
        <w:rPr>
          <w:color w:val="000000"/>
          <w:lang w:val="en-US"/>
        </w:rPr>
        <w:t xml:space="preserve">. </w:t>
      </w:r>
      <w:r>
        <w:rPr>
          <w:lang w:val="en-US"/>
        </w:rPr>
        <w:t>Other</w:t>
      </w:r>
      <w:r w:rsidRPr="006D4280">
        <w:t xml:space="preserve"> social trends and practices </w:t>
      </w:r>
      <w:r>
        <w:rPr>
          <w:lang w:val="en-US"/>
        </w:rPr>
        <w:t xml:space="preserve">related to the denial of death thesis </w:t>
      </w:r>
      <w:r w:rsidRPr="006D4280">
        <w:t>in modern societies</w:t>
      </w:r>
      <w:r>
        <w:rPr>
          <w:lang w:val="en-US"/>
        </w:rPr>
        <w:t xml:space="preserve"> include </w:t>
      </w:r>
      <w:r w:rsidRPr="006D4280">
        <w:rPr>
          <w:lang w:eastAsia="zh-TW"/>
        </w:rPr>
        <w:t>the medicalization of death, the beautification of the corpse and embalming, and the bureaucratization of death</w:t>
      </w:r>
      <w:r>
        <w:rPr>
          <w:lang w:eastAsia="zh-TW"/>
        </w:rPr>
        <w:t xml:space="preserve"> </w:t>
      </w:r>
      <w:r w:rsidRPr="006D4280">
        <w:rPr>
          <w:lang w:eastAsia="zh-TW"/>
        </w:rPr>
        <w:t xml:space="preserve">procedures </w:t>
      </w:r>
      <w:r w:rsidRPr="006D4280">
        <w:rPr>
          <w:lang w:eastAsia="zh-TW"/>
        </w:rPr>
        <w:fldChar w:fldCharType="begin"/>
      </w:r>
      <w:r>
        <w:rPr>
          <w:lang w:eastAsia="zh-TW"/>
        </w:rPr>
        <w:instrText xml:space="preserve"> ADDIN EN.CITE &lt;EndNote&gt;&lt;Cite&gt;&lt;Author&gt;Tradii&lt;/Author&gt;&lt;Year&gt;2019&lt;/Year&gt;&lt;RecNum&gt;1746&lt;/RecNum&gt;&lt;DisplayText&gt;(Tradii &amp;amp; Robert, 2019)&lt;/DisplayText&gt;&lt;record&gt;&lt;rec-number&gt;1746&lt;/rec-number&gt;&lt;foreign-keys&gt;&lt;key app="EN" db-id="2pe9e00ros0veneeptspa5vhz0pw2az52v20" timestamp="1656563224" guid="ad0509a0-f2dc-48bf-9756-317374717932"&gt;1746&lt;/key&gt;&lt;/foreign-keys&gt;&lt;ref-type name="Journal Article"&gt;17&lt;/ref-type&gt;&lt;contributors&gt;&lt;authors&gt;&lt;author&gt;Tradii, Laura&lt;/author&gt;&lt;author&gt;Robert, Martin&lt;/author&gt;&lt;/authors&gt;&lt;/contributors&gt;&lt;titles&gt;&lt;title&gt;Do we deny death? II. Critiques of the death-denial thesis&lt;/title&gt;&lt;secondary-title&gt;Mortality&lt;/secondary-title&gt;&lt;/titles&gt;&lt;periodical&gt;&lt;full-title&gt;Mortality&lt;/full-title&gt;&lt;/periodical&gt;&lt;pages&gt;377-388&lt;/pages&gt;&lt;volume&gt;24&lt;/volume&gt;&lt;number&gt;4&lt;/number&gt;&lt;dates&gt;&lt;year&gt;2019&lt;/year&gt;&lt;/dates&gt;&lt;isbn&gt;1357-6275&lt;/isbn&gt;&lt;urls&gt;&lt;/urls&gt;&lt;electronic-resource-num&gt;10.1080/13576275.2017.1415319&lt;/electronic-resource-num&gt;&lt;/record&gt;&lt;/Cite&gt;&lt;/EndNote&gt;</w:instrText>
      </w:r>
      <w:r w:rsidRPr="006D4280">
        <w:rPr>
          <w:lang w:eastAsia="zh-TW"/>
        </w:rPr>
        <w:fldChar w:fldCharType="separate"/>
      </w:r>
      <w:r>
        <w:rPr>
          <w:noProof/>
          <w:lang w:eastAsia="zh-TW"/>
        </w:rPr>
        <w:t>(Tradii &amp; Robert, 2019)</w:t>
      </w:r>
      <w:r w:rsidRPr="006D4280">
        <w:rPr>
          <w:lang w:eastAsia="zh-TW"/>
        </w:rPr>
        <w:fldChar w:fldCharType="end"/>
      </w:r>
      <w:r w:rsidRPr="006D4280">
        <w:rPr>
          <w:lang w:eastAsia="zh-TW"/>
        </w:rPr>
        <w:t>.</w:t>
      </w:r>
      <w:r>
        <w:rPr>
          <w:lang w:val="en-US"/>
        </w:rPr>
        <w:t xml:space="preserve"> Walter (2005) notes common modern trends of funeral services in Western countries, namely “19</w:t>
      </w:r>
      <w:r w:rsidRPr="0072396E">
        <w:rPr>
          <w:vertAlign w:val="superscript"/>
          <w:lang w:val="en-US"/>
        </w:rPr>
        <w:t>th</w:t>
      </w:r>
      <w:r>
        <w:rPr>
          <w:lang w:val="en-US"/>
        </w:rPr>
        <w:t>-century rationalization and specialization, and 21</w:t>
      </w:r>
      <w:r w:rsidRPr="0072396E">
        <w:rPr>
          <w:vertAlign w:val="superscript"/>
          <w:lang w:val="en-US"/>
        </w:rPr>
        <w:t>st</w:t>
      </w:r>
      <w:r>
        <w:rPr>
          <w:lang w:val="en-US"/>
        </w:rPr>
        <w:t xml:space="preserve">-century </w:t>
      </w:r>
      <w:r w:rsidRPr="00E07722">
        <w:rPr>
          <w:lang w:val="en-US"/>
        </w:rPr>
        <w:t>individualization” (p. 187).</w:t>
      </w:r>
      <w:r>
        <w:rPr>
          <w:lang w:val="en-US"/>
        </w:rPr>
        <w:t xml:space="preserve"> In particular, funeral institutes account for the secularization and commercialization in modern society </w:t>
      </w:r>
      <w:r>
        <w:rPr>
          <w:lang w:val="en-US"/>
        </w:rPr>
        <w:fldChar w:fldCharType="begin"/>
      </w:r>
      <w:r>
        <w:rPr>
          <w:lang w:val="en-US"/>
        </w:rPr>
        <w:instrText xml:space="preserve"> ADDIN EN.CITE &lt;EndNote&gt;&lt;Cite&gt;&lt;Author&gt;Walter&lt;/Author&gt;&lt;Year&gt;2005&lt;/Year&gt;&lt;RecNum&gt;1594&lt;/RecNum&gt;&lt;DisplayText&gt;(Walter, 2005)&lt;/DisplayText&gt;&lt;record&gt;&lt;rec-number&gt;1594&lt;/rec-number&gt;&lt;foreign-keys&gt;&lt;key app="EN" db-id="2pe9e00ros0veneeptspa5vhz0pw2az52v20" timestamp="1647623525" guid="544844b1-d3a0-4085-b274-49a7973041c3"&gt;1594&lt;/key&gt;&lt;/foreign-keys&gt;&lt;ref-type name="Journal Article"&gt;17&lt;/ref-type&gt;&lt;contributors&gt;&lt;authors&gt;&lt;author&gt;Walter, Tony&lt;/author&gt;&lt;/authors&gt;&lt;/contributors&gt;&lt;titles&gt;&lt;title&gt;Three ways to arrange a funeral: Mortuary variation in the modern West&lt;/title&gt;&lt;secondary-title&gt;Mortality&lt;/secondary-title&gt;&lt;/titles&gt;&lt;periodical&gt;&lt;full-title&gt;Mortality&lt;/full-title&gt;&lt;/periodical&gt;&lt;pages&gt;173-192&lt;/pages&gt;&lt;volume&gt;10&lt;/volume&gt;&lt;number&gt;3&lt;/number&gt;&lt;dates&gt;&lt;year&gt;2005&lt;/year&gt;&lt;/dates&gt;&lt;isbn&gt;1357-6275&lt;/isbn&gt;&lt;urls&gt;&lt;/urls&gt;&lt;electronic-resource-num&gt;10.1080/13576270500178369&lt;/electronic-resource-num&gt;&lt;/record&gt;&lt;/Cite&gt;&lt;/EndNote&gt;</w:instrText>
      </w:r>
      <w:r>
        <w:rPr>
          <w:lang w:val="en-US"/>
        </w:rPr>
        <w:fldChar w:fldCharType="separate"/>
      </w:r>
      <w:r>
        <w:rPr>
          <w:noProof/>
          <w:lang w:val="en-US"/>
        </w:rPr>
        <w:t>(Walter, 2005)</w:t>
      </w:r>
      <w:r>
        <w:rPr>
          <w:lang w:val="en-US"/>
        </w:rPr>
        <w:fldChar w:fldCharType="end"/>
      </w:r>
      <w:r>
        <w:rPr>
          <w:lang w:val="en-US"/>
        </w:rPr>
        <w:t xml:space="preserve">. </w:t>
      </w:r>
      <w:r>
        <w:t xml:space="preserve">In the United States, </w:t>
      </w:r>
      <w:r>
        <w:fldChar w:fldCharType="begin"/>
      </w:r>
      <w:r>
        <w:instrText xml:space="preserve"> ADDIN EN.CITE &lt;EndNote&gt;&lt;Cite AuthorYear="1"&gt;&lt;Author&gt;Lynch&lt;/Author&gt;&lt;Year&gt;2004&lt;/Year&gt;&lt;RecNum&gt;2274&lt;/RecNum&gt;&lt;DisplayText&gt;Lynch (2004)&lt;/DisplayText&gt;&lt;record&gt;&lt;rec-number&gt;2274&lt;/rec-number&gt;&lt;foreign-keys&gt;&lt;key app="EN" db-id="2pe9e00ros0veneeptspa5vhz0pw2az52v20" timestamp="1705269388" guid="51bcbafe-c21a-4885-9088-aacbb6c54474"&gt;2274&lt;/key&gt;&lt;/foreign-keys&gt;&lt;ref-type name="Journal Article"&gt;17&lt;/ref-type&gt;&lt;contributors&gt;&lt;authors&gt;&lt;author&gt;Lynch, Thomas&lt;/author&gt;&lt;/authors&gt;&lt;/contributors&gt;&lt;titles&gt;&lt;title&gt;Funerals-R-Us: From Funeral Home to Mega-Industry&lt;/title&gt;&lt;secondary-title&gt;Generations: Journal of the American Society on Aging&lt;/secondary-title&gt;&lt;/titles&gt;&lt;periodical&gt;&lt;full-title&gt;Generations: Journal of the American Society on Aging&lt;/full-title&gt;&lt;/periodical&gt;&lt;pages&gt;11-14&lt;/pages&gt;&lt;volume&gt;28&lt;/volume&gt;&lt;number&gt;2&lt;/number&gt;&lt;dates&gt;&lt;year&gt;2004&lt;/year&gt;&lt;/dates&gt;&lt;publisher&gt;American Society on Aging&lt;/publisher&gt;&lt;isbn&gt;07387806&lt;/isbn&gt;&lt;urls&gt;&lt;/urls&gt;&lt;custom1&gt;Full publication date: Summer 2004&lt;/custom1&gt;&lt;remote-database-name&gt;JSTOR&lt;/remote-database-name&gt;&lt;access-date&gt;2024/01/14/&lt;/access-date&gt;&lt;/record&gt;&lt;/Cite&gt;&lt;/EndNote&gt;</w:instrText>
      </w:r>
      <w:r>
        <w:fldChar w:fldCharType="separate"/>
      </w:r>
      <w:r>
        <w:rPr>
          <w:noProof/>
        </w:rPr>
        <w:t>Lynch (2004)</w:t>
      </w:r>
      <w:r>
        <w:fldChar w:fldCharType="end"/>
      </w:r>
      <w:r>
        <w:t xml:space="preserve"> </w:t>
      </w:r>
      <w:r>
        <w:lastRenderedPageBreak/>
        <w:t xml:space="preserve">proposed that the funeral corporation would merge, acquire, and consolidate family-owned funeral homes in the market sharing, and he also claimed more pre-needs than at-needs funeral services. Moreover, </w:t>
      </w:r>
      <w:r>
        <w:fldChar w:fldCharType="begin"/>
      </w:r>
      <w:r>
        <w:instrText xml:space="preserve"> ADDIN EN.CITE &lt;EndNote&gt;&lt;Cite AuthorYear="1"&gt;&lt;Author&gt;Beard&lt;/Author&gt;&lt;Year&gt;2017&lt;/Year&gt;&lt;RecNum&gt;1605&lt;/RecNum&gt;&lt;DisplayText&gt;Beard and Burger (2017)&lt;/DisplayText&gt;&lt;record&gt;&lt;rec-number&gt;1605&lt;/rec-number&gt;&lt;foreign-keys&gt;&lt;key app="EN" db-id="2pe9e00ros0veneeptspa5vhz0pw2az52v20" timestamp="1647630208" guid="e406c314-700a-44a9-ae61-1a7c125d3f67"&gt;1605&lt;/key&gt;&lt;/foreign-keys&gt;&lt;ref-type name="Journal Article"&gt;17&lt;/ref-type&gt;&lt;contributors&gt;&lt;authors&gt;&lt;author&gt;Beard, Virginia R&lt;/author&gt;&lt;author&gt;Burger, William C&lt;/author&gt;&lt;/authors&gt;&lt;/contributors&gt;&lt;titles&gt;&lt;title&gt;Change and innovation in the funeral industry: A typology of motivations&lt;/title&gt;&lt;secondary-title&gt;OMEGA-Journal of Death and Dying&lt;/secondary-title&gt;&lt;/titles&gt;&lt;periodical&gt;&lt;full-title&gt;OMEGA-Journal of Death and Dying&lt;/full-title&gt;&lt;/periodical&gt;&lt;pages&gt;47-68&lt;/pages&gt;&lt;volume&gt;75&lt;/volume&gt;&lt;number&gt;1&lt;/number&gt;&lt;dates&gt;&lt;year&gt;2017&lt;/year&gt;&lt;/dates&gt;&lt;isbn&gt;0030-2228&lt;/isbn&gt;&lt;urls&gt;&lt;/urls&gt;&lt;electronic-resource-num&gt;10.1177/0030222815612605&lt;/electronic-resource-num&gt;&lt;/record&gt;&lt;/Cite&gt;&lt;/EndNote&gt;</w:instrText>
      </w:r>
      <w:r>
        <w:fldChar w:fldCharType="separate"/>
      </w:r>
      <w:r>
        <w:rPr>
          <w:noProof/>
        </w:rPr>
        <w:t>Beard and Burger (2017)</w:t>
      </w:r>
      <w:r>
        <w:fldChar w:fldCharType="end"/>
      </w:r>
      <w:r>
        <w:t xml:space="preserve"> identified two themes associated with the</w:t>
      </w:r>
      <w:r>
        <w:rPr>
          <w:lang w:val="en-US"/>
        </w:rPr>
        <w:t xml:space="preserve"> motivations of these</w:t>
      </w:r>
      <w:r>
        <w:t xml:space="preserve"> trends: business-related motivation and customer-related motivation. </w:t>
      </w:r>
      <w:r>
        <w:rPr>
          <w:lang w:val="en-US"/>
        </w:rPr>
        <w:t xml:space="preserve">Similarly, </w:t>
      </w:r>
      <w:r w:rsidRPr="00D01808">
        <w:rPr>
          <w:lang w:val="en-US"/>
        </w:rPr>
        <w:t>the state bureaucracy in Kuwait has made burial rituals more efficient, standardized, calculable, and controlled</w:t>
      </w:r>
      <w:r>
        <w:rPr>
          <w:lang w:val="en-US"/>
        </w:rPr>
        <w:t xml:space="preserve"> </w:t>
      </w:r>
      <w:r>
        <w:rPr>
          <w:lang w:val="en-US"/>
        </w:rPr>
        <w:fldChar w:fldCharType="begin"/>
      </w:r>
      <w:r>
        <w:rPr>
          <w:lang w:val="en-US"/>
        </w:rPr>
        <w:instrText xml:space="preserve"> ADDIN EN.CITE &lt;EndNote&gt;&lt;Cite&gt;&lt;Author&gt;Iqbal&lt;/Author&gt;&lt;Year&gt;2011&lt;/Year&gt;&lt;RecNum&gt;2279&lt;/RecNum&gt;&lt;DisplayText&gt;(Iqbal, 2011)&lt;/DisplayText&gt;&lt;record&gt;&lt;rec-number&gt;2279&lt;/rec-number&gt;&lt;foreign-keys&gt;&lt;key app="EN" db-id="2pe9e00ros0veneeptspa5vhz0pw2az52v20" timestamp="1705281028" guid="a39389d5-49bb-4566-824f-245768a1cf4d"&gt;2279&lt;/key&gt;&lt;/foreign-keys&gt;&lt;ref-type name="Journal Article"&gt;17&lt;/ref-type&gt;&lt;contributors&gt;&lt;authors&gt;&lt;author&gt;Iqbal, Zafar&lt;/author&gt;&lt;/authors&gt;&lt;/contributors&gt;&lt;titles&gt;&lt;title&gt;McDonaldization, Islamic teachings, and funerary practices in Kuwait&lt;/title&gt;&lt;secondary-title&gt;OMEGA - Journal of Death and Dying&lt;/secondary-title&gt;&lt;/titles&gt;&lt;periodical&gt;&lt;full-title&gt;OMEGA - Journal of Death and Dying&lt;/full-title&gt;&lt;/periodical&gt;&lt;pages&gt;95-112&lt;/pages&gt;&lt;volume&gt;63&lt;/volume&gt;&lt;number&gt;1&lt;/number&gt;&lt;dates&gt;&lt;year&gt;2011&lt;/year&gt;&lt;/dates&gt;&lt;accession-num&gt;21748923&lt;/accession-num&gt;&lt;urls&gt;&lt;related-urls&gt;&lt;url&gt;https://journals.sagepub.com/doi/abs/10.2190/OM.63.1.e&lt;/url&gt;&lt;/related-urls&gt;&lt;/urls&gt;&lt;electronic-resource-num&gt;10.2190/OM.63.1.e&lt;/electronic-resource-num&gt;&lt;/record&gt;&lt;/Cite&gt;&lt;/EndNote&gt;</w:instrText>
      </w:r>
      <w:r>
        <w:rPr>
          <w:lang w:val="en-US"/>
        </w:rPr>
        <w:fldChar w:fldCharType="separate"/>
      </w:r>
      <w:r>
        <w:rPr>
          <w:noProof/>
          <w:lang w:val="en-US"/>
        </w:rPr>
        <w:t>(Iqbal, 2011)</w:t>
      </w:r>
      <w:r>
        <w:rPr>
          <w:lang w:val="en-US"/>
        </w:rPr>
        <w:fldChar w:fldCharType="end"/>
      </w:r>
      <w:r>
        <w:rPr>
          <w:lang w:val="en-US"/>
        </w:rPr>
        <w:t>.</w:t>
      </w:r>
    </w:p>
    <w:p w14:paraId="33A3DF89" w14:textId="77777777" w:rsidR="00256B3D" w:rsidRDefault="00256B3D" w:rsidP="00256B3D">
      <w:pPr>
        <w:spacing w:line="480" w:lineRule="auto"/>
        <w:ind w:firstLine="720"/>
        <w:rPr>
          <w:rFonts w:ascii="Times New Roman" w:hAnsi="Times New Roman" w:cs="Times New Roman"/>
        </w:rPr>
      </w:pPr>
      <w:r>
        <w:rPr>
          <w:rFonts w:ascii="Times New Roman" w:hAnsi="Times New Roman" w:cs="Times New Roman"/>
        </w:rPr>
        <w:t xml:space="preserve">Some research discusses social change in attitudes to death. For example, </w:t>
      </w:r>
      <w:r>
        <w:rPr>
          <w:rFonts w:ascii="Times New Roman" w:hAnsi="Times New Roman" w:cs="Times New Roman"/>
        </w:rPr>
        <w:fldChar w:fldCharType="begin"/>
      </w:r>
      <w:r>
        <w:rPr>
          <w:rFonts w:ascii="Times New Roman" w:hAnsi="Times New Roman" w:cs="Times New Roman"/>
        </w:rPr>
        <w:instrText xml:space="preserve"> ADDIN EN.CITE &lt;EndNote&gt;&lt;Cite AuthorYear="1"&gt;&lt;Author&gt;Fulton&lt;/Author&gt;&lt;Year&gt;1988&lt;/Year&gt;&lt;RecNum&gt;2270&lt;/RecNum&gt;&lt;DisplayText&gt;Fulton and Owen (1988)&lt;/DisplayText&gt;&lt;record&gt;&lt;rec-number&gt;2270&lt;/rec-number&gt;&lt;foreign-keys&gt;&lt;key app="EN" db-id="2pe9e00ros0veneeptspa5vhz0pw2az52v20" timestamp="1705262377" guid="f44290dc-4ced-4a6a-b0fc-120643da79ca"&gt;2270&lt;/key&gt;&lt;/foreign-keys&gt;&lt;ref-type name="Journal Article"&gt;17&lt;/ref-type&gt;&lt;contributors&gt;&lt;authors&gt;&lt;author&gt;Fulton, Robert&lt;/author&gt;&lt;author&gt;Owen, Greg&lt;/author&gt;&lt;/authors&gt;&lt;/contributors&gt;&lt;titles&gt;&lt;title&gt;Death and society in twentieth century America&lt;/title&gt;&lt;secondary-title&gt;OMEGA - Journal of Death and Dying&lt;/secondary-title&gt;&lt;/titles&gt;&lt;periodical&gt;&lt;full-title&gt;OMEGA - Journal of Death and Dying&lt;/full-title&gt;&lt;/periodical&gt;&lt;pages&gt;379-395&lt;/pages&gt;&lt;volume&gt;18&lt;/volume&gt;&lt;number&gt;4&lt;/number&gt;&lt;dates&gt;&lt;year&gt;1988&lt;/year&gt;&lt;/dates&gt;&lt;urls&gt;&lt;related-urls&gt;&lt;url&gt;https://journals.sagepub.com/doi/abs/10.2190/6KYM-F9EB-VY1J-FQWE&lt;/url&gt;&lt;/related-urls&gt;&lt;/urls&gt;&lt;electronic-resource-num&gt;10.2190/6kym-f9eb-vy1j-fqwe&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Fulton and Owen (1988)</w:t>
      </w:r>
      <w:r>
        <w:rPr>
          <w:rFonts w:ascii="Times New Roman" w:hAnsi="Times New Roman" w:cs="Times New Roman"/>
        </w:rPr>
        <w:fldChar w:fldCharType="end"/>
      </w:r>
      <w:r>
        <w:rPr>
          <w:rFonts w:ascii="Times New Roman" w:hAnsi="Times New Roman" w:cs="Times New Roman"/>
        </w:rPr>
        <w:t xml:space="preserve"> found that, compared to people prior to the atomic bomb, people born in the nuclear age expressed their fears and frustrations with death in music, drugs, violence, and vicarious death experiences, which could have some connections to the rising interest in spirituality and the increase in suicide in an impersonal and threatened world. Similarly, </w:t>
      </w:r>
      <w:r>
        <w:rPr>
          <w:rFonts w:ascii="Times New Roman" w:hAnsi="Times New Roman" w:cs="Times New Roman"/>
        </w:rPr>
        <w:fldChar w:fldCharType="begin"/>
      </w:r>
      <w:r>
        <w:rPr>
          <w:rFonts w:ascii="Times New Roman" w:hAnsi="Times New Roman" w:cs="Times New Roman"/>
        </w:rPr>
        <w:instrText xml:space="preserve"> ADDIN EN.CITE &lt;EndNote&gt;&lt;Cite AuthorYear="1"&gt;&lt;Author&gt;Foreman&lt;/Author&gt;&lt;Year&gt;1973&lt;/Year&gt;&lt;RecNum&gt;2271&lt;/RecNum&gt;&lt;DisplayText&gt;Foreman (1973)&lt;/DisplayText&gt;&lt;record&gt;&lt;rec-number&gt;2271&lt;/rec-number&gt;&lt;foreign-keys&gt;&lt;key app="EN" db-id="2pe9e00ros0veneeptspa5vhz0pw2az52v20" timestamp="1705264276" guid="375d766f-75dc-4104-8532-88cefe821646"&gt;2271&lt;/key&gt;&lt;/foreign-keys&gt;&lt;ref-type name="Journal Article"&gt;17&lt;/ref-type&gt;&lt;contributors&gt;&lt;authors&gt;&lt;author&gt;Foreman, James&lt;/author&gt;&lt;/authors&gt;&lt;/contributors&gt;&lt;titles&gt;&lt;title&gt;Theory and the ideal type of the professional: The case of the funeral director&lt;/title&gt;&lt;secondary-title&gt;OMEGA - Journal of Death and Dying&lt;/secondary-title&gt;&lt;/titles&gt;&lt;periodical&gt;&lt;full-title&gt;OMEGA - Journal of Death and Dying&lt;/full-title&gt;&lt;/periodical&gt;&lt;pages&gt;221-228&lt;/pages&gt;&lt;volume&gt;4&lt;/volume&gt;&lt;number&gt;3&lt;/number&gt;&lt;dates&gt;&lt;year&gt;1973&lt;/year&gt;&lt;/dates&gt;&lt;urls&gt;&lt;related-urls&gt;&lt;url&gt;https://journals.sagepub.com/doi/abs/10.2190/7N5F-X6QR-Y8XQ-PYDA&lt;/url&gt;&lt;/related-urls&gt;&lt;/urls&gt;&lt;electronic-resource-num&gt;10.2190/7n5f-x6qr-y8xq-pyda&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Foreman (1973)</w:t>
      </w:r>
      <w:r>
        <w:rPr>
          <w:rFonts w:ascii="Times New Roman" w:hAnsi="Times New Roman" w:cs="Times New Roman"/>
        </w:rPr>
        <w:fldChar w:fldCharType="end"/>
      </w:r>
      <w:r>
        <w:rPr>
          <w:rFonts w:ascii="Times New Roman" w:hAnsi="Times New Roman" w:cs="Times New Roman"/>
        </w:rPr>
        <w:t xml:space="preserve"> identified three types of ideal funeral professionals – sanitizing in 1905, naturalizing in 1939, and sympathizing in 1963 – which reflected social change in funeral professionals.</w:t>
      </w:r>
    </w:p>
    <w:p w14:paraId="30C35B52" w14:textId="77777777" w:rsidR="00256B3D" w:rsidRDefault="00256B3D" w:rsidP="00256B3D">
      <w:pPr>
        <w:spacing w:line="480" w:lineRule="auto"/>
        <w:ind w:firstLine="720"/>
        <w:rPr>
          <w:rFonts w:ascii="Times New Roman" w:hAnsi="Times New Roman" w:cs="Times New Roman"/>
        </w:rPr>
      </w:pPr>
      <w:r>
        <w:rPr>
          <w:rFonts w:ascii="Times New Roman" w:hAnsi="Times New Roman" w:cs="Times New Roman"/>
        </w:rPr>
        <w:t xml:space="preserve">Other research documents social change in funeral practices. For example, </w:t>
      </w:r>
      <w:r>
        <w:rPr>
          <w:rFonts w:ascii="Times New Roman" w:hAnsi="Times New Roman" w:cs="Times New Roman"/>
        </w:rPr>
        <w:fldChar w:fldCharType="begin"/>
      </w:r>
      <w:r>
        <w:rPr>
          <w:rFonts w:ascii="Times New Roman" w:hAnsi="Times New Roman" w:cs="Times New Roman"/>
        </w:rPr>
        <w:instrText xml:space="preserve"> ADDIN EN.CITE &lt;EndNote&gt;&lt;Cite AuthorYear="1"&gt;&lt;Author&gt;Schafer&lt;/Author&gt;&lt;Year&gt;2007&lt;/Year&gt;&lt;RecNum&gt;1226&lt;/RecNum&gt;&lt;DisplayText&gt;Schafer (2007, 2012)&lt;/DisplayText&gt;&lt;record&gt;&lt;rec-number&gt;1226&lt;/rec-number&gt;&lt;foreign-keys&gt;&lt;key app="EN" db-id="2pe9e00ros0veneeptspa5vhz0pw2az52v20" timestamp="1610473550" guid="f09f6eb5-95e5-44b2-a67b-33dc55ade470"&gt;1226&lt;/key&gt;&lt;/foreign-keys&gt;&lt;ref-type name="Journal Article"&gt;17&lt;/ref-type&gt;&lt;contributors&gt;&lt;authors&gt;&lt;author&gt;Schafer, Cyril&lt;/author&gt;&lt;/authors&gt;&lt;/contributors&gt;&lt;titles&gt;&lt;title&gt;Post-mortem personalization: pastoral power and the New Zealand funeral director&lt;/title&gt;&lt;secondary-title&gt;Mortality&lt;/secondary-title&gt;&lt;/titles&gt;&lt;periodical&gt;&lt;full-title&gt;Mortality&lt;/full-title&gt;&lt;/periodical&gt;&lt;pages&gt;4-21&lt;/pages&gt;&lt;volume&gt;12&lt;/volume&gt;&lt;number&gt;1&lt;/number&gt;&lt;dates&gt;&lt;year&gt;2007&lt;/year&gt;&lt;/dates&gt;&lt;publisher&gt;Routledge&lt;/publisher&gt;&lt;isbn&gt;1357-6275&lt;/isbn&gt;&lt;urls&gt;&lt;related-urls&gt;&lt;url&gt;https://doi.org/10.1080/13576270601088319&lt;/url&gt;&lt;/related-urls&gt;&lt;/urls&gt;&lt;electronic-resource-num&gt;10.1080/13576270601088319&lt;/electronic-resource-num&gt;&lt;/record&gt;&lt;/Cite&gt;&lt;Cite AuthorYear="1"&gt;&lt;Author&gt;Schafer&lt;/Author&gt;&lt;Year&gt;2012&lt;/Year&gt;&lt;RecNum&gt;1132&lt;/RecNum&gt;&lt;record&gt;&lt;rec-number&gt;1132&lt;/rec-number&gt;&lt;foreign-keys&gt;&lt;key app="EN" db-id="2pe9e00ros0veneeptspa5vhz0pw2az52v20" timestamp="1609653874" guid="91f76886-d4e3-4389-8543-9160bc401817"&gt;1132&lt;/key&gt;&lt;/foreign-keys&gt;&lt;ref-type name="Journal Article"&gt;17&lt;/ref-type&gt;&lt;contributors&gt;&lt;authors&gt;&lt;author&gt;Schafer, Cyril&lt;/author&gt;&lt;/authors&gt;&lt;/contributors&gt;&lt;titles&gt;&lt;title&gt;Corpses, conflict and insignificance? A critical analysis of post-mortem practices&lt;/title&gt;&lt;secondary-title&gt;Mortality&lt;/secondary-title&gt;&lt;/titles&gt;&lt;periodical&gt;&lt;full-title&gt;Mortality&lt;/full-title&gt;&lt;/periodical&gt;&lt;pages&gt;305-321&lt;/pages&gt;&lt;volume&gt;17&lt;/volume&gt;&lt;number&gt;4&lt;/number&gt;&lt;dates&gt;&lt;year&gt;2012&lt;/year&gt;&lt;/dates&gt;&lt;isbn&gt;1357-6275&lt;/isbn&gt;&lt;urls&gt;&lt;/urls&gt;&lt;electronic-resource-num&gt;10.1080/13576275.2012.731724&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Schafer (2007, 2012)</w:t>
      </w:r>
      <w:r>
        <w:rPr>
          <w:rFonts w:ascii="Times New Roman" w:hAnsi="Times New Roman" w:cs="Times New Roman"/>
        </w:rPr>
        <w:fldChar w:fldCharType="end"/>
      </w:r>
      <w:r>
        <w:rPr>
          <w:rFonts w:ascii="Times New Roman" w:hAnsi="Times New Roman" w:cs="Times New Roman"/>
        </w:rPr>
        <w:t xml:space="preserve"> documented the personalization of funeral services, which maximized individual needs, the flexibility of organizing funerals, and funeral meaning-creation. </w:t>
      </w:r>
      <w:r>
        <w:rPr>
          <w:rFonts w:ascii="Times New Roman" w:hAnsi="Times New Roman" w:cs="Times New Roman"/>
        </w:rPr>
        <w:fldChar w:fldCharType="begin"/>
      </w:r>
      <w:r>
        <w:rPr>
          <w:rFonts w:ascii="Times New Roman" w:hAnsi="Times New Roman" w:cs="Times New Roman"/>
        </w:rPr>
        <w:instrText xml:space="preserve"> ADDIN EN.CITE &lt;EndNote&gt;&lt;Cite AuthorYear="1"&gt;&lt;Author&gt;Beard&lt;/Author&gt;&lt;Year&gt;2020&lt;/Year&gt;&lt;RecNum&gt;1598&lt;/RecNum&gt;&lt;DisplayText&gt;Beard and Burger (2020)&lt;/DisplayText&gt;&lt;record&gt;&lt;rec-number&gt;1598&lt;/rec-number&gt;&lt;foreign-keys&gt;&lt;key app="EN" db-id="2pe9e00ros0veneeptspa5vhz0pw2az52v20" timestamp="1647626021" guid="926d276a-ae07-4f79-ae75-d1e176963a40"&gt;1598&lt;/key&gt;&lt;/foreign-keys&gt;&lt;ref-type name="Journal Article"&gt;17&lt;/ref-type&gt;&lt;contributors&gt;&lt;authors&gt;&lt;author&gt;Beard, Virginia R&lt;/author&gt;&lt;author&gt;Burger, William C&lt;/author&gt;&lt;/authors&gt;&lt;/contributors&gt;&lt;titles&gt;&lt;title&gt;Selling in a dying business: An analysis of trends during a period of major market transition in the funeral industry&lt;/title&gt;&lt;secondary-title&gt;OMEGA-Journal of Death and Dying&lt;/secondary-title&gt;&lt;/titles&gt;&lt;periodical&gt;&lt;full-title&gt;OMEGA-Journal of Death and Dying&lt;/full-title&gt;&lt;/periodical&gt;&lt;pages&gt;544-567&lt;/pages&gt;&lt;volume&gt;80&lt;/volume&gt;&lt;number&gt;4&lt;/number&gt;&lt;dates&gt;&lt;year&gt;2020&lt;/year&gt;&lt;/dates&gt;&lt;isbn&gt;0030-2228&lt;/isbn&gt;&lt;urls&gt;&lt;/urls&gt;&lt;electronic-resource-num&gt;10.1177/0030222817745430&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Beard and Burger (2020)</w:t>
      </w:r>
      <w:r>
        <w:rPr>
          <w:rFonts w:ascii="Times New Roman" w:hAnsi="Times New Roman" w:cs="Times New Roman"/>
        </w:rPr>
        <w:fldChar w:fldCharType="end"/>
      </w:r>
      <w:r>
        <w:rPr>
          <w:rFonts w:ascii="Times New Roman" w:hAnsi="Times New Roman" w:cs="Times New Roman"/>
        </w:rPr>
        <w:t xml:space="preserve"> found that funeral </w:t>
      </w:r>
      <w:proofErr w:type="gramStart"/>
      <w:r>
        <w:rPr>
          <w:rFonts w:ascii="Times New Roman" w:hAnsi="Times New Roman" w:cs="Times New Roman"/>
        </w:rPr>
        <w:t>home owners</w:t>
      </w:r>
      <w:proofErr w:type="gramEnd"/>
      <w:r>
        <w:rPr>
          <w:rFonts w:ascii="Times New Roman" w:hAnsi="Times New Roman" w:cs="Times New Roman"/>
        </w:rPr>
        <w:t xml:space="preserve"> should market their services via the use of technology, pet services, individualized services, and diversity admission and perform community engagement via education, aftercare, and community activities. Similarly, </w:t>
      </w:r>
      <w:r>
        <w:rPr>
          <w:rFonts w:ascii="Times New Roman" w:hAnsi="Times New Roman" w:cs="Times New Roman"/>
        </w:rPr>
        <w:fldChar w:fldCharType="begin"/>
      </w:r>
      <w:r>
        <w:rPr>
          <w:rFonts w:ascii="Times New Roman" w:hAnsi="Times New Roman" w:cs="Times New Roman"/>
        </w:rPr>
        <w:instrText xml:space="preserve"> ADDIN EN.CITE &lt;EndNote&gt;&lt;Cite AuthorYear="1"&gt;&lt;Author&gt;Sanders&lt;/Author&gt;&lt;Year&gt;2012&lt;/Year&gt;&lt;RecNum&gt;2273&lt;/RecNum&gt;&lt;DisplayText&gt;Sanders (2012)&lt;/DisplayText&gt;&lt;record&gt;&lt;rec-number&gt;2273&lt;/rec-number&gt;&lt;foreign-keys&gt;&lt;key app="EN" db-id="2pe9e00ros0veneeptspa5vhz0pw2az52v20" timestamp="1705267583" guid="e5360073-ee42-4614-8f04-ad7c8250b9e5"&gt;2273&lt;/key&gt;&lt;/foreign-keys&gt;&lt;ref-type name="Journal Article"&gt;17&lt;/ref-type&gt;&lt;contributors&gt;&lt;authors&gt;&lt;author&gt;Sanders, George&lt;/author&gt;&lt;/authors&gt;&lt;/contributors&gt;&lt;titles&gt;&lt;title&gt;Branding in the American funeral industry&lt;/title&gt;&lt;secondary-title&gt;Journal of Consumer Culture&lt;/secondary-title&gt;&lt;/titles&gt;&lt;periodical&gt;&lt;full-title&gt;Journal of Consumer Culture&lt;/full-title&gt;&lt;/periodical&gt;&lt;pages&gt;263-282&lt;/pages&gt;&lt;volume&gt;12&lt;/volume&gt;&lt;number&gt;3&lt;/number&gt;&lt;keywords&gt;&lt;keyword&gt;branding,experiential consumption,funeral industry,interpassivity,theming&lt;/keyword&gt;&lt;/keywords&gt;&lt;dates&gt;&lt;year&gt;2012&lt;/year&gt;&lt;/dates&gt;&lt;urls&gt;&lt;related-urls&gt;&lt;url&gt;https://journals.sagepub.com/doi/abs/10.1177/1469540512456924&lt;/url&gt;&lt;/related-urls&gt;&lt;/urls&gt;&lt;electronic-resource-num&gt;10.1177/1469540512456924&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Sanders (2012)</w:t>
      </w:r>
      <w:r>
        <w:rPr>
          <w:rFonts w:ascii="Times New Roman" w:hAnsi="Times New Roman" w:cs="Times New Roman"/>
        </w:rPr>
        <w:fldChar w:fldCharType="end"/>
      </w:r>
      <w:r>
        <w:rPr>
          <w:rFonts w:ascii="Times New Roman" w:hAnsi="Times New Roman" w:cs="Times New Roman"/>
        </w:rPr>
        <w:t xml:space="preserve"> discussed that brandscapes became more widespread in funeral products and services. </w:t>
      </w:r>
    </w:p>
    <w:p w14:paraId="51931661" w14:textId="77777777" w:rsidR="00256B3D" w:rsidRPr="008C11A6" w:rsidRDefault="00256B3D" w:rsidP="00256B3D">
      <w:pPr>
        <w:tabs>
          <w:tab w:val="left" w:pos="3963"/>
        </w:tabs>
        <w:spacing w:line="480" w:lineRule="auto"/>
        <w:ind w:firstLine="720"/>
        <w:rPr>
          <w:rFonts w:ascii="Times New Roman" w:hAnsi="Times New Roman" w:cs="Times New Roman"/>
        </w:rPr>
      </w:pPr>
      <w:r w:rsidRPr="008C11A6">
        <w:rPr>
          <w:rFonts w:ascii="Times New Roman" w:hAnsi="Times New Roman" w:cs="Times New Roman"/>
          <w:b/>
          <w:bCs/>
        </w:rPr>
        <w:t>Dialectic difference</w:t>
      </w:r>
      <w:r w:rsidRPr="008C11A6">
        <w:rPr>
          <w:rFonts w:ascii="Times New Roman" w:hAnsi="Times New Roman" w:cs="Times New Roman"/>
        </w:rPr>
        <w:t xml:space="preserve">. Research explores rural-urban </w:t>
      </w:r>
      <w:r>
        <w:rPr>
          <w:rFonts w:ascii="Times New Roman" w:hAnsi="Times New Roman" w:cs="Times New Roman"/>
        </w:rPr>
        <w:t xml:space="preserve">and </w:t>
      </w:r>
      <w:r w:rsidRPr="008C11A6">
        <w:rPr>
          <w:rFonts w:ascii="Times New Roman" w:hAnsi="Times New Roman" w:cs="Times New Roman"/>
        </w:rPr>
        <w:t xml:space="preserve">cross-cultural </w:t>
      </w:r>
      <w:r>
        <w:rPr>
          <w:rFonts w:ascii="Times New Roman" w:hAnsi="Times New Roman" w:cs="Times New Roman"/>
        </w:rPr>
        <w:t>comparisons</w:t>
      </w:r>
      <w:r w:rsidRPr="008C11A6">
        <w:rPr>
          <w:rFonts w:ascii="Times New Roman" w:hAnsi="Times New Roman" w:cs="Times New Roman"/>
        </w:rPr>
        <w:t xml:space="preserve"> in funeral services related to the commerce-care dialectic. </w:t>
      </w:r>
    </w:p>
    <w:p w14:paraId="12CE6CEB" w14:textId="77777777" w:rsidR="00256B3D" w:rsidRPr="008C11A6" w:rsidRDefault="00256B3D" w:rsidP="00256B3D">
      <w:pPr>
        <w:tabs>
          <w:tab w:val="left" w:pos="3963"/>
        </w:tabs>
        <w:spacing w:line="480" w:lineRule="auto"/>
        <w:ind w:firstLine="720"/>
        <w:rPr>
          <w:rFonts w:ascii="Times New Roman" w:hAnsi="Times New Roman" w:cs="Times New Roman"/>
          <w:noProof/>
        </w:rPr>
      </w:pPr>
      <w:r w:rsidRPr="008C11A6">
        <w:rPr>
          <w:rFonts w:ascii="Times New Roman" w:hAnsi="Times New Roman" w:cs="Times New Roman"/>
          <w:noProof/>
        </w:rPr>
        <w:lastRenderedPageBreak/>
        <w:t>Accompanied by 1960s urbanization in the United States (U.S.), urban funeral services</w:t>
      </w:r>
      <w:r w:rsidRPr="008C11A6">
        <w:rPr>
          <w:rFonts w:ascii="Times New Roman" w:hAnsi="Times New Roman" w:cs="Times New Roman"/>
          <w:noProof/>
          <w:lang w:eastAsia="zh-TW"/>
        </w:rPr>
        <w:t xml:space="preserve"> became akin to the McDonaldized products of a corporation assembly line </w:t>
      </w:r>
      <w:r w:rsidRPr="008C11A6">
        <w:rPr>
          <w:rFonts w:ascii="Times New Roman" w:hAnsi="Times New Roman" w:cs="Times New Roman"/>
          <w:noProof/>
          <w:lang w:eastAsia="zh-TW"/>
        </w:rPr>
        <w:fldChar w:fldCharType="begin"/>
      </w:r>
      <w:r w:rsidRPr="008C11A6">
        <w:rPr>
          <w:rFonts w:ascii="Times New Roman" w:hAnsi="Times New Roman" w:cs="Times New Roman"/>
          <w:noProof/>
          <w:lang w:eastAsia="zh-TW"/>
        </w:rPr>
        <w:instrText xml:space="preserve"> ADDIN EN.CITE &lt;EndNote&gt;&lt;Cite&gt;&lt;Author&gt;Mitford&lt;/Author&gt;&lt;Year&gt;2000&lt;/Year&gt;&lt;RecNum&gt;1516&lt;/RecNum&gt;&lt;DisplayText&gt;(Mitford, 2000)&lt;/DisplayText&gt;&lt;record&gt;&lt;rec-number&gt;1516&lt;/rec-number&gt;&lt;foreign-keys&gt;&lt;key app="EN" db-id="2pe9e00ros0veneeptspa5vhz0pw2az52v20" timestamp="1643841757" guid="c4a0500f-1f80-4d6c-ae96-152b9c1347ba"&gt;1516&lt;/key&gt;&lt;/foreign-keys&gt;&lt;ref-type name="Book"&gt;6&lt;/ref-type&gt;&lt;contributors&gt;&lt;authors&gt;&lt;author&gt;Mitford, Jessica&lt;/author&gt;&lt;/authors&gt;&lt;/contributors&gt;&lt;titles&gt;&lt;title&gt;The American way of death revisited&lt;/title&gt;&lt;/titles&gt;&lt;dates&gt;&lt;year&gt;2000&lt;/year&gt;&lt;/dates&gt;&lt;publisher&gt;Vintage&lt;/publisher&gt;&lt;isbn&gt;0679771867&lt;/isbn&gt;&lt;urls&gt;&lt;/urls&gt;&lt;/record&gt;&lt;/Cite&gt;&lt;/EndNote&gt;</w:instrText>
      </w:r>
      <w:r w:rsidRPr="008C11A6">
        <w:rPr>
          <w:rFonts w:ascii="Times New Roman" w:hAnsi="Times New Roman" w:cs="Times New Roman"/>
          <w:noProof/>
          <w:lang w:eastAsia="zh-TW"/>
        </w:rPr>
        <w:fldChar w:fldCharType="separate"/>
      </w:r>
      <w:r w:rsidRPr="008C11A6">
        <w:rPr>
          <w:rFonts w:ascii="Times New Roman" w:hAnsi="Times New Roman" w:cs="Times New Roman"/>
          <w:noProof/>
          <w:lang w:eastAsia="zh-TW"/>
        </w:rPr>
        <w:t>(Mitford, 2000)</w:t>
      </w:r>
      <w:r w:rsidRPr="008C11A6">
        <w:rPr>
          <w:rFonts w:ascii="Times New Roman" w:hAnsi="Times New Roman" w:cs="Times New Roman"/>
          <w:noProof/>
          <w:lang w:eastAsia="zh-TW"/>
        </w:rPr>
        <w:fldChar w:fldCharType="end"/>
      </w:r>
      <w:r w:rsidRPr="008C11A6">
        <w:rPr>
          <w:rFonts w:ascii="Times New Roman" w:hAnsi="Times New Roman" w:cs="Times New Roman"/>
          <w:noProof/>
          <w:lang w:eastAsia="zh-TW"/>
        </w:rPr>
        <w:t>. Distinctively, people get personalized service at family-owned funeral homes in rural communities</w:t>
      </w:r>
      <w:r w:rsidRPr="008C11A6">
        <w:rPr>
          <w:rFonts w:ascii="Times New Roman" w:hAnsi="Times New Roman" w:cs="Times New Roman"/>
          <w:noProof/>
        </w:rPr>
        <w:t xml:space="preserve"> </w:t>
      </w:r>
      <w:r w:rsidRPr="008C11A6">
        <w:rPr>
          <w:rFonts w:ascii="Times New Roman" w:hAnsi="Times New Roman" w:cs="Times New Roman"/>
          <w:noProof/>
        </w:rPr>
        <w:fldChar w:fldCharType="begin"/>
      </w:r>
      <w:r w:rsidRPr="008C11A6">
        <w:rPr>
          <w:rFonts w:ascii="Times New Roman" w:hAnsi="Times New Roman" w:cs="Times New Roman"/>
          <w:noProof/>
        </w:rPr>
        <w:instrText xml:space="preserve"> ADDIN EN.CITE &lt;EndNote&gt;&lt;Cite&gt;&lt;Author&gt;Zamfirache&lt;/Author&gt;&lt;Year&gt;2021&lt;/Year&gt;&lt;RecNum&gt;1523&lt;/RecNum&gt;&lt;DisplayText&gt;(Zamfirache, 2021)&lt;/DisplayText&gt;&lt;record&gt;&lt;rec-number&gt;1523&lt;/rec-number&gt;&lt;foreign-keys&gt;&lt;key app="EN" db-id="2pe9e00ros0veneeptspa5vhz0pw2az52v20" timestamp="1643860395" guid="fd532273-57f2-4b01-abc3-165f738214c5"&gt;1523&lt;/key&gt;&lt;/foreign-keys&gt;&lt;ref-type name="Book Section"&gt;5&lt;/ref-type&gt;&lt;contributors&gt;&lt;authors&gt;&lt;author&gt;Zamfirache, Irina &lt;/author&gt;&lt;/authors&gt;&lt;secondary-authors&gt;&lt;author&gt;Lamond, Ian R&lt;/author&gt;&lt;author&gt;Dowson, Ruth&lt;/author&gt;&lt;/secondary-authors&gt;&lt;/contributors&gt;&lt;titles&gt;&lt;title&gt;Funerals as a social process: Rituals and symbols in rural and urban funerals&lt;/title&gt;&lt;secondary-title&gt;Death and Events: International Perspectives on Events Marking the End of Life&lt;/secondary-title&gt;&lt;/titles&gt;&lt;pages&gt;13-25&lt;/pages&gt;&lt;dates&gt;&lt;year&gt;2021&lt;/year&gt;&lt;/dates&gt;&lt;publisher&gt;Routledge&lt;/publisher&gt;&lt;isbn&gt;1000469883&lt;/isbn&gt;&lt;urls&gt;&lt;/urls&gt;&lt;/record&gt;&lt;/Cite&gt;&lt;/EndNote&gt;</w:instrText>
      </w:r>
      <w:r w:rsidRPr="008C11A6">
        <w:rPr>
          <w:rFonts w:ascii="Times New Roman" w:hAnsi="Times New Roman" w:cs="Times New Roman"/>
          <w:noProof/>
        </w:rPr>
        <w:fldChar w:fldCharType="separate"/>
      </w:r>
      <w:r w:rsidRPr="008C11A6">
        <w:rPr>
          <w:rFonts w:ascii="Times New Roman" w:hAnsi="Times New Roman" w:cs="Times New Roman"/>
          <w:noProof/>
        </w:rPr>
        <w:t>(Zamfirache, 2021)</w:t>
      </w:r>
      <w:r w:rsidRPr="008C11A6">
        <w:rPr>
          <w:rFonts w:ascii="Times New Roman" w:hAnsi="Times New Roman" w:cs="Times New Roman"/>
          <w:noProof/>
        </w:rPr>
        <w:fldChar w:fldCharType="end"/>
      </w:r>
      <w:r w:rsidRPr="008C11A6">
        <w:rPr>
          <w:rFonts w:ascii="Times New Roman" w:hAnsi="Times New Roman" w:cs="Times New Roman"/>
          <w:noProof/>
        </w:rPr>
        <w:t>.</w:t>
      </w:r>
      <w:r w:rsidRPr="008C11A6">
        <w:rPr>
          <w:rFonts w:ascii="Times New Roman" w:hAnsi="Times New Roman" w:cs="Times New Roman"/>
        </w:rPr>
        <w:t xml:space="preserve"> </w:t>
      </w:r>
      <w:r>
        <w:rPr>
          <w:rFonts w:ascii="Times New Roman" w:hAnsi="Times New Roman" w:cs="Times New Roman"/>
          <w:noProof/>
        </w:rPr>
        <w:t xml:space="preserve">The commerce-care dialectic in funeral services is represented as conflicting organizational patterns in funeral directing </w:t>
      </w:r>
      <w:r>
        <w:rPr>
          <w:rFonts w:ascii="Times New Roman" w:hAnsi="Times New Roman" w:cs="Times New Roman"/>
          <w:noProof/>
        </w:rPr>
        <w:fldChar w:fldCharType="begin"/>
      </w:r>
      <w:r>
        <w:rPr>
          <w:rFonts w:ascii="Times New Roman" w:hAnsi="Times New Roman" w:cs="Times New Roman"/>
          <w:noProof/>
        </w:rPr>
        <w:instrText xml:space="preserve"> ADDIN EN.CITE &lt;EndNote&gt;&lt;Cite&gt;&lt;Author&gt;Habenstein&lt;/Author&gt;&lt;Year&gt;1963&lt;/Year&gt;&lt;RecNum&gt;920&lt;/RecNum&gt;&lt;DisplayText&gt;(Habenstein, 1963)&lt;/DisplayText&gt;&lt;record&gt;&lt;rec-number&gt;920&lt;/rec-number&gt;&lt;foreign-keys&gt;&lt;key app="EN" db-id="2pe9e00ros0veneeptspa5vhz0pw2az52v20" timestamp="1597977974" guid="fbd03066-fe02-4d32-a3f0-f526739c9c7d"&gt;920&lt;/key&gt;&lt;/foreign-keys&gt;&lt;ref-type name="Journal Article"&gt;17&lt;/ref-type&gt;&lt;contributors&gt;&lt;authors&gt;&lt;author&gt;Habenstein, R.&lt;/author&gt;&lt;/authors&gt;&lt;/contributors&gt;&lt;titles&gt;&lt;title&gt;Conflicting organizational patterns in funeral directing&lt;/title&gt;&lt;secondary-title&gt;Human Organization&lt;/secondary-title&gt;&lt;alt-title&gt;Hum Organ&lt;/alt-title&gt;&lt;/titles&gt;&lt;periodical&gt;&lt;full-title&gt;Human Organization&lt;/full-title&gt;&lt;/periodical&gt;&lt;pages&gt;126-132&lt;/pages&gt;&lt;volume&gt;22&lt;/volume&gt;&lt;number&gt;2&lt;/number&gt;&lt;dates&gt;&lt;year&gt;1963&lt;/year&gt;&lt;/dates&gt;&lt;isbn&gt;0018-7259&lt;/isbn&gt;&lt;accession-num&gt;WOS:A1963CBJ0200004&lt;/accession-num&gt;&lt;urls&gt;&lt;related-urls&gt;&lt;url&gt;&amp;lt;Go to ISI&amp;gt;://WOS:A1963CBJ0200004&lt;/url&gt;&lt;/related-urls&gt;&lt;/urls&gt;&lt;electronic-resource-num&gt;10.17730/humo.22.2.t602u17535701hh3&lt;/electronic-resource-num&gt;&lt;language&gt;English&lt;/language&gt;&lt;/record&gt;&lt;/Cite&gt;&lt;/EndNote&gt;</w:instrText>
      </w:r>
      <w:r>
        <w:rPr>
          <w:rFonts w:ascii="Times New Roman" w:hAnsi="Times New Roman" w:cs="Times New Roman"/>
          <w:noProof/>
        </w:rPr>
        <w:fldChar w:fldCharType="separate"/>
      </w:r>
      <w:r>
        <w:rPr>
          <w:rFonts w:ascii="Times New Roman" w:hAnsi="Times New Roman" w:cs="Times New Roman"/>
          <w:noProof/>
        </w:rPr>
        <w:t>(Habenstein, 1963)</w:t>
      </w:r>
      <w:r>
        <w:rPr>
          <w:rFonts w:ascii="Times New Roman" w:hAnsi="Times New Roman" w:cs="Times New Roman"/>
          <w:noProof/>
        </w:rPr>
        <w:fldChar w:fldCharType="end"/>
      </w:r>
      <w:r>
        <w:rPr>
          <w:rFonts w:ascii="Times New Roman" w:hAnsi="Times New Roman" w:cs="Times New Roman"/>
          <w:noProof/>
        </w:rPr>
        <w:t xml:space="preserve">. Within urban metropolises, funeral homes have specialized workers for different procedures, serve metro-based people, have no kinship with customers, apply bureaucratic corporation management, and encourage unlimited profiting. Comparatively, local funeral homes have general or all-around workers for the whole service, serve community-based people, have (somewhat) kinship with customers, admit reciprocal commitment, and apply limited profiting. The commerce-care dialectic in funeral services is also reflected in the different goal orientations of urban and rural funeral homes. </w:t>
      </w:r>
      <w:r w:rsidRPr="008C11A6">
        <w:rPr>
          <w:rFonts w:ascii="Times New Roman" w:hAnsi="Times New Roman" w:cs="Times New Roman"/>
        </w:rPr>
        <w:t xml:space="preserve">Urban funeral homes are </w:t>
      </w:r>
      <w:r>
        <w:rPr>
          <w:rFonts w:ascii="Times New Roman" w:hAnsi="Times New Roman" w:cs="Times New Roman"/>
        </w:rPr>
        <w:t xml:space="preserve">profit-oriented (Beard &amp; Burger, 2017), bureaucratic-control </w:t>
      </w:r>
      <w:r>
        <w:rPr>
          <w:rFonts w:ascii="Times New Roman" w:hAnsi="Times New Roman" w:cs="Times New Roman"/>
        </w:rPr>
        <w:fldChar w:fldCharType="begin"/>
      </w:r>
      <w:r>
        <w:rPr>
          <w:rFonts w:ascii="Times New Roman" w:hAnsi="Times New Roman" w:cs="Times New Roman"/>
        </w:rPr>
        <w:instrText xml:space="preserve"> ADDIN EN.CITE &lt;EndNote&gt;&lt;Cite&gt;&lt;Author&gt;Lofland&lt;/Author&gt;&lt;Year&gt;2019&lt;/Year&gt;&lt;RecNum&gt;1609&lt;/RecNum&gt;&lt;DisplayText&gt;(Lofland, 2019)&lt;/DisplayText&gt;&lt;record&gt;&lt;rec-number&gt;1609&lt;/rec-number&gt;&lt;foreign-keys&gt;&lt;key app="EN" db-id="2pe9e00ros0veneeptspa5vhz0pw2az52v20" timestamp="1647748384" guid="830871c4-3699-42e6-b0fd-f1f9cf75e4d6"&gt;1609&lt;/key&gt;&lt;/foreign-keys&gt;&lt;ref-type name="Book"&gt;6&lt;/ref-type&gt;&lt;contributors&gt;&lt;authors&gt;&lt;author&gt;Lofland, Lyn H&lt;/author&gt;&lt;/authors&gt;&lt;/contributors&gt;&lt;titles&gt;&lt;title&gt;The craft of dying: The modern face of death&lt;/title&gt;&lt;/titles&gt;&lt;dates&gt;&lt;year&gt;2019&lt;/year&gt;&lt;/dates&gt;&lt;publisher&gt;Sage Publications&lt;/publisher&gt;&lt;isbn&gt;0262537346&lt;/isbn&gt;&lt;urls&gt;&lt;/urls&gt;&lt;/record&gt;&lt;/Cite&gt;&lt;/EndNote&gt;</w:instrText>
      </w:r>
      <w:r>
        <w:rPr>
          <w:rFonts w:ascii="Times New Roman" w:hAnsi="Times New Roman" w:cs="Times New Roman"/>
        </w:rPr>
        <w:fldChar w:fldCharType="separate"/>
      </w:r>
      <w:r>
        <w:rPr>
          <w:rFonts w:ascii="Times New Roman" w:hAnsi="Times New Roman" w:cs="Times New Roman"/>
          <w:noProof/>
        </w:rPr>
        <w:t>(Lofland, 2019)</w:t>
      </w:r>
      <w:r>
        <w:rPr>
          <w:rFonts w:ascii="Times New Roman" w:hAnsi="Times New Roman" w:cs="Times New Roman"/>
        </w:rPr>
        <w:fldChar w:fldCharType="end"/>
      </w:r>
      <w:r>
        <w:rPr>
          <w:rFonts w:ascii="Times New Roman" w:hAnsi="Times New Roman" w:cs="Times New Roman"/>
        </w:rPr>
        <w:t xml:space="preserve">, corporate-dominated (Parsons, 1999), and dehumanized and commodified </w:t>
      </w:r>
      <w:r>
        <w:rPr>
          <w:rFonts w:ascii="Times New Roman" w:hAnsi="Times New Roman" w:cs="Times New Roman"/>
        </w:rPr>
        <w:fldChar w:fldCharType="begin"/>
      </w:r>
      <w:r>
        <w:rPr>
          <w:rFonts w:ascii="Times New Roman" w:hAnsi="Times New Roman" w:cs="Times New Roman"/>
        </w:rPr>
        <w:instrText xml:space="preserve"> ADDIN EN.CITE &lt;EndNote&gt;&lt;Cite&gt;&lt;Author&gt;Han&lt;/Author&gt;&lt;Year&gt;2016&lt;/Year&gt;&lt;RecNum&gt;1599&lt;/RecNum&gt;&lt;DisplayText&gt;(Han, 2016)&lt;/DisplayText&gt;&lt;record&gt;&lt;rec-number&gt;1599&lt;/rec-number&gt;&lt;foreign-keys&gt;&lt;key app="EN" db-id="2pe9e00ros0veneeptspa5vhz0pw2az52v20" timestamp="1647626099" guid="34bbf066-bcaa-43ec-869e-1ab2e23ffbf6"&gt;1599&lt;/key&gt;&lt;/foreign-keys&gt;&lt;ref-type name="Journal Article"&gt;17&lt;/ref-type&gt;&lt;contributors&gt;&lt;authors&gt;&lt;author&gt;Han, Gil-Soo&lt;/author&gt;&lt;/authors&gt;&lt;/contributors&gt;&lt;titles&gt;&lt;title&gt;Funeral capitalism: Commodification and digital marketing of funeral services in contemporary Korea&lt;/title&gt;&lt;secondary-title&gt;Korean Studies&lt;/secondary-title&gt;&lt;/titles&gt;&lt;periodical&gt;&lt;full-title&gt;Korean Studies&lt;/full-title&gt;&lt;/periodical&gt;&lt;pages&gt;58-77&lt;/pages&gt;&lt;volume&gt;40&lt;/volume&gt;&lt;number&gt;0&lt;/number&gt;&lt;dates&gt;&lt;year&gt;2016&lt;/year&gt;&lt;/dates&gt;&lt;isbn&gt;0145-840X&lt;/isbn&gt;&lt;urls&gt;&lt;/urls&gt;&lt;electronic-resource-num&gt;10.1353/ks.2016.0002&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(Han, 2016)</w:t>
      </w:r>
      <w:r>
        <w:rPr>
          <w:rFonts w:ascii="Times New Roman" w:hAnsi="Times New Roman" w:cs="Times New Roman"/>
        </w:rPr>
        <w:fldChar w:fldCharType="end"/>
      </w:r>
      <w:r>
        <w:rPr>
          <w:rFonts w:ascii="Times New Roman" w:hAnsi="Times New Roman" w:cs="Times New Roman"/>
        </w:rPr>
        <w:t>.</w:t>
      </w:r>
      <w:r>
        <w:rPr>
          <w:rFonts w:ascii="Times New Roman" w:hAnsi="Times New Roman" w:cs="Times New Roman"/>
          <w:noProof/>
        </w:rPr>
        <w:t xml:space="preserve"> Fu</w:t>
      </w:r>
      <w:r w:rsidRPr="008C11A6">
        <w:rPr>
          <w:rFonts w:ascii="Times New Roman" w:hAnsi="Times New Roman" w:cs="Times New Roman"/>
        </w:rPr>
        <w:t>nera</w:t>
      </w:r>
      <w:r>
        <w:rPr>
          <w:rFonts w:ascii="Times New Roman" w:hAnsi="Times New Roman" w:cs="Times New Roman"/>
        </w:rPr>
        <w:t>l</w:t>
      </w:r>
      <w:r w:rsidRPr="008C11A6">
        <w:rPr>
          <w:rFonts w:ascii="Times New Roman" w:hAnsi="Times New Roman" w:cs="Times New Roman"/>
        </w:rPr>
        <w:t xml:space="preserve"> services in rural communities emphasize the </w:t>
      </w:r>
      <w:r>
        <w:rPr>
          <w:rFonts w:ascii="Times New Roman" w:hAnsi="Times New Roman" w:cs="Times New Roman"/>
        </w:rPr>
        <w:t>communal past</w:t>
      </w:r>
      <w:r w:rsidRPr="008C11A6">
        <w:rPr>
          <w:rFonts w:ascii="Times New Roman" w:hAnsi="Times New Roman" w:cs="Times New Roman"/>
        </w:rPr>
        <w:t>, serv</w:t>
      </w:r>
      <w:r>
        <w:rPr>
          <w:rFonts w:ascii="Times New Roman" w:hAnsi="Times New Roman" w:cs="Times New Roman"/>
        </w:rPr>
        <w:t>e</w:t>
      </w:r>
      <w:r w:rsidRPr="008C11A6">
        <w:rPr>
          <w:rFonts w:ascii="Times New Roman" w:hAnsi="Times New Roman" w:cs="Times New Roman"/>
        </w:rPr>
        <w:t xml:space="preserve"> the communit</w:t>
      </w:r>
      <w:r>
        <w:rPr>
          <w:rFonts w:ascii="Times New Roman" w:hAnsi="Times New Roman" w:cs="Times New Roman"/>
        </w:rPr>
        <w:t xml:space="preserve">y, and provide </w:t>
      </w:r>
      <w:r w:rsidRPr="008C11A6">
        <w:rPr>
          <w:rFonts w:ascii="Times New Roman" w:hAnsi="Times New Roman" w:cs="Times New Roman"/>
        </w:rPr>
        <w:t xml:space="preserve">support and care </w:t>
      </w:r>
      <w:r w:rsidRPr="008C11A6">
        <w:rPr>
          <w:rFonts w:ascii="Times New Roman" w:hAnsi="Times New Roman" w:cs="Times New Roman"/>
        </w:rPr>
        <w:fldChar w:fldCharType="begin"/>
      </w:r>
      <w:r>
        <w:rPr>
          <w:rFonts w:ascii="Times New Roman" w:hAnsi="Times New Roman" w:cs="Times New Roman"/>
        </w:rPr>
        <w:instrText xml:space="preserve"> ADDIN EN.CITE &lt;EndNote&gt;&lt;Cite&gt;&lt;Author&gt;Floersch&lt;/Author&gt;&lt;Year&gt;1997&lt;/Year&gt;&lt;RecNum&gt;1601&lt;/RecNum&gt;&lt;DisplayText&gt;(Floersch &amp;amp; Longhofer, 1997)&lt;/DisplayText&gt;&lt;record&gt;&lt;rec-number&gt;1601&lt;/rec-number&gt;&lt;foreign-keys&gt;&lt;key app="EN" db-id="2pe9e00ros0veneeptspa5vhz0pw2az52v20" timestamp="1647627562" guid="c55a1def-0bc2-47f5-9fec-9d053649b496"&gt;1601&lt;/key&gt;&lt;/foreign-keys&gt;&lt;ref-type name="Journal Article"&gt;17&lt;/ref-type&gt;&lt;contributors&gt;&lt;authors&gt;&lt;author&gt;Floersch, Jerry&lt;/author&gt;&lt;author&gt;Longhofer, Jeffrey&lt;/author&gt;&lt;/authors&gt;&lt;/contributors&gt;&lt;titles&gt;&lt;title&gt;The imagined death: Looking to the past for relief from the present&lt;/title&gt;&lt;secondary-title&gt;OMEGA-Journal of Death and Dying&lt;/secondary-title&gt;&lt;/titles&gt;&lt;periodical&gt;&lt;full-title&gt;OMEGA-Journal of Death and Dying&lt;/full-title&gt;&lt;/periodical&gt;&lt;pages&gt;243-260&lt;/pages&gt;&lt;volume&gt;35&lt;/volume&gt;&lt;number&gt;3&lt;/number&gt;&lt;dates&gt;&lt;year&gt;1997&lt;/year&gt;&lt;/dates&gt;&lt;isbn&gt;0030-2228&lt;/isbn&gt;&lt;urls&gt;&lt;/urls&gt;&lt;electronic-resource-num&gt;10.2190/5HDB-9MWY-WKDJ-L9PX&lt;/electronic-resource-num&gt;&lt;/record&gt;&lt;/Cite&gt;&lt;/EndNote&gt;</w:instrText>
      </w:r>
      <w:r w:rsidRPr="008C11A6">
        <w:rPr>
          <w:rFonts w:ascii="Times New Roman" w:hAnsi="Times New Roman" w:cs="Times New Roman"/>
        </w:rPr>
        <w:fldChar w:fldCharType="separate"/>
      </w:r>
      <w:r>
        <w:rPr>
          <w:rFonts w:ascii="Times New Roman" w:hAnsi="Times New Roman" w:cs="Times New Roman"/>
          <w:noProof/>
        </w:rPr>
        <w:t>(Floersch &amp; Longhofer, 1997)</w:t>
      </w:r>
      <w:r w:rsidRPr="008C11A6">
        <w:rPr>
          <w:rFonts w:ascii="Times New Roman" w:hAnsi="Times New Roman" w:cs="Times New Roman"/>
        </w:rPr>
        <w:fldChar w:fldCharType="end"/>
      </w:r>
      <w:r>
        <w:rPr>
          <w:rFonts w:ascii="Times New Roman" w:hAnsi="Times New Roman" w:cs="Times New Roman"/>
        </w:rPr>
        <w:t xml:space="preserve">. Moreover, </w:t>
      </w:r>
      <w:r>
        <w:rPr>
          <w:rFonts w:ascii="Times New Roman" w:hAnsi="Times New Roman" w:cs="Times New Roman"/>
        </w:rPr>
        <w:fldChar w:fldCharType="begin"/>
      </w:r>
      <w:r>
        <w:rPr>
          <w:rFonts w:ascii="Times New Roman" w:hAnsi="Times New Roman" w:cs="Times New Roman"/>
        </w:rPr>
        <w:instrText xml:space="preserve"> ADDIN EN.CITE &lt;EndNote&gt;&lt;Cite AuthorYear="1"&gt;&lt;Author&gt;Canine&lt;/Author&gt;&lt;Year&gt;1996&lt;/Year&gt;&lt;RecNum&gt;2272&lt;/RecNum&gt;&lt;DisplayText&gt;Canine (1996)&lt;/DisplayText&gt;&lt;record&gt;&lt;rec-number&gt;2272&lt;/rec-number&gt;&lt;foreign-keys&gt;&lt;key app="EN" db-id="2pe9e00ros0veneeptspa5vhz0pw2az52v20" timestamp="1705264971" guid="dda97140-dd1b-4953-a4e4-613dd6cdf752"&gt;2272&lt;/key&gt;&lt;/foreign-keys&gt;&lt;ref-type name="Book"&gt;6&lt;/ref-type&gt;&lt;contributors&gt;&lt;authors&gt;&lt;author&gt;Canine, John D&lt;/author&gt;&lt;/authors&gt;&lt;/contributors&gt;&lt;titles&gt;&lt;title&gt;The psychological aspects of death and death&lt;/title&gt;&lt;/titles&gt;&lt;dates&gt;&lt;year&gt;1996&lt;/year&gt;&lt;/dates&gt;&lt;pub-location&gt;Stamford, CT&lt;/pub-location&gt;&lt;publisher&gt;Appleton &amp;amp; Lange&lt;/publisher&gt;&lt;urls&gt;&lt;/urls&gt;&lt;/record&gt;&lt;/Cite&gt;&lt;/EndNote&gt;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Canine (1996)</w:t>
      </w:r>
      <w:r>
        <w:rPr>
          <w:rFonts w:ascii="Times New Roman" w:hAnsi="Times New Roman" w:cs="Times New Roman"/>
        </w:rPr>
        <w:fldChar w:fldCharType="end"/>
      </w:r>
      <w:r>
        <w:rPr>
          <w:rFonts w:ascii="Times New Roman" w:hAnsi="Times New Roman" w:cs="Times New Roman"/>
        </w:rPr>
        <w:t xml:space="preserve"> claimed that urban residents experienced higher rates of suicide, homicide, and AIDS than rural people. Similarly,</w:t>
      </w:r>
      <w:r w:rsidRPr="00DC5E0F">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 AuthorYear="1"&gt;&lt;Author&gt;Marrall&lt;/Author&gt;&lt;Year&gt;2006&lt;/Year&gt;&lt;RecNum&gt;1603&lt;/RecNum&gt;&lt;DisplayText&gt;Marrall (2006)&lt;/DisplayText&gt;&lt;record&gt;&lt;rec-number&gt;1603&lt;/rec-number&gt;&lt;foreign-keys&gt;&lt;key app="EN" db-id="2pe9e00ros0veneeptspa5vhz0pw2az52v20" timestamp="1647629275" guid="9689c9ac-4ca7-4645-8738-87aee494512a"&gt;1603&lt;/key&gt;&lt;/foreign-keys&gt;&lt;ref-type name="Journal Article"&gt;17&lt;/ref-type&gt;&lt;contributors&gt;&lt;authors&gt;&lt;author&gt;Marrall, Rebecca&lt;/author&gt;&lt;/authors&gt;&lt;/contributors&gt;&lt;titles&gt;&lt;title&gt;Urbanism and North American funerary practices&lt;/title&gt;&lt;secondary-title&gt;PSU McNair Scholars Online Journal&lt;/secondary-title&gt;&lt;/titles&gt;&lt;periodical&gt;&lt;full-title&gt;PSU McNair Scholars Online Journal&lt;/full-title&gt;&lt;/periodical&gt;&lt;pages&gt;26&lt;/pages&gt;&lt;volume&gt;2&lt;/volume&gt;&lt;number&gt;1&lt;/number&gt;&lt;dates&gt;&lt;year&gt;2006&lt;/year&gt;&lt;/dates&gt;&lt;isbn&gt;2375-7833&lt;/isbn&gt;&lt;urls&gt;&lt;/urls&gt;&lt;electronic-resource-num&gt;10.15760/mcnair.2006.186&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Marrall (2006)</w:t>
      </w:r>
      <w:r>
        <w:rPr>
          <w:rFonts w:ascii="Times New Roman" w:hAnsi="Times New Roman" w:cs="Times New Roman"/>
        </w:rPr>
        <w:fldChar w:fldCharType="end"/>
      </w:r>
      <w:r>
        <w:rPr>
          <w:rFonts w:ascii="Times New Roman" w:hAnsi="Times New Roman" w:cs="Times New Roman"/>
        </w:rPr>
        <w:t xml:space="preserve"> found that urban residents were more likely to choose alternative funeral options than their rural counterparts. </w:t>
      </w:r>
    </w:p>
    <w:p w14:paraId="14353982" w14:textId="77777777" w:rsidR="00256B3D" w:rsidRDefault="00256B3D" w:rsidP="00256B3D">
      <w:pPr>
        <w:tabs>
          <w:tab w:val="left" w:pos="3963"/>
        </w:tabs>
        <w:spacing w:line="480" w:lineRule="auto"/>
        <w:ind w:firstLine="720"/>
        <w:rPr>
          <w:rFonts w:ascii="Times New Roman" w:hAnsi="Times New Roman" w:cs="Times New Roman"/>
        </w:rPr>
      </w:pPr>
      <w:r>
        <w:rPr>
          <w:rFonts w:ascii="Times New Roman" w:hAnsi="Times New Roman" w:cs="Times New Roman"/>
        </w:rPr>
        <w:t xml:space="preserve">Another group research is the </w:t>
      </w:r>
      <w:r w:rsidRPr="008C11A6">
        <w:rPr>
          <w:rFonts w:ascii="Times New Roman" w:hAnsi="Times New Roman" w:cs="Times New Roman"/>
        </w:rPr>
        <w:t xml:space="preserve">cross-cultural </w:t>
      </w:r>
      <w:r>
        <w:rPr>
          <w:rFonts w:ascii="Times New Roman" w:hAnsi="Times New Roman" w:cs="Times New Roman"/>
        </w:rPr>
        <w:t>comparison</w:t>
      </w:r>
      <w:r w:rsidRPr="008C11A6">
        <w:rPr>
          <w:rFonts w:ascii="Times New Roman" w:hAnsi="Times New Roman" w:cs="Times New Roman"/>
        </w:rPr>
        <w:t xml:space="preserve"> in funeral services related to the commerce-care dialectic.</w:t>
      </w:r>
      <w:r>
        <w:rPr>
          <w:rFonts w:ascii="Times New Roman" w:hAnsi="Times New Roman" w:cs="Times New Roman"/>
        </w:rPr>
        <w:t xml:space="preserve"> </w:t>
      </w:r>
      <w:r w:rsidRPr="004128BD">
        <w:rPr>
          <w:rFonts w:ascii="Times New Roman" w:hAnsi="Times New Roman" w:cs="Times New Roman"/>
        </w:rPr>
        <w:fldChar w:fldCharType="begin"/>
      </w:r>
      <w:r w:rsidRPr="004128BD">
        <w:rPr>
          <w:rFonts w:ascii="Times New Roman" w:hAnsi="Times New Roman" w:cs="Times New Roman"/>
        </w:rPr>
        <w:instrText xml:space="preserve"> ADDIN EN.CITE &lt;EndNote&gt;&lt;Cite AuthorYear="1"&gt;&lt;Author&gt;Walter&lt;/Author&gt;&lt;Year&gt;2005&lt;/Year&gt;&lt;RecNum&gt;1594&lt;/RecNum&gt;&lt;DisplayText&gt;Walter (2005)&lt;/DisplayText&gt;&lt;record&gt;&lt;rec-number&gt;1594&lt;/rec-number&gt;&lt;foreign-keys&gt;&lt;key app="EN" db-id="2pe9e00ros0veneeptspa5vhz0pw2az52v20" timestamp="1647623525" guid="544844b1-d3a0-4085-b274-49a7973041c3"&gt;1594&lt;/key&gt;&lt;/foreign-keys&gt;&lt;ref-type name="Journal Article"&gt;17&lt;/ref-type&gt;&lt;contributors&gt;&lt;authors&gt;&lt;author&gt;Walter, Tony&lt;/author&gt;&lt;/authors&gt;&lt;/contributors&gt;&lt;titles&gt;&lt;title&gt;Three ways to arrange a funeral: Mortuary variation in the modern West&lt;/title&gt;&lt;secondary-title&gt;Mortality&lt;/secondary-title&gt;&lt;/titles&gt;&lt;periodical&gt;&lt;full-title&gt;Mortality&lt;/full-title&gt;&lt;/periodical&gt;&lt;pages&gt;173-192&lt;/pages&gt;&lt;volume&gt;10&lt;/volume&gt;&lt;number&gt;3&lt;/number&gt;&lt;dates&gt;&lt;year&gt;2005&lt;/year&gt;&lt;/dates&gt;&lt;isbn&gt;1357-6275&lt;/isbn&gt;&lt;urls&gt;&lt;/urls&gt;&lt;electronic-resource-num&gt;10.1080/13576270500178369&lt;/electronic-resource-num&gt;&lt;/record&gt;&lt;/Cite&gt;&lt;/EndNote&gt;</w:instrText>
      </w:r>
      <w:r w:rsidRPr="004128BD">
        <w:rPr>
          <w:rFonts w:ascii="Times New Roman" w:hAnsi="Times New Roman" w:cs="Times New Roman"/>
        </w:rPr>
        <w:fldChar w:fldCharType="separate"/>
      </w:r>
      <w:r w:rsidRPr="004128BD">
        <w:rPr>
          <w:rFonts w:ascii="Times New Roman" w:hAnsi="Times New Roman" w:cs="Times New Roman"/>
          <w:noProof/>
        </w:rPr>
        <w:t>Walter (2005)</w:t>
      </w:r>
      <w:r w:rsidRPr="004128BD">
        <w:rPr>
          <w:rFonts w:ascii="Times New Roman" w:hAnsi="Times New Roman" w:cs="Times New Roman"/>
        </w:rPr>
        <w:fldChar w:fldCharType="end"/>
      </w:r>
      <w:r w:rsidRPr="004128BD">
        <w:rPr>
          <w:rFonts w:ascii="Times New Roman" w:hAnsi="Times New Roman" w:cs="Times New Roman"/>
        </w:rPr>
        <w:t xml:space="preserve"> summarized three modern Western funeral arrangement</w:t>
      </w:r>
      <w:r>
        <w:rPr>
          <w:rFonts w:ascii="Times New Roman" w:hAnsi="Times New Roman" w:cs="Times New Roman"/>
        </w:rPr>
        <w:t xml:space="preserve"> models</w:t>
      </w:r>
      <w:r w:rsidRPr="004128BD">
        <w:rPr>
          <w:rFonts w:ascii="Times New Roman" w:hAnsi="Times New Roman" w:cs="Times New Roman"/>
        </w:rPr>
        <w:t>: commercial, municipal, and religious.</w:t>
      </w:r>
      <w:r>
        <w:rPr>
          <w:rFonts w:ascii="Times New Roman" w:hAnsi="Times New Roman" w:cs="Times New Roman"/>
        </w:rPr>
        <w:t xml:space="preserve"> </w:t>
      </w:r>
      <w:r w:rsidRPr="004128BD">
        <w:rPr>
          <w:rFonts w:ascii="Times New Roman" w:hAnsi="Times New Roman" w:cs="Times New Roman"/>
        </w:rPr>
        <w:t xml:space="preserve">The </w:t>
      </w:r>
      <w:r w:rsidRPr="004128BD">
        <w:rPr>
          <w:rFonts w:ascii="Times New Roman" w:hAnsi="Times New Roman" w:cs="Times New Roman"/>
          <w:i/>
          <w:iCs/>
        </w:rPr>
        <w:t>commercial</w:t>
      </w:r>
      <w:r w:rsidRPr="004128BD">
        <w:rPr>
          <w:rFonts w:ascii="Times New Roman" w:hAnsi="Times New Roman" w:cs="Times New Roman"/>
        </w:rPr>
        <w:t xml:space="preserve"> model </w:t>
      </w:r>
      <w:r>
        <w:rPr>
          <w:rFonts w:ascii="Times New Roman" w:hAnsi="Times New Roman" w:cs="Times New Roman"/>
        </w:rPr>
        <w:t xml:space="preserve">assumes </w:t>
      </w:r>
      <w:r w:rsidRPr="004128BD">
        <w:rPr>
          <w:rFonts w:ascii="Times New Roman" w:hAnsi="Times New Roman" w:cs="Times New Roman"/>
        </w:rPr>
        <w:t xml:space="preserve">the liberal market </w:t>
      </w:r>
      <w:r>
        <w:rPr>
          <w:rFonts w:ascii="Times New Roman" w:hAnsi="Times New Roman" w:cs="Times New Roman"/>
        </w:rPr>
        <w:t xml:space="preserve">of </w:t>
      </w:r>
      <w:r w:rsidRPr="004128BD">
        <w:rPr>
          <w:rFonts w:ascii="Times New Roman" w:hAnsi="Times New Roman" w:cs="Times New Roman"/>
        </w:rPr>
        <w:t>providing funeral services</w:t>
      </w:r>
      <w:r>
        <w:rPr>
          <w:rFonts w:ascii="Times New Roman" w:hAnsi="Times New Roman" w:cs="Times New Roman"/>
        </w:rPr>
        <w:t xml:space="preserve"> </w:t>
      </w:r>
      <w:r w:rsidRPr="004128BD">
        <w:rPr>
          <w:rFonts w:ascii="Times New Roman" w:hAnsi="Times New Roman" w:cs="Times New Roman"/>
        </w:rPr>
        <w:t>(e.g., the United States)</w:t>
      </w:r>
      <w:r>
        <w:rPr>
          <w:rFonts w:ascii="Times New Roman" w:hAnsi="Times New Roman" w:cs="Times New Roman"/>
        </w:rPr>
        <w:t xml:space="preserve">, so it leans toward the commerce side of the dialectic. </w:t>
      </w:r>
      <w:r w:rsidRPr="006D076C">
        <w:rPr>
          <w:rFonts w:ascii="Times New Roman" w:hAnsi="Times New Roman" w:cs="Times New Roman"/>
        </w:rPr>
        <w:t xml:space="preserve">In the municipal model, the government controls and manages funeral services </w:t>
      </w:r>
      <w:r w:rsidRPr="006D076C">
        <w:rPr>
          <w:rFonts w:ascii="Times New Roman" w:hAnsi="Times New Roman" w:cs="Times New Roman"/>
        </w:rPr>
        <w:lastRenderedPageBreak/>
        <w:t>(e.g., France), so the commerce-care dialectic is managed neutrally.</w:t>
      </w:r>
      <w:r>
        <w:rPr>
          <w:rFonts w:ascii="Times New Roman" w:hAnsi="Times New Roman" w:cs="Times New Roman"/>
        </w:rPr>
        <w:t xml:space="preserve"> </w:t>
      </w:r>
      <w:r w:rsidRPr="004128BD">
        <w:rPr>
          <w:rFonts w:ascii="Times New Roman" w:hAnsi="Times New Roman" w:cs="Times New Roman"/>
        </w:rPr>
        <w:t xml:space="preserve">The </w:t>
      </w:r>
      <w:r w:rsidRPr="004128BD">
        <w:rPr>
          <w:rFonts w:ascii="Times New Roman" w:hAnsi="Times New Roman" w:cs="Times New Roman"/>
          <w:i/>
          <w:iCs/>
        </w:rPr>
        <w:t>religious</w:t>
      </w:r>
      <w:r w:rsidRPr="004128BD">
        <w:rPr>
          <w:rFonts w:ascii="Times New Roman" w:hAnsi="Times New Roman" w:cs="Times New Roman"/>
        </w:rPr>
        <w:t xml:space="preserve"> model is that </w:t>
      </w:r>
      <w:r>
        <w:rPr>
          <w:rFonts w:ascii="Times New Roman" w:hAnsi="Times New Roman" w:cs="Times New Roman"/>
        </w:rPr>
        <w:t xml:space="preserve">charities and </w:t>
      </w:r>
      <w:r w:rsidRPr="004128BD">
        <w:rPr>
          <w:rFonts w:ascii="Times New Roman" w:hAnsi="Times New Roman" w:cs="Times New Roman"/>
        </w:rPr>
        <w:t xml:space="preserve">churches are </w:t>
      </w:r>
      <w:r>
        <w:rPr>
          <w:rFonts w:ascii="Times New Roman" w:hAnsi="Times New Roman" w:cs="Times New Roman"/>
        </w:rPr>
        <w:t>responsible for providing</w:t>
      </w:r>
      <w:r w:rsidRPr="004128BD">
        <w:rPr>
          <w:rFonts w:ascii="Times New Roman" w:hAnsi="Times New Roman" w:cs="Times New Roman"/>
        </w:rPr>
        <w:t xml:space="preserve"> </w:t>
      </w:r>
      <w:r>
        <w:rPr>
          <w:rFonts w:ascii="Times New Roman" w:hAnsi="Times New Roman" w:cs="Times New Roman"/>
        </w:rPr>
        <w:t xml:space="preserve">funeral services </w:t>
      </w:r>
      <w:r w:rsidRPr="004128BD">
        <w:rPr>
          <w:rFonts w:ascii="Times New Roman" w:hAnsi="Times New Roman" w:cs="Times New Roman"/>
        </w:rPr>
        <w:t>(e.g., Sweden)</w:t>
      </w:r>
      <w:r>
        <w:rPr>
          <w:rFonts w:ascii="Times New Roman" w:hAnsi="Times New Roman" w:cs="Times New Roman"/>
        </w:rPr>
        <w:t>, so it inclines the care side of the dialectic</w:t>
      </w:r>
      <w:r w:rsidRPr="004128BD">
        <w:rPr>
          <w:rFonts w:ascii="Times New Roman" w:hAnsi="Times New Roman" w:cs="Times New Roman"/>
        </w:rPr>
        <w:t xml:space="preserve">. </w:t>
      </w:r>
      <w:r>
        <w:rPr>
          <w:rFonts w:ascii="Times New Roman" w:hAnsi="Times New Roman" w:cs="Times New Roman"/>
        </w:rPr>
        <w:t xml:space="preserve">For example, </w:t>
      </w:r>
      <w:r>
        <w:rPr>
          <w:rFonts w:ascii="Times New Roman" w:hAnsi="Times New Roman" w:cs="Times New Roman"/>
        </w:rPr>
        <w:fldChar w:fldCharType="begin"/>
      </w:r>
      <w:r>
        <w:rPr>
          <w:rFonts w:ascii="Times New Roman" w:hAnsi="Times New Roman" w:cs="Times New Roman"/>
        </w:rPr>
        <w:instrText xml:space="preserve"> ADDIN EN.CITE &lt;EndNote&gt;&lt;Cite AuthorYear="1"&gt;&lt;Author&gt;Pine&lt;/Author&gt;&lt;Year&gt;1969&lt;/Year&gt;&lt;RecNum&gt;1593&lt;/RecNum&gt;&lt;DisplayText&gt;Pine (1969)&lt;/DisplayText&gt;&lt;record&gt;&lt;rec-number&gt;1593&lt;/rec-number&gt;&lt;foreign-keys&gt;&lt;key app="EN" db-id="2pe9e00ros0veneeptspa5vhz0pw2az52v20" timestamp="1647622178" guid="0f2c70eb-b1d4-433e-a26d-58c892b07f27"&gt;1593&lt;/key&gt;&lt;/foreign-keys&gt;&lt;ref-type name="Journal Article"&gt;17&lt;/ref-type&gt;&lt;contributors&gt;&lt;authors&gt;&lt;author&gt;Pine, Vanderlyn R&lt;/author&gt;&lt;/authors&gt;&lt;/contributors&gt;&lt;titles&gt;&lt;title&gt;Comparative funeral practices&lt;/title&gt;&lt;secondary-title&gt;Practical Anthropology&lt;/secondary-title&gt;&lt;/titles&gt;&lt;periodical&gt;&lt;full-title&gt;Practical Anthropology&lt;/full-title&gt;&lt;/periodical&gt;&lt;pages&gt;49-62&lt;/pages&gt;&lt;number&gt;2&lt;/number&gt;&lt;dates&gt;&lt;year&gt;1969&lt;/year&gt;&lt;/dates&gt;&lt;isbn&gt;0032-633X&lt;/isbn&gt;&lt;urls&gt;&lt;/urls&gt;&lt;electronic-resource-num&gt;10.1177/009182966901600201&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Pine (1969)</w:t>
      </w:r>
      <w:r>
        <w:rPr>
          <w:rFonts w:ascii="Times New Roman" w:hAnsi="Times New Roman" w:cs="Times New Roman"/>
        </w:rPr>
        <w:fldChar w:fldCharType="end"/>
      </w:r>
      <w:r>
        <w:rPr>
          <w:rFonts w:ascii="Times New Roman" w:hAnsi="Times New Roman" w:cs="Times New Roman"/>
        </w:rPr>
        <w:t xml:space="preserve"> suggested that funeral practices had some universal features of </w:t>
      </w:r>
      <w:r w:rsidRPr="002A162E">
        <w:rPr>
          <w:rFonts w:ascii="Times New Roman" w:hAnsi="Times New Roman" w:cs="Times New Roman"/>
        </w:rPr>
        <w:t xml:space="preserve">the provision of social support for the bereaved, funeral expenditure, </w:t>
      </w:r>
      <w:r>
        <w:rPr>
          <w:rFonts w:ascii="Times New Roman" w:hAnsi="Times New Roman" w:cs="Times New Roman"/>
        </w:rPr>
        <w:t xml:space="preserve">and funeral rituals across cultures. Other studies identify cross-cultural differences in practices and beliefs in funeral services, such as Swedish immigrants’ cultural identities reflected by funeral symbols </w:t>
      </w:r>
      <w:r>
        <w:rPr>
          <w:rFonts w:ascii="Times New Roman" w:hAnsi="Times New Roman" w:cs="Times New Roman"/>
        </w:rPr>
        <w:fldChar w:fldCharType="begin"/>
      </w:r>
      <w:r>
        <w:rPr>
          <w:rFonts w:ascii="Times New Roman" w:hAnsi="Times New Roman" w:cs="Times New Roman"/>
        </w:rPr>
        <w:instrText xml:space="preserve"> ADDIN EN.CITE &lt;EndNote&gt;&lt;Cite&gt;&lt;Author&gt;Reimers&lt;/Author&gt;&lt;Year&gt;1999&lt;/Year&gt;&lt;RecNum&gt;2030&lt;/RecNum&gt;&lt;DisplayText&gt;(Reimers, 1999)&lt;/DisplayText&gt;&lt;record&gt;&lt;rec-number&gt;2030&lt;/rec-number&gt;&lt;foreign-keys&gt;&lt;key app="EN" db-id="2pe9e00ros0veneeptspa5vhz0pw2az52v20" timestamp="1695338151" guid="11966141-1855-4762-9ccd-4f21923afdf9"&gt;2030&lt;/key&gt;&lt;/foreign-keys&gt;&lt;ref-type name="Journal Article"&gt;17&lt;/ref-type&gt;&lt;contributors&gt;&lt;authors&gt;&lt;author&gt;Reimers, Eva&lt;/author&gt;&lt;/authors&gt;&lt;/contributors&gt;&lt;titles&gt;&lt;title&gt;Death and identity: Graves and funerals as cultural communication&lt;/title&gt;&lt;secondary-title&gt;Mortality&lt;/secondary-title&gt;&lt;/titles&gt;&lt;periodical&gt;&lt;full-title&gt;Mortality&lt;/full-title&gt;&lt;/periodical&gt;&lt;pages&gt;147-166&lt;/pages&gt;&lt;volume&gt;4&lt;/volume&gt;&lt;number&gt;2&lt;/number&gt;&lt;dates&gt;&lt;year&gt;1999&lt;/year&gt;&lt;/dates&gt;&lt;publisher&gt;Routledge&lt;/publisher&gt;&lt;isbn&gt;1357-6275&lt;/isbn&gt;&lt;urls&gt;&lt;related-urls&gt;&lt;url&gt;https://doi.org/10.1080/713685976&lt;/url&gt;&lt;/related-urls&gt;&lt;/urls&gt;&lt;electronic-resource-num&gt;10.1080/713685976&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(Reimers, 1999)</w:t>
      </w:r>
      <w:r>
        <w:rPr>
          <w:rFonts w:ascii="Times New Roman" w:hAnsi="Times New Roman" w:cs="Times New Roman"/>
        </w:rPr>
        <w:fldChar w:fldCharType="end"/>
      </w:r>
      <w:r>
        <w:rPr>
          <w:rFonts w:ascii="Times New Roman" w:hAnsi="Times New Roman" w:cs="Times New Roman"/>
        </w:rPr>
        <w:t xml:space="preserve">, bereavement practices aligned with ethnic groups </w:t>
      </w:r>
      <w:r>
        <w:rPr>
          <w:rFonts w:ascii="Times New Roman" w:hAnsi="Times New Roman" w:cs="Times New Roman"/>
        </w:rPr>
        <w:fldChar w:fldCharType="begin"/>
      </w:r>
      <w:r>
        <w:rPr>
          <w:rFonts w:ascii="Times New Roman" w:hAnsi="Times New Roman" w:cs="Times New Roman"/>
        </w:rPr>
        <w:instrText xml:space="preserve"> ADDIN EN.CITE &lt;EndNote&gt;&lt;Cite&gt;&lt;Author&gt;Eisenbruch&lt;/Author&gt;&lt;Year&gt;1984&lt;/Year&gt;&lt;RecNum&gt;2024&lt;/RecNum&gt;&lt;DisplayText&gt;(Eisenbruch, 1984)&lt;/DisplayText&gt;&lt;record&gt;&lt;rec-number&gt;2024&lt;/rec-number&gt;&lt;foreign-keys&gt;&lt;key app="EN" db-id="2pe9e00ros0veneeptspa5vhz0pw2az52v20" timestamp="1695333431" guid="bbc2142a-a774-47a4-abfe-56290fb71a0d"&gt;2024&lt;/key&gt;&lt;/foreign-keys&gt;&lt;ref-type name="Journal Article"&gt;17&lt;/ref-type&gt;&lt;contributors&gt;&lt;authors&gt;&lt;author&gt;Eisenbruch, Maurice&lt;/author&gt;&lt;/authors&gt;&lt;/contributors&gt;&lt;titles&gt;&lt;title&gt;Cross-cultural aspects of bereavement. II: Ethnic and cultural variations in the development of bereavement practices&lt;/title&gt;&lt;secondary-title&gt;Culture, Medicine and Psychiatry&lt;/secondary-title&gt;&lt;/titles&gt;&lt;periodical&gt;&lt;full-title&gt;Culture, Medicine and Psychiatry&lt;/full-title&gt;&lt;/periodical&gt;&lt;pages&gt;315-347&lt;/pages&gt;&lt;volume&gt;8&lt;/volume&gt;&lt;number&gt;4&lt;/number&gt;&lt;dates&gt;&lt;year&gt;1984&lt;/year&gt;&lt;/dates&gt;&lt;isbn&gt;1573-076X&lt;/isbn&gt;&lt;urls&gt;&lt;related-urls&gt;&lt;url&gt;https://doi.org/10.1007/BF00114661&lt;/url&gt;&lt;/related-urls&gt;&lt;/urls&gt;&lt;electronic-resource-num&gt;10.1007/BF00114661&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(Eisenbruch, 1984)</w:t>
      </w:r>
      <w:r>
        <w:rPr>
          <w:rFonts w:ascii="Times New Roman" w:hAnsi="Times New Roman" w:cs="Times New Roman"/>
        </w:rPr>
        <w:fldChar w:fldCharType="end"/>
      </w:r>
      <w:r>
        <w:rPr>
          <w:rFonts w:ascii="Times New Roman" w:hAnsi="Times New Roman" w:cs="Times New Roman"/>
        </w:rPr>
        <w:t xml:space="preserve">, approaches to being aware of death </w:t>
      </w:r>
      <w:r>
        <w:rPr>
          <w:rFonts w:ascii="Times New Roman" w:hAnsi="Times New Roman" w:cs="Times New Roman"/>
        </w:rPr>
        <w:fldChar w:fldCharType="begin"/>
      </w:r>
      <w:r>
        <w:rPr>
          <w:rFonts w:ascii="Times New Roman" w:hAnsi="Times New Roman" w:cs="Times New Roman"/>
        </w:rPr>
        <w:instrText xml:space="preserve"> ADDIN EN.CITE &lt;EndNote&gt;&lt;Cite&gt;&lt;Author&gt;Palgi&lt;/Author&gt;&lt;Year&gt;1984&lt;/Year&gt;&lt;RecNum&gt;2267&lt;/RecNum&gt;&lt;DisplayText&gt;(Palgi &amp;amp; Abramovitch, 1984)&lt;/DisplayText&gt;&lt;record&gt;&lt;rec-number&gt;2267&lt;/rec-number&gt;&lt;foreign-keys&gt;&lt;key app="EN" db-id="2pe9e00ros0veneeptspa5vhz0pw2az52v20" timestamp="1705182965" guid="494ac779-031b-45c9-a912-ec4556100f2a"&gt;2267&lt;/key&gt;&lt;/foreign-keys&gt;&lt;ref-type name="Journal Article"&gt;17&lt;/ref-type&gt;&lt;contributors&gt;&lt;authors&gt;&lt;author&gt;Palgi, Phyllis&lt;/author&gt;&lt;author&gt;Abramovitch, Henry&lt;/author&gt;&lt;/authors&gt;&lt;/contributors&gt;&lt;titles&gt;&lt;title&gt;Death: A cross-cultural perspective&lt;/title&gt;&lt;secondary-title&gt;Annual Review of Anthropology&lt;/secondary-title&gt;&lt;/titles&gt;&lt;periodical&gt;&lt;full-title&gt;Annual Review of Anthropology&lt;/full-title&gt;&lt;/periodical&gt;&lt;pages&gt;385-417&lt;/pages&gt;&lt;volume&gt;13&lt;/volume&gt;&lt;number&gt;1&lt;/number&gt;&lt;dates&gt;&lt;year&gt;1984&lt;/year&gt;&lt;/dates&gt;&lt;publisher&gt;Annual Reviews&lt;/publisher&gt;&lt;isbn&gt;0084-6570&lt;/isbn&gt;&lt;urls&gt;&lt;related-urls&gt;&lt;url&gt;https://doi.org/10.1146/annurev.an.13.100184.002125&lt;/url&gt;&lt;/related-urls&gt;&lt;/urls&gt;&lt;electronic-resource-num&gt;10.1146/annurev.an.13.100184.002125&lt;/electronic-resource-num&gt;&lt;access-date&gt;2024/01/13&lt;/access-date&gt;&lt;/record&gt;&lt;/Cite&gt;&lt;/EndNote&gt;</w:instrText>
      </w:r>
      <w:r>
        <w:rPr>
          <w:rFonts w:ascii="Times New Roman" w:hAnsi="Times New Roman" w:cs="Times New Roman"/>
        </w:rPr>
        <w:fldChar w:fldCharType="separate"/>
      </w:r>
      <w:r>
        <w:rPr>
          <w:rFonts w:ascii="Times New Roman" w:hAnsi="Times New Roman" w:cs="Times New Roman"/>
          <w:noProof/>
        </w:rPr>
        <w:t>(Palgi &amp; Abramovitch, 1984)</w:t>
      </w:r>
      <w:r>
        <w:rPr>
          <w:rFonts w:ascii="Times New Roman" w:hAnsi="Times New Roman" w:cs="Times New Roman"/>
        </w:rPr>
        <w:fldChar w:fldCharType="end"/>
      </w:r>
      <w:r>
        <w:rPr>
          <w:rFonts w:ascii="Times New Roman" w:hAnsi="Times New Roman" w:cs="Times New Roman"/>
        </w:rPr>
        <w:t xml:space="preserve">, hospice developments </w:t>
      </w:r>
      <w:r>
        <w:rPr>
          <w:rFonts w:ascii="Times New Roman" w:hAnsi="Times New Roman" w:cs="Times New Roman"/>
        </w:rPr>
        <w:fldChar w:fldCharType="begin"/>
      </w:r>
      <w:r>
        <w:rPr>
          <w:rFonts w:ascii="Times New Roman" w:hAnsi="Times New Roman" w:cs="Times New Roman"/>
        </w:rPr>
        <w:instrText xml:space="preserve"> ADDIN EN.CITE &lt;EndNote&gt;&lt;Cite&gt;&lt;Author&gt;Glass&lt;/Author&gt;&lt;Year&gt;2010&lt;/Year&gt;&lt;RecNum&gt;2268&lt;/RecNum&gt;&lt;DisplayText&gt;(Glass et al., 2010)&lt;/DisplayText&gt;&lt;record&gt;&lt;rec-number&gt;2268&lt;/rec-number&gt;&lt;foreign-keys&gt;&lt;key app="EN" db-id="2pe9e00ros0veneeptspa5vhz0pw2az52v20" timestamp="1705183086" guid="d7afaa47-2669-4003-ab23-e3bc487f70ec"&gt;2268&lt;/key&gt;&lt;/foreign-keys&gt;&lt;ref-type name="Journal Article"&gt;17&lt;/ref-type&gt;&lt;contributors&gt;&lt;authors&gt;&lt;author&gt;Glass, Anne P.&lt;/author&gt;&lt;author&gt;Chen, Li-Kuang&lt;/author&gt;&lt;author&gt;Hwang, Eunju&lt;/author&gt;&lt;author&gt;Ono, Yuzuho&lt;/author&gt;&lt;author&gt;Nahapetyan, Lusine&lt;/author&gt;&lt;/authors&gt;&lt;/contributors&gt;&lt;titles&gt;&lt;title&gt;A cross-cultural comparison of hospice development in Japan, South Korea, and Taiwan&lt;/title&gt;&lt;secondary-title&gt;Journal of Cross-Cultural Gerontology&lt;/secondary-title&gt;&lt;/titles&gt;&lt;periodical&gt;&lt;full-title&gt;Journal of Cross-Cultural Gerontology&lt;/full-title&gt;&lt;/periodical&gt;&lt;pages&gt;1-19&lt;/pages&gt;&lt;volume&gt;25&lt;/volume&gt;&lt;number&gt;1&lt;/number&gt;&lt;dates&gt;&lt;year&gt;2010&lt;/year&gt;&lt;/dates&gt;&lt;isbn&gt;1573-0719&lt;/isbn&gt;&lt;urls&gt;&lt;related-urls&gt;&lt;url&gt;https://doi.org/10.1007/s10823-009-9108-8&lt;/url&gt;&lt;/related-urls&gt;&lt;/urls&gt;&lt;electronic-resource-num&gt;10.1007/s10823-009-9108-8&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(Glass et al., 2010)</w:t>
      </w:r>
      <w:r>
        <w:rPr>
          <w:rFonts w:ascii="Times New Roman" w:hAnsi="Times New Roman" w:cs="Times New Roman"/>
        </w:rPr>
        <w:fldChar w:fldCharType="end"/>
      </w:r>
      <w:r>
        <w:rPr>
          <w:rFonts w:ascii="Times New Roman" w:hAnsi="Times New Roman" w:cs="Times New Roman"/>
        </w:rPr>
        <w:t xml:space="preserve">, and funeral and end-of-life activities </w:t>
      </w:r>
      <w:r>
        <w:rPr>
          <w:rFonts w:ascii="Times New Roman" w:hAnsi="Times New Roman" w:cs="Times New Roman"/>
        </w:rPr>
        <w:fldChar w:fldCharType="begin"/>
      </w:r>
      <w:r>
        <w:rPr>
          <w:rFonts w:ascii="Times New Roman" w:hAnsi="Times New Roman" w:cs="Times New Roman"/>
        </w:rPr>
        <w:instrText xml:space="preserve"> ADDIN EN.CITE &lt;EndNote&gt;&lt;Cite&gt;&lt;Author&gt;Boateng&lt;/Author&gt;&lt;Year&gt;2016&lt;/Year&gt;&lt;RecNum&gt;2269&lt;/RecNum&gt;&lt;DisplayText&gt;(Boateng &amp;amp; Anngela-Cole, 2016)&lt;/DisplayText&gt;&lt;record&gt;&lt;rec-number&gt;2269&lt;/rec-number&gt;&lt;foreign-keys&gt;&lt;key app="EN" db-id="2pe9e00ros0veneeptspa5vhz0pw2az52v20" timestamp="1705183247" guid="f3bb0c70-8f2b-4904-af89-21b04db816c7"&gt;2269&lt;/key&gt;&lt;/foreign-keys&gt;&lt;ref-type name="Journal Article"&gt;17&lt;/ref-type&gt;&lt;contributors&gt;&lt;authors&gt;&lt;author&gt;Boateng, Alice&lt;/author&gt;&lt;author&gt;Anngela-Cole, Linda&lt;/author&gt;&lt;/authors&gt;&lt;/contributors&gt;&lt;titles&gt;&lt;title&gt;Funeral practices in Ghana and the United States: A cultural comparison&lt;/title&gt;&lt;secondary-title&gt;International Journal of Social Science Studies&lt;/secondary-title&gt;&lt;/titles&gt;&lt;periodical&gt;&lt;full-title&gt;International Journal of Social Science Studies&lt;/full-title&gt;&lt;/periodical&gt;&lt;pages&gt;36-48&lt;/pages&gt;&lt;volume&gt;4&lt;/volume&gt;&lt;number&gt;1&lt;/number&gt;&lt;dates&gt;&lt;year&gt;2016&lt;/year&gt;&lt;/dates&gt;&lt;urls&gt;&lt;/urls&gt;&lt;electronic-resource-num&gt;10.11114/ijsss.v4i1.1221&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(Boateng &amp; Anngela-Cole, 2016)</w:t>
      </w:r>
      <w:r>
        <w:rPr>
          <w:rFonts w:ascii="Times New Roman" w:hAnsi="Times New Roman" w:cs="Times New Roman"/>
        </w:rPr>
        <w:fldChar w:fldCharType="end"/>
      </w:r>
      <w:r>
        <w:rPr>
          <w:rFonts w:ascii="Times New Roman" w:hAnsi="Times New Roman" w:cs="Times New Roman"/>
        </w:rPr>
        <w:t xml:space="preserve">. </w:t>
      </w:r>
    </w:p>
    <w:p w14:paraId="58EBE44D" w14:textId="77777777" w:rsidR="00256B3D" w:rsidRPr="009941C1" w:rsidRDefault="00256B3D" w:rsidP="00256B3D">
      <w:pPr>
        <w:tabs>
          <w:tab w:val="left" w:pos="3963"/>
        </w:tabs>
        <w:spacing w:line="480" w:lineRule="auto"/>
        <w:rPr>
          <w:rFonts w:ascii="Times New Roman" w:hAnsi="Times New Roman" w:cs="Times New Roman"/>
          <w:b/>
          <w:bCs/>
        </w:rPr>
      </w:pPr>
      <w:r>
        <w:rPr>
          <w:rFonts w:ascii="Times New Roman" w:hAnsi="Times New Roman" w:cs="Times New Roman"/>
          <w:b/>
          <w:bCs/>
        </w:rPr>
        <w:t>Section Conclusion</w:t>
      </w:r>
    </w:p>
    <w:p w14:paraId="6CA24107" w14:textId="77777777" w:rsidR="00256B3D" w:rsidRDefault="00256B3D" w:rsidP="00256B3D">
      <w:pPr>
        <w:spacing w:line="480" w:lineRule="auto"/>
        <w:ind w:firstLine="720"/>
        <w:rPr>
          <w:rFonts w:ascii="Times New Roman" w:hAnsi="Times New Roman" w:cs="Times New Roman"/>
        </w:rPr>
      </w:pPr>
      <w:r>
        <w:rPr>
          <w:rFonts w:ascii="Times New Roman" w:hAnsi="Times New Roman" w:cs="Times New Roman"/>
        </w:rPr>
        <w:t xml:space="preserve">This section </w:t>
      </w:r>
      <w:r w:rsidRPr="009941C1">
        <w:rPr>
          <w:rFonts w:ascii="Times New Roman" w:hAnsi="Times New Roman" w:cs="Times New Roman"/>
        </w:rPr>
        <w:t>review</w:t>
      </w:r>
      <w:r>
        <w:rPr>
          <w:rFonts w:ascii="Times New Roman" w:hAnsi="Times New Roman" w:cs="Times New Roman"/>
        </w:rPr>
        <w:t>ed</w:t>
      </w:r>
      <w:r w:rsidRPr="009941C1">
        <w:rPr>
          <w:rFonts w:ascii="Times New Roman" w:hAnsi="Times New Roman" w:cs="Times New Roman"/>
        </w:rPr>
        <w:t xml:space="preserve"> the commerce-care dialectic in funeral planning, including funeral planning, commodification and decommodification, and research on the commerce-care dialectic in funeral services.</w:t>
      </w:r>
      <w:r>
        <w:rPr>
          <w:rFonts w:ascii="Times New Roman" w:hAnsi="Times New Roman" w:cs="Times New Roman"/>
        </w:rPr>
        <w:t xml:space="preserve"> </w:t>
      </w:r>
      <w:r w:rsidRPr="009B26DD">
        <w:rPr>
          <w:rFonts w:ascii="Times New Roman" w:hAnsi="Times New Roman" w:cs="Times New Roman"/>
        </w:rPr>
        <w:t>An initial definition of</w:t>
      </w:r>
      <w:r>
        <w:rPr>
          <w:rFonts w:ascii="Times New Roman" w:hAnsi="Times New Roman" w:cs="Times New Roman"/>
        </w:rPr>
        <w:t xml:space="preserve"> </w:t>
      </w:r>
      <w:r w:rsidRPr="009941C1">
        <w:rPr>
          <w:rFonts w:ascii="Times New Roman" w:hAnsi="Times New Roman" w:cs="Times New Roman"/>
        </w:rPr>
        <w:t>the commerce-care dialectic in funeral planning</w:t>
      </w:r>
      <w:r>
        <w:rPr>
          <w:rFonts w:ascii="Times New Roman" w:hAnsi="Times New Roman" w:cs="Times New Roman"/>
        </w:rPr>
        <w:t xml:space="preserve"> </w:t>
      </w:r>
      <w:r w:rsidRPr="009B26DD">
        <w:rPr>
          <w:rFonts w:ascii="Times New Roman" w:hAnsi="Times New Roman" w:cs="Times New Roman"/>
        </w:rPr>
        <w:t>might thus be</w:t>
      </w:r>
      <w:r>
        <w:rPr>
          <w:rFonts w:ascii="Times New Roman" w:hAnsi="Times New Roman" w:cs="Times New Roman"/>
        </w:rPr>
        <w:t xml:space="preserve">: </w:t>
      </w:r>
    </w:p>
    <w:p w14:paraId="27A58854" w14:textId="7300A9EF" w:rsidR="00256B3D" w:rsidRPr="009941C1" w:rsidRDefault="00256B3D" w:rsidP="00256B3D">
      <w:pPr>
        <w:spacing w:line="480" w:lineRule="auto"/>
        <w:ind w:firstLine="720"/>
        <w:rPr>
          <w:rFonts w:ascii="Times New Roman" w:hAnsi="Times New Roman" w:cs="Times New Roman"/>
        </w:rPr>
      </w:pPr>
      <w:r>
        <w:rPr>
          <w:rFonts w:ascii="Times New Roman" w:hAnsi="Times New Roman" w:cs="Times New Roman"/>
        </w:rPr>
        <w:t xml:space="preserve"> </w:t>
      </w:r>
      <w:r w:rsidRPr="00D32AA3">
        <w:rPr>
          <w:rFonts w:ascii="Times New Roman" w:hAnsi="Times New Roman" w:cs="Times New Roman"/>
          <w:i/>
          <w:iCs/>
        </w:rPr>
        <w:t xml:space="preserve">The struggle </w:t>
      </w:r>
      <w:r>
        <w:rPr>
          <w:rFonts w:ascii="Times New Roman" w:hAnsi="Times New Roman" w:cs="Times New Roman"/>
          <w:i/>
          <w:iCs/>
        </w:rPr>
        <w:t>to</w:t>
      </w:r>
      <w:r w:rsidRPr="00D32AA3">
        <w:rPr>
          <w:rFonts w:ascii="Times New Roman" w:hAnsi="Times New Roman" w:cs="Times New Roman"/>
          <w:i/>
          <w:iCs/>
        </w:rPr>
        <w:t xml:space="preserve"> cop</w:t>
      </w:r>
      <w:r w:rsidR="00E27EDC">
        <w:rPr>
          <w:rFonts w:ascii="Times New Roman" w:hAnsi="Times New Roman" w:cs="Times New Roman"/>
          <w:i/>
          <w:iCs/>
        </w:rPr>
        <w:t>e</w:t>
      </w:r>
      <w:r w:rsidRPr="00D32AA3">
        <w:rPr>
          <w:rFonts w:ascii="Times New Roman" w:hAnsi="Times New Roman" w:cs="Times New Roman"/>
          <w:i/>
          <w:iCs/>
        </w:rPr>
        <w:t xml:space="preserve"> with and adapt to death manifests in arranging funerals</w:t>
      </w:r>
      <w:r>
        <w:rPr>
          <w:rFonts w:ascii="Times New Roman" w:hAnsi="Times New Roman" w:cs="Times New Roman"/>
          <w:i/>
          <w:iCs/>
        </w:rPr>
        <w:t xml:space="preserve"> with </w:t>
      </w:r>
      <w:r w:rsidRPr="00D32AA3">
        <w:rPr>
          <w:rFonts w:ascii="Times New Roman" w:hAnsi="Times New Roman" w:cs="Times New Roman"/>
          <w:i/>
          <w:iCs/>
        </w:rPr>
        <w:t>two attributes</w:t>
      </w:r>
      <w:r>
        <w:rPr>
          <w:rFonts w:ascii="Times New Roman" w:hAnsi="Times New Roman" w:cs="Times New Roman"/>
          <w:i/>
          <w:iCs/>
        </w:rPr>
        <w:t xml:space="preserve"> that are </w:t>
      </w:r>
      <w:r w:rsidRPr="00D32AA3">
        <w:rPr>
          <w:rFonts w:ascii="Times New Roman" w:hAnsi="Times New Roman" w:cs="Times New Roman"/>
          <w:i/>
          <w:iCs/>
        </w:rPr>
        <w:t>comm</w:t>
      </w:r>
      <w:r>
        <w:rPr>
          <w:rFonts w:ascii="Times New Roman" w:hAnsi="Times New Roman" w:cs="Times New Roman"/>
          <w:i/>
          <w:iCs/>
        </w:rPr>
        <w:t>o</w:t>
      </w:r>
      <w:r w:rsidRPr="00D32AA3">
        <w:rPr>
          <w:rFonts w:ascii="Times New Roman" w:hAnsi="Times New Roman" w:cs="Times New Roman"/>
          <w:i/>
          <w:iCs/>
        </w:rPr>
        <w:t>dity and social welfare, and it is constitute</w:t>
      </w:r>
      <w:r>
        <w:rPr>
          <w:rFonts w:ascii="Times New Roman" w:hAnsi="Times New Roman" w:cs="Times New Roman"/>
          <w:i/>
          <w:iCs/>
        </w:rPr>
        <w:t>d</w:t>
      </w:r>
      <w:r w:rsidRPr="00D32AA3">
        <w:rPr>
          <w:rFonts w:ascii="Times New Roman" w:hAnsi="Times New Roman" w:cs="Times New Roman"/>
          <w:i/>
          <w:iCs/>
        </w:rPr>
        <w:t xml:space="preserve"> </w:t>
      </w:r>
      <w:r>
        <w:rPr>
          <w:rFonts w:ascii="Times New Roman" w:hAnsi="Times New Roman" w:cs="Times New Roman"/>
          <w:i/>
          <w:iCs/>
        </w:rPr>
        <w:t>by</w:t>
      </w:r>
      <w:r w:rsidRPr="00D32AA3">
        <w:rPr>
          <w:rFonts w:ascii="Times New Roman" w:hAnsi="Times New Roman" w:cs="Times New Roman"/>
          <w:i/>
          <w:iCs/>
        </w:rPr>
        <w:t xml:space="preserve"> meanings while people are facing and addressing</w:t>
      </w:r>
      <w:r>
        <w:rPr>
          <w:rFonts w:ascii="Times New Roman" w:hAnsi="Times New Roman" w:cs="Times New Roman"/>
        </w:rPr>
        <w:t xml:space="preserve">. </w:t>
      </w:r>
    </w:p>
    <w:p w14:paraId="6D2F2328" w14:textId="34089A8C" w:rsidR="00CF5E0E" w:rsidRDefault="00CF5E0E" w:rsidP="002A7D69">
      <w:pPr>
        <w:pStyle w:val="BodyText"/>
        <w:tabs>
          <w:tab w:val="clear" w:pos="8640"/>
          <w:tab w:val="left" w:pos="3278"/>
        </w:tabs>
        <w:ind w:firstLine="0"/>
        <w:rPr>
          <w:b/>
          <w:bCs/>
          <w:lang w:val="en-US"/>
        </w:rPr>
      </w:pPr>
    </w:p>
    <w:p w14:paraId="6E8D9647" w14:textId="48CB16FB" w:rsidR="002672BD" w:rsidRDefault="002672BD" w:rsidP="002A7D69">
      <w:pPr>
        <w:pStyle w:val="BodyText"/>
        <w:tabs>
          <w:tab w:val="clear" w:pos="8640"/>
          <w:tab w:val="left" w:pos="3278"/>
        </w:tabs>
        <w:ind w:firstLine="0"/>
        <w:rPr>
          <w:b/>
          <w:bCs/>
          <w:lang w:val="en-US"/>
        </w:rPr>
      </w:pPr>
    </w:p>
    <w:p w14:paraId="323D7852" w14:textId="7B3DB328" w:rsidR="002672BD" w:rsidRDefault="002672BD" w:rsidP="002A7D69">
      <w:pPr>
        <w:pStyle w:val="BodyText"/>
        <w:tabs>
          <w:tab w:val="clear" w:pos="8640"/>
          <w:tab w:val="left" w:pos="3278"/>
        </w:tabs>
        <w:ind w:firstLine="0"/>
        <w:rPr>
          <w:b/>
          <w:bCs/>
          <w:lang w:val="en-US"/>
        </w:rPr>
      </w:pPr>
    </w:p>
    <w:p w14:paraId="090F0FC7" w14:textId="11E1479A" w:rsidR="002672BD" w:rsidRDefault="002672BD" w:rsidP="002A7D69">
      <w:pPr>
        <w:pStyle w:val="BodyText"/>
        <w:tabs>
          <w:tab w:val="clear" w:pos="8640"/>
          <w:tab w:val="left" w:pos="3278"/>
        </w:tabs>
        <w:ind w:firstLine="0"/>
        <w:rPr>
          <w:b/>
          <w:bCs/>
          <w:lang w:val="en-US"/>
        </w:rPr>
      </w:pPr>
    </w:p>
    <w:p w14:paraId="0A84A768" w14:textId="1E16E6B3" w:rsidR="00196849" w:rsidRDefault="00196849" w:rsidP="002A7D69">
      <w:pPr>
        <w:pStyle w:val="BodyText"/>
        <w:tabs>
          <w:tab w:val="clear" w:pos="8640"/>
          <w:tab w:val="left" w:pos="3278"/>
        </w:tabs>
        <w:ind w:firstLine="0"/>
        <w:rPr>
          <w:b/>
          <w:bCs/>
          <w:lang w:val="en-US"/>
        </w:rPr>
      </w:pPr>
    </w:p>
    <w:p w14:paraId="6A151041" w14:textId="01B024CD" w:rsidR="00AB0517" w:rsidRDefault="00AB0517">
      <w:pPr>
        <w:rPr>
          <w:rFonts w:ascii="Times New Roman" w:eastAsia="SimSun" w:hAnsi="Times New Roman" w:cs="Times New Roman"/>
          <w:b/>
          <w:bCs/>
          <w:lang w:eastAsia="x-none"/>
        </w:rPr>
      </w:pPr>
    </w:p>
    <w:p w14:paraId="5D808F3C" w14:textId="77777777" w:rsidR="00256B3D" w:rsidRDefault="00256B3D">
      <w:pPr>
        <w:rPr>
          <w:rFonts w:ascii="Times New Roman" w:eastAsia="SimSun" w:hAnsi="Times New Roman" w:cs="Times New Roman"/>
          <w:b/>
          <w:bCs/>
          <w:lang w:eastAsia="x-none"/>
        </w:rPr>
      </w:pPr>
    </w:p>
    <w:p w14:paraId="237F0CFF" w14:textId="77777777" w:rsidR="00256B3D" w:rsidRPr="00B31AED" w:rsidRDefault="00256B3D" w:rsidP="00256B3D">
      <w:pPr>
        <w:jc w:val="center"/>
        <w:rPr>
          <w:rFonts w:ascii="Times New Roman" w:hAnsi="Times New Roman" w:cs="Times New Roman"/>
          <w:b/>
          <w:bCs/>
        </w:rPr>
      </w:pPr>
      <w:r w:rsidRPr="0049008C">
        <w:rPr>
          <w:rFonts w:ascii="Times New Roman" w:hAnsi="Times New Roman" w:cs="Times New Roman"/>
          <w:b/>
          <w:bCs/>
        </w:rPr>
        <w:lastRenderedPageBreak/>
        <w:t>Chapter 5: Research Questions</w:t>
      </w:r>
    </w:p>
    <w:p w14:paraId="5C225F96" w14:textId="77777777" w:rsidR="00256B3D" w:rsidRPr="00A54EA5" w:rsidRDefault="00256B3D" w:rsidP="00256B3D">
      <w:pPr>
        <w:jc w:val="center"/>
      </w:pPr>
    </w:p>
    <w:p w14:paraId="2DB9EC3D" w14:textId="77777777" w:rsidR="00256B3D" w:rsidRDefault="00256B3D" w:rsidP="00256B3D">
      <w:pPr>
        <w:pStyle w:val="BodyText"/>
        <w:rPr>
          <w:lang w:val="en-US" w:eastAsia="zh-CN"/>
        </w:rPr>
      </w:pPr>
      <w:r w:rsidRPr="004128BD">
        <w:rPr>
          <w:lang w:val="en-US"/>
        </w:rPr>
        <w:t>Throughout reviewing the history of American funeral homes</w:t>
      </w:r>
      <w:r>
        <w:rPr>
          <w:lang w:val="en-US"/>
        </w:rPr>
        <w:t xml:space="preserve"> in Chapter Two</w:t>
      </w:r>
      <w:r w:rsidRPr="004128BD">
        <w:rPr>
          <w:lang w:val="en-US"/>
        </w:rPr>
        <w:t xml:space="preserve">, the author identifies three characteristics of the commerce-care dialectic in funeral services. First, </w:t>
      </w:r>
      <w:r>
        <w:rPr>
          <w:lang w:val="en-US"/>
        </w:rPr>
        <w:t xml:space="preserve">a </w:t>
      </w:r>
      <w:r w:rsidRPr="004128BD">
        <w:rPr>
          <w:lang w:val="en-US"/>
        </w:rPr>
        <w:t xml:space="preserve">funeral service is a business </w:t>
      </w:r>
      <w:r>
        <w:rPr>
          <w:lang w:val="en-US"/>
        </w:rPr>
        <w:t>that provide profound care for clients.</w:t>
      </w:r>
      <w:r w:rsidRPr="004128BD">
        <w:rPr>
          <w:lang w:val="en-US"/>
        </w:rPr>
        <w:t xml:space="preserve"> Funeral homes (and funeral professionals) make a profit by providing funeral services for survival and success </w:t>
      </w:r>
      <w:r w:rsidRPr="004128BD">
        <w:rPr>
          <w:lang w:val="en-US"/>
        </w:rPr>
        <w:fldChar w:fldCharType="begin">
          <w:fldData xml:space="preserve">PEVuZE5vdGU+PENpdGU+PEF1dGhvcj5CZWFyZDwvQXV0aG9yPjxZZWFyPjIwMjA8L1llYXI+PFJl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</w:fldData>
        </w:fldChar>
      </w:r>
      <w:r>
        <w:rPr>
          <w:lang w:val="en-US"/>
        </w:rPr>
        <w:instrText xml:space="preserve"> ADDIN EN.CITE </w:instrText>
      </w:r>
      <w:r>
        <w:rPr>
          <w:lang w:val="en-US"/>
        </w:rPr>
        <w:fldChar w:fldCharType="begin">
          <w:fldData xml:space="preserve">PEVuZE5vdGU+PENpdGU+PEF1dGhvcj5CZWFyZDwvQXV0aG9yPjxZZWFyPjIwMjA8L1llYXI+PFJl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</w:fldData>
        </w:fldChar>
      </w:r>
      <w:r>
        <w:rPr>
          <w:lang w:val="en-US"/>
        </w:rPr>
        <w:instrText xml:space="preserve"> ADDIN EN.CITE.DATA </w:instrText>
      </w:r>
      <w:r>
        <w:rPr>
          <w:lang w:val="en-US"/>
        </w:rPr>
      </w:r>
      <w:r>
        <w:rPr>
          <w:lang w:val="en-US"/>
        </w:rPr>
        <w:fldChar w:fldCharType="end"/>
      </w:r>
      <w:r w:rsidRPr="004128BD">
        <w:rPr>
          <w:lang w:val="en-US"/>
        </w:rPr>
      </w:r>
      <w:r w:rsidRPr="004128BD">
        <w:rPr>
          <w:lang w:val="en-US"/>
        </w:rPr>
        <w:fldChar w:fldCharType="separate"/>
      </w:r>
      <w:r w:rsidRPr="004128BD">
        <w:rPr>
          <w:noProof/>
          <w:lang w:val="en-US"/>
        </w:rPr>
        <w:t>(e.g., Beard &amp; Burger, 2020; Habenstein, 1963)</w:t>
      </w:r>
      <w:r w:rsidRPr="004128BD">
        <w:rPr>
          <w:lang w:val="en-US"/>
        </w:rPr>
        <w:fldChar w:fldCharType="end"/>
      </w:r>
      <w:r w:rsidRPr="004128BD">
        <w:rPr>
          <w:lang w:val="en-US"/>
        </w:rPr>
        <w:t xml:space="preserve">, while they also take care of and comfort the bereaved who are in challenging times </w:t>
      </w:r>
      <w:r w:rsidRPr="004128BD">
        <w:rPr>
          <w:lang w:val="en-US"/>
        </w:rPr>
        <w:fldChar w:fldCharType="begin">
          <w:fldData xml:space="preserve">PEVuZE5vdGU+PENpdGU+PEF1dGhvcj5IeWxhbmQ8L0F1dGhvcj48WWVhcj4xOTk1PC9ZZWFyPjxS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</w:fldData>
        </w:fldChar>
      </w:r>
      <w:r>
        <w:rPr>
          <w:lang w:val="en-US"/>
        </w:rPr>
        <w:instrText xml:space="preserve"> ADDIN EN.CITE </w:instrText>
      </w:r>
      <w:r>
        <w:rPr>
          <w:lang w:val="en-US"/>
        </w:rPr>
        <w:fldChar w:fldCharType="begin">
          <w:fldData xml:space="preserve">PEVuZE5vdGU+PENpdGU+PEF1dGhvcj5IeWxhbmQ8L0F1dGhvcj48WWVhcj4xOTk1PC9ZZWFyPjxS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</w:fldData>
        </w:fldChar>
      </w:r>
      <w:r>
        <w:rPr>
          <w:lang w:val="en-US"/>
        </w:rPr>
        <w:instrText xml:space="preserve"> ADDIN EN.CITE.DATA </w:instrText>
      </w:r>
      <w:r>
        <w:rPr>
          <w:lang w:val="en-US"/>
        </w:rPr>
      </w:r>
      <w:r>
        <w:rPr>
          <w:lang w:val="en-US"/>
        </w:rPr>
        <w:fldChar w:fldCharType="end"/>
      </w:r>
      <w:r w:rsidRPr="004128BD">
        <w:rPr>
          <w:lang w:val="en-US"/>
        </w:rPr>
      </w:r>
      <w:r w:rsidRPr="004128BD">
        <w:rPr>
          <w:lang w:val="en-US"/>
        </w:rPr>
        <w:fldChar w:fldCharType="separate"/>
      </w:r>
      <w:r w:rsidRPr="004128BD">
        <w:rPr>
          <w:noProof/>
          <w:lang w:val="en-US"/>
        </w:rPr>
        <w:t>(e.g., Hyland &amp; Morse, 1995; Pine &amp; Phillips, 1970)</w:t>
      </w:r>
      <w:r w:rsidRPr="004128BD">
        <w:rPr>
          <w:lang w:val="en-US"/>
        </w:rPr>
        <w:fldChar w:fldCharType="end"/>
      </w:r>
      <w:r w:rsidRPr="004128BD">
        <w:rPr>
          <w:lang w:val="en-US"/>
        </w:rPr>
        <w:t xml:space="preserve">. Second, the commerce-care dialectic is perennial and thereby unresolvable in funeral services. The commerce-care dialectic </w:t>
      </w:r>
      <w:r>
        <w:rPr>
          <w:lang w:val="en-US"/>
        </w:rPr>
        <w:t>was</w:t>
      </w:r>
      <w:r w:rsidRPr="004128BD">
        <w:rPr>
          <w:lang w:val="en-US"/>
        </w:rPr>
        <w:t xml:space="preserve"> </w:t>
      </w:r>
      <w:r>
        <w:rPr>
          <w:lang w:val="en-US"/>
        </w:rPr>
        <w:t>apparent</w:t>
      </w:r>
      <w:r w:rsidRPr="004128BD">
        <w:rPr>
          <w:lang w:val="en-US"/>
        </w:rPr>
        <w:t xml:space="preserve"> in the funeral industry in the 20</w:t>
      </w:r>
      <w:r w:rsidRPr="004128BD">
        <w:rPr>
          <w:vertAlign w:val="superscript"/>
          <w:lang w:val="en-US"/>
        </w:rPr>
        <w:t>th</w:t>
      </w:r>
      <w:r w:rsidRPr="004128BD">
        <w:rPr>
          <w:lang w:val="en-US"/>
        </w:rPr>
        <w:t xml:space="preserve"> century, such as the criticism of paganism in the early 20</w:t>
      </w:r>
      <w:r w:rsidRPr="004128BD">
        <w:rPr>
          <w:vertAlign w:val="superscript"/>
          <w:lang w:val="en-US"/>
        </w:rPr>
        <w:t>th</w:t>
      </w:r>
      <w:r w:rsidRPr="004128BD">
        <w:rPr>
          <w:lang w:val="en-US"/>
        </w:rPr>
        <w:t xml:space="preserve"> century </w:t>
      </w:r>
      <w:r w:rsidRPr="004128BD">
        <w:rPr>
          <w:lang w:val="en-US"/>
        </w:rPr>
        <w:fldChar w:fldCharType="begin"/>
      </w:r>
      <w:r>
        <w:rPr>
          <w:lang w:val="en-US"/>
        </w:rPr>
        <w:instrText xml:space="preserve"> ADDIN EN.CITE &lt;EndNote&gt;&lt;Cite&gt;&lt;Author&gt;Bowman&lt;/Author&gt;&lt;Year&gt;1975&lt;/Year&gt;&lt;RecNum&gt;1949&lt;/RecNum&gt;&lt;Prefix&gt;e.g.`, &lt;/Prefix&gt;&lt;DisplayText&gt;(e.g., Bowman, 1975)&lt;/DisplayText&gt;&lt;record&gt;&lt;rec-number&gt;1949&lt;/rec-number&gt;&lt;foreign-keys&gt;&lt;key app="EN" db-id="2pe9e00ros0veneeptspa5vhz0pw2az52v20" timestamp="1694056506" guid="7a64f84e-33e9-46cb-a98f-6b0a36f0bef2"&gt;1949&lt;/key&gt;&lt;/foreign-keys&gt;&lt;ref-type name="Book"&gt;6&lt;/ref-type&gt;&lt;contributors&gt;&lt;authors&gt;&lt;author&gt;Bowman, LeRoy&lt;/author&gt;&lt;/authors&gt;&lt;/contributors&gt;&lt;titles&gt;&lt;title&gt;American funeral: A study in guilt, extravagance, and sublimity&lt;/title&gt;&lt;/titles&gt;&lt;dates&gt;&lt;year&gt;1975&lt;/year&gt;&lt;/dates&gt;&lt;pub-location&gt;Westport, Conn.&lt;/pub-location&gt;&lt;publisher&gt;Greenwood Westport, Conn.&lt;/publisher&gt;&lt;isbn&gt;0837167493; 9780837167497&lt;/isbn&gt;&lt;urls&gt;&lt;/urls&gt;&lt;language&gt;eng&lt;/language&gt;&lt;/record&gt;&lt;/Cite&gt;&lt;/EndNote&gt;</w:instrText>
      </w:r>
      <w:r w:rsidRPr="004128BD">
        <w:rPr>
          <w:lang w:val="en-US"/>
        </w:rPr>
        <w:fldChar w:fldCharType="separate"/>
      </w:r>
      <w:r w:rsidRPr="004128BD">
        <w:rPr>
          <w:noProof/>
          <w:lang w:val="en-US"/>
        </w:rPr>
        <w:t>(e.g., Bowman, 1975)</w:t>
      </w:r>
      <w:r w:rsidRPr="004128BD">
        <w:rPr>
          <w:lang w:val="en-US"/>
        </w:rPr>
        <w:fldChar w:fldCharType="end"/>
      </w:r>
      <w:r w:rsidRPr="004128BD">
        <w:rPr>
          <w:lang w:val="en-US"/>
        </w:rPr>
        <w:t>, a stereotype of a greedy, malevolent, and crafty business devil in the mid-20</w:t>
      </w:r>
      <w:r w:rsidRPr="004128BD">
        <w:rPr>
          <w:vertAlign w:val="superscript"/>
          <w:lang w:val="en-US"/>
        </w:rPr>
        <w:t>th</w:t>
      </w:r>
      <w:r w:rsidRPr="004128BD">
        <w:rPr>
          <w:lang w:val="en-US"/>
        </w:rPr>
        <w:t xml:space="preserve"> century </w:t>
      </w:r>
      <w:r w:rsidRPr="004128BD">
        <w:rPr>
          <w:lang w:val="en-US"/>
        </w:rPr>
        <w:fldChar w:fldCharType="begin"/>
      </w:r>
      <w:r w:rsidRPr="004128BD">
        <w:rPr>
          <w:lang w:val="en-US"/>
        </w:rPr>
        <w:instrText xml:space="preserve"> ADDIN EN.CITE &lt;EndNote&gt;&lt;Cite&gt;&lt;Author&gt;Mitford&lt;/Author&gt;&lt;Year&gt;2000&lt;/Year&gt;&lt;RecNum&gt;1516&lt;/RecNum&gt;&lt;Prefix&gt;e.g.`, &lt;/Prefix&gt;&lt;DisplayText&gt;(e.g., Mitford, 2000)&lt;/DisplayText&gt;&lt;record&gt;&lt;rec-number&gt;1516&lt;/rec-number&gt;&lt;foreign-keys&gt;&lt;key app="EN" db-id="2pe9e00ros0veneeptspa5vhz0pw2az52v20" timestamp="1643841757" guid="c4a0500f-1f80-4d6c-ae96-152b9c1347ba"&gt;1516&lt;/key&gt;&lt;/foreign-keys&gt;&lt;ref-type name="Book"&gt;6&lt;/ref-type&gt;&lt;contributors&gt;&lt;authors&gt;&lt;author&gt;Mitford, Jessica&lt;/author&gt;&lt;/authors&gt;&lt;/contributors&gt;&lt;titles&gt;&lt;title&gt;The American way of death revisited&lt;/title&gt;&lt;/titles&gt;&lt;dates&gt;&lt;year&gt;2000&lt;/year&gt;&lt;/dates&gt;&lt;publisher&gt;Vintage&lt;/publisher&gt;&lt;isbn&gt;0679771867&lt;/isbn&gt;&lt;urls&gt;&lt;/urls&gt;&lt;/record&gt;&lt;/Cite&gt;&lt;/EndNote&gt;</w:instrText>
      </w:r>
      <w:r w:rsidRPr="004128BD">
        <w:rPr>
          <w:lang w:val="en-US"/>
        </w:rPr>
        <w:fldChar w:fldCharType="separate"/>
      </w:r>
      <w:r w:rsidRPr="004128BD">
        <w:rPr>
          <w:noProof/>
          <w:lang w:val="en-US"/>
        </w:rPr>
        <w:t>(e.g., Mitford, 2000)</w:t>
      </w:r>
      <w:r w:rsidRPr="004128BD">
        <w:rPr>
          <w:lang w:val="en-US"/>
        </w:rPr>
        <w:fldChar w:fldCharType="end"/>
      </w:r>
      <w:r w:rsidRPr="004128BD">
        <w:rPr>
          <w:lang w:val="en-US"/>
        </w:rPr>
        <w:t>, and the rising of bureaucratic funeral corporations in the late 20</w:t>
      </w:r>
      <w:r w:rsidRPr="004128BD">
        <w:rPr>
          <w:vertAlign w:val="superscript"/>
          <w:lang w:val="en-US"/>
        </w:rPr>
        <w:t>th</w:t>
      </w:r>
      <w:r w:rsidRPr="004128BD">
        <w:rPr>
          <w:lang w:val="en-US"/>
        </w:rPr>
        <w:t xml:space="preserve"> century </w:t>
      </w:r>
      <w:r w:rsidRPr="004128BD">
        <w:rPr>
          <w:lang w:val="en-US"/>
        </w:rPr>
        <w:fldChar w:fldCharType="begin"/>
      </w:r>
      <w:r w:rsidRPr="004128BD">
        <w:rPr>
          <w:lang w:val="en-US"/>
        </w:rPr>
        <w:instrText xml:space="preserve"> ADDIN EN.CITE &lt;EndNote&gt;&lt;Cite&gt;&lt;Author&gt;Lofland&lt;/Author&gt;&lt;Year&gt;2019&lt;/Year&gt;&lt;RecNum&gt;1609&lt;/RecNum&gt;&lt;Prefix&gt;e.g.`, &lt;/Prefix&gt;&lt;DisplayText&gt;(e.g., Lofland, 2019)&lt;/DisplayText&gt;&lt;record&gt;&lt;rec-number&gt;1609&lt;/rec-number&gt;&lt;foreign-keys&gt;&lt;key app="EN" db-id="2pe9e00ros0veneeptspa5vhz0pw2az52v20" timestamp="1647748384" guid="830871c4-3699-42e6-b0fd-f1f9cf75e4d6"&gt;1609&lt;/key&gt;&lt;/foreign-keys&gt;&lt;ref-type name="Book"&gt;6&lt;/ref-type&gt;&lt;contributors&gt;&lt;authors&gt;&lt;author&gt;Lofland, Lyn H&lt;/author&gt;&lt;/authors&gt;&lt;/contributors&gt;&lt;titles&gt;&lt;title&gt;The craft of dying: The modern face of death&lt;/title&gt;&lt;/titles&gt;&lt;dates&gt;&lt;year&gt;2019&lt;/year&gt;&lt;/dates&gt;&lt;publisher&gt;Sage Publications&lt;/publisher&gt;&lt;isbn&gt;0262537346&lt;/isbn&gt;&lt;urls&gt;&lt;/urls&gt;&lt;/record&gt;&lt;/Cite&gt;&lt;/EndNote&gt;</w:instrText>
      </w:r>
      <w:r w:rsidRPr="004128BD">
        <w:rPr>
          <w:lang w:val="en-US"/>
        </w:rPr>
        <w:fldChar w:fldCharType="separate"/>
      </w:r>
      <w:r w:rsidRPr="004128BD">
        <w:rPr>
          <w:noProof/>
          <w:lang w:val="en-US"/>
        </w:rPr>
        <w:t>(e.g., Lofland, 2019)</w:t>
      </w:r>
      <w:r w:rsidRPr="004128BD">
        <w:rPr>
          <w:lang w:val="en-US"/>
        </w:rPr>
        <w:fldChar w:fldCharType="end"/>
      </w:r>
      <w:r w:rsidRPr="004128BD">
        <w:rPr>
          <w:lang w:val="en-US"/>
        </w:rPr>
        <w:t xml:space="preserve">. Also, in the </w:t>
      </w:r>
      <w:r w:rsidRPr="004128BD">
        <w:rPr>
          <w:lang w:val="en-US" w:eastAsia="zh-CN"/>
        </w:rPr>
        <w:t xml:space="preserve">foreseeable future, the commerce-care dialectic will be involved in funeral services. </w:t>
      </w:r>
      <w:r w:rsidRPr="004128BD">
        <w:rPr>
          <w:lang w:val="en-US"/>
        </w:rPr>
        <w:t xml:space="preserve">Third, although conceivably unresolvable, funeral professionals </w:t>
      </w:r>
      <w:r w:rsidRPr="004128BD">
        <w:rPr>
          <w:lang w:val="en-US"/>
        </w:rPr>
        <w:fldChar w:fldCharType="begin"/>
      </w:r>
      <w:r w:rsidRPr="004128BD">
        <w:rPr>
          <w:lang w:val="en-US"/>
        </w:rPr>
        <w:instrText xml:space="preserve"> ADDIN EN.CITE &lt;EndNote&gt;&lt;Cite&gt;&lt;Author&gt;Bi&lt;/Author&gt;&lt;Year&gt;2021&lt;/Year&gt;&lt;RecNum&gt;1518&lt;/RecNum&gt;&lt;Prefix&gt;e.g.`, &lt;/Prefix&gt;&lt;DisplayText&gt;(e.g., Bi &amp;amp; Hammonds, 2021)&lt;/DisplayText&gt;&lt;record&gt;&lt;rec-number&gt;1518&lt;/rec-number&gt;&lt;foreign-keys&gt;&lt;key app="EN" db-id="2pe9e00ros0veneeptspa5vhz0pw2az52v20" timestamp="1643844074" guid="cf3fbb1c-d9d2-49fc-af1e-2a8d06f0e4cc"&gt;1518&lt;/key&gt;&lt;/foreign-keys&gt;&lt;ref-type name="Journal Article"&gt;17&lt;/ref-type&gt;&lt;contributors&gt;&lt;authors&gt;&lt;author&gt;Bi, Da&lt;/author&gt;&lt;author&gt;Hammonds, Kyle A&lt;/author&gt;&lt;/authors&gt;&lt;/contributors&gt;&lt;titles&gt;&lt;title&gt;Listening to funeral directors in rural Oklahoma funeral homes: Social construction of roles, goals, and strategies&lt;/title&gt;&lt;secondary-title&gt;Southern Communication Journal&lt;/secondary-title&gt;&lt;/titles&gt;&lt;periodical&gt;&lt;full-title&gt;Southern Communication Journal&lt;/full-title&gt;&lt;/periodical&gt;&lt;pages&gt;375-386&lt;/pages&gt;&lt;volume&gt;86&lt;/volume&gt;&lt;number&gt;4&lt;/number&gt;&lt;dates&gt;&lt;year&gt;2021&lt;/year&gt;&lt;/dates&gt;&lt;isbn&gt;1041-794X&lt;/isbn&gt;&lt;urls&gt;&lt;/urls&gt;&lt;electronic-resource-num&gt;10.1080/1041794X.2021.1941222&lt;/electronic-resource-num&gt;&lt;/record&gt;&lt;/Cite&gt;&lt;/EndNote&gt;</w:instrText>
      </w:r>
      <w:r w:rsidRPr="004128BD">
        <w:rPr>
          <w:lang w:val="en-US"/>
        </w:rPr>
        <w:fldChar w:fldCharType="separate"/>
      </w:r>
      <w:r w:rsidRPr="004128BD">
        <w:rPr>
          <w:noProof/>
          <w:lang w:val="en-US"/>
        </w:rPr>
        <w:t>(e.g., Bi &amp; Hammonds, 2021)</w:t>
      </w:r>
      <w:r w:rsidRPr="004128BD">
        <w:rPr>
          <w:lang w:val="en-US"/>
        </w:rPr>
        <w:fldChar w:fldCharType="end"/>
      </w:r>
      <w:r w:rsidRPr="004128BD">
        <w:rPr>
          <w:lang w:val="en-US"/>
        </w:rPr>
        <w:t xml:space="preserve">, clients </w:t>
      </w:r>
      <w:r w:rsidRPr="004128BD">
        <w:rPr>
          <w:lang w:val="en-US"/>
        </w:rPr>
        <w:fldChar w:fldCharType="begin"/>
      </w:r>
      <w:r w:rsidRPr="004128BD">
        <w:rPr>
          <w:lang w:val="en-US"/>
        </w:rPr>
        <w:instrText xml:space="preserve"> ADDIN EN.CITE &lt;EndNote&gt;&lt;Cite&gt;&lt;Author&gt;Kopp&lt;/Author&gt;&lt;Year&gt;2007&lt;/Year&gt;&lt;RecNum&gt;1544&lt;/RecNum&gt;&lt;Prefix&gt;e.g.`, &lt;/Prefix&gt;&lt;DisplayText&gt;(e.g., Kopp &amp;amp; Kemp, 2007a)&lt;/DisplayText&gt;&lt;record&gt;&lt;rec-number&gt;1544&lt;/rec-number&gt;&lt;foreign-keys&gt;&lt;key app="EN" db-id="2pe9e00ros0veneeptspa5vhz0pw2az52v20" timestamp="1646772462" guid="ffe71bd9-dcdb-4f49-966e-46880d1fd8a3"&gt;1544&lt;/key&gt;&lt;/foreign-keys&gt;&lt;ref-type name="Journal Article"&gt;17&lt;/ref-type&gt;&lt;contributors&gt;&lt;authors&gt;&lt;author&gt;Kopp, S. W.&lt;/author&gt;&lt;author&gt;Kemp, E.&lt;/author&gt;&lt;/authors&gt;&lt;/contributors&gt;&lt;auth-address&gt;Univ Arkansas, Walton Coll Business, Fayetteville, AR 72701 USA&lt;/auth-address&gt;&lt;titles&gt;&lt;title&gt;Consumer awareness of the legal obligations of funeral providers&lt;/title&gt;&lt;secondary-title&gt;Journal of Consumer Affairs&lt;/secondary-title&gt;&lt;alt-title&gt;J Consum Aff&lt;/alt-title&gt;&lt;/titles&gt;&lt;periodical&gt;&lt;full-title&gt;Journal of Consumer Affairs&lt;/full-title&gt;&lt;/periodical&gt;&lt;pages&gt;326-340&lt;/pages&gt;&lt;volume&gt;41&lt;/volume&gt;&lt;number&gt;2&lt;/number&gt;&lt;keywords&gt;&lt;keyword&gt;information&lt;/keyword&gt;&lt;keyword&gt;disclosure&lt;/keyword&gt;&lt;keyword&gt;knowledge&lt;/keyword&gt;&lt;/keywords&gt;&lt;dates&gt;&lt;year&gt;2007&lt;/year&gt;&lt;/dates&gt;&lt;isbn&gt;0022-0078&lt;/isbn&gt;&lt;urls&gt;&lt;/urls&gt;&lt;electronic-resource-num&gt;10.1111/j.1745-6606.2007.00083.x&lt;/electronic-resource-num&gt;&lt;language&gt;English&lt;/language&gt;&lt;/record&gt;&lt;/Cite&gt;&lt;/EndNote&gt;</w:instrText>
      </w:r>
      <w:r w:rsidRPr="004128BD">
        <w:rPr>
          <w:lang w:val="en-US"/>
        </w:rPr>
        <w:fldChar w:fldCharType="separate"/>
      </w:r>
      <w:r w:rsidRPr="004128BD">
        <w:rPr>
          <w:noProof/>
          <w:lang w:val="en-US"/>
        </w:rPr>
        <w:t>(e.g., Kopp &amp; Kemp, 2007a)</w:t>
      </w:r>
      <w:r w:rsidRPr="004128BD">
        <w:rPr>
          <w:lang w:val="en-US"/>
        </w:rPr>
        <w:fldChar w:fldCharType="end"/>
      </w:r>
      <w:r w:rsidRPr="004128BD">
        <w:rPr>
          <w:lang w:val="en-US"/>
        </w:rPr>
        <w:t xml:space="preserve">, and governmental agencies </w:t>
      </w:r>
      <w:r w:rsidRPr="004128BD">
        <w:rPr>
          <w:lang w:val="en-US"/>
        </w:rPr>
        <w:fldChar w:fldCharType="begin"/>
      </w:r>
      <w:r w:rsidRPr="004128BD">
        <w:rPr>
          <w:lang w:val="en-US"/>
        </w:rPr>
        <w:instrText xml:space="preserve"> ADDIN EN.CITE &lt;EndNote&gt;&lt;Cite&gt;&lt;Author&gt;Kopp&lt;/Author&gt;&lt;Year&gt;2007&lt;/Year&gt;&lt;RecNum&gt;1613&lt;/RecNum&gt;&lt;Prefix&gt;e.g.`, &lt;/Prefix&gt;&lt;DisplayText&gt;(e.g., Kopp &amp;amp; Kemp, 2007b)&lt;/DisplayText&gt;&lt;record&gt;&lt;rec-number&gt;1613&lt;/rec-number&gt;&lt;foreign-keys&gt;&lt;key app="EN" db-id="2pe9e00ros0veneeptspa5vhz0pw2az52v20" timestamp="1648258390" guid="a67f1b3a-acab-4ca8-9e58-a38ac5b53a23"&gt;1613&lt;/key&gt;&lt;/foreign-keys&gt;&lt;ref-type name="Journal Article"&gt;17&lt;/ref-type&gt;&lt;contributors&gt;&lt;authors&gt;&lt;author&gt;Kopp, S. W.&lt;/author&gt;&lt;author&gt;Kemp, E.&lt;/author&gt;&lt;/authors&gt;&lt;/contributors&gt;&lt;titles&gt;&lt;title&gt;The death care industry: A review of regulatory and consumer issues&lt;/title&gt;&lt;secondary-title&gt;Journal of Consumer Affairs&lt;/secondary-title&gt;&lt;/titles&gt;&lt;periodical&gt;&lt;full-title&gt;Journal of Consumer Affairs&lt;/full-title&gt;&lt;/periodical&gt;&lt;pages&gt;150-173&lt;/pages&gt;&lt;volume&gt;41&lt;/volume&gt;&lt;number&gt;1&lt;/number&gt;&lt;dates&gt;&lt;year&gt;2007&lt;/year&gt;&lt;/dates&gt;&lt;isbn&gt;0022-0078&lt;/isbn&gt;&lt;urls&gt;&lt;/urls&gt;&lt;electronic-resource-num&gt;10.1111/j.1745-6606.2006.00072.x&lt;/electronic-resource-num&gt;&lt;/record&gt;&lt;/Cite&gt;&lt;/EndNote&gt;</w:instrText>
      </w:r>
      <w:r w:rsidRPr="004128BD">
        <w:rPr>
          <w:lang w:val="en-US"/>
        </w:rPr>
        <w:fldChar w:fldCharType="separate"/>
      </w:r>
      <w:r w:rsidRPr="004128BD">
        <w:rPr>
          <w:noProof/>
          <w:lang w:val="en-US"/>
        </w:rPr>
        <w:t>(e.g., Kopp &amp; Kemp, 2007b)</w:t>
      </w:r>
      <w:r w:rsidRPr="004128BD">
        <w:rPr>
          <w:lang w:val="en-US"/>
        </w:rPr>
        <w:fldChar w:fldCharType="end"/>
      </w:r>
      <w:r w:rsidRPr="004128BD">
        <w:rPr>
          <w:lang w:val="en-US"/>
        </w:rPr>
        <w:t xml:space="preserve"> need to face and </w:t>
      </w:r>
      <w:r>
        <w:rPr>
          <w:lang w:val="en-US"/>
        </w:rPr>
        <w:t xml:space="preserve">manage </w:t>
      </w:r>
      <w:r w:rsidRPr="004128BD">
        <w:rPr>
          <w:lang w:val="en-US"/>
        </w:rPr>
        <w:t xml:space="preserve">the commerce-care dialectic in funeral services </w:t>
      </w:r>
      <w:r w:rsidRPr="004128BD">
        <w:rPr>
          <w:lang w:val="en-US"/>
        </w:rPr>
        <w:fldChar w:fldCharType="begin">
          <w:fldData xml:space="preserve">PEVuZE5vdGU+PENpdGU+PEF1dGhvcj5CYWlsZXk8L0F1dGhvcj48WWVhcj4yMDEwPC9ZZWFyPjxS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</w:fldData>
        </w:fldChar>
      </w:r>
      <w:r w:rsidRPr="004128BD">
        <w:rPr>
          <w:lang w:val="en-US"/>
        </w:rPr>
        <w:instrText xml:space="preserve"> ADDIN EN.CITE </w:instrText>
      </w:r>
      <w:r w:rsidRPr="004128BD">
        <w:rPr>
          <w:lang w:val="en-US"/>
        </w:rPr>
        <w:fldChar w:fldCharType="begin">
          <w:fldData xml:space="preserve">PEVuZE5vdGU+PENpdGU+PEF1dGhvcj5CYWlsZXk8L0F1dGhvcj48WWVhcj4yMDEwPC9ZZWFyPjxS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</w:fldData>
        </w:fldChar>
      </w:r>
      <w:r w:rsidRPr="004128BD">
        <w:rPr>
          <w:lang w:val="en-US"/>
        </w:rPr>
        <w:instrText xml:space="preserve"> ADDIN EN.CITE.DATA </w:instrText>
      </w:r>
      <w:r w:rsidRPr="004128BD">
        <w:rPr>
          <w:lang w:val="en-US"/>
        </w:rPr>
      </w:r>
      <w:r w:rsidRPr="004128BD">
        <w:rPr>
          <w:lang w:val="en-US"/>
        </w:rPr>
        <w:fldChar w:fldCharType="end"/>
      </w:r>
      <w:r w:rsidRPr="004128BD">
        <w:rPr>
          <w:lang w:val="en-US"/>
        </w:rPr>
      </w:r>
      <w:r w:rsidRPr="004128BD">
        <w:rPr>
          <w:lang w:val="en-US"/>
        </w:rPr>
        <w:fldChar w:fldCharType="separate"/>
      </w:r>
      <w:r w:rsidRPr="004128BD">
        <w:rPr>
          <w:noProof/>
          <w:lang w:val="en-US"/>
        </w:rPr>
        <w:t>(e.g., Bailey, 2010; Korai et al., 2022; Parsons, 2003)</w:t>
      </w:r>
      <w:r w:rsidRPr="004128BD">
        <w:rPr>
          <w:lang w:val="en-US"/>
        </w:rPr>
        <w:fldChar w:fldCharType="end"/>
      </w:r>
      <w:r w:rsidRPr="004128BD">
        <w:rPr>
          <w:lang w:val="en-US"/>
        </w:rPr>
        <w:t>.</w:t>
      </w:r>
      <w:r>
        <w:rPr>
          <w:lang w:val="en-US"/>
        </w:rPr>
        <w:t xml:space="preserve"> In short, the</w:t>
      </w:r>
      <w:r w:rsidRPr="004128BD">
        <w:rPr>
          <w:lang w:val="en-US"/>
        </w:rPr>
        <w:t xml:space="preserve"> commerce-care dialectic in funeral services</w:t>
      </w:r>
      <w:r>
        <w:rPr>
          <w:lang w:val="en-US"/>
        </w:rPr>
        <w:t xml:space="preserve"> has been present for more than a century, and thereby it seems unresolvable; </w:t>
      </w:r>
      <w:r>
        <w:rPr>
          <w:lang w:val="en-US" w:eastAsia="zh-CN"/>
        </w:rPr>
        <w:t>although it is unresolvable,</w:t>
      </w:r>
      <w:r>
        <w:rPr>
          <w:lang w:val="en-US"/>
        </w:rPr>
        <w:t xml:space="preserve"> people need to </w:t>
      </w:r>
      <w:r>
        <w:rPr>
          <w:lang w:val="en-US" w:eastAsia="zh-CN"/>
        </w:rPr>
        <w:t xml:space="preserve">respond to it because everyone needs to face mortality one day. </w:t>
      </w:r>
    </w:p>
    <w:p w14:paraId="50A8A578" w14:textId="77777777" w:rsidR="00256B3D" w:rsidRPr="00FC6F20" w:rsidRDefault="00256B3D" w:rsidP="00256B3D">
      <w:pPr>
        <w:pStyle w:val="BodyText"/>
        <w:rPr>
          <w:lang w:val="en-US"/>
        </w:rPr>
      </w:pPr>
      <w:r>
        <w:t xml:space="preserve">RDT is a theory of addressing the relational meaning-making process </w:t>
      </w:r>
      <w:r w:rsidRPr="00044165">
        <w:rPr>
          <w:noProof/>
        </w:rPr>
        <w:fldChar w:fldCharType="begin"/>
      </w:r>
      <w:r w:rsidRPr="00044165">
        <w:rPr>
          <w:noProof/>
        </w:rPr>
        <w:instrText xml:space="preserve"> ADDIN EN.CITE &lt;EndNote&gt;&lt;Cite&gt;&lt;Author&gt;Baxter&lt;/Author&gt;&lt;Year&gt;2021&lt;/Year&gt;&lt;RecNum&gt;1635&lt;/RecNum&gt;&lt;DisplayText&gt;(Baxter et al., 2021)&lt;/DisplayText&gt;&lt;record&gt;&lt;rec-number&gt;1635&lt;/rec-number&gt;&lt;foreign-keys&gt;&lt;key app="EN" db-id="2pe9e00ros0veneeptspa5vhz0pw2az52v20" timestamp="1651291792" guid="9386a910-98ed-4546-a0ef-92560d132ee4"&gt;1635&lt;/key&gt;&lt;/foreign-keys&gt;&lt;ref-type name="Journal Article"&gt;17&lt;/ref-type&gt;&lt;contributors&gt;&lt;authors&gt;&lt;author&gt;Baxter, Leslie A&lt;/author&gt;&lt;author&gt;Scharp, Kristina M&lt;/author&gt;&lt;author&gt;Thomas, Lindsey J&lt;/author&gt;&lt;/authors&gt;&lt;/contributors&gt;&lt;titles&gt;&lt;title&gt;Relational dialectics theory&lt;/title&gt;&lt;secondary-title&gt;Journal of Family Theory &amp;amp; Review&lt;/secondary-title&gt;&lt;/titles&gt;&lt;periodical&gt;&lt;full-title&gt;Journal of Family Theory &amp;amp; Review&lt;/full-title&gt;&lt;/periodical&gt;&lt;pages&gt;7-20&lt;/pages&gt;&lt;volume&gt;13&lt;/volume&gt;&lt;number&gt;1&lt;/number&gt;&lt;dates&gt;&lt;year&gt;2021&lt;/year&gt;&lt;/dates&gt;&lt;isbn&gt;1756-2570&lt;/isbn&gt;&lt;urls&gt;&lt;/urls&gt;&lt;electronic-resource-num&gt;10.1111/jftr.12405&lt;/electronic-resource-num&gt;&lt;/record&gt;&lt;/Cite&gt;&lt;/EndNote&gt;</w:instrText>
      </w:r>
      <w:r w:rsidRPr="00044165">
        <w:rPr>
          <w:noProof/>
        </w:rPr>
        <w:fldChar w:fldCharType="separate"/>
      </w:r>
      <w:r w:rsidRPr="00044165">
        <w:rPr>
          <w:noProof/>
        </w:rPr>
        <w:t>(Baxter et al., 2021)</w:t>
      </w:r>
      <w:r w:rsidRPr="00044165">
        <w:rPr>
          <w:noProof/>
        </w:rPr>
        <w:fldChar w:fldCharType="end"/>
      </w:r>
      <w:r>
        <w:rPr>
          <w:noProof/>
          <w:lang w:val="en-US"/>
        </w:rPr>
        <w:t>.</w:t>
      </w:r>
      <w:r>
        <w:rPr>
          <w:noProof/>
        </w:rPr>
        <w:t xml:space="preserve"> </w:t>
      </w:r>
      <w:r>
        <w:t xml:space="preserve">Throughout reviewing the literature </w:t>
      </w:r>
      <w:r>
        <w:rPr>
          <w:lang w:val="en-US"/>
        </w:rPr>
        <w:t>on</w:t>
      </w:r>
      <w:r>
        <w:t xml:space="preserve"> RDT</w:t>
      </w:r>
      <w:r>
        <w:rPr>
          <w:lang w:val="en-US"/>
        </w:rPr>
        <w:t xml:space="preserve"> in Chapter Three</w:t>
      </w:r>
      <w:r>
        <w:t>,</w:t>
      </w:r>
      <w:r>
        <w:rPr>
          <w:lang w:val="en-US"/>
        </w:rPr>
        <w:t xml:space="preserve"> </w:t>
      </w:r>
      <w:r w:rsidRPr="009819F2">
        <w:t xml:space="preserve">RDT was applied as a framework to understand relational meaning-making emergent from competing discourses in various samples and diverse contexts </w:t>
      </w:r>
      <w:r>
        <w:rPr>
          <w:lang w:val="en-US"/>
        </w:rPr>
        <w:t xml:space="preserve">in the past decade </w:t>
      </w:r>
      <w:r w:rsidRPr="009819F2">
        <w:fldChar w:fldCharType="begin"/>
      </w:r>
      <w:r>
        <w:instrText xml:space="preserve"> ADDIN EN.CITE &lt;EndNote&gt;&lt;Cite&gt;&lt;Author&gt;Hintz&lt;/Author&gt;&lt;Year&gt;2023&lt;/Year&gt;&lt;RecNum&gt;2227&lt;/RecNum&gt;&lt;Prefix&gt;e.g.`, &lt;/Prefix&gt;&lt;DisplayText&gt;(e.g., Hintz &amp;amp; Scharp, 2023)&lt;/DisplayText&gt;&lt;record&gt;&lt;rec-number&gt;2227&lt;/rec-number&gt;&lt;foreign-keys&gt;&lt;key app="EN" db-id="2pe9e00ros0veneeptspa5vhz0pw2az52v20" timestamp="1698845789" guid="579cc16c-e5aa-477d-9f0b-97a29063ef4e"&gt;2227&lt;/key&gt;&lt;/foreign-keys&gt;&lt;ref-type name="Journal Article"&gt;17&lt;/ref-type&gt;&lt;contributors&gt;&lt;authors&gt;&lt;author&gt;Hintz, Elizabeth A.&lt;/author&gt;&lt;author&gt;Scharp, Kristina M.&lt;/author&gt;&lt;/authors&gt;&lt;/contributors&gt;&lt;titles&gt;&lt;title&gt;“I hate all the children, especially mine”: Applying relational dialectics theory to examine the experiences of formerly childfree regretful parents&lt;/title&gt;&lt;secondary-title&gt;Journal of Social and Personal Relationships&lt;/secondary-title&gt;&lt;/titles&gt;&lt;periodical&gt;&lt;full-title&gt;Journal of Social and Personal relationships&lt;/full-title&gt;&lt;/periodical&gt;&lt;pages&gt;3781-3799&lt;/pages&gt;&lt;volume&gt;40&lt;/volume&gt;&lt;number&gt;11&lt;/number&gt;&lt;keywords&gt;&lt;keyword&gt;Child free by choice,communication,dominant culture,fear of missing out,family or families,parenthood,power,qualitative methods&lt;/keyword&gt;&lt;/keywords&gt;&lt;dates&gt;&lt;year&gt;2023&lt;/year&gt;&lt;/dates&gt;&lt;urls&gt;&lt;related-urls&gt;&lt;url&gt;https://journals.sagepub.com/doi/abs/10.1177/02654075231194363&lt;/url&gt;&lt;/related-urls&gt;&lt;/urls&gt;&lt;electronic-resource-num&gt;10.1177/02654075231194363&lt;/electronic-resource-num&gt;&lt;/record&gt;&lt;/Cite&gt;&lt;/EndNote&gt;</w:instrText>
      </w:r>
      <w:r w:rsidRPr="009819F2">
        <w:fldChar w:fldCharType="separate"/>
      </w:r>
      <w:r>
        <w:rPr>
          <w:noProof/>
        </w:rPr>
        <w:t>(e.g., Hintz &amp; Scharp, 2023)</w:t>
      </w:r>
      <w:r w:rsidRPr="009819F2">
        <w:fldChar w:fldCharType="end"/>
      </w:r>
      <w:r w:rsidRPr="009819F2">
        <w:t>.</w:t>
      </w:r>
      <w:r>
        <w:rPr>
          <w:lang w:val="en-US"/>
        </w:rPr>
        <w:t xml:space="preserve"> However, </w:t>
      </w:r>
      <w:r>
        <w:rPr>
          <w:lang w:val="en-US"/>
        </w:rPr>
        <w:lastRenderedPageBreak/>
        <w:t xml:space="preserve">researchers have never applied RDT in the scenario of funeral planning, and this dissertation focuses on funeral director-client interactions for funeral planning. Moreover, </w:t>
      </w:r>
      <w:r>
        <w:rPr>
          <w:lang w:val="en-US"/>
        </w:rPr>
        <w:fldChar w:fldCharType="begin"/>
      </w:r>
      <w:r>
        <w:rPr>
          <w:lang w:val="en-US"/>
        </w:rPr>
        <w:instrText xml:space="preserve"> ADDIN EN.CITE &lt;EndNote&gt;&lt;Cite AuthorYear="1"&gt;&lt;Author&gt;Baxter&lt;/Author&gt;&lt;Year&gt;2021&lt;/Year&gt;&lt;RecNum&gt;1635&lt;/RecNum&gt;&lt;DisplayText&gt;Baxter et al. (2021)&lt;/DisplayText&gt;&lt;record&gt;&lt;rec-number&gt;1635&lt;/rec-number&gt;&lt;foreign-keys&gt;&lt;key app="EN" db-id="2pe9e00ros0veneeptspa5vhz0pw2az52v20" timestamp="1651291792" guid="9386a910-98ed-4546-a0ef-92560d132ee4"&gt;1635&lt;/key&gt;&lt;/foreign-keys&gt;&lt;ref-type name="Journal Article"&gt;17&lt;/ref-type&gt;&lt;contributors&gt;&lt;authors&gt;&lt;author&gt;Baxter, Leslie A&lt;/author&gt;&lt;author&gt;Scharp, Kristina M&lt;/author&gt;&lt;author&gt;Thomas, Lindsey J&lt;/author&gt;&lt;/authors&gt;&lt;/contributors&gt;&lt;titles&gt;&lt;title&gt;Relational dialectics theory&lt;/title&gt;&lt;secondary-title&gt;Journal of Family Theory &amp;amp; Review&lt;/secondary-title&gt;&lt;/titles&gt;&lt;periodical&gt;&lt;full-title&gt;Journal of Family Theory &amp;amp; Review&lt;/full-title&gt;&lt;/periodical&gt;&lt;pages&gt;7-20&lt;/pages&gt;&lt;volume&gt;13&lt;/volume&gt;&lt;number&gt;1&lt;/number&gt;&lt;dates&gt;&lt;year&gt;2021&lt;/year&gt;&lt;/dates&gt;&lt;isbn&gt;1756-2570&lt;/isbn&gt;&lt;urls&gt;&lt;/urls&gt;&lt;electronic-resource-num&gt;10.1111/jftr.12405&lt;/electronic-resource-num&gt;&lt;/record&gt;&lt;/Cite&gt;&lt;/EndNote&gt;</w:instrText>
      </w:r>
      <w:r>
        <w:rPr>
          <w:lang w:val="en-US"/>
        </w:rPr>
        <w:fldChar w:fldCharType="separate"/>
      </w:r>
      <w:r>
        <w:rPr>
          <w:noProof/>
          <w:lang w:val="en-US"/>
        </w:rPr>
        <w:t>Baxter et al. (2021)</w:t>
      </w:r>
      <w:r>
        <w:rPr>
          <w:lang w:val="en-US"/>
        </w:rPr>
        <w:fldChar w:fldCharType="end"/>
      </w:r>
      <w:r>
        <w:rPr>
          <w:lang w:val="en-US"/>
        </w:rPr>
        <w:t xml:space="preserve"> suggest that </w:t>
      </w:r>
      <w:r w:rsidRPr="009819F2">
        <w:t xml:space="preserve">RDT researchers </w:t>
      </w:r>
      <w:r>
        <w:rPr>
          <w:lang w:val="en-US"/>
        </w:rPr>
        <w:t>examine</w:t>
      </w:r>
      <w:r w:rsidRPr="009819F2">
        <w:t xml:space="preserve"> communication genres other than narratives, especially relationship rituals and carnivalesque enactments.</w:t>
      </w:r>
      <w:r>
        <w:rPr>
          <w:lang w:val="en-US"/>
        </w:rPr>
        <w:t xml:space="preserve"> Following this suggestion, this dissertation discusses funeral planning, which is the conversational process of arranging a ritual-based memorial service. In addition, </w:t>
      </w:r>
      <w:r>
        <w:rPr>
          <w:lang w:val="en-US"/>
        </w:rPr>
        <w:fldChar w:fldCharType="begin"/>
      </w:r>
      <w:r>
        <w:rPr>
          <w:lang w:val="en-US"/>
        </w:rPr>
        <w:instrText xml:space="preserve"> ADDIN EN.CITE &lt;EndNote&gt;&lt;Cite AuthorYear="1"&gt;&lt;Author&gt;Baxter&lt;/Author&gt;&lt;Year&gt;2021&lt;/Year&gt;&lt;RecNum&gt;1635&lt;/RecNum&gt;&lt;DisplayText&gt;Baxter et al. (2021)&lt;/DisplayText&gt;&lt;record&gt;&lt;rec-number&gt;1635&lt;/rec-number&gt;&lt;foreign-keys&gt;&lt;key app="EN" db-id="2pe9e00ros0veneeptspa5vhz0pw2az52v20" timestamp="1651291792" guid="9386a910-98ed-4546-a0ef-92560d132ee4"&gt;1635&lt;/key&gt;&lt;/foreign-keys&gt;&lt;ref-type name="Journal Article"&gt;17&lt;/ref-type&gt;&lt;contributors&gt;&lt;authors&gt;&lt;author&gt;Baxter, Leslie A&lt;/author&gt;&lt;author&gt;Scharp, Kristina M&lt;/author&gt;&lt;author&gt;Thomas, Lindsey J&lt;/author&gt;&lt;/authors&gt;&lt;/contributors&gt;&lt;titles&gt;&lt;title&gt;Relational dialectics theory&lt;/title&gt;&lt;secondary-title&gt;Journal of Family Theory &amp;amp; Review&lt;/secondary-title&gt;&lt;/titles&gt;&lt;periodical&gt;&lt;full-title&gt;Journal of Family Theory &amp;amp; Review&lt;/full-title&gt;&lt;/periodical&gt;&lt;pages&gt;7-20&lt;/pages&gt;&lt;volume&gt;13&lt;/volume&gt;&lt;number&gt;1&lt;/number&gt;&lt;dates&gt;&lt;year&gt;2021&lt;/year&gt;&lt;/dates&gt;&lt;isbn&gt;1756-2570&lt;/isbn&gt;&lt;urls&gt;&lt;/urls&gt;&lt;electronic-resource-num&gt;10.1111/jftr.12405&lt;/electronic-resource-num&gt;&lt;/record&gt;&lt;/Cite&gt;&lt;/EndNote&gt;</w:instrText>
      </w:r>
      <w:r>
        <w:rPr>
          <w:lang w:val="en-US"/>
        </w:rPr>
        <w:fldChar w:fldCharType="separate"/>
      </w:r>
      <w:r>
        <w:rPr>
          <w:noProof/>
          <w:lang w:val="en-US"/>
        </w:rPr>
        <w:t>Baxter et al. (2021)</w:t>
      </w:r>
      <w:r>
        <w:rPr>
          <w:lang w:val="en-US"/>
        </w:rPr>
        <w:fldChar w:fldCharType="end"/>
      </w:r>
      <w:r>
        <w:rPr>
          <w:lang w:val="en-US"/>
        </w:rPr>
        <w:t xml:space="preserve"> direct RDT researchers to look into </w:t>
      </w:r>
      <w:r>
        <w:t>the full utterance chain</w:t>
      </w:r>
      <w:r>
        <w:rPr>
          <w:lang w:val="en-US"/>
        </w:rPr>
        <w:t xml:space="preserve">, especially </w:t>
      </w:r>
      <w:r>
        <w:t>the distal not-yet-spoken and distal already-spoken utterances.</w:t>
      </w:r>
      <w:r>
        <w:rPr>
          <w:lang w:val="en-US"/>
        </w:rPr>
        <w:t xml:space="preserve"> Adapting to this guideline, the interviewing questions of this dissertation are dedicated to representing the funeral planning process.</w:t>
      </w:r>
    </w:p>
    <w:p w14:paraId="70E0C71B" w14:textId="77777777" w:rsidR="00256B3D" w:rsidRDefault="00256B3D" w:rsidP="00256B3D">
      <w:pPr>
        <w:pStyle w:val="BodyText"/>
        <w:rPr>
          <w:lang w:val="en-US"/>
        </w:rPr>
      </w:pPr>
      <w:r>
        <w:rPr>
          <w:lang w:val="en-US"/>
        </w:rPr>
        <w:t>T</w:t>
      </w:r>
      <w:r w:rsidRPr="009941C1">
        <w:rPr>
          <w:lang w:val="en-US"/>
        </w:rPr>
        <w:t>he commerce-care dialectic in funeral planning</w:t>
      </w:r>
      <w:r>
        <w:rPr>
          <w:lang w:val="en-US"/>
        </w:rPr>
        <w:t xml:space="preserve"> has </w:t>
      </w:r>
      <w:r w:rsidRPr="00251718">
        <w:rPr>
          <w:lang w:val="en-US"/>
        </w:rPr>
        <w:t>two attributes</w:t>
      </w:r>
      <w:r>
        <w:rPr>
          <w:lang w:val="en-US"/>
        </w:rPr>
        <w:t xml:space="preserve">: </w:t>
      </w:r>
      <w:r w:rsidRPr="00251718">
        <w:rPr>
          <w:lang w:val="en-US"/>
        </w:rPr>
        <w:t>commodity and social welfare</w:t>
      </w:r>
      <w:r>
        <w:rPr>
          <w:lang w:val="en-US"/>
        </w:rPr>
        <w:t xml:space="preserve">. Throughout reviewing </w:t>
      </w:r>
      <w:r w:rsidRPr="004128BD">
        <w:rPr>
          <w:lang w:val="en-US"/>
        </w:rPr>
        <w:t xml:space="preserve">the </w:t>
      </w:r>
      <w:r>
        <w:rPr>
          <w:lang w:val="en-US"/>
        </w:rPr>
        <w:t xml:space="preserve">literature on the </w:t>
      </w:r>
      <w:r w:rsidRPr="004128BD">
        <w:rPr>
          <w:lang w:val="en-US"/>
        </w:rPr>
        <w:t>commerce-care dialectic in funeral planning</w:t>
      </w:r>
      <w:r>
        <w:rPr>
          <w:lang w:val="en-US"/>
        </w:rPr>
        <w:t xml:space="preserve"> in Chapter Four, the author recognized that existing research is primarily in the fields of </w:t>
      </w:r>
      <w:r w:rsidRPr="00F45948">
        <w:rPr>
          <w:lang w:val="en-US"/>
        </w:rPr>
        <w:t>dialectic management, dialectic trend</w:t>
      </w:r>
      <w:r>
        <w:rPr>
          <w:lang w:val="en-US"/>
        </w:rPr>
        <w:t>s</w:t>
      </w:r>
      <w:r w:rsidRPr="00F45948">
        <w:rPr>
          <w:lang w:val="en-US"/>
        </w:rPr>
        <w:t>, and dialectic difference</w:t>
      </w:r>
      <w:r>
        <w:rPr>
          <w:lang w:val="en-US"/>
        </w:rPr>
        <w:t>s</w:t>
      </w:r>
      <w:r w:rsidRPr="00F45948">
        <w:rPr>
          <w:lang w:val="en-US"/>
        </w:rPr>
        <w:t>.</w:t>
      </w:r>
      <w:r>
        <w:rPr>
          <w:lang w:val="en-US"/>
        </w:rPr>
        <w:t xml:space="preserve"> The communication perspective is particularly ignored in the extant literature </w:t>
      </w:r>
      <w:r>
        <w:rPr>
          <w:lang w:val="en-US"/>
        </w:rPr>
        <w:fldChar w:fldCharType="begin"/>
      </w:r>
      <w:r>
        <w:rPr>
          <w:lang w:val="en-US"/>
        </w:rPr>
        <w:instrText xml:space="preserve"> ADDIN EN.CITE &lt;EndNote&gt;&lt;Cite&gt;&lt;Author&gt;Woodthorpe&lt;/Author&gt;&lt;Year&gt;2017&lt;/Year&gt;&lt;RecNum&gt;2284&lt;/RecNum&gt;&lt;Prefix&gt;but for some exceptions`, &lt;/Prefix&gt;&lt;DisplayText&gt;(but for some exceptions, Riley Jr., 1983; Woodthorpe, 2017)&lt;/DisplayText&gt;&lt;record&gt;&lt;rec-number&gt;2284&lt;/rec-number&gt;&lt;foreign-keys&gt;&lt;key app="EN" db-id="2pe9e00ros0veneeptspa5vhz0pw2az52v20" timestamp="1705369930" guid="200a5723-5d60-4732-9a20-3f221d0be49b"&gt;2284&lt;/key&gt;&lt;/foreign-keys&gt;&lt;ref-type name="Journal Article"&gt;17&lt;/ref-type&gt;&lt;contributors&gt;&lt;authors&gt;&lt;author&gt;Woodthorpe, Kate&lt;/author&gt;&lt;/authors&gt;&lt;/contributors&gt;&lt;titles&gt;&lt;title&gt;Family and funerals: Taking a relational perspective&lt;/title&gt;&lt;secondary-title&gt;Death Studies&lt;/secondary-title&gt;&lt;/titles&gt;&lt;periodical&gt;&lt;full-title&gt;Death Studies&lt;/full-title&gt;&lt;/periodical&gt;&lt;pages&gt;592-601&lt;/pages&gt;&lt;volume&gt;41&lt;/volume&gt;&lt;number&gt;9&lt;/number&gt;&lt;dates&gt;&lt;year&gt;2017&lt;/year&gt;&lt;/dates&gt;&lt;publisher&gt;Routledge&lt;/publisher&gt;&lt;isbn&gt;0748-1187&lt;/isbn&gt;&lt;urls&gt;&lt;related-urls&gt;&lt;url&gt;https://doi.org/10.1080/07481187.2017.1325419&lt;/url&gt;&lt;/related-urls&gt;&lt;/urls&gt;&lt;electronic-resource-num&gt;10.1080/07481187.2017.1325419&lt;/electronic-resource-num&gt;&lt;/record&gt;&lt;/Cite&gt;&lt;Cite&gt;&lt;Author&gt;Riley Jr.&lt;/Author&gt;&lt;Year&gt;1983&lt;/Year&gt;&lt;RecNum&gt;2283&lt;/RecNum&gt;&lt;record&gt;&lt;rec-number&gt;2283&lt;/rec-number&gt;&lt;foreign-keys&gt;&lt;key app="EN" db-id="2pe9e00ros0veneeptspa5vhz0pw2az52v20" timestamp="1705369860" guid="7b247b58-c9a5-40d3-8263-a7c915de5f28"&gt;2283&lt;/key&gt;&lt;/foreign-keys&gt;&lt;ref-type name="Journal Article"&gt;17&lt;/ref-type&gt;&lt;contributors&gt;&lt;authors&gt;&lt;author&gt;Riley Jr., John W.&lt;/author&gt;&lt;/authors&gt;&lt;/contributors&gt;&lt;titles&gt;&lt;title&gt;Dying and the meanings of death: Sociological inquiries&lt;/title&gt;&lt;secondary-title&gt;Annual Review of Sociology&lt;/secondary-title&gt;&lt;/titles&gt;&lt;periodical&gt;&lt;full-title&gt;Annual review of sociology&lt;/full-title&gt;&lt;/periodical&gt;&lt;pages&gt;191-216&lt;/pages&gt;&lt;volume&gt;9&lt;/volume&gt;&lt;number&gt;1&lt;/number&gt;&lt;dates&gt;&lt;year&gt;1983&lt;/year&gt;&lt;/dates&gt;&lt;urls&gt;&lt;related-urls&gt;&lt;url&gt;https://www.annualreviews.org/doi/abs/10.1146/annurev.so.09.080183.001203&lt;/url&gt;&lt;/related-urls&gt;&lt;/urls&gt;&lt;electronic-resource-num&gt;10.1146/annurev.so.09.080183.001203&lt;/electronic-resource-num&gt;&lt;/record&gt;&lt;/Cite&gt;&lt;/EndNote&gt;</w:instrText>
      </w:r>
      <w:r>
        <w:rPr>
          <w:lang w:val="en-US"/>
        </w:rPr>
        <w:fldChar w:fldCharType="separate"/>
      </w:r>
      <w:r>
        <w:rPr>
          <w:noProof/>
          <w:lang w:val="en-US"/>
        </w:rPr>
        <w:t>(but for some exceptions, Riley Jr., 1983; Woodthorpe, 2017)</w:t>
      </w:r>
      <w:r>
        <w:rPr>
          <w:lang w:val="en-US"/>
        </w:rPr>
        <w:fldChar w:fldCharType="end"/>
      </w:r>
      <w:r>
        <w:rPr>
          <w:lang w:val="en-US"/>
        </w:rPr>
        <w:t xml:space="preserve">. </w:t>
      </w:r>
      <w:r>
        <w:rPr>
          <w:lang w:val="en-US"/>
        </w:rPr>
        <w:fldChar w:fldCharType="begin"/>
      </w:r>
      <w:r>
        <w:rPr>
          <w:lang w:val="en-US"/>
        </w:rPr>
        <w:instrText xml:space="preserve"> ADDIN EN.CITE &lt;EndNote&gt;&lt;Cite AuthorYear="1"&gt;&lt;Author&gt;Woodthorpe&lt;/Author&gt;&lt;Year&gt;2017&lt;/Year&gt;&lt;RecNum&gt;2284&lt;/RecNum&gt;&lt;DisplayText&gt;Woodthorpe (2017)&lt;/DisplayText&gt;&lt;record&gt;&lt;rec-number&gt;2284&lt;/rec-number&gt;&lt;foreign-keys&gt;&lt;key app="EN" db-id="2pe9e00ros0veneeptspa5vhz0pw2az52v20" timestamp="1705369930" guid="200a5723-5d60-4732-9a20-3f221d0be49b"&gt;2284&lt;/key&gt;&lt;/foreign-keys&gt;&lt;ref-type name="Journal Article"&gt;17&lt;/ref-type&gt;&lt;contributors&gt;&lt;authors&gt;&lt;author&gt;Woodthorpe, Kate&lt;/author&gt;&lt;/authors&gt;&lt;/contributors&gt;&lt;titles&gt;&lt;title&gt;Family and funerals: Taking a relational perspective&lt;/title&gt;&lt;secondary-title&gt;Death Studies&lt;/secondary-title&gt;&lt;/titles&gt;&lt;periodical&gt;&lt;full-title&gt;Death Studies&lt;/full-title&gt;&lt;/periodical&gt;&lt;pages&gt;592-601&lt;/pages&gt;&lt;volume&gt;41&lt;/volume&gt;&lt;number&gt;9&lt;/number&gt;&lt;dates&gt;&lt;year&gt;2017&lt;/year&gt;&lt;/dates&gt;&lt;publisher&gt;Routledge&lt;/publisher&gt;&lt;isbn&gt;0748-1187&lt;/isbn&gt;&lt;urls&gt;&lt;related-urls&gt;&lt;url&gt;https://doi.org/10.1080/07481187.2017.1325419&lt;/url&gt;&lt;/related-urls&gt;&lt;/urls&gt;&lt;electronic-resource-num&gt;10.1080/07481187.2017.1325419&lt;/electronic-resource-num&gt;&lt;/record&gt;&lt;/Cite&gt;&lt;/EndNote&gt;</w:instrText>
      </w:r>
      <w:r>
        <w:rPr>
          <w:lang w:val="en-US"/>
        </w:rPr>
        <w:fldChar w:fldCharType="separate"/>
      </w:r>
      <w:r>
        <w:rPr>
          <w:noProof/>
          <w:lang w:val="en-US"/>
        </w:rPr>
        <w:t>Woodthorpe (2017)</w:t>
      </w:r>
      <w:r>
        <w:rPr>
          <w:lang w:val="en-US"/>
        </w:rPr>
        <w:fldChar w:fldCharType="end"/>
      </w:r>
      <w:r>
        <w:rPr>
          <w:lang w:val="en-US"/>
        </w:rPr>
        <w:t xml:space="preserve"> identifies </w:t>
      </w:r>
      <w:r w:rsidRPr="002A747C">
        <w:rPr>
          <w:lang w:val="en-US"/>
        </w:rPr>
        <w:t>relational features of a contemporary funeral</w:t>
      </w:r>
      <w:r>
        <w:rPr>
          <w:lang w:val="en-US"/>
        </w:rPr>
        <w:t xml:space="preserve">, inclusive of </w:t>
      </w:r>
      <w:r w:rsidRPr="002A747C">
        <w:rPr>
          <w:lang w:val="en-US"/>
        </w:rPr>
        <w:t>the determination of funeral content, participation in the funeral performance, and the commercial choice(s) made</w:t>
      </w:r>
      <w:r>
        <w:rPr>
          <w:lang w:val="en-US"/>
        </w:rPr>
        <w:t xml:space="preserve">. This study, although proposing the relational features, did not discuss the meanings of these relational features. </w:t>
      </w:r>
      <w:r>
        <w:rPr>
          <w:lang w:val="en-US"/>
        </w:rPr>
        <w:fldChar w:fldCharType="begin"/>
      </w:r>
      <w:r>
        <w:rPr>
          <w:lang w:val="en-US"/>
        </w:rPr>
        <w:instrText xml:space="preserve"> ADDIN EN.CITE &lt;EndNote&gt;&lt;Cite AuthorYear="1"&gt;&lt;Author&gt;Riley Jr.&lt;/Author&gt;&lt;Year&gt;1983&lt;/Year&gt;&lt;RecNum&gt;2283&lt;/RecNum&gt;&lt;DisplayText&gt;Riley Jr. (1983)&lt;/DisplayText&gt;&lt;record&gt;&lt;rec-number&gt;2283&lt;/rec-number&gt;&lt;foreign-keys&gt;&lt;key app="EN" db-id="2pe9e00ros0veneeptspa5vhz0pw2az52v20" timestamp="1705369860" guid="7b247b58-c9a5-40d3-8263-a7c915de5f28"&gt;2283&lt;/key&gt;&lt;/foreign-keys&gt;&lt;ref-type name="Journal Article"&gt;17&lt;/ref-type&gt;&lt;contributors&gt;&lt;authors&gt;&lt;author&gt;Riley Jr., John W.&lt;/author&gt;&lt;/authors&gt;&lt;/contributors&gt;&lt;titles&gt;&lt;title&gt;Dying and the meanings of death: Sociological inquiries&lt;/title&gt;&lt;secondary-title&gt;Annual Review of Sociology&lt;/secondary-title&gt;&lt;/titles&gt;&lt;periodical&gt;&lt;full-title&gt;Annual review of sociology&lt;/full-title&gt;&lt;/periodical&gt;&lt;pages&gt;191-216&lt;/pages&gt;&lt;volume&gt;9&lt;/volume&gt;&lt;number&gt;1&lt;/number&gt;&lt;dates&gt;&lt;year&gt;1983&lt;/year&gt;&lt;/dates&gt;&lt;urls&gt;&lt;related-urls&gt;&lt;url&gt;https://www.annualreviews.org/doi/abs/10.1146/annurev.so.09.080183.001203&lt;/url&gt;&lt;/related-urls&gt;&lt;/urls&gt;&lt;electronic-resource-num&gt;10.1146/annurev.so.09.080183.001203&lt;/electronic-resource-num&gt;&lt;/record&gt;&lt;/Cite&gt;&lt;/EndNote&gt;</w:instrText>
      </w:r>
      <w:r>
        <w:rPr>
          <w:lang w:val="en-US"/>
        </w:rPr>
        <w:fldChar w:fldCharType="separate"/>
      </w:r>
      <w:r>
        <w:rPr>
          <w:noProof/>
          <w:lang w:val="en-US"/>
        </w:rPr>
        <w:t>Riley Jr. (1983)</w:t>
      </w:r>
      <w:r>
        <w:rPr>
          <w:lang w:val="en-US"/>
        </w:rPr>
        <w:fldChar w:fldCharType="end"/>
      </w:r>
      <w:r>
        <w:rPr>
          <w:lang w:val="en-US"/>
        </w:rPr>
        <w:t xml:space="preserve"> saw </w:t>
      </w:r>
      <w:r w:rsidRPr="002A747C">
        <w:rPr>
          <w:lang w:val="en-US"/>
        </w:rPr>
        <w:t>a promising future for sociological</w:t>
      </w:r>
      <w:r>
        <w:rPr>
          <w:lang w:val="en-US"/>
        </w:rPr>
        <w:t xml:space="preserve"> </w:t>
      </w:r>
      <w:r w:rsidRPr="002A747C">
        <w:rPr>
          <w:lang w:val="en-US"/>
        </w:rPr>
        <w:t>inquiries on death and dying and conclude</w:t>
      </w:r>
      <w:r>
        <w:rPr>
          <w:lang w:val="en-US"/>
        </w:rPr>
        <w:t>d</w:t>
      </w:r>
      <w:r w:rsidRPr="002A747C">
        <w:rPr>
          <w:lang w:val="en-US"/>
        </w:rPr>
        <w:t xml:space="preserve"> that the meanings of death are in </w:t>
      </w:r>
      <w:r>
        <w:rPr>
          <w:lang w:val="en-US"/>
        </w:rPr>
        <w:t xml:space="preserve">the </w:t>
      </w:r>
      <w:r w:rsidRPr="002A747C">
        <w:rPr>
          <w:lang w:val="en-US"/>
        </w:rPr>
        <w:t>process of continuing transformatio</w:t>
      </w:r>
      <w:r>
        <w:rPr>
          <w:lang w:val="en-US"/>
        </w:rPr>
        <w:t xml:space="preserve">n. This article was aligned with the communication perspective but did not explore how the </w:t>
      </w:r>
      <w:r w:rsidRPr="002A747C">
        <w:rPr>
          <w:lang w:val="en-US"/>
        </w:rPr>
        <w:t xml:space="preserve">meanings of death </w:t>
      </w:r>
      <w:r>
        <w:rPr>
          <w:lang w:val="en-US"/>
        </w:rPr>
        <w:t>were transformed. The core of the communication perspective regards its</w:t>
      </w:r>
      <w:r w:rsidRPr="00251718">
        <w:rPr>
          <w:lang w:val="en-US"/>
        </w:rPr>
        <w:t xml:space="preserve"> process of constituting the indeterminan</w:t>
      </w:r>
      <w:r>
        <w:rPr>
          <w:lang w:val="en-US"/>
        </w:rPr>
        <w:t>t</w:t>
      </w:r>
      <w:r w:rsidRPr="00251718">
        <w:rPr>
          <w:lang w:val="en-US"/>
        </w:rPr>
        <w:t xml:space="preserve"> and ambiguous external world into specific objects</w:t>
      </w:r>
      <w:r>
        <w:rPr>
          <w:lang w:val="en-US"/>
        </w:rPr>
        <w:t xml:space="preserve"> through language use </w:t>
      </w:r>
      <w:r>
        <w:rPr>
          <w:lang w:val="en-US"/>
        </w:rPr>
        <w:fldChar w:fldCharType="begin"/>
      </w:r>
      <w:r>
        <w:rPr>
          <w:lang w:val="en-US"/>
        </w:rPr>
        <w:instrText xml:space="preserve"> ADDIN EN.CITE &lt;EndNote&gt;&lt;Cite&gt;&lt;Author&gt;Deetz&lt;/Author&gt;&lt;Year&gt;2001&lt;/Year&gt;&lt;RecNum&gt;1918&lt;/RecNum&gt;&lt;DisplayText&gt;(Deetz, 2001)&lt;/DisplayText&gt;&lt;record&gt;&lt;rec-number&gt;1918&lt;/rec-number&gt;&lt;foreign-keys&gt;&lt;key app="EN" db-id="2pe9e00ros0veneeptspa5vhz0pw2az52v20" timestamp="1691120195" guid="0da33f21-aed8-41f3-8ad9-be03ea9adaf5"&gt;1918&lt;/key&gt;&lt;/foreign-keys&gt;&lt;ref-type name="Electronic Book Section"&gt;60&lt;/ref-type&gt;&lt;contributors&gt;&lt;authors&gt;&lt;author&gt;Deetz, Stanley&lt;/author&gt;&lt;/authors&gt;&lt;secondary-authors&gt;&lt;author&gt;Jablin, F.M.&lt;/author&gt;&lt;author&gt;Putnam, L.L.&lt;/author&gt;&lt;/secondary-authors&gt;&lt;/contributors&gt;&lt;titles&gt;&lt;title&gt;Conceptual foundations&lt;/title&gt;&lt;secondary-title&gt;The new handbook of organizational communication: Advances in theory, research and methods&lt;/secondary-title&gt;&lt;/titles&gt;&lt;dates&gt;&lt;year&gt;2001&lt;/year&gt;&lt;/dates&gt;&lt;pub-location&gt;Thousand Oaks&lt;/pub-location&gt;&lt;publisher&gt;Sage&lt;/publisher&gt;&lt;urls&gt;&lt;/urls&gt;&lt;/record&gt;&lt;/Cite&gt;&lt;/EndNote&gt;</w:instrText>
      </w:r>
      <w:r>
        <w:rPr>
          <w:lang w:val="en-US"/>
        </w:rPr>
        <w:fldChar w:fldCharType="separate"/>
      </w:r>
      <w:r>
        <w:rPr>
          <w:noProof/>
          <w:lang w:val="en-US"/>
        </w:rPr>
        <w:t>(Deetz, 2001)</w:t>
      </w:r>
      <w:r>
        <w:rPr>
          <w:lang w:val="en-US"/>
        </w:rPr>
        <w:fldChar w:fldCharType="end"/>
      </w:r>
      <w:r>
        <w:rPr>
          <w:lang w:val="en-US"/>
        </w:rPr>
        <w:t xml:space="preserve">. This dissertation applies </w:t>
      </w:r>
      <w:r>
        <w:rPr>
          <w:lang w:val="en-US"/>
        </w:rPr>
        <w:lastRenderedPageBreak/>
        <w:t xml:space="preserve">the communication perspective to understand the commerce-care dialectic in funeral planning by interviewing funeral directors. By doing this, the dissertation can explicate the meaning-making of funeral planning and how people transform the unresolvable dialectic into a meaningful experience through interactions. </w:t>
      </w:r>
    </w:p>
    <w:p w14:paraId="7A4340D4" w14:textId="77777777" w:rsidR="00256B3D" w:rsidRPr="00607B94" w:rsidRDefault="00256B3D" w:rsidP="00256B3D">
      <w:pPr>
        <w:pStyle w:val="BodyText"/>
        <w:rPr>
          <w:lang w:val="en-US"/>
        </w:rPr>
      </w:pPr>
      <w:r>
        <w:rPr>
          <w:lang w:val="en-US"/>
        </w:rPr>
        <w:t xml:space="preserve">As mentioned above, three research questions are proposed below. </w:t>
      </w:r>
    </w:p>
    <w:p w14:paraId="011B061F" w14:textId="77777777" w:rsidR="00256B3D" w:rsidRDefault="00256B3D" w:rsidP="00256B3D">
      <w:pPr>
        <w:spacing w:line="480" w:lineRule="auto"/>
        <w:ind w:left="720" w:hanging="720"/>
        <w:rPr>
          <w:rFonts w:ascii="Times New Roman" w:hAnsi="Times New Roman" w:cs="Times New Roman"/>
          <w:i/>
          <w:iCs/>
        </w:rPr>
      </w:pPr>
      <w:r w:rsidRPr="004A4412">
        <w:rPr>
          <w:rFonts w:ascii="Times New Roman" w:hAnsi="Times New Roman" w:cs="Times New Roman"/>
          <w:i/>
          <w:iCs/>
        </w:rPr>
        <w:t>RQ1:</w:t>
      </w:r>
      <w:r>
        <w:rPr>
          <w:rFonts w:ascii="Times New Roman" w:hAnsi="Times New Roman" w:cs="Times New Roman"/>
          <w:i/>
          <w:iCs/>
        </w:rPr>
        <w:t xml:space="preserve"> What discourses of commerce-care dialectic are apparent in funeral director-client interactions for funeral planning?</w:t>
      </w:r>
    </w:p>
    <w:p w14:paraId="04C6858B" w14:textId="77777777" w:rsidR="00256B3D" w:rsidRDefault="00256B3D" w:rsidP="00256B3D">
      <w:pPr>
        <w:spacing w:line="480" w:lineRule="auto"/>
        <w:ind w:left="720" w:hanging="720"/>
        <w:rPr>
          <w:rFonts w:ascii="Times New Roman" w:hAnsi="Times New Roman" w:cs="Times New Roman"/>
          <w:i/>
          <w:iCs/>
        </w:rPr>
      </w:pPr>
      <w:r>
        <w:rPr>
          <w:rFonts w:ascii="Times New Roman" w:hAnsi="Times New Roman" w:cs="Times New Roman"/>
          <w:i/>
          <w:iCs/>
        </w:rPr>
        <w:t>RQ2: H</w:t>
      </w:r>
      <w:r w:rsidRPr="004A4412">
        <w:rPr>
          <w:rFonts w:ascii="Times New Roman" w:hAnsi="Times New Roman" w:cs="Times New Roman"/>
          <w:i/>
          <w:iCs/>
        </w:rPr>
        <w:t>ow do th</w:t>
      </w:r>
      <w:r>
        <w:rPr>
          <w:rFonts w:ascii="Times New Roman" w:hAnsi="Times New Roman" w:cs="Times New Roman"/>
          <w:i/>
          <w:iCs/>
        </w:rPr>
        <w:t xml:space="preserve">e </w:t>
      </w:r>
      <w:r w:rsidRPr="004A4412">
        <w:rPr>
          <w:rFonts w:ascii="Times New Roman" w:hAnsi="Times New Roman" w:cs="Times New Roman"/>
          <w:i/>
          <w:iCs/>
        </w:rPr>
        <w:t>discourses interpenetrate</w:t>
      </w:r>
      <w:r>
        <w:rPr>
          <w:rFonts w:ascii="Times New Roman" w:hAnsi="Times New Roman" w:cs="Times New Roman"/>
          <w:i/>
          <w:iCs/>
        </w:rPr>
        <w:t xml:space="preserve"> (a) synchronically and (b) diachronically</w:t>
      </w:r>
      <w:r w:rsidRPr="004A4412">
        <w:rPr>
          <w:rFonts w:ascii="Times New Roman" w:hAnsi="Times New Roman" w:cs="Times New Roman"/>
          <w:i/>
          <w:iCs/>
        </w:rPr>
        <w:t>?</w:t>
      </w:r>
    </w:p>
    <w:p w14:paraId="4EFDD467" w14:textId="77777777" w:rsidR="00256B3D" w:rsidRDefault="00256B3D" w:rsidP="00256B3D">
      <w:pPr>
        <w:spacing w:line="480" w:lineRule="auto"/>
        <w:ind w:left="720" w:hanging="720"/>
        <w:rPr>
          <w:rFonts w:ascii="Times New Roman" w:hAnsi="Times New Roman" w:cs="Times New Roman"/>
          <w:i/>
          <w:iCs/>
        </w:rPr>
      </w:pPr>
      <w:r>
        <w:rPr>
          <w:rFonts w:ascii="Times New Roman" w:hAnsi="Times New Roman" w:cs="Times New Roman"/>
          <w:i/>
          <w:iCs/>
        </w:rPr>
        <w:t>RQ3: What meanings emerge from the transformative interplay of the discourses?</w:t>
      </w:r>
    </w:p>
    <w:p w14:paraId="1E25451B" w14:textId="11B3A49E" w:rsidR="00C224BC" w:rsidRDefault="00C224BC" w:rsidP="00267D9F">
      <w:pPr>
        <w:spacing w:line="480" w:lineRule="auto"/>
        <w:ind w:left="720" w:hanging="720"/>
        <w:rPr>
          <w:rFonts w:ascii="Times New Roman" w:hAnsi="Times New Roman" w:cs="Times New Roman"/>
        </w:rPr>
      </w:pPr>
    </w:p>
    <w:p w14:paraId="33BEED75" w14:textId="3EA873DA" w:rsidR="00C7064E" w:rsidRDefault="00C7064E" w:rsidP="00267D9F">
      <w:pPr>
        <w:spacing w:line="480" w:lineRule="auto"/>
        <w:ind w:left="720" w:hanging="720"/>
        <w:rPr>
          <w:rFonts w:ascii="Times New Roman" w:hAnsi="Times New Roman" w:cs="Times New Roman"/>
        </w:rPr>
      </w:pPr>
    </w:p>
    <w:p w14:paraId="5F713D92" w14:textId="1653FFE7" w:rsidR="00C7064E" w:rsidRDefault="00C7064E" w:rsidP="00267D9F">
      <w:pPr>
        <w:spacing w:line="480" w:lineRule="auto"/>
        <w:ind w:left="720" w:hanging="720"/>
        <w:rPr>
          <w:rFonts w:ascii="Times New Roman" w:hAnsi="Times New Roman" w:cs="Times New Roman"/>
        </w:rPr>
      </w:pPr>
    </w:p>
    <w:p w14:paraId="2F8D100B" w14:textId="51AD48A4" w:rsidR="00C7064E" w:rsidRDefault="00C7064E" w:rsidP="00267D9F">
      <w:pPr>
        <w:spacing w:line="480" w:lineRule="auto"/>
        <w:ind w:left="720" w:hanging="720"/>
        <w:rPr>
          <w:rFonts w:ascii="Times New Roman" w:hAnsi="Times New Roman" w:cs="Times New Roman"/>
        </w:rPr>
      </w:pPr>
    </w:p>
    <w:p w14:paraId="7FC8A2D3" w14:textId="77777777" w:rsidR="00C7064E" w:rsidRPr="002F5237" w:rsidRDefault="00C7064E" w:rsidP="00267D9F">
      <w:pPr>
        <w:spacing w:line="480" w:lineRule="auto"/>
        <w:ind w:left="720" w:hanging="720"/>
        <w:rPr>
          <w:rFonts w:ascii="Times New Roman" w:hAnsi="Times New Roman" w:cs="Times New Roman"/>
          <w:i/>
          <w:iCs/>
        </w:rPr>
      </w:pPr>
    </w:p>
    <w:p w14:paraId="301183D5" w14:textId="77777777" w:rsidR="00CF5E0E" w:rsidRDefault="00CF5E0E" w:rsidP="00267D9F">
      <w:pPr>
        <w:spacing w:line="480" w:lineRule="auto"/>
        <w:jc w:val="center"/>
        <w:rPr>
          <w:rFonts w:ascii="Times New Roman" w:hAnsi="Times New Roman" w:cs="Times New Roman"/>
          <w:b/>
          <w:bCs/>
        </w:rPr>
      </w:pPr>
    </w:p>
    <w:p w14:paraId="049B29B9" w14:textId="77777777" w:rsidR="00CF5E0E" w:rsidRDefault="00CF5E0E" w:rsidP="00267D9F">
      <w:pPr>
        <w:spacing w:line="480" w:lineRule="auto"/>
        <w:jc w:val="center"/>
        <w:rPr>
          <w:rFonts w:ascii="Times New Roman" w:hAnsi="Times New Roman" w:cs="Times New Roman"/>
          <w:b/>
          <w:bCs/>
        </w:rPr>
      </w:pPr>
    </w:p>
    <w:p w14:paraId="3AC59A72" w14:textId="77777777" w:rsidR="00CF5E0E" w:rsidRDefault="00CF5E0E" w:rsidP="00267D9F">
      <w:pPr>
        <w:spacing w:line="480" w:lineRule="auto"/>
        <w:jc w:val="center"/>
        <w:rPr>
          <w:rFonts w:ascii="Times New Roman" w:hAnsi="Times New Roman" w:cs="Times New Roman"/>
          <w:b/>
          <w:bCs/>
        </w:rPr>
      </w:pPr>
    </w:p>
    <w:p w14:paraId="53373892" w14:textId="77777777" w:rsidR="00CF5E0E" w:rsidRDefault="00CF5E0E" w:rsidP="00267D9F">
      <w:pPr>
        <w:spacing w:line="480" w:lineRule="auto"/>
        <w:jc w:val="center"/>
        <w:rPr>
          <w:rFonts w:ascii="Times New Roman" w:hAnsi="Times New Roman" w:cs="Times New Roman"/>
          <w:b/>
          <w:bCs/>
        </w:rPr>
      </w:pPr>
    </w:p>
    <w:p w14:paraId="0237A69C" w14:textId="77777777" w:rsidR="00CF5E0E" w:rsidRDefault="00CF5E0E" w:rsidP="00267D9F">
      <w:pPr>
        <w:spacing w:line="480" w:lineRule="auto"/>
        <w:jc w:val="center"/>
        <w:rPr>
          <w:rFonts w:ascii="Times New Roman" w:hAnsi="Times New Roman" w:cs="Times New Roman"/>
          <w:b/>
          <w:bCs/>
        </w:rPr>
      </w:pPr>
    </w:p>
    <w:p w14:paraId="016D6613" w14:textId="77777777" w:rsidR="00CF5E0E" w:rsidRDefault="00CF5E0E" w:rsidP="00267D9F">
      <w:pPr>
        <w:spacing w:line="480" w:lineRule="auto"/>
        <w:jc w:val="center"/>
        <w:rPr>
          <w:rFonts w:ascii="Times New Roman" w:hAnsi="Times New Roman" w:cs="Times New Roman"/>
          <w:b/>
          <w:bCs/>
        </w:rPr>
      </w:pPr>
    </w:p>
    <w:p w14:paraId="3C910357" w14:textId="77777777" w:rsidR="00CF5E0E" w:rsidRDefault="00CF5E0E" w:rsidP="00267D9F">
      <w:pPr>
        <w:spacing w:line="480" w:lineRule="auto"/>
        <w:jc w:val="center"/>
        <w:rPr>
          <w:rFonts w:ascii="Times New Roman" w:hAnsi="Times New Roman" w:cs="Times New Roman"/>
          <w:b/>
          <w:bCs/>
        </w:rPr>
      </w:pPr>
    </w:p>
    <w:p w14:paraId="273B02B7" w14:textId="229BC1CE" w:rsidR="00CF5E0E" w:rsidRDefault="00CF5E0E" w:rsidP="00267D9F">
      <w:pPr>
        <w:spacing w:line="480" w:lineRule="auto"/>
        <w:jc w:val="center"/>
        <w:rPr>
          <w:rFonts w:ascii="Times New Roman" w:hAnsi="Times New Roman" w:cs="Times New Roman"/>
          <w:b/>
          <w:bCs/>
        </w:rPr>
      </w:pPr>
    </w:p>
    <w:p w14:paraId="182EF3FE" w14:textId="77777777" w:rsidR="00522148" w:rsidRDefault="00522148" w:rsidP="00BD079C">
      <w:pPr>
        <w:spacing w:line="480" w:lineRule="auto"/>
        <w:rPr>
          <w:rFonts w:ascii="Times New Roman" w:hAnsi="Times New Roman" w:cs="Times New Roman"/>
          <w:b/>
          <w:bCs/>
        </w:rPr>
      </w:pPr>
    </w:p>
    <w:p w14:paraId="19A36433" w14:textId="77777777" w:rsidR="00256B3D" w:rsidRPr="002313B9" w:rsidRDefault="00256B3D" w:rsidP="00256B3D">
      <w:pPr>
        <w:spacing w:line="480" w:lineRule="auto"/>
        <w:jc w:val="center"/>
        <w:rPr>
          <w:rFonts w:ascii="Times New Roman" w:hAnsi="Times New Roman" w:cs="Times New Roman"/>
          <w:b/>
          <w:bCs/>
        </w:rPr>
      </w:pPr>
      <w:r>
        <w:rPr>
          <w:rFonts w:ascii="Times New Roman" w:hAnsi="Times New Roman" w:cs="Times New Roman"/>
          <w:b/>
          <w:bCs/>
        </w:rPr>
        <w:lastRenderedPageBreak/>
        <w:t xml:space="preserve">Chapter 6: Research Design and </w:t>
      </w:r>
      <w:r w:rsidRPr="002313B9">
        <w:rPr>
          <w:rFonts w:ascii="Times New Roman" w:hAnsi="Times New Roman" w:cs="Times New Roman"/>
          <w:b/>
          <w:bCs/>
        </w:rPr>
        <w:t>Method</w:t>
      </w:r>
      <w:r>
        <w:rPr>
          <w:rFonts w:ascii="Times New Roman" w:hAnsi="Times New Roman" w:cs="Times New Roman"/>
          <w:b/>
          <w:bCs/>
        </w:rPr>
        <w:t>s</w:t>
      </w:r>
    </w:p>
    <w:p w14:paraId="2C47BAEA" w14:textId="77777777" w:rsidR="00256B3D" w:rsidRPr="008A73DA" w:rsidRDefault="00256B3D" w:rsidP="00256B3D">
      <w:pPr>
        <w:spacing w:line="480" w:lineRule="auto"/>
        <w:rPr>
          <w:rFonts w:ascii="Times New Roman" w:hAnsi="Times New Roman" w:cs="Times New Roman"/>
          <w:b/>
          <w:bCs/>
        </w:rPr>
      </w:pPr>
      <w:r w:rsidRPr="008A73DA">
        <w:rPr>
          <w:rFonts w:ascii="Times New Roman" w:eastAsia="Times" w:hAnsi="Times New Roman" w:cs="Times New Roman"/>
          <w:b/>
          <w:bCs/>
          <w:color w:val="000000" w:themeColor="text1"/>
        </w:rPr>
        <w:t>Participants</w:t>
      </w:r>
    </w:p>
    <w:p w14:paraId="56DA7A4C" w14:textId="77777777" w:rsidR="00256B3D" w:rsidRDefault="00256B3D" w:rsidP="00256B3D">
      <w:pPr>
        <w:spacing w:line="480" w:lineRule="auto"/>
        <w:ind w:firstLine="720"/>
        <w:rPr>
          <w:rFonts w:ascii="Times New Roman" w:eastAsia="Times" w:hAnsi="Times New Roman" w:cs="Times New Roman"/>
          <w:color w:val="000000" w:themeColor="text1"/>
        </w:rPr>
      </w:pPr>
      <w:r w:rsidRPr="00736DD0">
        <w:rPr>
          <w:rFonts w:ascii="Times New Roman" w:eastAsia="Times" w:hAnsi="Times New Roman" w:cs="Times New Roman"/>
          <w:color w:val="000000" w:themeColor="text1"/>
        </w:rPr>
        <w:t xml:space="preserve">The study </w:t>
      </w:r>
      <w:r>
        <w:rPr>
          <w:rFonts w:ascii="Times New Roman" w:eastAsia="Times" w:hAnsi="Times New Roman" w:cs="Times New Roman"/>
          <w:color w:val="000000" w:themeColor="text1"/>
        </w:rPr>
        <w:t>included</w:t>
      </w:r>
      <w:r w:rsidRPr="00736DD0">
        <w:rPr>
          <w:rFonts w:ascii="Times New Roman" w:eastAsia="Times" w:hAnsi="Times New Roman" w:cs="Times New Roman"/>
          <w:color w:val="000000" w:themeColor="text1"/>
        </w:rPr>
        <w:t xml:space="preserve"> 15 funeral directors</w:t>
      </w:r>
      <w:r>
        <w:rPr>
          <w:rFonts w:ascii="Times New Roman" w:eastAsia="Times" w:hAnsi="Times New Roman" w:cs="Times New Roman"/>
          <w:color w:val="000000" w:themeColor="text1"/>
        </w:rPr>
        <w:t>,</w:t>
      </w:r>
      <w:r w:rsidRPr="00736DD0">
        <w:rPr>
          <w:rFonts w:ascii="Times New Roman" w:eastAsia="Times" w:hAnsi="Times New Roman" w:cs="Times New Roman"/>
          <w:color w:val="000000" w:themeColor="text1"/>
        </w:rPr>
        <w:t xml:space="preserve"> </w:t>
      </w:r>
      <w:r>
        <w:rPr>
          <w:rFonts w:ascii="Times New Roman" w:eastAsia="Times" w:hAnsi="Times New Roman" w:cs="Times New Roman"/>
          <w:color w:val="000000" w:themeColor="text1"/>
        </w:rPr>
        <w:t xml:space="preserve">with eight </w:t>
      </w:r>
      <w:r w:rsidRPr="00736DD0">
        <w:rPr>
          <w:rFonts w:ascii="Times New Roman" w:eastAsia="Times" w:hAnsi="Times New Roman" w:cs="Times New Roman"/>
          <w:color w:val="000000" w:themeColor="text1"/>
        </w:rPr>
        <w:t>in the Oklahoma City Metropolis (population of 1.4 million</w:t>
      </w:r>
      <w:r>
        <w:rPr>
          <w:rFonts w:ascii="Times New Roman" w:eastAsia="Times" w:hAnsi="Times New Roman" w:cs="Times New Roman"/>
          <w:color w:val="000000" w:themeColor="text1"/>
        </w:rPr>
        <w:t>) and seven in rural Oklahoma (population below 18,000)</w:t>
      </w:r>
      <w:r w:rsidRPr="00736DD0">
        <w:rPr>
          <w:rFonts w:ascii="Times New Roman" w:eastAsia="Times" w:hAnsi="Times New Roman" w:cs="Times New Roman"/>
          <w:color w:val="000000" w:themeColor="text1"/>
        </w:rPr>
        <w:t xml:space="preserve">. </w:t>
      </w:r>
      <w:r>
        <w:rPr>
          <w:rFonts w:ascii="Times New Roman" w:eastAsia="Times" w:hAnsi="Times New Roman" w:cs="Times New Roman"/>
          <w:color w:val="000000" w:themeColor="text1"/>
        </w:rPr>
        <w:t xml:space="preserve">Based on the author’s interviewing experience, urban funeral homes typically hire 15-20 employees, having 2-3 owners, 3-4 full-time funeral directors, and 8-12 part-time workers. Rural funeral homes have workers with numbers smaller than five. All </w:t>
      </w:r>
      <w:r w:rsidRPr="00736DD0">
        <w:rPr>
          <w:rFonts w:ascii="Times New Roman" w:eastAsia="Times" w:hAnsi="Times New Roman" w:cs="Times New Roman"/>
          <w:color w:val="000000" w:themeColor="text1"/>
        </w:rPr>
        <w:t>participant</w:t>
      </w:r>
      <w:r>
        <w:rPr>
          <w:rFonts w:ascii="Times New Roman" w:eastAsia="Times" w:hAnsi="Times New Roman" w:cs="Times New Roman"/>
          <w:color w:val="000000" w:themeColor="text1"/>
        </w:rPr>
        <w:t xml:space="preserve">s </w:t>
      </w:r>
      <w:r w:rsidRPr="00736DD0">
        <w:rPr>
          <w:rFonts w:ascii="Times New Roman" w:eastAsia="Times" w:hAnsi="Times New Roman" w:cs="Times New Roman"/>
          <w:color w:val="000000" w:themeColor="text1"/>
        </w:rPr>
        <w:t>are Caucasian</w:t>
      </w:r>
      <w:r>
        <w:rPr>
          <w:rFonts w:ascii="Times New Roman" w:eastAsia="Times" w:hAnsi="Times New Roman" w:cs="Times New Roman"/>
          <w:color w:val="000000" w:themeColor="text1"/>
        </w:rPr>
        <w:t xml:space="preserve">s, </w:t>
      </w:r>
      <w:r w:rsidRPr="00736DD0">
        <w:rPr>
          <w:rFonts w:ascii="Times New Roman" w:eastAsia="Times" w:hAnsi="Times New Roman" w:cs="Times New Roman"/>
          <w:color w:val="000000" w:themeColor="text1"/>
        </w:rPr>
        <w:t xml:space="preserve">licensed as funeral directors and embalmers by the state licensing agencies. </w:t>
      </w:r>
      <w:r>
        <w:rPr>
          <w:rFonts w:ascii="Times New Roman" w:eastAsia="Times" w:hAnsi="Times New Roman" w:cs="Times New Roman"/>
          <w:color w:val="000000" w:themeColor="text1"/>
        </w:rPr>
        <w:t>Eleven</w:t>
      </w:r>
      <w:r w:rsidRPr="00736DD0">
        <w:rPr>
          <w:rFonts w:ascii="Times New Roman" w:eastAsia="Times" w:hAnsi="Times New Roman" w:cs="Times New Roman"/>
          <w:color w:val="000000" w:themeColor="text1"/>
        </w:rPr>
        <w:t xml:space="preserve"> participants reported more than ten years of experience in the industry, including </w:t>
      </w:r>
      <w:r>
        <w:rPr>
          <w:rFonts w:ascii="Times New Roman" w:eastAsia="Times" w:hAnsi="Times New Roman" w:cs="Times New Roman"/>
          <w:color w:val="000000" w:themeColor="text1"/>
        </w:rPr>
        <w:t>eight</w:t>
      </w:r>
      <w:r w:rsidRPr="00736DD0">
        <w:rPr>
          <w:rFonts w:ascii="Times New Roman" w:eastAsia="Times" w:hAnsi="Times New Roman" w:cs="Times New Roman"/>
          <w:color w:val="000000" w:themeColor="text1"/>
        </w:rPr>
        <w:t xml:space="preserve"> individuals with </w:t>
      </w:r>
      <w:r>
        <w:rPr>
          <w:rFonts w:ascii="Times New Roman" w:eastAsia="Times" w:hAnsi="Times New Roman" w:cs="Times New Roman"/>
          <w:color w:val="000000" w:themeColor="text1"/>
        </w:rPr>
        <w:t xml:space="preserve">more than </w:t>
      </w:r>
      <w:r w:rsidRPr="00736DD0">
        <w:rPr>
          <w:rFonts w:ascii="Times New Roman" w:eastAsia="Times" w:hAnsi="Times New Roman" w:cs="Times New Roman"/>
          <w:color w:val="000000" w:themeColor="text1"/>
        </w:rPr>
        <w:t>20 years of experience</w:t>
      </w:r>
      <w:r>
        <w:rPr>
          <w:rFonts w:ascii="Times New Roman" w:eastAsia="Times" w:hAnsi="Times New Roman" w:cs="Times New Roman"/>
          <w:color w:val="000000" w:themeColor="text1"/>
        </w:rPr>
        <w:t xml:space="preserve">. </w:t>
      </w:r>
      <w:r w:rsidRPr="00736DD0">
        <w:rPr>
          <w:rFonts w:ascii="Times New Roman" w:eastAsia="Times" w:hAnsi="Times New Roman" w:cs="Times New Roman"/>
          <w:color w:val="000000" w:themeColor="text1"/>
        </w:rPr>
        <w:t>All funeral home</w:t>
      </w:r>
      <w:r>
        <w:rPr>
          <w:rFonts w:ascii="Times New Roman" w:eastAsia="Times" w:hAnsi="Times New Roman" w:cs="Times New Roman"/>
          <w:color w:val="000000" w:themeColor="text1"/>
        </w:rPr>
        <w:t xml:space="preserve">s </w:t>
      </w:r>
      <w:r w:rsidRPr="00736DD0">
        <w:rPr>
          <w:rFonts w:ascii="Times New Roman" w:eastAsia="Times" w:hAnsi="Times New Roman" w:cs="Times New Roman"/>
          <w:color w:val="000000" w:themeColor="text1"/>
        </w:rPr>
        <w:t>provided primary services</w:t>
      </w:r>
      <w:r>
        <w:rPr>
          <w:rFonts w:ascii="Times New Roman" w:eastAsia="Times" w:hAnsi="Times New Roman" w:cs="Times New Roman"/>
          <w:color w:val="000000" w:themeColor="text1"/>
        </w:rPr>
        <w:t xml:space="preserve">, including </w:t>
      </w:r>
      <w:r w:rsidRPr="00736DD0">
        <w:rPr>
          <w:rFonts w:ascii="Times New Roman" w:eastAsia="Times" w:hAnsi="Times New Roman" w:cs="Times New Roman"/>
          <w:color w:val="000000" w:themeColor="text1"/>
        </w:rPr>
        <w:t>transportation for the deceased, embalming services, and directed funerals.</w:t>
      </w:r>
      <w:r>
        <w:rPr>
          <w:rFonts w:ascii="Times New Roman" w:eastAsia="Times" w:hAnsi="Times New Roman" w:cs="Times New Roman"/>
          <w:color w:val="000000" w:themeColor="text1"/>
        </w:rPr>
        <w:t xml:space="preserve"> However, distinctive to rural funeral homes, which provide these services at the same facility, urban funeral homes provide these services at different facilities because urban funeral services are</w:t>
      </w:r>
      <w:r w:rsidRPr="008B022C">
        <w:rPr>
          <w:rFonts w:ascii="Times New Roman" w:eastAsia="Times" w:hAnsi="Times New Roman" w:cs="Times New Roman"/>
          <w:color w:val="000000" w:themeColor="text1"/>
        </w:rPr>
        <w:t xml:space="preserve"> akin to the McDonaldized products</w:t>
      </w:r>
      <w:r>
        <w:rPr>
          <w:rFonts w:ascii="Times New Roman" w:eastAsia="Times" w:hAnsi="Times New Roman" w:cs="Times New Roman"/>
          <w:color w:val="000000" w:themeColor="text1"/>
        </w:rPr>
        <w:t xml:space="preserve"> </w:t>
      </w:r>
      <w:r w:rsidRPr="008B022C">
        <w:rPr>
          <w:rFonts w:ascii="Times New Roman" w:eastAsia="Times" w:hAnsi="Times New Roman" w:cs="Times New Roman"/>
          <w:color w:val="000000" w:themeColor="text1"/>
        </w:rPr>
        <w:t xml:space="preserve">of a corporation assembly line </w:t>
      </w:r>
      <w:r>
        <w:rPr>
          <w:rFonts w:ascii="Times New Roman" w:eastAsia="Times" w:hAnsi="Times New Roman" w:cs="Times New Roman"/>
          <w:color w:val="000000" w:themeColor="text1"/>
        </w:rPr>
        <w:fldChar w:fldCharType="begin"/>
      </w:r>
      <w:r>
        <w:rPr>
          <w:rFonts w:ascii="Times New Roman" w:eastAsia="Times" w:hAnsi="Times New Roman" w:cs="Times New Roman"/>
          <w:color w:val="000000" w:themeColor="text1"/>
        </w:rPr>
        <w:instrText xml:space="preserve"> ADDIN EN.CITE &lt;EndNote&gt;&lt;Cite&gt;&lt;Author&gt;Mitford&lt;/Author&gt;&lt;Year&gt;2000&lt;/Year&gt;&lt;RecNum&gt;1516&lt;/RecNum&gt;&lt;DisplayText&gt;(Mitford, 2000; Zamfirache, 2021)&lt;/DisplayText&gt;&lt;record&gt;&lt;rec-number&gt;1516&lt;/rec-number&gt;&lt;foreign-keys&gt;&lt;key app="EN" db-id="2pe9e00ros0veneeptspa5vhz0pw2az52v20" timestamp="1643841757" guid="c4a0500f-1f80-4d6c-ae96-152b9c1347ba"&gt;1516&lt;/key&gt;&lt;/foreign-keys&gt;&lt;ref-type name="Book"&gt;6&lt;/ref-type&gt;&lt;contributors&gt;&lt;authors&gt;&lt;author&gt;Mitford, Jessica&lt;/author&gt;&lt;/authors&gt;&lt;/contributors&gt;&lt;titles&gt;&lt;title&gt;The American way of death revisited&lt;/title&gt;&lt;/titles&gt;&lt;dates&gt;&lt;year&gt;2000&lt;/year&gt;&lt;/dates&gt;&lt;publisher&gt;Vintage&lt;/publisher&gt;&lt;isbn&gt;0679771867&lt;/isbn&gt;&lt;urls&gt;&lt;/urls&gt;&lt;/record&gt;&lt;/Cite&gt;&lt;Cite&gt;&lt;Author&gt;Zamfirache&lt;/Author&gt;&lt;Year&gt;2021&lt;/Year&gt;&lt;RecNum&gt;1523&lt;/RecNum&gt;&lt;record&gt;&lt;rec-number&gt;1523&lt;/rec-number&gt;&lt;foreign-keys&gt;&lt;key app="EN" db-id="2pe9e00ros0veneeptspa5vhz0pw2az52v20" timestamp="1643860395" guid="fd532273-57f2-4b01-abc3-165f738214c5"&gt;1523&lt;/key&gt;&lt;/foreign-keys&gt;&lt;ref-type name="Book Section"&gt;5&lt;/ref-type&gt;&lt;contributors&gt;&lt;authors&gt;&lt;author&gt;Zamfirache, Irina &lt;/author&gt;&lt;/authors&gt;&lt;secondary-authors&gt;&lt;author&gt;Lamond, Ian R&lt;/author&gt;&lt;author&gt;Dowson, Ruth&lt;/author&gt;&lt;/secondary-authors&gt;&lt;/contributors&gt;&lt;titles&gt;&lt;title&gt;Funerals as a social process: Rituals and symbols in rural and urban funerals&lt;/title&gt;&lt;secondary-title&gt;Death and Events: International Perspectives on Events Marking the End of Life&lt;/secondary-title&gt;&lt;/titles&gt;&lt;pages&gt;13-25&lt;/pages&gt;&lt;dates&gt;&lt;year&gt;2021&lt;/year&gt;&lt;/dates&gt;&lt;publisher&gt;Routledge&lt;/publisher&gt;&lt;isbn&gt;1000469883&lt;/isbn&gt;&lt;urls&gt;&lt;/urls&gt;&lt;/record&gt;&lt;/Cite&gt;&lt;/EndNote&gt;</w:instrText>
      </w:r>
      <w:r>
        <w:rPr>
          <w:rFonts w:ascii="Times New Roman" w:eastAsia="Times" w:hAnsi="Times New Roman" w:cs="Times New Roman"/>
          <w:color w:val="000000" w:themeColor="text1"/>
        </w:rPr>
        <w:fldChar w:fldCharType="separate"/>
      </w:r>
      <w:r>
        <w:rPr>
          <w:rFonts w:ascii="Times New Roman" w:eastAsia="Times" w:hAnsi="Times New Roman" w:cs="Times New Roman"/>
          <w:noProof/>
          <w:color w:val="000000" w:themeColor="text1"/>
        </w:rPr>
        <w:t>(Mitford, 2000; Zamfirache, 2021)</w:t>
      </w:r>
      <w:r>
        <w:rPr>
          <w:rFonts w:ascii="Times New Roman" w:eastAsia="Times" w:hAnsi="Times New Roman" w:cs="Times New Roman"/>
          <w:color w:val="000000" w:themeColor="text1"/>
        </w:rPr>
        <w:fldChar w:fldCharType="end"/>
      </w:r>
      <w:r>
        <w:rPr>
          <w:rFonts w:ascii="Times New Roman" w:eastAsia="Times" w:hAnsi="Times New Roman" w:cs="Times New Roman"/>
          <w:color w:val="000000" w:themeColor="text1"/>
        </w:rPr>
        <w:t>. Specifically, urban funeral homes are primarily utilized to discuss funeral planning; chapels affiliated with funeral homes are to hold funeral ceremonies, and another facility (usually not open to the public) is for embalming work.</w:t>
      </w:r>
    </w:p>
    <w:p w14:paraId="1692A6E7" w14:textId="77777777" w:rsidR="00256B3D" w:rsidRDefault="00256B3D" w:rsidP="00256B3D">
      <w:pPr>
        <w:spacing w:line="480" w:lineRule="auto"/>
        <w:ind w:firstLine="720"/>
        <w:rPr>
          <w:rFonts w:ascii="Times New Roman" w:eastAsia="Times" w:hAnsi="Times New Roman" w:cs="Times New Roman"/>
          <w:color w:val="000000" w:themeColor="text1"/>
        </w:rPr>
      </w:pPr>
      <w:r>
        <w:rPr>
          <w:rFonts w:ascii="Times New Roman" w:eastAsia="Times" w:hAnsi="Times New Roman" w:cs="Times New Roman"/>
          <w:color w:val="000000" w:themeColor="text1"/>
        </w:rPr>
        <w:t xml:space="preserve">Funeral services are culture-laden and value-based </w:t>
      </w:r>
      <w:r>
        <w:rPr>
          <w:rFonts w:ascii="Times New Roman" w:eastAsia="Times" w:hAnsi="Times New Roman" w:cs="Times New Roman"/>
          <w:color w:val="000000" w:themeColor="text1"/>
        </w:rPr>
        <w:fldChar w:fldCharType="begin"/>
      </w:r>
      <w:r>
        <w:rPr>
          <w:rFonts w:ascii="Times New Roman" w:eastAsia="Times" w:hAnsi="Times New Roman" w:cs="Times New Roman"/>
          <w:color w:val="000000" w:themeColor="text1"/>
        </w:rPr>
        <w:instrText xml:space="preserve"> ADDIN EN.CITE &lt;EndNote&gt;&lt;Cite&gt;&lt;Author&gt;Reimers&lt;/Author&gt;&lt;Year&gt;1999&lt;/Year&gt;&lt;RecNum&gt;2030&lt;/RecNum&gt;&lt;Prefix&gt;e.g.`, &lt;/Prefix&gt;&lt;DisplayText&gt;(e.g., Pine, 1969; Reimers, 1999)&lt;/DisplayText&gt;&lt;record&gt;&lt;rec-number&gt;2030&lt;/rec-number&gt;&lt;foreign-keys&gt;&lt;key app="EN" db-id="2pe9e00ros0veneeptspa5vhz0pw2az52v20" timestamp="1695338151" guid="11966141-1855-4762-9ccd-4f21923afdf9"&gt;2030&lt;/key&gt;&lt;/foreign-keys&gt;&lt;ref-type name="Journal Article"&gt;17&lt;/ref-type&gt;&lt;contributors&gt;&lt;authors&gt;&lt;author&gt;Reimers, Eva&lt;/author&gt;&lt;/authors&gt;&lt;/contributors&gt;&lt;titles&gt;&lt;title&gt;Death and identity: Graves and funerals as cultural communication&lt;/title&gt;&lt;secondary-title&gt;Mortality&lt;/secondary-title&gt;&lt;/titles&gt;&lt;periodical&gt;&lt;full-title&gt;Mortality&lt;/full-title&gt;&lt;/periodical&gt;&lt;pages&gt;147-166&lt;/pages&gt;&lt;volume&gt;4&lt;/volume&gt;&lt;number&gt;2&lt;/number&gt;&lt;dates&gt;&lt;year&gt;1999&lt;/year&gt;&lt;/dates&gt;&lt;publisher&gt;Routledge&lt;/publisher&gt;&lt;isbn&gt;1357-6275&lt;/isbn&gt;&lt;urls&gt;&lt;related-urls&gt;&lt;url&gt;https://doi.org/10.1080/713685976&lt;/url&gt;&lt;/related-urls&gt;&lt;/urls&gt;&lt;electronic-resource-num&gt;10.1080/713685976&lt;/electronic-resource-num&gt;&lt;/record&gt;&lt;/Cite&gt;&lt;Cite&gt;&lt;Author&gt;Pine&lt;/Author&gt;&lt;Year&gt;1969&lt;/Year&gt;&lt;RecNum&gt;1593&lt;/RecNum&gt;&lt;record&gt;&lt;rec-number&gt;1593&lt;/rec-number&gt;&lt;foreign-keys&gt;&lt;key app="EN" db-id="2pe9e00ros0veneeptspa5vhz0pw2az52v20" timestamp="1647622178" guid="0f2c70eb-b1d4-433e-a26d-58c892b07f27"&gt;1593&lt;/key&gt;&lt;/foreign-keys&gt;&lt;ref-type name="Journal Article"&gt;17&lt;/ref-type&gt;&lt;contributors&gt;&lt;authors&gt;&lt;author&gt;Pine, Vanderlyn R&lt;/author&gt;&lt;/authors&gt;&lt;/contributors&gt;&lt;titles&gt;&lt;title&gt;Comparative funeral practices&lt;/title&gt;&lt;secondary-title&gt;Practical Anthropology&lt;/secondary-title&gt;&lt;/titles&gt;&lt;periodical&gt;&lt;full-title&gt;Practical Anthropology&lt;/full-title&gt;&lt;/periodical&gt;&lt;pages&gt;49-62&lt;/pages&gt;&lt;number&gt;2&lt;/number&gt;&lt;dates&gt;&lt;year&gt;1969&lt;/year&gt;&lt;/dates&gt;&lt;isbn&gt;0032-633X&lt;/isbn&gt;&lt;urls&gt;&lt;/urls&gt;&lt;electronic-resource-num&gt;10.1177/009182966901600201&lt;/electronic-resource-num&gt;&lt;/record&gt;&lt;/Cite&gt;&lt;/EndNote&gt;</w:instrText>
      </w:r>
      <w:r>
        <w:rPr>
          <w:rFonts w:ascii="Times New Roman" w:eastAsia="Times" w:hAnsi="Times New Roman" w:cs="Times New Roman"/>
          <w:color w:val="000000" w:themeColor="text1"/>
        </w:rPr>
        <w:fldChar w:fldCharType="separate"/>
      </w:r>
      <w:r>
        <w:rPr>
          <w:rFonts w:ascii="Times New Roman" w:eastAsia="Times" w:hAnsi="Times New Roman" w:cs="Times New Roman"/>
          <w:noProof/>
          <w:color w:val="000000" w:themeColor="text1"/>
        </w:rPr>
        <w:t>(e.g., Pine, 1969; Reimers, 1999)</w:t>
      </w:r>
      <w:r>
        <w:rPr>
          <w:rFonts w:ascii="Times New Roman" w:eastAsia="Times" w:hAnsi="Times New Roman" w:cs="Times New Roman"/>
          <w:color w:val="000000" w:themeColor="text1"/>
        </w:rPr>
        <w:fldChar w:fldCharType="end"/>
      </w:r>
      <w:r>
        <w:rPr>
          <w:rFonts w:ascii="Times New Roman" w:eastAsia="Times" w:hAnsi="Times New Roman" w:cs="Times New Roman"/>
          <w:color w:val="000000" w:themeColor="text1"/>
        </w:rPr>
        <w:t xml:space="preserve">, and it is necessary to narrate the cultural background of participants. Oklahoma’s culture and territory </w:t>
      </w:r>
      <w:r w:rsidRPr="004106CD">
        <w:rPr>
          <w:rFonts w:ascii="Times New Roman" w:eastAsia="Times" w:hAnsi="Times New Roman" w:cs="Times New Roman"/>
          <w:color w:val="000000" w:themeColor="text1"/>
        </w:rPr>
        <w:t>were historically intermingled with the American regional cultures of the Midwest and the South</w:t>
      </w:r>
      <w:r>
        <w:rPr>
          <w:rFonts w:ascii="Times New Roman" w:eastAsia="Times" w:hAnsi="Times New Roman" w:cs="Times New Roman"/>
          <w:color w:val="000000" w:themeColor="text1"/>
        </w:rPr>
        <w:t xml:space="preserve"> </w:t>
      </w:r>
      <w:r>
        <w:rPr>
          <w:rFonts w:ascii="Times New Roman" w:eastAsia="Times" w:hAnsi="Times New Roman" w:cs="Times New Roman"/>
          <w:color w:val="000000" w:themeColor="text1"/>
        </w:rPr>
        <w:fldChar w:fldCharType="begin"/>
      </w:r>
      <w:r>
        <w:rPr>
          <w:rFonts w:ascii="Times New Roman" w:eastAsia="Times" w:hAnsi="Times New Roman" w:cs="Times New Roman"/>
          <w:color w:val="000000" w:themeColor="text1"/>
        </w:rPr>
        <w:instrText xml:space="preserve"> ADDIN EN.CITE &lt;EndNote&gt;&lt;Cite&gt;&lt;Author&gt;Roark&lt;/Author&gt;&lt;Year&gt;1979&lt;/Year&gt;&lt;RecNum&gt;2243&lt;/RecNum&gt;&lt;Prefix&gt;see details below`, &lt;/Prefix&gt;&lt;Pages&gt;311-344&lt;/Pages&gt;&lt;DisplayText&gt;(see details below, Roark, 1979, pp. 311-344)&lt;/DisplayText&gt;&lt;record&gt;&lt;rec-number&gt;2243&lt;/rec-number&gt;&lt;foreign-keys&gt;&lt;key app="EN" db-id="2pe9e00ros0veneeptspa5vhz0pw2az52v20" timestamp="1700016143" guid="8c746764-d1d9-48e8-9a48-5d2fa5eebc4c"&gt;2243&lt;/key&gt;&lt;/foreign-keys&gt;&lt;ref-type name="Thesis"&gt;32&lt;/ref-type&gt;&lt;contributors&gt;&lt;authors&gt;&lt;author&gt;Roark, Michael Owen&lt;/author&gt;&lt;/authors&gt;&lt;/contributors&gt;&lt;titles&gt;&lt;title&gt;Oklahoma Territory: Frontier Development, Migration, and Culture Areas&lt;/title&gt;&lt;/titles&gt;&lt;pages&gt;384&lt;/pages&gt;&lt;number&gt;7925652&lt;/number&gt;&lt;keywords&gt;&lt;keyword&gt;Social sciences&lt;/keyword&gt;&lt;keyword&gt;Geography&lt;/keyword&gt;&lt;keyword&gt;0366:Geography&lt;/keyword&gt;&lt;/keywords&gt;&lt;dates&gt;&lt;year&gt;1979&lt;/year&gt;&lt;pub-dates&gt;&lt;date&gt;1979&lt;/date&gt;&lt;/pub-dates&gt;&lt;/dates&gt;&lt;pub-location&gt;United States -- New York&lt;/pub-location&gt;&lt;publisher&gt;Syracuse University&lt;/publisher&gt;&lt;isbn&gt;9798582590231&lt;/isbn&gt;&lt;accession-num&gt;303008228&lt;/accession-num&gt;&lt;work-type&gt;Ph.D.&lt;/work-type&gt;&lt;urls&gt;&lt;/urls&gt;&lt;remote-database-name&gt;ProQuest Dissertations &amp;amp; Theses Global&lt;/remote-database-name&gt;&lt;language&gt;English&lt;/language&gt;&lt;/record&gt;&lt;/Cite&gt;&lt;/EndNote&gt;</w:instrText>
      </w:r>
      <w:r>
        <w:rPr>
          <w:rFonts w:ascii="Times New Roman" w:eastAsia="Times" w:hAnsi="Times New Roman" w:cs="Times New Roman"/>
          <w:color w:val="000000" w:themeColor="text1"/>
        </w:rPr>
        <w:fldChar w:fldCharType="separate"/>
      </w:r>
      <w:r>
        <w:rPr>
          <w:rFonts w:ascii="Times New Roman" w:eastAsia="Times" w:hAnsi="Times New Roman" w:cs="Times New Roman"/>
          <w:noProof/>
          <w:color w:val="000000" w:themeColor="text1"/>
        </w:rPr>
        <w:t>(see details below, Roark, 1979, pp. 311-344)</w:t>
      </w:r>
      <w:r>
        <w:rPr>
          <w:rFonts w:ascii="Times New Roman" w:eastAsia="Times" w:hAnsi="Times New Roman" w:cs="Times New Roman"/>
          <w:color w:val="000000" w:themeColor="text1"/>
        </w:rPr>
        <w:fldChar w:fldCharType="end"/>
      </w:r>
      <w:r>
        <w:rPr>
          <w:rFonts w:ascii="Times New Roman" w:eastAsia="Times" w:hAnsi="Times New Roman" w:cs="Times New Roman"/>
          <w:color w:val="000000" w:themeColor="text1"/>
        </w:rPr>
        <w:t xml:space="preserve">. In terms of religious adherence, Southern populations tend to be Baptist or Methodist and have little religious diversity; in contrast, Midwestern populations have higher Protestant diversity, with Methodist and Episcopal </w:t>
      </w:r>
      <w:r>
        <w:rPr>
          <w:rFonts w:ascii="Times New Roman" w:eastAsia="Times" w:hAnsi="Times New Roman" w:cs="Times New Roman"/>
          <w:color w:val="000000" w:themeColor="text1"/>
        </w:rPr>
        <w:lastRenderedPageBreak/>
        <w:t xml:space="preserve">being the leading denominations. For political affiliation, Southerners tend to be Democrats, while Midwesterners tend to be Republicans, historically. Since the 1960s, Oklahomans have been Republicans dominantly </w:t>
      </w:r>
      <w:r>
        <w:rPr>
          <w:rFonts w:ascii="Times New Roman" w:eastAsia="Times" w:hAnsi="Times New Roman" w:cs="Times New Roman"/>
          <w:color w:val="000000" w:themeColor="text1"/>
        </w:rPr>
        <w:fldChar w:fldCharType="begin"/>
      </w:r>
      <w:r>
        <w:rPr>
          <w:rFonts w:ascii="Times New Roman" w:eastAsia="Times" w:hAnsi="Times New Roman" w:cs="Times New Roman"/>
          <w:color w:val="000000" w:themeColor="text1"/>
        </w:rPr>
        <w:instrText xml:space="preserve"> ADDIN EN.CITE &lt;EndNote&gt;&lt;Cite&gt;&lt;Author&gt;Gaddie&lt;/Author&gt;&lt;Year&gt;n.d.,&lt;/Year&gt;&lt;RecNum&gt;2252&lt;/RecNum&gt;&lt;DisplayText&gt;(Gaddie, n.d.,)&lt;/DisplayText&gt;&lt;record&gt;&lt;rec-number&gt;2252&lt;/rec-number&gt;&lt;foreign-keys&gt;&lt;key app="EN" db-id="2pe9e00ros0veneeptspa5vhz0pw2az52v20" timestamp="1703648735" guid="be6824eb-fccd-493b-aca8-4f892072a3a1"&gt;2252&lt;/key&gt;&lt;/foreign-keys&gt;&lt;ref-type name="Web Page"&gt;12&lt;/ref-type&gt;&lt;contributors&gt;&lt;authors&gt;&lt;author&gt;Ronald Keith Gaddie&lt;/author&gt;&lt;/authors&gt;&lt;/contributors&gt;&lt;titles&gt;&lt;title&gt;The Encyclopedia of Oklahoma History and Culture&lt;/title&gt;&lt;/titles&gt;&lt;dates&gt;&lt;year&gt;n.d.,&lt;/year&gt;&lt;/dates&gt;&lt;pub-location&gt;Oklahoma Historical Society&lt;/pub-location&gt;&lt;publisher&gt;Oklahoma Historical Society&lt;/publisher&gt;&lt;urls&gt;&lt;related-urls&gt;&lt;url&gt;https://www.okhistory.org/publications/enc/entry?entry=RE030#:~:text=Since%20the%201960s%20the%20GOP,compared%20to%20the%20state%20Democrats.&lt;/url&gt;&lt;/related-urls&gt;&lt;/urls&gt;&lt;/record&gt;&lt;/Cite&gt;&lt;/EndNote&gt;</w:instrText>
      </w:r>
      <w:r>
        <w:rPr>
          <w:rFonts w:ascii="Times New Roman" w:eastAsia="Times" w:hAnsi="Times New Roman" w:cs="Times New Roman"/>
          <w:color w:val="000000" w:themeColor="text1"/>
        </w:rPr>
        <w:fldChar w:fldCharType="separate"/>
      </w:r>
      <w:r>
        <w:rPr>
          <w:rFonts w:ascii="Times New Roman" w:eastAsia="Times" w:hAnsi="Times New Roman" w:cs="Times New Roman"/>
          <w:noProof/>
          <w:color w:val="000000" w:themeColor="text1"/>
        </w:rPr>
        <w:t>(Gaddie, n.d.,)</w:t>
      </w:r>
      <w:r>
        <w:rPr>
          <w:rFonts w:ascii="Times New Roman" w:eastAsia="Times" w:hAnsi="Times New Roman" w:cs="Times New Roman"/>
          <w:color w:val="000000" w:themeColor="text1"/>
        </w:rPr>
        <w:fldChar w:fldCharType="end"/>
      </w:r>
      <w:r>
        <w:rPr>
          <w:rFonts w:ascii="Times New Roman" w:eastAsia="Times" w:hAnsi="Times New Roman" w:cs="Times New Roman"/>
          <w:color w:val="000000" w:themeColor="text1"/>
        </w:rPr>
        <w:t xml:space="preserve">. For social behaviors, family life is diverse with the proportions of a society’s nuclear and extended or other complex households. The Oklahoma City and Tulsa metropolitans have </w:t>
      </w:r>
      <w:r w:rsidRPr="0081712F">
        <w:rPr>
          <w:rFonts w:ascii="Times New Roman" w:eastAsia="Times" w:hAnsi="Times New Roman" w:cs="Times New Roman"/>
          <w:color w:val="000000" w:themeColor="text1"/>
        </w:rPr>
        <w:t>Fortune 500 companies</w:t>
      </w:r>
      <w:r>
        <w:rPr>
          <w:rFonts w:ascii="Times New Roman" w:eastAsia="Times" w:hAnsi="Times New Roman" w:cs="Times New Roman"/>
          <w:color w:val="000000" w:themeColor="text1"/>
        </w:rPr>
        <w:t xml:space="preserve">, including domains of </w:t>
      </w:r>
      <w:r w:rsidRPr="0081712F">
        <w:rPr>
          <w:rFonts w:ascii="Times New Roman" w:eastAsia="Times" w:hAnsi="Times New Roman" w:cs="Times New Roman"/>
          <w:color w:val="000000" w:themeColor="text1"/>
        </w:rPr>
        <w:t>manufacturing, retail, and service industries</w:t>
      </w:r>
      <w:r>
        <w:rPr>
          <w:rFonts w:ascii="Times New Roman" w:eastAsia="Times" w:hAnsi="Times New Roman" w:cs="Times New Roman"/>
          <w:color w:val="000000" w:themeColor="text1"/>
        </w:rPr>
        <w:t xml:space="preserve"> </w:t>
      </w:r>
      <w:r>
        <w:rPr>
          <w:rFonts w:ascii="Times New Roman" w:eastAsia="Times" w:hAnsi="Times New Roman" w:cs="Times New Roman"/>
          <w:color w:val="000000" w:themeColor="text1"/>
        </w:rPr>
        <w:fldChar w:fldCharType="begin"/>
      </w:r>
      <w:r>
        <w:rPr>
          <w:rFonts w:ascii="Times New Roman" w:eastAsia="Times" w:hAnsi="Times New Roman" w:cs="Times New Roman"/>
          <w:color w:val="000000" w:themeColor="text1"/>
        </w:rPr>
        <w:instrText xml:space="preserve"> ADDIN EN.CITE &lt;EndNote&gt;&lt;Cite&gt;&lt;Author&gt;Oklahoma Commerce&lt;/Author&gt;&lt;Year&gt;2023&lt;/Year&gt;&lt;RecNum&gt;2246&lt;/RecNum&gt;&lt;DisplayText&gt;(Oklahoma Commerce, 2023)&lt;/DisplayText&gt;&lt;record&gt;&lt;rec-number&gt;2246&lt;/rec-number&gt;&lt;foreign-keys&gt;&lt;key app="EN" db-id="2pe9e00ros0veneeptspa5vhz0pw2az52v20" timestamp="1700597776" guid="02abe82a-7843-4a98-a1dd-adb315178917"&gt;2246&lt;/key&gt;&lt;/foreign-keys&gt;&lt;ref-type name="Web Page"&gt;12&lt;/ref-type&gt;&lt;contributors&gt;&lt;authors&gt;&lt;author&gt;Oklahoma Commerce,&lt;/author&gt;&lt;/authors&gt;&lt;/contributors&gt;&lt;titles&gt;&lt;title&gt;Oklahoma’s Fortune 500 Report&lt;/title&gt;&lt;/titles&gt;&lt;dates&gt;&lt;year&gt;2023&lt;/year&gt;&lt;/dates&gt;&lt;urls&gt;&lt;related-urls&gt;&lt;url&gt;https://www.okcommerce.gov/doing-business/data-reports/reports/oklahomas-fortune-500-report/&lt;/url&gt;&lt;/related-urls&gt;&lt;/urls&gt;&lt;/record&gt;&lt;/Cite&gt;&lt;/EndNote&gt;</w:instrText>
      </w:r>
      <w:r>
        <w:rPr>
          <w:rFonts w:ascii="Times New Roman" w:eastAsia="Times" w:hAnsi="Times New Roman" w:cs="Times New Roman"/>
          <w:color w:val="000000" w:themeColor="text1"/>
        </w:rPr>
        <w:fldChar w:fldCharType="separate"/>
      </w:r>
      <w:r>
        <w:rPr>
          <w:rFonts w:ascii="Times New Roman" w:eastAsia="Times" w:hAnsi="Times New Roman" w:cs="Times New Roman"/>
          <w:noProof/>
          <w:color w:val="000000" w:themeColor="text1"/>
        </w:rPr>
        <w:t>(Oklahoma Commerce, 2023)</w:t>
      </w:r>
      <w:r>
        <w:rPr>
          <w:rFonts w:ascii="Times New Roman" w:eastAsia="Times" w:hAnsi="Times New Roman" w:cs="Times New Roman"/>
          <w:color w:val="000000" w:themeColor="text1"/>
        </w:rPr>
        <w:fldChar w:fldCharType="end"/>
      </w:r>
      <w:r>
        <w:rPr>
          <w:rFonts w:ascii="Times New Roman" w:eastAsia="Times" w:hAnsi="Times New Roman" w:cs="Times New Roman"/>
          <w:color w:val="000000" w:themeColor="text1"/>
        </w:rPr>
        <w:t xml:space="preserve">. Oil and energy companies such as ONEOK, Devon Energy, and Chevron are reputational. Other top industries in Oklahoma include technology (e.g., Apple, Dell Technologies), aerospace and defense industry (e.g., Raytheon Technologies, Boeing, Lockheed Martin), and transportation (e.g., airlines, motor vehicle companies, tire companies). </w:t>
      </w:r>
    </w:p>
    <w:p w14:paraId="1319B7F9" w14:textId="77777777" w:rsidR="00256B3D" w:rsidRPr="008A73DA" w:rsidRDefault="00256B3D" w:rsidP="00256B3D">
      <w:pPr>
        <w:spacing w:line="480" w:lineRule="auto"/>
        <w:rPr>
          <w:rFonts w:ascii="Times New Roman" w:eastAsia="Times" w:hAnsi="Times New Roman" w:cs="Times New Roman"/>
          <w:b/>
          <w:bCs/>
          <w:color w:val="000000" w:themeColor="text1"/>
        </w:rPr>
      </w:pPr>
      <w:r w:rsidRPr="008A73DA">
        <w:rPr>
          <w:rFonts w:ascii="Times New Roman" w:eastAsia="Times" w:hAnsi="Times New Roman" w:cs="Times New Roman"/>
          <w:b/>
          <w:bCs/>
          <w:color w:val="000000" w:themeColor="text1"/>
        </w:rPr>
        <w:t>Procedure</w:t>
      </w:r>
    </w:p>
    <w:p w14:paraId="5CB38CF1" w14:textId="77777777" w:rsidR="00256B3D" w:rsidRDefault="00256B3D" w:rsidP="00256B3D">
      <w:pPr>
        <w:spacing w:line="480" w:lineRule="auto"/>
        <w:ind w:firstLine="720"/>
        <w:rPr>
          <w:rFonts w:ascii="Times New Roman" w:eastAsia="Times" w:hAnsi="Times New Roman" w:cs="Times New Roman"/>
          <w:color w:val="000000" w:themeColor="text1"/>
        </w:rPr>
      </w:pPr>
      <w:r w:rsidRPr="008A73DA">
        <w:rPr>
          <w:rFonts w:ascii="Times New Roman" w:eastAsia="Times" w:hAnsi="Times New Roman" w:cs="Times New Roman"/>
          <w:color w:val="000000" w:themeColor="text1"/>
        </w:rPr>
        <w:t xml:space="preserve">Institutional Review Board approvals were sought and obtained prior to beginning the study. Study participants were solicited for participation via face-to-face requests. Consent forms were signed by participants prior to interviews. Interviews were conducted at the </w:t>
      </w:r>
      <w:r>
        <w:rPr>
          <w:rFonts w:ascii="Times New Roman" w:eastAsia="Times" w:hAnsi="Times New Roman" w:cs="Times New Roman"/>
          <w:color w:val="000000" w:themeColor="text1"/>
        </w:rPr>
        <w:t>participant’s</w:t>
      </w:r>
      <w:r w:rsidRPr="008A73DA">
        <w:rPr>
          <w:rFonts w:ascii="Times New Roman" w:eastAsia="Times" w:hAnsi="Times New Roman" w:cs="Times New Roman"/>
          <w:color w:val="000000" w:themeColor="text1"/>
        </w:rPr>
        <w:t xml:space="preserve"> place of employment</w:t>
      </w:r>
      <w:r>
        <w:rPr>
          <w:rFonts w:ascii="Times New Roman" w:eastAsia="Times" w:hAnsi="Times New Roman" w:cs="Times New Roman"/>
          <w:color w:val="000000" w:themeColor="text1"/>
        </w:rPr>
        <w:t xml:space="preserve"> </w:t>
      </w:r>
      <w:r w:rsidRPr="008A73DA">
        <w:rPr>
          <w:rFonts w:ascii="Times New Roman" w:eastAsia="Times" w:hAnsi="Times New Roman" w:cs="Times New Roman"/>
          <w:color w:val="000000" w:themeColor="text1"/>
        </w:rPr>
        <w:t>in a private room</w:t>
      </w:r>
      <w:r>
        <w:rPr>
          <w:rFonts w:ascii="Times New Roman" w:eastAsia="Times" w:hAnsi="Times New Roman" w:cs="Times New Roman"/>
          <w:color w:val="000000" w:themeColor="text1"/>
        </w:rPr>
        <w:t xml:space="preserve">. Participants were provided with $50 for an hour-long interview as gratis. With a few exceptions, the author visited funeral homes twice; the first time was to make an appointment, and the second time was to conduct an interview. The author conducted interviews with 15 funeral directors, </w:t>
      </w:r>
      <w:r w:rsidRPr="008A73DA">
        <w:rPr>
          <w:rFonts w:ascii="Times New Roman" w:eastAsia="Times" w:hAnsi="Times New Roman" w:cs="Times New Roman"/>
          <w:color w:val="000000" w:themeColor="text1"/>
        </w:rPr>
        <w:t>last</w:t>
      </w:r>
      <w:r>
        <w:rPr>
          <w:rFonts w:ascii="Times New Roman" w:eastAsia="Times" w:hAnsi="Times New Roman" w:cs="Times New Roman"/>
          <w:color w:val="000000" w:themeColor="text1"/>
        </w:rPr>
        <w:t>ing</w:t>
      </w:r>
      <w:r w:rsidRPr="008A73DA">
        <w:rPr>
          <w:rFonts w:ascii="Times New Roman" w:eastAsia="Times" w:hAnsi="Times New Roman" w:cs="Times New Roman"/>
          <w:color w:val="000000" w:themeColor="text1"/>
        </w:rPr>
        <w:t xml:space="preserve"> </w:t>
      </w:r>
      <w:r>
        <w:rPr>
          <w:rFonts w:ascii="Times New Roman" w:eastAsia="Times" w:hAnsi="Times New Roman" w:cs="Times New Roman"/>
          <w:color w:val="000000" w:themeColor="text1"/>
        </w:rPr>
        <w:t xml:space="preserve">12 </w:t>
      </w:r>
      <w:r w:rsidRPr="008A73DA">
        <w:rPr>
          <w:rFonts w:ascii="Times New Roman" w:eastAsia="Times" w:hAnsi="Times New Roman" w:cs="Times New Roman"/>
          <w:color w:val="000000" w:themeColor="text1"/>
        </w:rPr>
        <w:t>minutes to</w:t>
      </w:r>
      <w:r>
        <w:rPr>
          <w:rFonts w:ascii="Times New Roman" w:eastAsia="Times" w:hAnsi="Times New Roman" w:cs="Times New Roman"/>
          <w:color w:val="000000" w:themeColor="text1"/>
        </w:rPr>
        <w:t xml:space="preserve"> 91</w:t>
      </w:r>
      <w:r w:rsidRPr="008A73DA">
        <w:rPr>
          <w:rFonts w:ascii="Times New Roman" w:eastAsia="Times" w:hAnsi="Times New Roman" w:cs="Times New Roman"/>
          <w:color w:val="000000" w:themeColor="text1"/>
        </w:rPr>
        <w:t xml:space="preserve"> minutes (</w:t>
      </w:r>
      <w:r w:rsidRPr="008A73DA">
        <w:rPr>
          <w:rFonts w:ascii="Times New Roman" w:eastAsia="Times" w:hAnsi="Times New Roman" w:cs="Times New Roman"/>
          <w:i/>
          <w:color w:val="000000" w:themeColor="text1"/>
        </w:rPr>
        <w:t xml:space="preserve">M </w:t>
      </w:r>
      <w:r w:rsidRPr="008A73DA">
        <w:rPr>
          <w:rFonts w:ascii="Times New Roman" w:eastAsia="Times" w:hAnsi="Times New Roman" w:cs="Times New Roman"/>
          <w:color w:val="000000" w:themeColor="text1"/>
        </w:rPr>
        <w:t xml:space="preserve">= </w:t>
      </w:r>
      <w:r>
        <w:rPr>
          <w:rFonts w:ascii="Times New Roman" w:eastAsia="Times" w:hAnsi="Times New Roman" w:cs="Times New Roman"/>
          <w:color w:val="000000" w:themeColor="text1"/>
        </w:rPr>
        <w:t>58.38</w:t>
      </w:r>
      <w:r w:rsidRPr="008A73DA">
        <w:rPr>
          <w:rFonts w:ascii="Times New Roman" w:eastAsia="Times" w:hAnsi="Times New Roman" w:cs="Times New Roman"/>
          <w:color w:val="000000" w:themeColor="text1"/>
        </w:rPr>
        <w:t xml:space="preserve">, </w:t>
      </w:r>
      <w:r w:rsidRPr="008A73DA">
        <w:rPr>
          <w:rFonts w:ascii="Times New Roman" w:eastAsia="Times" w:hAnsi="Times New Roman" w:cs="Times New Roman"/>
          <w:i/>
          <w:color w:val="000000" w:themeColor="text1"/>
        </w:rPr>
        <w:t>SD</w:t>
      </w:r>
      <w:r w:rsidRPr="008A73DA">
        <w:rPr>
          <w:rFonts w:ascii="Times New Roman" w:eastAsia="Times" w:hAnsi="Times New Roman" w:cs="Times New Roman"/>
          <w:color w:val="000000" w:themeColor="text1"/>
        </w:rPr>
        <w:t xml:space="preserve"> = </w:t>
      </w:r>
      <w:r>
        <w:rPr>
          <w:rFonts w:ascii="Times New Roman" w:eastAsia="Times" w:hAnsi="Times New Roman" w:cs="Times New Roman"/>
          <w:color w:val="000000" w:themeColor="text1"/>
        </w:rPr>
        <w:t>23.59</w:t>
      </w:r>
      <w:r w:rsidRPr="008A73DA">
        <w:rPr>
          <w:rFonts w:ascii="Times New Roman" w:eastAsia="Times" w:hAnsi="Times New Roman" w:cs="Times New Roman"/>
          <w:color w:val="000000" w:themeColor="text1"/>
        </w:rPr>
        <w:t>)</w:t>
      </w:r>
      <w:r>
        <w:rPr>
          <w:rFonts w:ascii="Times New Roman" w:eastAsia="Times" w:hAnsi="Times New Roman" w:cs="Times New Roman"/>
          <w:color w:val="000000" w:themeColor="text1"/>
        </w:rPr>
        <w:t xml:space="preserve">. Those interviews generate 222 </w:t>
      </w:r>
      <w:r w:rsidRPr="00ED29E5">
        <w:rPr>
          <w:rFonts w:ascii="Times New Roman" w:eastAsia="Times" w:hAnsi="Times New Roman" w:cs="Times New Roman"/>
          <w:color w:val="000000" w:themeColor="text1"/>
        </w:rPr>
        <w:t>pages of</w:t>
      </w:r>
      <w:r>
        <w:rPr>
          <w:rFonts w:ascii="Times New Roman" w:eastAsia="Times" w:hAnsi="Times New Roman" w:cs="Times New Roman"/>
          <w:color w:val="000000" w:themeColor="text1"/>
        </w:rPr>
        <w:t xml:space="preserve"> double</w:t>
      </w:r>
      <w:r w:rsidRPr="00ED29E5">
        <w:rPr>
          <w:rFonts w:ascii="Times New Roman" w:eastAsia="Times" w:hAnsi="Times New Roman" w:cs="Times New Roman"/>
          <w:color w:val="000000" w:themeColor="text1"/>
        </w:rPr>
        <w:t>-spaced transcripts.</w:t>
      </w:r>
    </w:p>
    <w:p w14:paraId="6F32F04F" w14:textId="77777777" w:rsidR="00256B3D" w:rsidRDefault="00256B3D" w:rsidP="00256B3D">
      <w:pPr>
        <w:spacing w:line="480" w:lineRule="auto"/>
        <w:ind w:firstLine="720"/>
        <w:rPr>
          <w:rFonts w:ascii="Times New Roman" w:eastAsia="Times" w:hAnsi="Times New Roman" w:cs="Times New Roman"/>
          <w:color w:val="000000" w:themeColor="text1"/>
        </w:rPr>
      </w:pPr>
      <w:r>
        <w:rPr>
          <w:rFonts w:ascii="Times New Roman" w:eastAsia="Times" w:hAnsi="Times New Roman" w:cs="Times New Roman"/>
          <w:color w:val="000000" w:themeColor="text1"/>
        </w:rPr>
        <w:t xml:space="preserve">A previously collected dataset was also consulted. The author interviewed 27 funeral directors from rural communities in Oklahoma over the past three years, and these experiences functioned as social comparison groups </w:t>
      </w:r>
      <w:r>
        <w:rPr>
          <w:rFonts w:ascii="Times New Roman" w:eastAsia="Times" w:hAnsi="Times New Roman" w:cs="Times New Roman"/>
          <w:color w:val="000000" w:themeColor="text1"/>
        </w:rPr>
        <w:fldChar w:fldCharType="begin"/>
      </w:r>
      <w:r>
        <w:rPr>
          <w:rFonts w:ascii="Times New Roman" w:eastAsia="Times" w:hAnsi="Times New Roman" w:cs="Times New Roman"/>
          <w:color w:val="000000" w:themeColor="text1"/>
        </w:rPr>
        <w:instrText xml:space="preserve"> ADDIN EN.CITE &lt;EndNote&gt;&lt;Cite&gt;&lt;Author&gt;Festinger&lt;/Author&gt;&lt;Year&gt;1954&lt;/Year&gt;&lt;RecNum&gt;1529&lt;/RecNum&gt;&lt;DisplayText&gt;(Festinger, 1954)&lt;/DisplayText&gt;&lt;record&gt;&lt;rec-number&gt;1529&lt;/rec-number&gt;&lt;foreign-keys&gt;&lt;key app="EN" db-id="2pe9e00ros0veneeptspa5vhz0pw2az52v20" timestamp="1646601714" guid="494c354c-4ab0-4622-8914-905de104f98b"&gt;1529&lt;/key&gt;&lt;/foreign-keys&gt;&lt;ref-type name="Journal Article"&gt;17&lt;/ref-type&gt;&lt;contributors&gt;&lt;authors&gt;&lt;author&gt;Festinger, L.&lt;/author&gt;&lt;/authors&gt;&lt;/contributors&gt;&lt;titles&gt;&lt;title&gt;A theory of social comparison processes&lt;/title&gt;&lt;secondary-title&gt;Human Relations&lt;/secondary-title&gt;&lt;alt-title&gt;Hum Relat&lt;/alt-title&gt;&lt;/titles&gt;&lt;periodical&gt;&lt;full-title&gt;Human relations&lt;/full-title&gt;&lt;/periodical&gt;&lt;pages&gt;117-140&lt;/pages&gt;&lt;volume&gt;7&lt;/volume&gt;&lt;number&gt;2&lt;/number&gt;&lt;dates&gt;&lt;year&gt;1954&lt;/year&gt;&lt;/dates&gt;&lt;isbn&gt;0018-7267&lt;/isbn&gt;&lt;urls&gt;&lt;/urls&gt;&lt;electronic-resource-num&gt;10.1177/001872675400700202&lt;/electronic-resource-num&gt;&lt;language&gt;English&lt;/language&gt;&lt;/record&gt;&lt;/Cite&gt;&lt;/EndNote&gt;</w:instrText>
      </w:r>
      <w:r>
        <w:rPr>
          <w:rFonts w:ascii="Times New Roman" w:eastAsia="Times" w:hAnsi="Times New Roman" w:cs="Times New Roman"/>
          <w:color w:val="000000" w:themeColor="text1"/>
        </w:rPr>
        <w:fldChar w:fldCharType="separate"/>
      </w:r>
      <w:r>
        <w:rPr>
          <w:rFonts w:ascii="Times New Roman" w:eastAsia="Times" w:hAnsi="Times New Roman" w:cs="Times New Roman"/>
          <w:noProof/>
          <w:color w:val="000000" w:themeColor="text1"/>
        </w:rPr>
        <w:t>(Festinger, 1954)</w:t>
      </w:r>
      <w:r>
        <w:rPr>
          <w:rFonts w:ascii="Times New Roman" w:eastAsia="Times" w:hAnsi="Times New Roman" w:cs="Times New Roman"/>
          <w:color w:val="000000" w:themeColor="text1"/>
        </w:rPr>
        <w:fldChar w:fldCharType="end"/>
      </w:r>
      <w:r>
        <w:rPr>
          <w:rFonts w:ascii="Times New Roman" w:eastAsia="Times" w:hAnsi="Times New Roman" w:cs="Times New Roman"/>
          <w:color w:val="000000" w:themeColor="text1"/>
        </w:rPr>
        <w:t xml:space="preserve">, enhancing and evaluating aspects of </w:t>
      </w:r>
      <w:r w:rsidRPr="00A54DF7">
        <w:rPr>
          <w:rFonts w:ascii="Times New Roman" w:eastAsia="Times" w:hAnsi="Times New Roman" w:cs="Times New Roman"/>
          <w:color w:val="000000" w:themeColor="text1"/>
        </w:rPr>
        <w:t>urban funeral services</w:t>
      </w:r>
      <w:r>
        <w:rPr>
          <w:rFonts w:ascii="Times New Roman" w:eastAsia="Times" w:hAnsi="Times New Roman" w:cs="Times New Roman"/>
          <w:color w:val="000000" w:themeColor="text1"/>
        </w:rPr>
        <w:t xml:space="preserve"> </w:t>
      </w:r>
      <w:r>
        <w:rPr>
          <w:rFonts w:ascii="Times New Roman" w:eastAsia="Times" w:hAnsi="Times New Roman" w:cs="Times New Roman"/>
          <w:color w:val="000000" w:themeColor="text1"/>
        </w:rPr>
        <w:fldChar w:fldCharType="begin"/>
      </w:r>
      <w:r>
        <w:rPr>
          <w:rFonts w:ascii="Times New Roman" w:eastAsia="Times" w:hAnsi="Times New Roman" w:cs="Times New Roman"/>
          <w:color w:val="000000" w:themeColor="text1"/>
        </w:rPr>
        <w:instrText xml:space="preserve"> ADDIN EN.CITE &lt;EndNote&gt;&lt;Cite&gt;&lt;Author&gt;Suls&lt;/Author&gt;&lt;Year&gt;2002&lt;/Year&gt;&lt;RecNum&gt;1528&lt;/RecNum&gt;&lt;DisplayText&gt;(Suls et al., 2002)&lt;/DisplayText&gt;&lt;record&gt;&lt;rec-number&gt;1528&lt;/rec-number&gt;&lt;foreign-keys&gt;&lt;key app="EN" db-id="2pe9e00ros0veneeptspa5vhz0pw2az52v20" timestamp="1646601692" guid="403c730f-2b12-4d7e-96f9-da507ae7f3dd"&gt;1528&lt;/key&gt;&lt;/foreign-keys&gt;&lt;ref-type name="Journal Article"&gt;17&lt;/ref-type&gt;&lt;contributors&gt;&lt;authors&gt;&lt;author&gt;Suls, Jerry&lt;/author&gt;&lt;author&gt;Martin, Rene&lt;/author&gt;&lt;author&gt;Wheeler, Ladd&lt;/author&gt;&lt;/authors&gt;&lt;/contributors&gt;&lt;titles&gt;&lt;title&gt;Social comparison: Why, with whom, and with what effect?&lt;/title&gt;&lt;secondary-title&gt;Current Directions in Psychological Science&lt;/secondary-title&gt;&lt;/titles&gt;&lt;periodical&gt;&lt;full-title&gt;Current directions in psychological science&lt;/full-title&gt;&lt;/periodical&gt;&lt;pages&gt;159-163&lt;/pages&gt;&lt;volume&gt;11&lt;/volume&gt;&lt;number&gt;5&lt;/number&gt;&lt;dates&gt;&lt;year&gt;2002&lt;/year&gt;&lt;/dates&gt;&lt;isbn&gt;0963-7214&lt;/isbn&gt;&lt;urls&gt;&lt;/urls&gt;&lt;electronic-resource-num&gt;10.1111/1467-8721.00191&lt;/electronic-resource-num&gt;&lt;/record&gt;&lt;/Cite&gt;&lt;/EndNote&gt;</w:instrText>
      </w:r>
      <w:r>
        <w:rPr>
          <w:rFonts w:ascii="Times New Roman" w:eastAsia="Times" w:hAnsi="Times New Roman" w:cs="Times New Roman"/>
          <w:color w:val="000000" w:themeColor="text1"/>
        </w:rPr>
        <w:fldChar w:fldCharType="separate"/>
      </w:r>
      <w:r>
        <w:rPr>
          <w:rFonts w:ascii="Times New Roman" w:eastAsia="Times" w:hAnsi="Times New Roman" w:cs="Times New Roman"/>
          <w:noProof/>
          <w:color w:val="000000" w:themeColor="text1"/>
        </w:rPr>
        <w:t>(Suls et al., 2002)</w:t>
      </w:r>
      <w:r>
        <w:rPr>
          <w:rFonts w:ascii="Times New Roman" w:eastAsia="Times" w:hAnsi="Times New Roman" w:cs="Times New Roman"/>
          <w:color w:val="000000" w:themeColor="text1"/>
        </w:rPr>
        <w:fldChar w:fldCharType="end"/>
      </w:r>
      <w:r>
        <w:rPr>
          <w:rFonts w:ascii="Times New Roman" w:eastAsia="Times" w:hAnsi="Times New Roman" w:cs="Times New Roman"/>
          <w:color w:val="000000" w:themeColor="text1"/>
        </w:rPr>
        <w:t xml:space="preserve">. Second, to better understand funeral services in </w:t>
      </w:r>
      <w:r>
        <w:rPr>
          <w:rFonts w:ascii="Times New Roman" w:eastAsia="Times" w:hAnsi="Times New Roman" w:cs="Times New Roman"/>
          <w:color w:val="000000" w:themeColor="text1"/>
        </w:rPr>
        <w:lastRenderedPageBreak/>
        <w:t xml:space="preserve">Oklahoma, the author attended and observed eight funerals (more than 2 hours each), including attendees’ chatting activities in the corridor of chapels, memorial services, transportation to cemeteries, and burial activities. </w:t>
      </w:r>
    </w:p>
    <w:p w14:paraId="103A0315" w14:textId="77777777" w:rsidR="00256B3D" w:rsidRDefault="00256B3D" w:rsidP="00256B3D">
      <w:pPr>
        <w:spacing w:line="480" w:lineRule="auto"/>
        <w:ind w:firstLine="720"/>
        <w:rPr>
          <w:rFonts w:ascii="Times New Roman" w:eastAsia="Times" w:hAnsi="Times New Roman" w:cs="Times New Roman"/>
          <w:color w:val="000000" w:themeColor="text1"/>
        </w:rPr>
      </w:pPr>
      <w:r>
        <w:rPr>
          <w:rFonts w:ascii="Times New Roman" w:eastAsia="Times" w:hAnsi="Times New Roman" w:cs="Times New Roman"/>
          <w:color w:val="000000" w:themeColor="text1"/>
        </w:rPr>
        <w:t xml:space="preserve">See Appendix A for interview guide of questions. Interview questions were inspired by RDT, which assumes meaning emergent from the struggle of competing, often contradictory discourses </w:t>
      </w:r>
      <w:r>
        <w:rPr>
          <w:rFonts w:ascii="Times New Roman" w:eastAsia="Times" w:hAnsi="Times New Roman" w:cs="Times New Roman"/>
          <w:color w:val="000000" w:themeColor="text1"/>
        </w:rPr>
        <w:fldChar w:fldCharType="begin"/>
      </w:r>
      <w:r>
        <w:rPr>
          <w:rFonts w:ascii="Times New Roman" w:eastAsia="Times" w:hAnsi="Times New Roman" w:cs="Times New Roman"/>
          <w:color w:val="000000" w:themeColor="text1"/>
        </w:rPr>
        <w:instrText xml:space="preserve"> ADDIN EN.CITE &lt;EndNote&gt;&lt;Cite&gt;&lt;Author&gt;Baxter&lt;/Author&gt;&lt;Year&gt;2011&lt;/Year&gt;&lt;RecNum&gt;1633&lt;/RecNum&gt;&lt;DisplayText&gt;(Baxter, 2011)&lt;/DisplayText&gt;&lt;record&gt;&lt;rec-number&gt;1633&lt;/rec-number&gt;&lt;foreign-keys&gt;&lt;key app="EN" db-id="2pe9e00ros0veneeptspa5vhz0pw2az52v20" timestamp="1651286064" guid="faff47c4-c762-4121-b9c8-9978bd77054b"&gt;1633&lt;/key&gt;&lt;/foreign-keys&gt;&lt;ref-type name="Book"&gt;6&lt;/ref-type&gt;&lt;contributors&gt;&lt;authors&gt;&lt;author&gt;Baxter, Leslie A.&lt;/author&gt;&lt;/authors&gt;&lt;/contributors&gt;&lt;titles&gt;&lt;title&gt;Voicing relationships: a dialogic perspective&lt;/title&gt;&lt;/titles&gt;&lt;keywords&gt;&lt;keyword&gt;Bakhtin, M. M. (Mikhail Mikhaĭlovich), 1895-1975&lt;/keyword&gt;&lt;keyword&gt;Interpersonal relations&lt;/keyword&gt;&lt;keyword&gt;Dialogue analysis&lt;/keyword&gt;&lt;/keywords&gt;&lt;dates&gt;&lt;year&gt;2011&lt;/year&gt;&lt;/dates&gt;&lt;pub-location&gt;Thousand Oaks, Calif.&lt;/pub-location&gt;&lt;publisher&gt;SAGE Publications, Inc&lt;/publisher&gt;&lt;urls&gt;&lt;/urls&gt;&lt;/record&gt;&lt;/Cite&gt;&lt;/EndNote&gt;</w:instrText>
      </w:r>
      <w:r>
        <w:rPr>
          <w:rFonts w:ascii="Times New Roman" w:eastAsia="Times" w:hAnsi="Times New Roman" w:cs="Times New Roman"/>
          <w:color w:val="000000" w:themeColor="text1"/>
        </w:rPr>
        <w:fldChar w:fldCharType="separate"/>
      </w:r>
      <w:r>
        <w:rPr>
          <w:rFonts w:ascii="Times New Roman" w:eastAsia="Times" w:hAnsi="Times New Roman" w:cs="Times New Roman"/>
          <w:noProof/>
          <w:color w:val="000000" w:themeColor="text1"/>
        </w:rPr>
        <w:t>(Baxter, 2011)</w:t>
      </w:r>
      <w:r>
        <w:rPr>
          <w:rFonts w:ascii="Times New Roman" w:eastAsia="Times" w:hAnsi="Times New Roman" w:cs="Times New Roman"/>
          <w:color w:val="000000" w:themeColor="text1"/>
        </w:rPr>
        <w:fldChar w:fldCharType="end"/>
      </w:r>
      <w:r>
        <w:rPr>
          <w:rFonts w:ascii="Times New Roman" w:eastAsia="Times" w:hAnsi="Times New Roman" w:cs="Times New Roman"/>
          <w:color w:val="000000" w:themeColor="text1"/>
        </w:rPr>
        <w:t>. Specifically, i</w:t>
      </w:r>
      <w:r w:rsidRPr="008A73DA">
        <w:rPr>
          <w:rFonts w:ascii="Times New Roman" w:eastAsia="Times" w:hAnsi="Times New Roman" w:cs="Times New Roman"/>
          <w:color w:val="000000" w:themeColor="text1"/>
        </w:rPr>
        <w:t xml:space="preserve">nterviewing </w:t>
      </w:r>
      <w:r>
        <w:rPr>
          <w:rFonts w:ascii="Times New Roman" w:eastAsia="Times" w:hAnsi="Times New Roman" w:cs="Times New Roman"/>
          <w:color w:val="000000" w:themeColor="text1"/>
        </w:rPr>
        <w:t>questions are</w:t>
      </w:r>
      <w:r w:rsidRPr="008A73DA">
        <w:rPr>
          <w:rFonts w:ascii="Times New Roman" w:eastAsia="Times" w:hAnsi="Times New Roman" w:cs="Times New Roman"/>
          <w:color w:val="000000" w:themeColor="text1"/>
        </w:rPr>
        <w:t xml:space="preserve"> devoted to having dyadic contextual data, which is preferred in dialectic research</w:t>
      </w:r>
      <w:r>
        <w:rPr>
          <w:rFonts w:ascii="Times New Roman" w:eastAsia="Times" w:hAnsi="Times New Roman" w:cs="Times New Roman"/>
          <w:color w:val="000000" w:themeColor="text1"/>
        </w:rPr>
        <w:t xml:space="preserve"> fields </w:t>
      </w:r>
      <w:r>
        <w:rPr>
          <w:rFonts w:ascii="Times New Roman" w:eastAsia="Times" w:hAnsi="Times New Roman" w:cs="Times New Roman"/>
          <w:color w:val="000000" w:themeColor="text1"/>
        </w:rPr>
        <w:fldChar w:fldCharType="begin"/>
      </w:r>
      <w:r>
        <w:rPr>
          <w:rFonts w:ascii="Times New Roman" w:eastAsia="Times" w:hAnsi="Times New Roman" w:cs="Times New Roman"/>
          <w:color w:val="000000" w:themeColor="text1"/>
        </w:rPr>
        <w:instrText xml:space="preserve"> ADDIN EN.CITE &lt;EndNote&gt;&lt;Cite&gt;&lt;Author&gt;Baxter&lt;/Author&gt;&lt;Year&gt;2010&lt;/Year&gt;&lt;RecNum&gt;2073&lt;/RecNum&gt;&lt;DisplayText&gt;(Baxter &amp;amp; Braithwaite, 2010)&lt;/DisplayText&gt;&lt;record&gt;&lt;rec-number&gt;2073&lt;/rec-number&gt;&lt;foreign-keys&gt;&lt;key app="EN" db-id="2pe9e00ros0veneeptspa5vhz0pw2az52v20" timestamp="1695746317" guid="70d5e058-e47a-4a84-997b-04eaf6a88aab"&gt;2073&lt;/key&gt;&lt;/foreign-keys&gt;&lt;ref-type name="Book Section"&gt;5&lt;/ref-type&gt;&lt;contributors&gt;&lt;authors&gt;&lt;author&gt;Baxter, Leslie A&lt;/author&gt;&lt;author&gt;Braithwaite, Dawn O&lt;/author&gt;&lt;/authors&gt;&lt;secondary-authors&gt;&lt;author&gt;Sandi W. Smith&lt;/author&gt;&lt;author&gt;Steven R. Wilson&lt;/author&gt;&lt;/secondary-authors&gt;&lt;/contributors&gt;&lt;titles&gt;&lt;title&gt;Relational dialectics theory, applied&lt;/title&gt;&lt;secondary-title&gt;New directions in interpersonal communication research&lt;/secondary-title&gt;&lt;/titles&gt;&lt;periodical&gt;&lt;full-title&gt;New directions in interpersonal communication research&lt;/full-title&gt;&lt;/periodical&gt;&lt;dates&gt;&lt;year&gt;2010&lt;/year&gt;&lt;/dates&gt;&lt;publisher&gt;SAGE Publications, Inc.&lt;/publisher&gt;&lt;urls&gt;&lt;/urls&gt;&lt;/record&gt;&lt;/Cite&gt;&lt;/EndNote&gt;</w:instrText>
      </w:r>
      <w:r>
        <w:rPr>
          <w:rFonts w:ascii="Times New Roman" w:eastAsia="Times" w:hAnsi="Times New Roman" w:cs="Times New Roman"/>
          <w:color w:val="000000" w:themeColor="text1"/>
        </w:rPr>
        <w:fldChar w:fldCharType="separate"/>
      </w:r>
      <w:r>
        <w:rPr>
          <w:rFonts w:ascii="Times New Roman" w:eastAsia="Times" w:hAnsi="Times New Roman" w:cs="Times New Roman"/>
          <w:noProof/>
          <w:color w:val="000000" w:themeColor="text1"/>
        </w:rPr>
        <w:t>(Baxter &amp; Braithwaite, 2010)</w:t>
      </w:r>
      <w:r>
        <w:rPr>
          <w:rFonts w:ascii="Times New Roman" w:eastAsia="Times" w:hAnsi="Times New Roman" w:cs="Times New Roman"/>
          <w:color w:val="000000" w:themeColor="text1"/>
        </w:rPr>
        <w:fldChar w:fldCharType="end"/>
      </w:r>
      <w:r w:rsidRPr="008A73DA">
        <w:rPr>
          <w:rFonts w:ascii="Times New Roman" w:eastAsia="Times" w:hAnsi="Times New Roman" w:cs="Times New Roman"/>
          <w:color w:val="000000" w:themeColor="text1"/>
        </w:rPr>
        <w:t>, and open-ended questions</w:t>
      </w:r>
      <w:r>
        <w:rPr>
          <w:rFonts w:ascii="Times New Roman" w:eastAsia="Times" w:hAnsi="Times New Roman" w:cs="Times New Roman"/>
          <w:color w:val="000000" w:themeColor="text1"/>
        </w:rPr>
        <w:t xml:space="preserve"> regarding funeral pre-planning and funeral planning scenarios were sought,</w:t>
      </w:r>
      <w:r w:rsidRPr="008A73DA">
        <w:rPr>
          <w:rFonts w:ascii="Times New Roman" w:eastAsia="Times" w:hAnsi="Times New Roman" w:cs="Times New Roman"/>
          <w:color w:val="000000" w:themeColor="text1"/>
        </w:rPr>
        <w:t xml:space="preserve"> such </w:t>
      </w:r>
      <w:r>
        <w:rPr>
          <w:rFonts w:ascii="Times New Roman" w:eastAsia="Times" w:hAnsi="Times New Roman" w:cs="Times New Roman"/>
          <w:color w:val="000000" w:themeColor="text1"/>
        </w:rPr>
        <w:t>that</w:t>
      </w:r>
      <w:r w:rsidRPr="008A73DA">
        <w:rPr>
          <w:rFonts w:ascii="Times New Roman" w:eastAsia="Times" w:hAnsi="Times New Roman" w:cs="Times New Roman"/>
          <w:color w:val="000000" w:themeColor="text1"/>
        </w:rPr>
        <w:t xml:space="preserve">, </w:t>
      </w:r>
      <w:r>
        <w:rPr>
          <w:rFonts w:ascii="Times New Roman" w:eastAsia="Times" w:hAnsi="Times New Roman" w:cs="Times New Roman"/>
          <w:color w:val="000000" w:themeColor="text1"/>
        </w:rPr>
        <w:t>“Can you tell me a time you</w:t>
      </w:r>
      <w:r w:rsidRPr="005A711C">
        <w:rPr>
          <w:rFonts w:ascii="Times New Roman" w:eastAsia="Times" w:hAnsi="Times New Roman" w:cs="Times New Roman"/>
          <w:color w:val="000000" w:themeColor="text1"/>
        </w:rPr>
        <w:t xml:space="preserve"> encourag</w:t>
      </w:r>
      <w:r>
        <w:rPr>
          <w:rFonts w:ascii="Times New Roman" w:eastAsia="Times" w:hAnsi="Times New Roman" w:cs="Times New Roman"/>
          <w:color w:val="000000" w:themeColor="text1"/>
        </w:rPr>
        <w:t>ed</w:t>
      </w:r>
      <w:r w:rsidRPr="005A711C">
        <w:rPr>
          <w:rFonts w:ascii="Times New Roman" w:eastAsia="Times" w:hAnsi="Times New Roman" w:cs="Times New Roman"/>
          <w:color w:val="000000" w:themeColor="text1"/>
        </w:rPr>
        <w:t xml:space="preserve"> clients to do a memorial, ritual, or viewing service?</w:t>
      </w:r>
      <w:r>
        <w:rPr>
          <w:rFonts w:ascii="Times New Roman" w:eastAsia="Times" w:hAnsi="Times New Roman" w:cs="Times New Roman"/>
          <w:color w:val="000000" w:themeColor="text1"/>
        </w:rPr>
        <w:t>”</w:t>
      </w:r>
      <w:r w:rsidRPr="005A711C">
        <w:rPr>
          <w:rFonts w:ascii="Times New Roman" w:eastAsia="Times" w:hAnsi="Times New Roman" w:cs="Times New Roman"/>
          <w:color w:val="000000" w:themeColor="text1"/>
        </w:rPr>
        <w:t xml:space="preserve"> </w:t>
      </w:r>
      <w:r>
        <w:rPr>
          <w:rFonts w:ascii="Times New Roman" w:eastAsia="Times" w:hAnsi="Times New Roman" w:cs="Times New Roman"/>
          <w:color w:val="000000" w:themeColor="text1"/>
        </w:rPr>
        <w:t xml:space="preserve">and </w:t>
      </w:r>
      <w:r w:rsidRPr="008A73DA">
        <w:rPr>
          <w:rFonts w:ascii="Times New Roman" w:eastAsia="Times" w:hAnsi="Times New Roman" w:cs="Times New Roman"/>
          <w:color w:val="000000" w:themeColor="text1"/>
        </w:rPr>
        <w:t>“</w:t>
      </w:r>
      <w:r>
        <w:rPr>
          <w:rFonts w:ascii="Times New Roman" w:eastAsia="Times" w:hAnsi="Times New Roman" w:cs="Times New Roman"/>
          <w:color w:val="000000" w:themeColor="text1"/>
        </w:rPr>
        <w:t>Can you tell me a story about introducing</w:t>
      </w:r>
      <w:r w:rsidRPr="005A711C">
        <w:rPr>
          <w:rFonts w:ascii="Times New Roman" w:eastAsia="Times" w:hAnsi="Times New Roman" w:cs="Times New Roman"/>
          <w:color w:val="000000" w:themeColor="text1"/>
        </w:rPr>
        <w:t xml:space="preserve"> different types of caskets, urns, and options for funeral packages</w:t>
      </w:r>
      <w:r>
        <w:rPr>
          <w:rFonts w:ascii="Times New Roman" w:eastAsia="Times" w:hAnsi="Times New Roman" w:cs="Times New Roman"/>
          <w:color w:val="000000" w:themeColor="text1"/>
        </w:rPr>
        <w:t xml:space="preserve"> to a client?” (RQ1). Some interviewing questions regarding funeral planning and funeral post-planning were to explore the interpenetration of competing discourses, such that, for the synchronic interpenetration (RQ2a), “Can you describe an ordinary family </w:t>
      </w:r>
      <w:r w:rsidRPr="00015D79">
        <w:rPr>
          <w:rFonts w:ascii="Times New Roman" w:eastAsia="Times" w:hAnsi="Times New Roman" w:cs="Times New Roman"/>
          <w:color w:val="000000" w:themeColor="text1"/>
        </w:rPr>
        <w:t>visitation or viewing? How long does a family typically stay? What do families do and say during the viewing?</w:t>
      </w:r>
      <w:r>
        <w:rPr>
          <w:rFonts w:ascii="Times New Roman" w:eastAsia="Times" w:hAnsi="Times New Roman" w:cs="Times New Roman"/>
          <w:color w:val="000000" w:themeColor="text1"/>
        </w:rPr>
        <w:t>” and for the diachronic interpenetration (RQ2b), “</w:t>
      </w:r>
      <w:r w:rsidRPr="00201599">
        <w:rPr>
          <w:rFonts w:ascii="Times New Roman" w:hAnsi="Times New Roman" w:cs="Times New Roman"/>
          <w:noProof/>
        </w:rPr>
        <w:t>How do you confirm that families completed the final viewing and were ready to go to the cemetery</w:t>
      </w:r>
      <w:r w:rsidRPr="00015D79">
        <w:rPr>
          <w:rFonts w:ascii="Times New Roman" w:eastAsia="Times" w:hAnsi="Times New Roman" w:cs="Times New Roman"/>
          <w:color w:val="000000" w:themeColor="text1"/>
        </w:rPr>
        <w:t>?</w:t>
      </w:r>
      <w:r>
        <w:rPr>
          <w:rFonts w:ascii="Times New Roman" w:eastAsia="Times" w:hAnsi="Times New Roman" w:cs="Times New Roman"/>
          <w:color w:val="000000" w:themeColor="text1"/>
        </w:rPr>
        <w:t>” Some interview questions regarding funeral directors’ self-understandings about their job and life targeted discursive transformative interplay, such as “</w:t>
      </w:r>
      <w:r w:rsidRPr="00201599">
        <w:rPr>
          <w:rFonts w:ascii="Times New Roman" w:hAnsi="Times New Roman" w:cs="Times New Roman"/>
          <w:noProof/>
          <w:lang w:eastAsia="zh-TW"/>
        </w:rPr>
        <w:t xml:space="preserve">Do families </w:t>
      </w:r>
      <w:r>
        <w:rPr>
          <w:rFonts w:ascii="Times New Roman" w:hAnsi="Times New Roman" w:cs="Times New Roman"/>
          <w:noProof/>
          <w:lang w:eastAsia="zh-TW"/>
        </w:rPr>
        <w:t>express</w:t>
      </w:r>
      <w:r w:rsidRPr="00201599">
        <w:rPr>
          <w:rFonts w:ascii="Times New Roman" w:hAnsi="Times New Roman" w:cs="Times New Roman"/>
          <w:noProof/>
          <w:lang w:eastAsia="zh-TW"/>
        </w:rPr>
        <w:t xml:space="preserve"> appreciat</w:t>
      </w:r>
      <w:r>
        <w:rPr>
          <w:rFonts w:ascii="Times New Roman" w:hAnsi="Times New Roman" w:cs="Times New Roman"/>
          <w:noProof/>
          <w:lang w:eastAsia="zh-TW"/>
        </w:rPr>
        <w:t>ion to you during a reception service</w:t>
      </w:r>
      <w:r w:rsidRPr="004A184B">
        <w:rPr>
          <w:rFonts w:ascii="Times New Roman" w:eastAsia="Times" w:hAnsi="Times New Roman" w:cs="Times New Roman"/>
          <w:color w:val="000000" w:themeColor="text1"/>
        </w:rPr>
        <w:t>?</w:t>
      </w:r>
      <w:r>
        <w:rPr>
          <w:rFonts w:ascii="Times New Roman" w:eastAsia="Times" w:hAnsi="Times New Roman" w:cs="Times New Roman"/>
          <w:color w:val="000000" w:themeColor="text1"/>
        </w:rPr>
        <w:t>” “How do you like your job?” (RQ3).</w:t>
      </w:r>
    </w:p>
    <w:p w14:paraId="1C950430" w14:textId="77777777" w:rsidR="00256B3D" w:rsidRPr="0095001B" w:rsidRDefault="00256B3D" w:rsidP="00256B3D">
      <w:pPr>
        <w:spacing w:line="480" w:lineRule="auto"/>
        <w:rPr>
          <w:rFonts w:ascii="Times New Roman" w:eastAsia="Times" w:hAnsi="Times New Roman" w:cs="Times New Roman"/>
          <w:color w:val="000000" w:themeColor="text1"/>
        </w:rPr>
      </w:pPr>
      <w:r w:rsidRPr="008A73DA">
        <w:rPr>
          <w:rFonts w:ascii="Times New Roman" w:eastAsia="Times" w:hAnsi="Times New Roman" w:cs="Times New Roman"/>
          <w:b/>
          <w:bCs/>
          <w:color w:val="000000" w:themeColor="text1"/>
        </w:rPr>
        <w:t>Analysis</w:t>
      </w:r>
    </w:p>
    <w:p w14:paraId="1BCE6AD3" w14:textId="77777777" w:rsidR="00256B3D" w:rsidRDefault="00256B3D" w:rsidP="00256B3D">
      <w:pPr>
        <w:spacing w:line="480" w:lineRule="auto"/>
        <w:ind w:firstLine="720"/>
        <w:rPr>
          <w:rFonts w:ascii="Times New Roman" w:eastAsia="Times" w:hAnsi="Times New Roman" w:cs="Times New Roman"/>
          <w:color w:val="000000" w:themeColor="text1"/>
        </w:rPr>
      </w:pPr>
      <w:proofErr w:type="gramStart"/>
      <w:r>
        <w:rPr>
          <w:rFonts w:ascii="Times New Roman" w:eastAsia="Times" w:hAnsi="Times New Roman" w:cs="Times New Roman"/>
          <w:color w:val="000000" w:themeColor="text1"/>
        </w:rPr>
        <w:t>In order to</w:t>
      </w:r>
      <w:proofErr w:type="gramEnd"/>
      <w:r>
        <w:rPr>
          <w:rFonts w:ascii="Times New Roman" w:eastAsia="Times" w:hAnsi="Times New Roman" w:cs="Times New Roman"/>
          <w:color w:val="000000" w:themeColor="text1"/>
        </w:rPr>
        <w:t xml:space="preserve"> answer research questions, all transcripts were subjected to </w:t>
      </w:r>
      <w:r w:rsidRPr="008A73DA">
        <w:rPr>
          <w:rFonts w:ascii="Times New Roman" w:eastAsia="Times" w:hAnsi="Times New Roman" w:cs="Times New Roman"/>
          <w:color w:val="000000" w:themeColor="text1"/>
        </w:rPr>
        <w:t xml:space="preserve">contrapuntal analysis. </w:t>
      </w:r>
      <w:r>
        <w:rPr>
          <w:rFonts w:ascii="Times New Roman" w:eastAsia="Times" w:hAnsi="Times New Roman" w:cs="Times New Roman"/>
          <w:color w:val="000000" w:themeColor="text1"/>
        </w:rPr>
        <w:t xml:space="preserve">Contrapuntal is a musical term that refers to playing contrasting or counterpoint melodies in conjunction with one another </w:t>
      </w:r>
      <w:r w:rsidRPr="008A73DA">
        <w:rPr>
          <w:rFonts w:ascii="Times New Roman" w:eastAsia="Times" w:hAnsi="Times New Roman" w:cs="Times New Roman"/>
          <w:color w:val="000000" w:themeColor="text1"/>
        </w:rPr>
        <w:fldChar w:fldCharType="begin"/>
      </w:r>
      <w:r>
        <w:rPr>
          <w:rFonts w:ascii="Times New Roman" w:eastAsia="Times" w:hAnsi="Times New Roman" w:cs="Times New Roman"/>
          <w:color w:val="000000" w:themeColor="text1"/>
        </w:rPr>
        <w:instrText xml:space="preserve"> ADDIN EN.CITE &lt;EndNote&gt;&lt;Cite&gt;&lt;Author&gt;Baxter&lt;/Author&gt;&lt;Year&gt;2011&lt;/Year&gt;&lt;RecNum&gt;1633&lt;/RecNum&gt;&lt;DisplayText&gt;(Baxter, 2011)&lt;/DisplayText&gt;&lt;record&gt;&lt;rec-number&gt;1633&lt;/rec-number&gt;&lt;foreign-keys&gt;&lt;key app="EN" db-id="2pe9e00ros0veneeptspa5vhz0pw2az52v20" timestamp="1651286064" guid="faff47c4-c762-4121-b9c8-9978bd77054b"&gt;1633&lt;/key&gt;&lt;/foreign-keys&gt;&lt;ref-type name="Book"&gt;6&lt;/ref-type&gt;&lt;contributors&gt;&lt;authors&gt;&lt;author&gt;Baxter, Leslie A.&lt;/author&gt;&lt;/authors&gt;&lt;/contributors&gt;&lt;titles&gt;&lt;title&gt;Voicing relationships: a dialogic perspective&lt;/title&gt;&lt;/titles&gt;&lt;keywords&gt;&lt;keyword&gt;Bakhtin, M. M. (Mikhail Mikhaĭlovich), 1895-1975&lt;/keyword&gt;&lt;keyword&gt;Interpersonal relations&lt;/keyword&gt;&lt;keyword&gt;Dialogue analysis&lt;/keyword&gt;&lt;/keywords&gt;&lt;dates&gt;&lt;year&gt;2011&lt;/year&gt;&lt;/dates&gt;&lt;pub-location&gt;Thousand Oaks, Calif.&lt;/pub-location&gt;&lt;publisher&gt;SAGE Publications, Inc&lt;/publisher&gt;&lt;urls&gt;&lt;/urls&gt;&lt;/record&gt;&lt;/Cite&gt;&lt;/EndNote&gt;</w:instrText>
      </w:r>
      <w:r w:rsidRPr="008A73DA">
        <w:rPr>
          <w:rFonts w:ascii="Times New Roman" w:eastAsia="Times" w:hAnsi="Times New Roman" w:cs="Times New Roman"/>
          <w:color w:val="000000" w:themeColor="text1"/>
        </w:rPr>
        <w:fldChar w:fldCharType="separate"/>
      </w:r>
      <w:r>
        <w:rPr>
          <w:rFonts w:ascii="Times New Roman" w:eastAsia="Times" w:hAnsi="Times New Roman" w:cs="Times New Roman"/>
          <w:noProof/>
          <w:color w:val="000000" w:themeColor="text1"/>
        </w:rPr>
        <w:t>(Baxter, 2011)</w:t>
      </w:r>
      <w:r w:rsidRPr="008A73DA">
        <w:rPr>
          <w:rFonts w:ascii="Times New Roman" w:eastAsia="Times" w:hAnsi="Times New Roman" w:cs="Times New Roman"/>
          <w:color w:val="000000" w:themeColor="text1"/>
        </w:rPr>
        <w:fldChar w:fldCharType="end"/>
      </w:r>
      <w:r>
        <w:rPr>
          <w:rFonts w:ascii="Times New Roman" w:eastAsia="Times" w:hAnsi="Times New Roman" w:cs="Times New Roman"/>
          <w:color w:val="000000" w:themeColor="text1"/>
        </w:rPr>
        <w:t xml:space="preserve">. </w:t>
      </w:r>
      <w:r w:rsidRPr="008A73DA">
        <w:rPr>
          <w:rFonts w:ascii="Times New Roman" w:eastAsia="Times" w:hAnsi="Times New Roman" w:cs="Times New Roman"/>
          <w:color w:val="000000" w:themeColor="text1"/>
        </w:rPr>
        <w:t>A contrapuntal analysis</w:t>
      </w:r>
      <w:r>
        <w:rPr>
          <w:rFonts w:ascii="Times New Roman" w:eastAsia="Times" w:hAnsi="Times New Roman" w:cs="Times New Roman"/>
          <w:color w:val="000000" w:themeColor="text1"/>
        </w:rPr>
        <w:t xml:space="preserve"> focuses on the </w:t>
      </w:r>
      <w:r>
        <w:rPr>
          <w:rFonts w:ascii="Times New Roman" w:eastAsia="Times" w:hAnsi="Times New Roman" w:cs="Times New Roman"/>
          <w:color w:val="000000" w:themeColor="text1"/>
        </w:rPr>
        <w:lastRenderedPageBreak/>
        <w:t xml:space="preserve">interplay of contrasting discourses in spoken or written texts, and it is used to </w:t>
      </w:r>
      <w:r w:rsidRPr="008A73DA">
        <w:rPr>
          <w:rFonts w:ascii="Times New Roman" w:eastAsia="Times" w:hAnsi="Times New Roman" w:cs="Times New Roman"/>
          <w:color w:val="000000" w:themeColor="text1"/>
        </w:rPr>
        <w:t>analyze discursive</w:t>
      </w:r>
      <w:r>
        <w:rPr>
          <w:rFonts w:ascii="Times New Roman" w:eastAsia="Times" w:hAnsi="Times New Roman" w:cs="Times New Roman"/>
          <w:color w:val="000000" w:themeColor="text1"/>
        </w:rPr>
        <w:t xml:space="preserve"> and </w:t>
      </w:r>
      <w:r w:rsidRPr="008A73DA">
        <w:rPr>
          <w:rFonts w:ascii="Times New Roman" w:eastAsia="Times" w:hAnsi="Times New Roman" w:cs="Times New Roman"/>
          <w:color w:val="000000" w:themeColor="text1"/>
        </w:rPr>
        <w:t xml:space="preserve">ideological interplay and competition in the dialogue of </w:t>
      </w:r>
      <w:r>
        <w:rPr>
          <w:rFonts w:ascii="Times New Roman" w:eastAsia="Times" w:hAnsi="Times New Roman" w:cs="Times New Roman"/>
          <w:color w:val="000000" w:themeColor="text1"/>
        </w:rPr>
        <w:t>related</w:t>
      </w:r>
      <w:r w:rsidRPr="008A73DA">
        <w:rPr>
          <w:rFonts w:ascii="Times New Roman" w:eastAsia="Times" w:hAnsi="Times New Roman" w:cs="Times New Roman"/>
          <w:color w:val="000000" w:themeColor="text1"/>
        </w:rPr>
        <w:t xml:space="preserve"> parties </w:t>
      </w:r>
      <w:r w:rsidRPr="008A73DA">
        <w:rPr>
          <w:rFonts w:ascii="Times New Roman" w:eastAsia="Times" w:hAnsi="Times New Roman" w:cs="Times New Roman"/>
          <w:color w:val="000000" w:themeColor="text1"/>
        </w:rPr>
        <w:fldChar w:fldCharType="begin"/>
      </w:r>
      <w:r>
        <w:rPr>
          <w:rFonts w:ascii="Times New Roman" w:eastAsia="Times" w:hAnsi="Times New Roman" w:cs="Times New Roman"/>
          <w:color w:val="000000" w:themeColor="text1"/>
        </w:rPr>
        <w:instrText xml:space="preserve"> ADDIN EN.CITE &lt;EndNote&gt;&lt;Cite&gt;&lt;Author&gt;Thomas&lt;/Author&gt;&lt;Year&gt;2017&lt;/Year&gt;&lt;RecNum&gt;1642&lt;/RecNum&gt;&lt;Prefix&gt;e.g.`, &lt;/Prefix&gt;&lt;DisplayText&gt;(e.g., Suter, 2018; Thomas, 2017)&lt;/DisplayText&gt;&lt;record&gt;&lt;rec-number&gt;1642&lt;/rec-number&gt;&lt;foreign-keys&gt;&lt;key app="EN" db-id="2pe9e00ros0veneeptspa5vhz0pw2az52v20" timestamp="1651611616" guid="f04975a4-e533-4b9c-99b9-567d824b15e0"&gt;1642&lt;/key&gt;&lt;/foreign-keys&gt;&lt;ref-type name="Book Section"&gt;5&lt;/ref-type&gt;&lt;contributors&gt;&lt;authors&gt;&lt;author&gt;Thomas, Lindsey J.&lt;/author&gt;&lt;/authors&gt;&lt;/contributors&gt;&lt;titles&gt;&lt;title&gt;Contrapuntal Analysis&lt;/title&gt;&lt;secondary-title&gt;The International Encyclopedia of Communication Research Methods&lt;/secondary-title&gt;&lt;/titles&gt;&lt;pages&gt;1-3&lt;/pages&gt;&lt;dates&gt;&lt;year&gt;2017&lt;/year&gt;&lt;/dates&gt;&lt;urls&gt;&lt;related-urls&gt;&lt;url&gt;https://onlinelibrary.wiley.com/doi/abs/10.1002/9781118901731.iecrm0269&lt;/url&gt;&lt;/related-urls&gt;&lt;/urls&gt;&lt;electronic-resource-num&gt;10.1002/9781118901731.iecrm0269&lt;/electronic-resource-num&gt;&lt;/record&gt;&lt;/Cite&gt;&lt;Cite&gt;&lt;Author&gt;Suter&lt;/Author&gt;&lt;Year&gt;2018&lt;/Year&gt;&lt;RecNum&gt;1643&lt;/RecNum&gt;&lt;record&gt;&lt;rec-number&gt;1643&lt;/rec-number&gt;&lt;foreign-keys&gt;&lt;key app="EN" db-id="2pe9e00ros0veneeptspa5vhz0pw2az52v20" timestamp="1651611646" guid="a5f7018c-ce96-42c1-aea9-ceb83e5ecca2"&gt;1643&lt;/key&gt;&lt;/foreign-keys&gt;&lt;ref-type name="Journal Article"&gt;17&lt;/ref-type&gt;&lt;contributors&gt;&lt;authors&gt;&lt;author&gt;Suter, Elizabeth A.&lt;/author&gt;&lt;/authors&gt;&lt;/contributors&gt;&lt;titles&gt;&lt;title&gt;The promise of contrapuntal and intersectional methods for advancing critical interpersonal and family communication research&lt;/title&gt;&lt;secondary-title&gt;Communication Monographs&lt;/secondary-title&gt;&lt;/titles&gt;&lt;periodical&gt;&lt;full-title&gt;Communication Monographs&lt;/full-title&gt;&lt;/periodical&gt;&lt;pages&gt;123-139&lt;/pages&gt;&lt;volume&gt;85&lt;/volume&gt;&lt;number&gt;1&lt;/number&gt;&lt;dates&gt;&lt;year&gt;2018&lt;/year&gt;&lt;/dates&gt;&lt;publisher&gt;Routledge&lt;/publisher&gt;&lt;isbn&gt;0363-7751&lt;/isbn&gt;&lt;urls&gt;&lt;related-urls&gt;&lt;url&gt;https://doi.org/10.1080/03637751.2017.1375131&lt;/url&gt;&lt;/related-urls&gt;&lt;/urls&gt;&lt;electronic-resource-num&gt;10.1080/03637751.2017.1375131&lt;/electronic-resource-num&gt;&lt;/record&gt;&lt;/Cite&gt;&lt;/EndNote&gt;</w:instrText>
      </w:r>
      <w:r w:rsidRPr="008A73DA">
        <w:rPr>
          <w:rFonts w:ascii="Times New Roman" w:eastAsia="Times" w:hAnsi="Times New Roman" w:cs="Times New Roman"/>
          <w:color w:val="000000" w:themeColor="text1"/>
        </w:rPr>
        <w:fldChar w:fldCharType="separate"/>
      </w:r>
      <w:r w:rsidRPr="008A73DA">
        <w:rPr>
          <w:rFonts w:ascii="Times New Roman" w:eastAsia="Times" w:hAnsi="Times New Roman" w:cs="Times New Roman"/>
          <w:noProof/>
          <w:color w:val="000000" w:themeColor="text1"/>
        </w:rPr>
        <w:t>(e.g., Suter, 2018; Thomas, 2017)</w:t>
      </w:r>
      <w:r w:rsidRPr="008A73DA">
        <w:rPr>
          <w:rFonts w:ascii="Times New Roman" w:eastAsia="Times" w:hAnsi="Times New Roman" w:cs="Times New Roman"/>
          <w:color w:val="000000" w:themeColor="text1"/>
        </w:rPr>
        <w:fldChar w:fldCharType="end"/>
      </w:r>
      <w:r w:rsidRPr="008A73DA">
        <w:rPr>
          <w:rFonts w:ascii="Times New Roman" w:eastAsia="Times" w:hAnsi="Times New Roman" w:cs="Times New Roman"/>
          <w:color w:val="000000" w:themeColor="text1"/>
        </w:rPr>
        <w:t xml:space="preserve">. </w:t>
      </w:r>
      <w:r>
        <w:rPr>
          <w:rFonts w:ascii="Times New Roman" w:eastAsia="Times" w:hAnsi="Times New Roman" w:cs="Times New Roman"/>
          <w:color w:val="000000" w:themeColor="text1"/>
        </w:rPr>
        <w:t xml:space="preserve">Three key components of contrapuntal analysis are selecting text, establishing discourse, and identifying discourse interplay. </w:t>
      </w:r>
    </w:p>
    <w:p w14:paraId="58E4DBC5" w14:textId="77777777" w:rsidR="00256B3D" w:rsidRDefault="00256B3D" w:rsidP="00256B3D">
      <w:pPr>
        <w:spacing w:line="480" w:lineRule="auto"/>
        <w:ind w:firstLine="720"/>
        <w:rPr>
          <w:rFonts w:ascii="Times New Roman" w:eastAsia="Times" w:hAnsi="Times New Roman" w:cs="Times New Roman"/>
          <w:color w:val="000000" w:themeColor="text1"/>
        </w:rPr>
      </w:pPr>
      <w:r w:rsidRPr="00F7159C">
        <w:rPr>
          <w:rFonts w:ascii="Times New Roman" w:eastAsia="Times" w:hAnsi="Times New Roman" w:cs="Times New Roman"/>
          <w:b/>
          <w:bCs/>
          <w:color w:val="000000" w:themeColor="text1"/>
        </w:rPr>
        <w:t xml:space="preserve"> </w:t>
      </w:r>
      <w:r>
        <w:rPr>
          <w:rFonts w:ascii="Times New Roman" w:eastAsia="Times" w:hAnsi="Times New Roman" w:cs="Times New Roman"/>
          <w:b/>
          <w:bCs/>
          <w:color w:val="000000" w:themeColor="text1"/>
        </w:rPr>
        <w:t>S</w:t>
      </w:r>
      <w:r w:rsidRPr="00F7159C">
        <w:rPr>
          <w:rFonts w:ascii="Times New Roman" w:eastAsia="Times" w:hAnsi="Times New Roman" w:cs="Times New Roman"/>
          <w:b/>
          <w:bCs/>
          <w:color w:val="000000" w:themeColor="text1"/>
        </w:rPr>
        <w:t xml:space="preserve">electing </w:t>
      </w:r>
      <w:r>
        <w:rPr>
          <w:rFonts w:ascii="Times New Roman" w:eastAsia="Times" w:hAnsi="Times New Roman" w:cs="Times New Roman"/>
          <w:b/>
          <w:bCs/>
          <w:color w:val="000000" w:themeColor="text1"/>
        </w:rPr>
        <w:t>t</w:t>
      </w:r>
      <w:r w:rsidRPr="00F7159C">
        <w:rPr>
          <w:rFonts w:ascii="Times New Roman" w:eastAsia="Times" w:hAnsi="Times New Roman" w:cs="Times New Roman"/>
          <w:b/>
          <w:bCs/>
          <w:color w:val="000000" w:themeColor="text1"/>
        </w:rPr>
        <w:t>ext</w:t>
      </w:r>
      <w:r>
        <w:rPr>
          <w:rFonts w:ascii="Times New Roman" w:eastAsia="Times" w:hAnsi="Times New Roman" w:cs="Times New Roman"/>
          <w:color w:val="000000" w:themeColor="text1"/>
        </w:rPr>
        <w:t xml:space="preserve">. RDT scholars should have dialogically expansive texts in which multiple voices are at play. In contrast, dialogically contractive texts are worthy of attention from a critical lens, and some discourses are marginalized and dismissed. The author applied two strategies to select dialogically expansive texts from interviewing transcripts, focusing on (a) narrative stories, especially in sites of rupture, challenge, and change, and (b) relationship transitions, especially in conversation utterance chains. </w:t>
      </w:r>
    </w:p>
    <w:p w14:paraId="5ECFFA78" w14:textId="77777777" w:rsidR="00256B3D" w:rsidRDefault="00256B3D" w:rsidP="00256B3D">
      <w:pPr>
        <w:spacing w:line="480" w:lineRule="auto"/>
        <w:ind w:firstLine="720"/>
        <w:rPr>
          <w:rFonts w:ascii="Times New Roman" w:eastAsia="Times" w:hAnsi="Times New Roman" w:cs="Times New Roman"/>
          <w:color w:val="000000" w:themeColor="text1"/>
        </w:rPr>
      </w:pPr>
      <w:r w:rsidRPr="00F7159C">
        <w:rPr>
          <w:rFonts w:ascii="Times New Roman" w:eastAsia="Times" w:hAnsi="Times New Roman" w:cs="Times New Roman"/>
          <w:b/>
          <w:bCs/>
          <w:color w:val="000000" w:themeColor="text1"/>
        </w:rPr>
        <w:t xml:space="preserve">Establishing </w:t>
      </w:r>
      <w:r>
        <w:rPr>
          <w:rFonts w:ascii="Times New Roman" w:eastAsia="Times" w:hAnsi="Times New Roman" w:cs="Times New Roman"/>
          <w:b/>
          <w:bCs/>
          <w:color w:val="000000" w:themeColor="text1"/>
        </w:rPr>
        <w:t>di</w:t>
      </w:r>
      <w:r w:rsidRPr="00F7159C">
        <w:rPr>
          <w:rFonts w:ascii="Times New Roman" w:eastAsia="Times" w:hAnsi="Times New Roman" w:cs="Times New Roman"/>
          <w:b/>
          <w:bCs/>
          <w:color w:val="000000" w:themeColor="text1"/>
        </w:rPr>
        <w:t>scourse</w:t>
      </w:r>
      <w:r>
        <w:rPr>
          <w:rFonts w:ascii="Times New Roman" w:eastAsia="Times" w:hAnsi="Times New Roman" w:cs="Times New Roman"/>
          <w:color w:val="000000" w:themeColor="text1"/>
        </w:rPr>
        <w:t xml:space="preserve">. RDT researchers need to identify discourses in texts, and typically, two types of discourses should be considered – </w:t>
      </w:r>
      <w:r w:rsidRPr="00545511">
        <w:rPr>
          <w:rFonts w:ascii="Times New Roman" w:eastAsia="Times" w:hAnsi="Times New Roman" w:cs="Times New Roman"/>
          <w:i/>
          <w:iCs/>
          <w:color w:val="000000" w:themeColor="text1"/>
        </w:rPr>
        <w:t>sociocultural discourses</w:t>
      </w:r>
      <w:r>
        <w:rPr>
          <w:rFonts w:ascii="Times New Roman" w:eastAsia="Times" w:hAnsi="Times New Roman" w:cs="Times New Roman"/>
          <w:color w:val="000000" w:themeColor="text1"/>
        </w:rPr>
        <w:t xml:space="preserve">, which emphasize the distal already-spoken and the distal not-yet-spoken, and </w:t>
      </w:r>
      <w:r w:rsidRPr="00545511">
        <w:rPr>
          <w:rFonts w:ascii="Times New Roman" w:eastAsia="Times" w:hAnsi="Times New Roman" w:cs="Times New Roman"/>
          <w:i/>
          <w:iCs/>
          <w:color w:val="000000" w:themeColor="text1"/>
        </w:rPr>
        <w:t>interpersonal discourses,</w:t>
      </w:r>
      <w:r>
        <w:rPr>
          <w:rFonts w:ascii="Times New Roman" w:eastAsia="Times" w:hAnsi="Times New Roman" w:cs="Times New Roman"/>
          <w:color w:val="000000" w:themeColor="text1"/>
        </w:rPr>
        <w:t xml:space="preserve"> which emphasize the proximal already-spoken and the proximal not-yet-spoken. </w:t>
      </w:r>
    </w:p>
    <w:p w14:paraId="6BC8A8A1" w14:textId="77777777" w:rsidR="00256B3D" w:rsidRPr="009B51C6" w:rsidRDefault="00256B3D" w:rsidP="00256B3D">
      <w:pPr>
        <w:spacing w:line="480" w:lineRule="auto"/>
        <w:ind w:firstLine="720"/>
        <w:rPr>
          <w:rFonts w:ascii="Times New Roman" w:eastAsia="Times" w:hAnsi="Times New Roman" w:cs="Times New Roman"/>
          <w:color w:val="000000" w:themeColor="text1"/>
        </w:rPr>
      </w:pPr>
      <w:r>
        <w:rPr>
          <w:rFonts w:ascii="Times New Roman" w:eastAsia="Times" w:hAnsi="Times New Roman" w:cs="Times New Roman"/>
          <w:color w:val="000000" w:themeColor="text1"/>
        </w:rPr>
        <w:t xml:space="preserve">To identify discourses, </w:t>
      </w:r>
      <w:r w:rsidRPr="008A73DA">
        <w:rPr>
          <w:rFonts w:ascii="Times New Roman" w:eastAsia="Times" w:hAnsi="Times New Roman" w:cs="Times New Roman"/>
          <w:color w:val="000000" w:themeColor="text1"/>
        </w:rPr>
        <w:t xml:space="preserve">thematic analysis </w:t>
      </w:r>
      <w:r w:rsidRPr="008A73DA">
        <w:rPr>
          <w:rFonts w:ascii="Times New Roman" w:hAnsi="Times New Roman" w:cs="Times New Roman"/>
        </w:rPr>
        <w:fldChar w:fldCharType="begin"/>
      </w:r>
      <w:r w:rsidRPr="008A73DA">
        <w:rPr>
          <w:rFonts w:ascii="Times New Roman" w:hAnsi="Times New Roman" w:cs="Times New Roman"/>
        </w:rPr>
        <w:instrText xml:space="preserve"> ADDIN EN.CITE &lt;EndNote&gt;&lt;Cite&gt;&lt;Author&gt;Boyatzis&lt;/Author&gt;&lt;Year&gt;1998&lt;/Year&gt;&lt;RecNum&gt;1508&lt;/RecNum&gt;&lt;DisplayText&gt;(Boyatzis, 1998)&lt;/DisplayText&gt;&lt;record&gt;&lt;rec-number&gt;1508&lt;/rec-number&gt;&lt;foreign-keys&gt;&lt;key app="EN" db-id="2pe9e00ros0veneeptspa5vhz0pw2az52v20" timestamp="1639619568" guid="8c433cad-50bd-4fb9-9d37-16fad5f97f21"&gt;1508&lt;/key&gt;&lt;/foreign-keys&gt;&lt;ref-type name="Book"&gt;6&lt;/ref-type&gt;&lt;contributors&gt;&lt;authors&gt;&lt;author&gt;Boyatzis, Richard E&lt;/author&gt;&lt;/authors&gt;&lt;/contributors&gt;&lt;titles&gt;&lt;title&gt;Transforming qualitative information: Thematic analysis and code development&lt;/title&gt;&lt;/titles&gt;&lt;dates&gt;&lt;year&gt;1998&lt;/year&gt;&lt;/dates&gt;&lt;publisher&gt;Sage Publications, Inc.&lt;/publisher&gt;&lt;isbn&gt;0761909613&lt;/isbn&gt;&lt;urls&gt;&lt;/urls&gt;&lt;/record&gt;&lt;/Cite&gt;&lt;/EndNote&gt;</w:instrText>
      </w:r>
      <w:r w:rsidRPr="008A73DA">
        <w:rPr>
          <w:rFonts w:ascii="Times New Roman" w:hAnsi="Times New Roman" w:cs="Times New Roman"/>
        </w:rPr>
        <w:fldChar w:fldCharType="separate"/>
      </w:r>
      <w:r w:rsidRPr="008A73DA">
        <w:rPr>
          <w:rFonts w:ascii="Times New Roman" w:hAnsi="Times New Roman" w:cs="Times New Roman"/>
          <w:noProof/>
        </w:rPr>
        <w:t>(Boyatzis, 1998)</w:t>
      </w:r>
      <w:r w:rsidRPr="008A73DA">
        <w:rPr>
          <w:rFonts w:ascii="Times New Roman" w:hAnsi="Times New Roman" w:cs="Times New Roman"/>
        </w:rPr>
        <w:fldChar w:fldCharType="end"/>
      </w:r>
      <w:r>
        <w:rPr>
          <w:rFonts w:ascii="Times New Roman" w:hAnsi="Times New Roman" w:cs="Times New Roman"/>
        </w:rPr>
        <w:t xml:space="preserve"> was applied</w:t>
      </w:r>
      <w:r w:rsidRPr="008A73DA">
        <w:rPr>
          <w:rFonts w:ascii="Times New Roman" w:hAnsi="Times New Roman" w:cs="Times New Roman"/>
        </w:rPr>
        <w:t>, including a six-step framework</w:t>
      </w:r>
      <w:r>
        <w:rPr>
          <w:rFonts w:ascii="Times New Roman" w:hAnsi="Times New Roman" w:cs="Times New Roman"/>
        </w:rPr>
        <w:t xml:space="preserve"> </w:t>
      </w:r>
      <w:r w:rsidRPr="008A73DA">
        <w:rPr>
          <w:rFonts w:ascii="Times New Roman" w:hAnsi="Times New Roman" w:cs="Times New Roman"/>
        </w:rPr>
        <w:fldChar w:fldCharType="begin"/>
      </w:r>
      <w:r>
        <w:rPr>
          <w:rFonts w:ascii="Times New Roman" w:hAnsi="Times New Roman" w:cs="Times New Roman"/>
        </w:rPr>
        <w:instrText xml:space="preserve"> ADDIN EN.CITE &lt;EndNote&gt;&lt;Cite&gt;&lt;Author&gt;Braun&lt;/Author&gt;&lt;Year&gt;2006&lt;/Year&gt;&lt;RecNum&gt;1509&lt;/RecNum&gt;&lt;DisplayText&gt;(Braun &amp;amp; Clarke, 2006)&lt;/DisplayText&gt;&lt;record&gt;&lt;rec-number&gt;1509&lt;/rec-number&gt;&lt;foreign-keys&gt;&lt;key app="EN" db-id="2pe9e00ros0veneeptspa5vhz0pw2az52v20" timestamp="1639619614" guid="4f505542-c1a7-412e-88b0-ef9edd4bd505"&gt;1509&lt;/key&gt;&lt;/foreign-keys&gt;&lt;ref-type name="Journal Article"&gt;17&lt;/ref-type&gt;&lt;contributors&gt;&lt;authors&gt;&lt;author&gt;Braun, Virginia&lt;/author&gt;&lt;author&gt;Clarke, Victoria&lt;/author&gt;&lt;/authors&gt;&lt;/contributors&gt;&lt;titles&gt;&lt;title&gt;Using thematic analysis in psychology&lt;/title&gt;&lt;secondary-title&gt;Qualitative research in psychology&lt;/secondary-title&gt;&lt;/titles&gt;&lt;periodical&gt;&lt;full-title&gt;Qualitative research in psychology&lt;/full-title&gt;&lt;/periodical&gt;&lt;pages&gt;77-101&lt;/pages&gt;&lt;volume&gt;3&lt;/volume&gt;&lt;number&gt;2&lt;/number&gt;&lt;dates&gt;&lt;year&gt;2006&lt;/year&gt;&lt;/dates&gt;&lt;isbn&gt;1478-0887&lt;/isbn&gt;&lt;urls&gt;&lt;/urls&gt;&lt;electronic-resource-num&gt;10.1191/1478088706qp063oa&lt;/electronic-resource-num&gt;&lt;/record&gt;&lt;/Cite&gt;&lt;/EndNote&gt;</w:instrText>
      </w:r>
      <w:r w:rsidRPr="008A73DA">
        <w:rPr>
          <w:rFonts w:ascii="Times New Roman" w:hAnsi="Times New Roman" w:cs="Times New Roman"/>
        </w:rPr>
        <w:fldChar w:fldCharType="separate"/>
      </w:r>
      <w:r>
        <w:rPr>
          <w:rFonts w:ascii="Times New Roman" w:hAnsi="Times New Roman" w:cs="Times New Roman"/>
          <w:noProof/>
        </w:rPr>
        <w:t>(Braun &amp; Clarke, 2006)</w:t>
      </w:r>
      <w:r w:rsidRPr="008A73DA">
        <w:rPr>
          <w:rFonts w:ascii="Times New Roman" w:hAnsi="Times New Roman" w:cs="Times New Roman"/>
        </w:rPr>
        <w:fldChar w:fldCharType="end"/>
      </w:r>
      <w:r w:rsidRPr="008A73DA">
        <w:rPr>
          <w:rFonts w:ascii="Times New Roman" w:hAnsi="Times New Roman" w:cs="Times New Roman"/>
        </w:rPr>
        <w:t xml:space="preserve">. (a) </w:t>
      </w:r>
      <w:r>
        <w:rPr>
          <w:rFonts w:ascii="Times New Roman" w:hAnsi="Times New Roman" w:cs="Times New Roman"/>
        </w:rPr>
        <w:t>To get familiarized with the data, the author transcribed the interviews and re-read</w:t>
      </w:r>
      <w:r w:rsidRPr="008A73DA">
        <w:rPr>
          <w:rFonts w:ascii="Times New Roman" w:eastAsia="Times" w:hAnsi="Times New Roman" w:cs="Times New Roman"/>
          <w:color w:val="000000" w:themeColor="text1"/>
        </w:rPr>
        <w:t xml:space="preserve"> the transcript.</w:t>
      </w:r>
      <w:r w:rsidRPr="008A73DA">
        <w:rPr>
          <w:rFonts w:ascii="Times New Roman" w:hAnsi="Times New Roman" w:cs="Times New Roman"/>
        </w:rPr>
        <w:t xml:space="preserve"> (b) </w:t>
      </w:r>
      <w:r>
        <w:rPr>
          <w:rFonts w:ascii="Times New Roman" w:hAnsi="Times New Roman" w:cs="Times New Roman"/>
        </w:rPr>
        <w:t>I</w:t>
      </w:r>
      <w:r w:rsidRPr="008A73DA">
        <w:rPr>
          <w:rFonts w:ascii="Times New Roman" w:eastAsia="Times" w:hAnsi="Times New Roman" w:cs="Times New Roman"/>
          <w:color w:val="000000" w:themeColor="text1"/>
        </w:rPr>
        <w:t xml:space="preserve">n generating initial codes, the author highlighted sentences in the transcript that attracted the author’s attention. Those sentences were typically relevant to funeral directors’ stories of interacting with their bereaved clients, their </w:t>
      </w:r>
      <w:r>
        <w:rPr>
          <w:rFonts w:ascii="Times New Roman" w:eastAsia="Times" w:hAnsi="Times New Roman" w:cs="Times New Roman"/>
          <w:color w:val="000000" w:themeColor="text1"/>
        </w:rPr>
        <w:t>relationship-building</w:t>
      </w:r>
      <w:r w:rsidRPr="008A73DA">
        <w:rPr>
          <w:rFonts w:ascii="Times New Roman" w:eastAsia="Times" w:hAnsi="Times New Roman" w:cs="Times New Roman"/>
          <w:color w:val="000000" w:themeColor="text1"/>
        </w:rPr>
        <w:t xml:space="preserve"> with clients, bereaved clients’ performance in a difficult time</w:t>
      </w:r>
      <w:r>
        <w:rPr>
          <w:rFonts w:ascii="Times New Roman" w:eastAsia="Times" w:hAnsi="Times New Roman" w:cs="Times New Roman"/>
          <w:color w:val="000000" w:themeColor="text1"/>
        </w:rPr>
        <w:t>, and bereaved clients’ acceptance of life change. (c) T</w:t>
      </w:r>
      <w:r w:rsidRPr="008A73DA">
        <w:rPr>
          <w:rFonts w:ascii="Times New Roman" w:eastAsia="Times" w:hAnsi="Times New Roman" w:cs="Times New Roman"/>
          <w:color w:val="000000" w:themeColor="text1"/>
        </w:rPr>
        <w:t xml:space="preserve">he author searched for themes in those sentences, including collating codes into potential themes and gathering all data relevant to each potential theme. For this stage, the author refined terms and ideas to generate themes. Concretely, the </w:t>
      </w:r>
      <w:r w:rsidRPr="008A73DA">
        <w:rPr>
          <w:rFonts w:ascii="Times New Roman" w:eastAsia="Times" w:hAnsi="Times New Roman" w:cs="Times New Roman"/>
          <w:color w:val="000000" w:themeColor="text1"/>
        </w:rPr>
        <w:lastRenderedPageBreak/>
        <w:t xml:space="preserve">author understood discursive conflicts </w:t>
      </w:r>
      <w:r>
        <w:rPr>
          <w:rFonts w:ascii="Times New Roman" w:eastAsia="Times" w:hAnsi="Times New Roman" w:cs="Times New Roman"/>
          <w:color w:val="000000" w:themeColor="text1"/>
        </w:rPr>
        <w:t>that</w:t>
      </w:r>
      <w:r w:rsidRPr="008A73DA">
        <w:rPr>
          <w:rFonts w:ascii="Times New Roman" w:eastAsia="Times" w:hAnsi="Times New Roman" w:cs="Times New Roman"/>
          <w:color w:val="000000" w:themeColor="text1"/>
        </w:rPr>
        <w:t xml:space="preserve"> animate the meanings of funeral </w:t>
      </w:r>
      <w:r>
        <w:rPr>
          <w:rFonts w:ascii="Times New Roman" w:eastAsia="Times" w:hAnsi="Times New Roman" w:cs="Times New Roman"/>
          <w:color w:val="000000" w:themeColor="text1"/>
        </w:rPr>
        <w:t>planning</w:t>
      </w:r>
      <w:r w:rsidRPr="008A73DA">
        <w:rPr>
          <w:rFonts w:ascii="Times New Roman" w:eastAsia="Times" w:hAnsi="Times New Roman" w:cs="Times New Roman"/>
          <w:color w:val="000000" w:themeColor="text1"/>
        </w:rPr>
        <w:t xml:space="preserve"> (RQ</w:t>
      </w:r>
      <w:r>
        <w:rPr>
          <w:rFonts w:ascii="Times New Roman" w:eastAsia="Times" w:hAnsi="Times New Roman" w:cs="Times New Roman"/>
          <w:color w:val="000000" w:themeColor="text1"/>
        </w:rPr>
        <w:t>1</w:t>
      </w:r>
      <w:r w:rsidRPr="008A73DA">
        <w:rPr>
          <w:rFonts w:ascii="Times New Roman" w:eastAsia="Times" w:hAnsi="Times New Roman" w:cs="Times New Roman"/>
          <w:color w:val="000000" w:themeColor="text1"/>
        </w:rPr>
        <w:t>).</w:t>
      </w:r>
      <w:r>
        <w:rPr>
          <w:rFonts w:ascii="Times New Roman" w:eastAsia="Times" w:hAnsi="Times New Roman" w:cs="Times New Roman"/>
          <w:color w:val="000000" w:themeColor="text1"/>
        </w:rPr>
        <w:t xml:space="preserve"> (d)</w:t>
      </w:r>
      <w:r w:rsidRPr="008A73DA">
        <w:rPr>
          <w:rFonts w:ascii="Times New Roman" w:eastAsia="Times" w:hAnsi="Times New Roman" w:cs="Times New Roman"/>
          <w:color w:val="000000" w:themeColor="text1"/>
        </w:rPr>
        <w:t xml:space="preserve"> </w:t>
      </w:r>
      <w:r>
        <w:rPr>
          <w:rFonts w:ascii="Times New Roman" w:eastAsia="Times" w:hAnsi="Times New Roman" w:cs="Times New Roman"/>
          <w:color w:val="000000" w:themeColor="text1"/>
        </w:rPr>
        <w:t>I</w:t>
      </w:r>
      <w:r w:rsidRPr="008A73DA">
        <w:rPr>
          <w:rFonts w:ascii="Times New Roman" w:eastAsia="Times" w:hAnsi="Times New Roman" w:cs="Times New Roman"/>
          <w:color w:val="000000" w:themeColor="text1"/>
        </w:rPr>
        <w:t>n the reviewing themes stage, the author checked whether those generated themes worked in relation to all highlighted sentences and the entire transcript.</w:t>
      </w:r>
      <w:r>
        <w:rPr>
          <w:rFonts w:ascii="Times New Roman" w:eastAsia="Times" w:hAnsi="Times New Roman" w:cs="Times New Roman"/>
          <w:color w:val="000000" w:themeColor="text1"/>
        </w:rPr>
        <w:t xml:space="preserve"> (e) T</w:t>
      </w:r>
      <w:r w:rsidRPr="008A73DA">
        <w:rPr>
          <w:rFonts w:ascii="Times New Roman" w:eastAsia="Times" w:hAnsi="Times New Roman" w:cs="Times New Roman"/>
          <w:color w:val="000000" w:themeColor="text1"/>
        </w:rPr>
        <w:t>he author defined and named themes and then generated competing discourses. In this stage, the author integrated and constructed the generated themes into a couple of specific themes and then generated two competing discourses</w:t>
      </w:r>
      <w:r>
        <w:rPr>
          <w:rFonts w:ascii="Times New Roman" w:eastAsia="Times" w:hAnsi="Times New Roman" w:cs="Times New Roman"/>
          <w:color w:val="000000" w:themeColor="text1"/>
        </w:rPr>
        <w:t xml:space="preserve"> (i.e., commerce-care competing discourses; </w:t>
      </w:r>
      <w:r w:rsidRPr="008A73DA">
        <w:rPr>
          <w:rFonts w:ascii="Times New Roman" w:eastAsia="Times" w:hAnsi="Times New Roman" w:cs="Times New Roman"/>
          <w:color w:val="000000" w:themeColor="text1"/>
        </w:rPr>
        <w:t>see findings</w:t>
      </w:r>
      <w:r>
        <w:rPr>
          <w:rFonts w:ascii="Times New Roman" w:eastAsia="Times" w:hAnsi="Times New Roman" w:cs="Times New Roman"/>
          <w:color w:val="000000" w:themeColor="text1"/>
        </w:rPr>
        <w:t xml:space="preserve"> for details</w:t>
      </w:r>
      <w:r w:rsidRPr="008A73DA">
        <w:rPr>
          <w:rFonts w:ascii="Times New Roman" w:eastAsia="Times" w:hAnsi="Times New Roman" w:cs="Times New Roman"/>
          <w:color w:val="000000" w:themeColor="text1"/>
        </w:rPr>
        <w:t xml:space="preserve">). These specific themes were the intersubjective outcome of interpreting (or constructing) and refining (or coding) themes. </w:t>
      </w:r>
      <w:r>
        <w:rPr>
          <w:rFonts w:ascii="Times New Roman" w:hAnsi="Times New Roman" w:cs="Times New Roman"/>
        </w:rPr>
        <w:t>(f) T</w:t>
      </w:r>
      <w:r w:rsidRPr="008A73DA">
        <w:rPr>
          <w:rFonts w:ascii="Times New Roman" w:hAnsi="Times New Roman" w:cs="Times New Roman"/>
        </w:rPr>
        <w:t>he author produced the report, which was also considered a theme analysis. The author selected the most compelling extract examples, made themes related to the research question, and produced a scholarly analysis report.</w:t>
      </w:r>
    </w:p>
    <w:p w14:paraId="0BFA1CEE" w14:textId="77777777" w:rsidR="00256B3D" w:rsidRDefault="00256B3D" w:rsidP="00256B3D">
      <w:pPr>
        <w:spacing w:line="480" w:lineRule="auto"/>
        <w:ind w:firstLine="720"/>
        <w:rPr>
          <w:rFonts w:ascii="Times New Roman" w:hAnsi="Times New Roman" w:cs="Times New Roman"/>
        </w:rPr>
      </w:pPr>
      <w:r w:rsidRPr="00F7159C">
        <w:rPr>
          <w:rFonts w:ascii="Times New Roman" w:hAnsi="Times New Roman" w:cs="Times New Roman"/>
          <w:b/>
          <w:bCs/>
        </w:rPr>
        <w:t xml:space="preserve">Identifying </w:t>
      </w:r>
      <w:r>
        <w:rPr>
          <w:rFonts w:ascii="Times New Roman" w:hAnsi="Times New Roman" w:cs="Times New Roman"/>
          <w:b/>
          <w:bCs/>
        </w:rPr>
        <w:t>d</w:t>
      </w:r>
      <w:r w:rsidRPr="00F7159C">
        <w:rPr>
          <w:rFonts w:ascii="Times New Roman" w:hAnsi="Times New Roman" w:cs="Times New Roman"/>
          <w:b/>
          <w:bCs/>
        </w:rPr>
        <w:t xml:space="preserve">iscourse </w:t>
      </w:r>
      <w:r>
        <w:rPr>
          <w:rFonts w:ascii="Times New Roman" w:hAnsi="Times New Roman" w:cs="Times New Roman"/>
          <w:b/>
          <w:bCs/>
        </w:rPr>
        <w:t>i</w:t>
      </w:r>
      <w:r w:rsidRPr="00F7159C">
        <w:rPr>
          <w:rFonts w:ascii="Times New Roman" w:hAnsi="Times New Roman" w:cs="Times New Roman"/>
          <w:b/>
          <w:bCs/>
        </w:rPr>
        <w:t>nterplay</w:t>
      </w:r>
      <w:r>
        <w:rPr>
          <w:rFonts w:ascii="Times New Roman" w:hAnsi="Times New Roman" w:cs="Times New Roman"/>
        </w:rPr>
        <w:t xml:space="preserve">. RDT scholars presume the </w:t>
      </w:r>
      <w:r w:rsidRPr="00AC5BBD">
        <w:rPr>
          <w:rFonts w:ascii="Times New Roman" w:hAnsi="Times New Roman" w:cs="Times New Roman"/>
          <w:i/>
          <w:iCs/>
        </w:rPr>
        <w:t>native</w:t>
      </w:r>
      <w:r>
        <w:rPr>
          <w:rFonts w:ascii="Times New Roman" w:hAnsi="Times New Roman" w:cs="Times New Roman"/>
        </w:rPr>
        <w:t xml:space="preserve">’s points of view, including two propositions. First, the researcher’s identification of competing discourses rings true to the participants themselves. In other words, the participants’ talk reflects competing discourses. Second, “native” is also important in the identification of transformations in the interplay of discourse. This </w:t>
      </w:r>
      <w:r w:rsidRPr="00156AAB">
        <w:rPr>
          <w:rFonts w:ascii="Times New Roman" w:hAnsi="Times New Roman" w:cs="Times New Roman"/>
          <w:i/>
          <w:iCs/>
        </w:rPr>
        <w:t xml:space="preserve">native </w:t>
      </w:r>
      <w:r>
        <w:rPr>
          <w:rFonts w:ascii="Times New Roman" w:hAnsi="Times New Roman" w:cs="Times New Roman"/>
        </w:rPr>
        <w:t>perspective is supported by</w:t>
      </w:r>
      <w:r w:rsidRPr="00603136">
        <w:rPr>
          <w:rFonts w:ascii="Times New Roman" w:hAnsi="Times New Roman" w:cs="Times New Roman"/>
          <w:i/>
          <w:iCs/>
        </w:rPr>
        <w:t xml:space="preserve"> engagement</w:t>
      </w:r>
      <w:r>
        <w:rPr>
          <w:rFonts w:ascii="Times New Roman" w:hAnsi="Times New Roman" w:cs="Times New Roman"/>
        </w:rPr>
        <w:t xml:space="preserve"> and</w:t>
      </w:r>
      <w:r w:rsidRPr="00603136">
        <w:rPr>
          <w:rFonts w:ascii="Times New Roman" w:hAnsi="Times New Roman" w:cs="Times New Roman"/>
          <w:i/>
          <w:iCs/>
        </w:rPr>
        <w:t xml:space="preserve"> graduation </w:t>
      </w:r>
      <w:r>
        <w:rPr>
          <w:rFonts w:ascii="Times New Roman" w:hAnsi="Times New Roman" w:cs="Times New Roman"/>
        </w:rPr>
        <w:t xml:space="preserve">in a dialogic perspective </w:t>
      </w:r>
      <w:r>
        <w:rPr>
          <w:rFonts w:ascii="Times New Roman" w:hAnsi="Times New Roman" w:cs="Times New Roman"/>
        </w:rPr>
        <w:fldChar w:fldCharType="begin"/>
      </w:r>
      <w:r>
        <w:rPr>
          <w:rFonts w:ascii="Times New Roman" w:hAnsi="Times New Roman" w:cs="Times New Roman"/>
        </w:rPr>
        <w:instrText xml:space="preserve"> ADDIN EN.CITE &lt;EndNote&gt;&lt;Cite&gt;&lt;Author&gt;Martin&lt;/Author&gt;&lt;Year&gt;2005&lt;/Year&gt;&lt;RecNum&gt;2249&lt;/RecNum&gt;&lt;DisplayText&gt;(Martin &amp;amp; White, 2005)&lt;/DisplayText&gt;&lt;record&gt;&lt;rec-number&gt;2249&lt;/rec-number&gt;&lt;foreign-keys&gt;&lt;key app="EN" db-id="2pe9e00ros0veneeptspa5vhz0pw2az52v20" timestamp="1700858323" guid="a6b9de63-42f1-4278-8ae2-6b63a11d547c"&gt;2249&lt;/key&gt;&lt;/foreign-keys&gt;&lt;ref-type name="Book"&gt;6&lt;/ref-type&gt;&lt;contributors&gt;&lt;authors&gt;&lt;author&gt;Martin, James R&lt;/author&gt;&lt;author&gt;White, Peter R&lt;/author&gt;&lt;/authors&gt;&lt;/contributors&gt;&lt;titles&gt;&lt;title&gt;The language of evaluation: Appraisal in English&lt;/title&gt;&lt;/titles&gt;&lt;dates&gt;&lt;year&gt;2005&lt;/year&gt;&lt;/dates&gt;&lt;publisher&gt;Palgrave Macmillan&lt;/publisher&gt;&lt;urls&gt;&lt;/urls&gt;&lt;/record&gt;&lt;/Cite&gt;&lt;/EndNote&gt;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(Martin &amp; White, 2005)</w:t>
      </w:r>
      <w:r>
        <w:rPr>
          <w:rFonts w:ascii="Times New Roman" w:hAnsi="Times New Roman" w:cs="Times New Roman"/>
        </w:rPr>
        <w:fldChar w:fldCharType="end"/>
      </w:r>
      <w:r>
        <w:rPr>
          <w:rFonts w:ascii="Times New Roman" w:hAnsi="Times New Roman" w:cs="Times New Roman"/>
        </w:rPr>
        <w:t xml:space="preserve">. </w:t>
      </w:r>
      <w:r w:rsidRPr="00E44F17">
        <w:rPr>
          <w:rFonts w:ascii="Times New Roman" w:hAnsi="Times New Roman" w:cs="Times New Roman"/>
          <w:i/>
          <w:iCs/>
        </w:rPr>
        <w:t xml:space="preserve">Engagement </w:t>
      </w:r>
      <w:r>
        <w:rPr>
          <w:rFonts w:ascii="Times New Roman" w:hAnsi="Times New Roman" w:cs="Times New Roman"/>
        </w:rPr>
        <w:t>suggests that a speaker’s locution (i.e., wordings are traditionally treated under such headings as modality, polarity, evidentiality, intensification, attribution, concession, and consequentiality) “provides the means for the authorial voice to position itself with respect to, and hence to engage with, the other voices and alternative positions construed as being in play in the current communicative context”</w:t>
      </w:r>
      <w:r w:rsidRPr="00E44F17">
        <w:rPr>
          <w:rFonts w:ascii="Times New Roman" w:hAnsi="Times New Roman" w:cs="Times New Roman"/>
          <w:noProof/>
        </w:rPr>
        <w:t xml:space="preserve"> </w:t>
      </w:r>
      <w:r>
        <w:rPr>
          <w:rFonts w:ascii="Times New Roman" w:hAnsi="Times New Roman" w:cs="Times New Roman"/>
          <w:noProof/>
        </w:rPr>
        <w:t xml:space="preserve">(Martin &amp; White, 2005, p. 94). </w:t>
      </w:r>
      <w:r w:rsidRPr="00E44F17">
        <w:rPr>
          <w:rFonts w:ascii="Times New Roman" w:hAnsi="Times New Roman" w:cs="Times New Roman"/>
          <w:i/>
          <w:iCs/>
          <w:noProof/>
        </w:rPr>
        <w:t>Graduation</w:t>
      </w:r>
      <w:r>
        <w:rPr>
          <w:rFonts w:ascii="Times New Roman" w:hAnsi="Times New Roman" w:cs="Times New Roman"/>
          <w:noProof/>
        </w:rPr>
        <w:t xml:space="preserve"> indicates that words of hedges, downtoners, boosters, and intensifiers (such as somewhat, slightly, very, entirely, and etc.) “enable speakers/writers to present themselves as more strongly aligned or less strongly aligned with the value position </w:t>
      </w:r>
      <w:r>
        <w:rPr>
          <w:rFonts w:ascii="Times New Roman" w:hAnsi="Times New Roman" w:cs="Times New Roman"/>
          <w:noProof/>
        </w:rPr>
        <w:lastRenderedPageBreak/>
        <w:t>being advanced by the text and thereby to locate themselves with respect to the communities of shared value and belief associated with those positions”</w:t>
      </w:r>
      <w:r w:rsidRPr="00FF44A0">
        <w:rPr>
          <w:rFonts w:ascii="Times New Roman" w:hAnsi="Times New Roman" w:cs="Times New Roman"/>
        </w:rPr>
        <w:t xml:space="preserve"> </w:t>
      </w:r>
      <w:r>
        <w:rPr>
          <w:rFonts w:ascii="Times New Roman" w:hAnsi="Times New Roman" w:cs="Times New Roman"/>
          <w:noProof/>
        </w:rPr>
        <w:t xml:space="preserve">(Martin &amp; White, 2005, p. 94). </w:t>
      </w:r>
      <w:r>
        <w:rPr>
          <w:rFonts w:ascii="Times New Roman" w:hAnsi="Times New Roman" w:cs="Times New Roman"/>
        </w:rPr>
        <w:t xml:space="preserve">According to </w:t>
      </w:r>
      <w:r w:rsidRPr="006C6470">
        <w:rPr>
          <w:rFonts w:ascii="Times New Roman" w:hAnsi="Times New Roman" w:cs="Times New Roman"/>
          <w:i/>
          <w:iCs/>
        </w:rPr>
        <w:t xml:space="preserve">engagement </w:t>
      </w:r>
      <w:r>
        <w:rPr>
          <w:rFonts w:ascii="Times New Roman" w:hAnsi="Times New Roman" w:cs="Times New Roman"/>
        </w:rPr>
        <w:t xml:space="preserve">and </w:t>
      </w:r>
      <w:r w:rsidRPr="006C6470">
        <w:rPr>
          <w:rFonts w:ascii="Times New Roman" w:hAnsi="Times New Roman" w:cs="Times New Roman"/>
          <w:i/>
          <w:iCs/>
        </w:rPr>
        <w:t>graduation</w:t>
      </w:r>
      <w:r>
        <w:rPr>
          <w:rFonts w:ascii="Times New Roman" w:hAnsi="Times New Roman" w:cs="Times New Roman"/>
        </w:rPr>
        <w:t xml:space="preserve">, </w:t>
      </w:r>
      <w:r w:rsidRPr="00801794">
        <w:rPr>
          <w:rFonts w:ascii="Times New Roman" w:hAnsi="Times New Roman" w:cs="Times New Roman"/>
        </w:rPr>
        <w:t xml:space="preserve">a speaker’s talk can be examined for how the speaker’s position is aligned or </w:t>
      </w:r>
      <w:r>
        <w:rPr>
          <w:rFonts w:ascii="Times New Roman" w:hAnsi="Times New Roman" w:cs="Times New Roman"/>
        </w:rPr>
        <w:t>un</w:t>
      </w:r>
      <w:r w:rsidRPr="00801794">
        <w:rPr>
          <w:rFonts w:ascii="Times New Roman" w:hAnsi="Times New Roman" w:cs="Times New Roman"/>
        </w:rPr>
        <w:t xml:space="preserve">aligned concerning various value positions (discourses) </w:t>
      </w:r>
      <w:r>
        <w:rPr>
          <w:rFonts w:ascii="Times New Roman" w:hAnsi="Times New Roman" w:cs="Times New Roman"/>
        </w:rPr>
        <w:t xml:space="preserve">at play </w:t>
      </w:r>
      <w:r>
        <w:rPr>
          <w:rFonts w:ascii="Times New Roman" w:hAnsi="Times New Roman" w:cs="Times New Roman"/>
        </w:rPr>
        <w:fldChar w:fldCharType="begin"/>
      </w:r>
      <w:r>
        <w:rPr>
          <w:rFonts w:ascii="Times New Roman" w:hAnsi="Times New Roman" w:cs="Times New Roman"/>
        </w:rPr>
        <w:instrText xml:space="preserve"> ADDIN EN.CITE &lt;EndNote&gt;&lt;Cite&gt;&lt;Author&gt;Baxter&lt;/Author&gt;&lt;Year&gt;2011&lt;/Year&gt;&lt;RecNum&gt;1633&lt;/RecNum&gt;&lt;DisplayText&gt;(Baxter, 2011)&lt;/DisplayText&gt;&lt;record&gt;&lt;rec-number&gt;1633&lt;/rec-number&gt;&lt;foreign-keys&gt;&lt;key app="EN" db-id="2pe9e00ros0veneeptspa5vhz0pw2az52v20" timestamp="1651286064" guid="faff47c4-c762-4121-b9c8-9978bd77054b"&gt;1633&lt;/key&gt;&lt;/foreign-keys&gt;&lt;ref-type name="Book"&gt;6&lt;/ref-type&gt;&lt;contributors&gt;&lt;authors&gt;&lt;author&gt;Baxter, Leslie A.&lt;/author&gt;&lt;/authors&gt;&lt;/contributors&gt;&lt;titles&gt;&lt;title&gt;Voicing relationships: a dialogic perspective&lt;/title&gt;&lt;/titles&gt;&lt;keywords&gt;&lt;keyword&gt;Bakhtin, M. M. (Mikhail Mikhaĭlovich), 1895-1975&lt;/keyword&gt;&lt;keyword&gt;Interpersonal relations&lt;/keyword&gt;&lt;keyword&gt;Dialogue analysis&lt;/keyword&gt;&lt;/keywords&gt;&lt;dates&gt;&lt;year&gt;2011&lt;/year&gt;&lt;/dates&gt;&lt;pub-location&gt;Thousand Oaks, Calif.&lt;/pub-location&gt;&lt;publisher&gt;SAGE Publications, Inc&lt;/publisher&gt;&lt;urls&gt;&lt;/urls&gt;&lt;/record&gt;&lt;/Cite&gt;&lt;/EndNote&gt;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(Baxter, 2011)</w:t>
      </w:r>
      <w:r>
        <w:rPr>
          <w:rFonts w:ascii="Times New Roman" w:hAnsi="Times New Roman" w:cs="Times New Roman"/>
        </w:rPr>
        <w:fldChar w:fldCharType="end"/>
      </w:r>
      <w:r>
        <w:rPr>
          <w:rFonts w:ascii="Times New Roman" w:hAnsi="Times New Roman" w:cs="Times New Roman"/>
        </w:rPr>
        <w:t xml:space="preserve">. Therefore, RDT scholars can identify discourse interplay by studying the utterance chain. </w:t>
      </w:r>
    </w:p>
    <w:p w14:paraId="1534946E" w14:textId="77777777" w:rsidR="00256B3D" w:rsidRDefault="00256B3D" w:rsidP="00256B3D">
      <w:pPr>
        <w:spacing w:line="480" w:lineRule="auto"/>
        <w:ind w:firstLine="720"/>
        <w:rPr>
          <w:rFonts w:ascii="Times New Roman" w:eastAsia="Times" w:hAnsi="Times New Roman" w:cs="Times New Roman"/>
          <w:color w:val="000000" w:themeColor="text1"/>
        </w:rPr>
      </w:pPr>
      <w:r>
        <w:rPr>
          <w:rFonts w:ascii="Times New Roman" w:eastAsia="Times" w:hAnsi="Times New Roman" w:cs="Times New Roman"/>
          <w:color w:val="000000" w:themeColor="text1"/>
        </w:rPr>
        <w:t xml:space="preserve">According to RDT, three kinds of discourse markers are important in identifying discourses positioned in counterpoint relation to one another: negating, countering, and entertaining. </w:t>
      </w:r>
      <w:r w:rsidRPr="00E7632E">
        <w:rPr>
          <w:rFonts w:ascii="Times New Roman" w:eastAsia="Times" w:hAnsi="Times New Roman" w:cs="Times New Roman"/>
          <w:i/>
          <w:iCs/>
          <w:color w:val="000000" w:themeColor="text1"/>
        </w:rPr>
        <w:t xml:space="preserve">Negating </w:t>
      </w:r>
      <w:r>
        <w:rPr>
          <w:rFonts w:ascii="Times New Roman" w:eastAsia="Times" w:hAnsi="Times New Roman" w:cs="Times New Roman"/>
          <w:color w:val="000000" w:themeColor="text1"/>
        </w:rPr>
        <w:t xml:space="preserve">is a disclaiming that serves to reject or supplant a discourse or to claim it as irrelevant. For example, the lexical marker “I do not believe …” represents negating. The author argues that negating is </w:t>
      </w:r>
      <w:proofErr w:type="gramStart"/>
      <w:r>
        <w:rPr>
          <w:rFonts w:ascii="Times New Roman" w:eastAsia="Times" w:hAnsi="Times New Roman" w:cs="Times New Roman"/>
          <w:color w:val="000000" w:themeColor="text1"/>
        </w:rPr>
        <w:t>similar to</w:t>
      </w:r>
      <w:proofErr w:type="gramEnd"/>
      <w:r>
        <w:rPr>
          <w:rFonts w:ascii="Times New Roman" w:eastAsia="Times" w:hAnsi="Times New Roman" w:cs="Times New Roman"/>
          <w:color w:val="000000" w:themeColor="text1"/>
        </w:rPr>
        <w:t xml:space="preserve"> denying. </w:t>
      </w:r>
      <w:r w:rsidRPr="00E7632E">
        <w:rPr>
          <w:rFonts w:ascii="Times New Roman" w:eastAsia="Times" w:hAnsi="Times New Roman" w:cs="Times New Roman"/>
          <w:i/>
          <w:iCs/>
          <w:color w:val="000000" w:themeColor="text1"/>
        </w:rPr>
        <w:t xml:space="preserve">Countering </w:t>
      </w:r>
      <w:r>
        <w:rPr>
          <w:rFonts w:ascii="Times New Roman" w:eastAsia="Times" w:hAnsi="Times New Roman" w:cs="Times New Roman"/>
          <w:color w:val="000000" w:themeColor="text1"/>
        </w:rPr>
        <w:t xml:space="preserve">is another disclaiming by which some discursive position replaces or supplants an alternative discursive position that could normally have been expected in its place. Countering is indicated by lexical conjunction markers such as “although, however, </w:t>
      </w:r>
      <w:proofErr w:type="gramStart"/>
      <w:r>
        <w:rPr>
          <w:rFonts w:ascii="Times New Roman" w:eastAsia="Times" w:hAnsi="Times New Roman" w:cs="Times New Roman"/>
          <w:color w:val="000000" w:themeColor="text1"/>
        </w:rPr>
        <w:t>but,</w:t>
      </w:r>
      <w:proofErr w:type="gramEnd"/>
      <w:r>
        <w:rPr>
          <w:rFonts w:ascii="Times New Roman" w:eastAsia="Times" w:hAnsi="Times New Roman" w:cs="Times New Roman"/>
          <w:color w:val="000000" w:themeColor="text1"/>
        </w:rPr>
        <w:t xml:space="preserve"> yet, nevertheless” and lexical adjunct markers such as “even, only, just, still.” The author argues that countering is </w:t>
      </w:r>
      <w:proofErr w:type="gramStart"/>
      <w:r>
        <w:rPr>
          <w:rFonts w:ascii="Times New Roman" w:eastAsia="Times" w:hAnsi="Times New Roman" w:cs="Times New Roman"/>
          <w:color w:val="000000" w:themeColor="text1"/>
        </w:rPr>
        <w:t>similar to</w:t>
      </w:r>
      <w:proofErr w:type="gramEnd"/>
      <w:r>
        <w:rPr>
          <w:rFonts w:ascii="Times New Roman" w:eastAsia="Times" w:hAnsi="Times New Roman" w:cs="Times New Roman"/>
          <w:color w:val="000000" w:themeColor="text1"/>
        </w:rPr>
        <w:t xml:space="preserve"> replacement. </w:t>
      </w:r>
      <w:r w:rsidRPr="004E2C24">
        <w:rPr>
          <w:rFonts w:ascii="Times New Roman" w:eastAsia="Times" w:hAnsi="Times New Roman" w:cs="Times New Roman"/>
          <w:i/>
          <w:iCs/>
          <w:color w:val="000000" w:themeColor="text1"/>
        </w:rPr>
        <w:t>Entertaining</w:t>
      </w:r>
      <w:r>
        <w:rPr>
          <w:rFonts w:ascii="Times New Roman" w:eastAsia="Times" w:hAnsi="Times New Roman" w:cs="Times New Roman"/>
          <w:color w:val="000000" w:themeColor="text1"/>
        </w:rPr>
        <w:t xml:space="preserve"> functions to indicate a given discursive position that is one possibility among alternative discursive positions. Entertaining is suggested by some lexical auxiliary markers such as “might, may, could,” some lexical attribute markers such as “possible, likely, seem,” and some lexical choice markers such as “on one hand…on the other hand.” The author argues that entertaining is </w:t>
      </w:r>
      <w:proofErr w:type="gramStart"/>
      <w:r>
        <w:rPr>
          <w:rFonts w:ascii="Times New Roman" w:eastAsia="Times" w:hAnsi="Times New Roman" w:cs="Times New Roman"/>
          <w:color w:val="000000" w:themeColor="text1"/>
        </w:rPr>
        <w:t>similar to</w:t>
      </w:r>
      <w:proofErr w:type="gramEnd"/>
      <w:r>
        <w:rPr>
          <w:rFonts w:ascii="Times New Roman" w:eastAsia="Times" w:hAnsi="Times New Roman" w:cs="Times New Roman"/>
          <w:color w:val="000000" w:themeColor="text1"/>
        </w:rPr>
        <w:t xml:space="preserve"> alternative/other. </w:t>
      </w:r>
    </w:p>
    <w:p w14:paraId="1D2EFBC2" w14:textId="77777777" w:rsidR="00256B3D" w:rsidRDefault="00256B3D" w:rsidP="00256B3D">
      <w:pPr>
        <w:spacing w:line="480" w:lineRule="auto"/>
        <w:ind w:firstLine="720"/>
        <w:rPr>
          <w:rFonts w:ascii="Times New Roman" w:hAnsi="Times New Roman" w:cs="Times New Roman"/>
        </w:rPr>
      </w:pPr>
      <w:r>
        <w:rPr>
          <w:rFonts w:ascii="Times New Roman" w:eastAsia="Times" w:hAnsi="Times New Roman" w:cs="Times New Roman"/>
          <w:color w:val="000000" w:themeColor="text1"/>
        </w:rPr>
        <w:t xml:space="preserve">According to RDT, the interplay of competing discourses is reflected as dialogically contractive discursive practices and expansive discursive practices. </w:t>
      </w:r>
      <w:r w:rsidRPr="00E210D4">
        <w:rPr>
          <w:rFonts w:ascii="Times New Roman" w:eastAsia="Times" w:hAnsi="Times New Roman" w:cs="Times New Roman"/>
          <w:i/>
          <w:iCs/>
          <w:color w:val="000000" w:themeColor="text1"/>
        </w:rPr>
        <w:t>Dialogically contractive discursive practices</w:t>
      </w:r>
      <w:r>
        <w:rPr>
          <w:rFonts w:ascii="Times New Roman" w:eastAsia="Times" w:hAnsi="Times New Roman" w:cs="Times New Roman"/>
          <w:color w:val="000000" w:themeColor="text1"/>
        </w:rPr>
        <w:t xml:space="preserve"> are deployed to challenge alternative discourses for the purpose of </w:t>
      </w:r>
      <w:r>
        <w:rPr>
          <w:rFonts w:ascii="Times New Roman" w:eastAsia="Times" w:hAnsi="Times New Roman" w:cs="Times New Roman"/>
          <w:color w:val="000000" w:themeColor="text1"/>
        </w:rPr>
        <w:lastRenderedPageBreak/>
        <w:t>marginalizing and even silencing them. Dialogically contractive discursive practices include utterance tones and practices of discursive closure. For utterance tones,</w:t>
      </w:r>
      <w:r w:rsidRPr="00736C0F">
        <w:rPr>
          <w:rFonts w:ascii="Times New Roman" w:hAnsi="Times New Roman" w:cs="Times New Roman"/>
        </w:rPr>
        <w:t xml:space="preserve"> </w:t>
      </w:r>
      <w:r>
        <w:rPr>
          <w:rFonts w:ascii="Times New Roman" w:hAnsi="Times New Roman" w:cs="Times New Roman"/>
        </w:rPr>
        <w:t xml:space="preserve">the </w:t>
      </w:r>
      <w:r>
        <w:rPr>
          <w:rFonts w:ascii="Times New Roman" w:hAnsi="Times New Roman" w:cs="Times New Roman"/>
          <w:i/>
          <w:iCs/>
        </w:rPr>
        <w:t>r</w:t>
      </w:r>
      <w:r w:rsidRPr="002126CE">
        <w:rPr>
          <w:rFonts w:ascii="Times New Roman" w:hAnsi="Times New Roman" w:cs="Times New Roman"/>
          <w:i/>
          <w:iCs/>
        </w:rPr>
        <w:t>ogue</w:t>
      </w:r>
      <w:r>
        <w:rPr>
          <w:rFonts w:ascii="Times New Roman" w:hAnsi="Times New Roman" w:cs="Times New Roman"/>
        </w:rPr>
        <w:t xml:space="preserve"> (i.e., parody), the </w:t>
      </w:r>
      <w:r w:rsidRPr="002126CE">
        <w:rPr>
          <w:rFonts w:ascii="Times New Roman" w:hAnsi="Times New Roman" w:cs="Times New Roman"/>
          <w:i/>
          <w:iCs/>
        </w:rPr>
        <w:t>fool</w:t>
      </w:r>
      <w:r>
        <w:rPr>
          <w:rFonts w:ascii="Times New Roman" w:hAnsi="Times New Roman" w:cs="Times New Roman"/>
        </w:rPr>
        <w:t xml:space="preserve"> (i.e., enacted ignorance for purposes of unmasking implicit assumptions), and the </w:t>
      </w:r>
      <w:r w:rsidRPr="002126CE">
        <w:rPr>
          <w:rFonts w:ascii="Times New Roman" w:hAnsi="Times New Roman" w:cs="Times New Roman"/>
          <w:i/>
          <w:iCs/>
        </w:rPr>
        <w:t>clown</w:t>
      </w:r>
      <w:r>
        <w:rPr>
          <w:rFonts w:ascii="Times New Roman" w:hAnsi="Times New Roman" w:cs="Times New Roman"/>
        </w:rPr>
        <w:t xml:space="preserve"> (i.e., malicious distortion of a discursive position for purposes of laughing at its absurdity) are three playful devices through which a competing discourse can be challenged.</w:t>
      </w:r>
    </w:p>
    <w:p w14:paraId="2E7CF301" w14:textId="77777777" w:rsidR="00256B3D" w:rsidRDefault="00256B3D" w:rsidP="00256B3D">
      <w:pPr>
        <w:spacing w:line="480" w:lineRule="auto"/>
        <w:ind w:firstLine="720"/>
        <w:rPr>
          <w:rFonts w:ascii="Times New Roman" w:hAnsi="Times New Roman" w:cs="Times New Roman"/>
        </w:rPr>
      </w:pPr>
      <w:r>
        <w:rPr>
          <w:rFonts w:ascii="Times New Roman" w:hAnsi="Times New Roman" w:cs="Times New Roman"/>
        </w:rPr>
        <w:t xml:space="preserve">For practices of discursive closure, </w:t>
      </w:r>
      <w:r>
        <w:rPr>
          <w:rFonts w:ascii="Times New Roman" w:hAnsi="Times New Roman" w:cs="Times New Roman"/>
        </w:rPr>
        <w:fldChar w:fldCharType="begin"/>
      </w:r>
      <w:r>
        <w:rPr>
          <w:rFonts w:ascii="Times New Roman" w:hAnsi="Times New Roman" w:cs="Times New Roman"/>
        </w:rPr>
        <w:instrText xml:space="preserve"> ADDIN EN.CITE &lt;EndNote&gt;&lt;Cite AuthorYear="1"&gt;&lt;Author&gt;Deetz&lt;/Author&gt;&lt;Year&gt;1992&lt;/Year&gt;&lt;RecNum&gt;2250&lt;/RecNum&gt;&lt;DisplayText&gt;Deetz (1992)&lt;/DisplayText&gt;&lt;record&gt;&lt;rec-number&gt;2250&lt;/rec-number&gt;&lt;foreign-keys&gt;&lt;key app="EN" db-id="2pe9e00ros0veneeptspa5vhz0pw2az52v20" timestamp="1700883265" guid="2264e63e-9d43-4340-9aeb-45f75e469407"&gt;2250&lt;/key&gt;&lt;/foreign-keys&gt;&lt;ref-type name="Book"&gt;6&lt;/ref-type&gt;&lt;contributors&gt;&lt;authors&gt;&lt;author&gt;Deetz, Stanley&lt;/author&gt;&lt;/authors&gt;&lt;/contributors&gt;&lt;titles&gt;&lt;title&gt;Democracy in an age of corporate colonization: Developments in communication and the politics of everyday life&lt;/title&gt;&lt;/titles&gt;&lt;dates&gt;&lt;year&gt;1992&lt;/year&gt;&lt;/dates&gt;&lt;publisher&gt;SUNY press&lt;/publisher&gt;&lt;isbn&gt;0791408639&lt;/isbn&gt;&lt;urls&gt;&lt;/urls&gt;&lt;/record&gt;&lt;/Cite&gt;&lt;/EndNote&gt;</w:instrText>
      </w:r>
      <w:r>
        <w:rPr>
          <w:rFonts w:ascii="Times New Roman" w:hAnsi="Times New Roman" w:cs="Times New Roman"/>
        </w:rPr>
        <w:fldChar w:fldCharType="separate"/>
      </w:r>
      <w:r>
        <w:rPr>
          <w:rFonts w:ascii="Times New Roman" w:hAnsi="Times New Roman" w:cs="Times New Roman"/>
          <w:noProof/>
        </w:rPr>
        <w:t>Deetz (1992)</w:t>
      </w:r>
      <w:r>
        <w:rPr>
          <w:rFonts w:ascii="Times New Roman" w:hAnsi="Times New Roman" w:cs="Times New Roman"/>
        </w:rPr>
        <w:fldChar w:fldCharType="end"/>
      </w:r>
      <w:r>
        <w:rPr>
          <w:rFonts w:ascii="Times New Roman" w:hAnsi="Times New Roman" w:cs="Times New Roman"/>
        </w:rPr>
        <w:t xml:space="preserve"> identifies several discursive practices by which some discourses are challenged and other discourses are privileged. Those discursive practices include disqualification, naturalization, neutralization, topical avoidance, subjectification of experience, and pacification. These practices are proposed for organizational communication but can be imported into the study of relational communication </w:t>
      </w:r>
      <w:r>
        <w:rPr>
          <w:rFonts w:ascii="Times New Roman" w:hAnsi="Times New Roman" w:cs="Times New Roman"/>
        </w:rPr>
        <w:fldChar w:fldCharType="begin"/>
      </w:r>
      <w:r>
        <w:rPr>
          <w:rFonts w:ascii="Times New Roman" w:hAnsi="Times New Roman" w:cs="Times New Roman"/>
        </w:rPr>
        <w:instrText xml:space="preserve"> ADDIN EN.CITE &lt;EndNote&gt;&lt;Cite&gt;&lt;Author&gt;Baxter&lt;/Author&gt;&lt;Year&gt;2011&lt;/Year&gt;&lt;RecNum&gt;1633&lt;/RecNum&gt;&lt;DisplayText&gt;(Baxter, 2011)&lt;/DisplayText&gt;&lt;record&gt;&lt;rec-number&gt;1633&lt;/rec-number&gt;&lt;foreign-keys&gt;&lt;key app="EN" db-id="2pe9e00ros0veneeptspa5vhz0pw2az52v20" timestamp="1651286064" guid="faff47c4-c762-4121-b9c8-9978bd77054b"&gt;1633&lt;/key&gt;&lt;/foreign-keys&gt;&lt;ref-type name="Book"&gt;6&lt;/ref-type&gt;&lt;contributors&gt;&lt;authors&gt;&lt;author&gt;Baxter, Leslie A.&lt;/author&gt;&lt;/authors&gt;&lt;/contributors&gt;&lt;titles&gt;&lt;title&gt;Voicing relationships: a dialogic perspective&lt;/title&gt;&lt;/titles&gt;&lt;keywords&gt;&lt;keyword&gt;Bakhtin, M. M. (Mikhail Mikhaĭlovich), 1895-1975&lt;/keyword&gt;&lt;keyword&gt;Interpersonal relations&lt;/keyword&gt;&lt;keyword&gt;Dialogue analysis&lt;/keyword&gt;&lt;/keywords&gt;&lt;dates&gt;&lt;year&gt;2011&lt;/year&gt;&lt;/dates&gt;&lt;pub-location&gt;Thousand Oaks, Calif.&lt;/pub-location&gt;&lt;publisher&gt;SAGE Publications, Inc&lt;/publisher&gt;&lt;urls&gt;&lt;/urls&gt;&lt;/record&gt;&lt;/Cite&gt;&lt;/EndNote&gt;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(Baxter, 2011)</w:t>
      </w:r>
      <w:r>
        <w:rPr>
          <w:rFonts w:ascii="Times New Roman" w:hAnsi="Times New Roman" w:cs="Times New Roman"/>
        </w:rPr>
        <w:fldChar w:fldCharType="end"/>
      </w:r>
      <w:r>
        <w:rPr>
          <w:rFonts w:ascii="Times New Roman" w:hAnsi="Times New Roman" w:cs="Times New Roman"/>
        </w:rPr>
        <w:t xml:space="preserve">. </w:t>
      </w:r>
      <w:r w:rsidRPr="008C2760">
        <w:rPr>
          <w:rFonts w:ascii="Times New Roman" w:hAnsi="Times New Roman" w:cs="Times New Roman"/>
          <w:i/>
          <w:iCs/>
        </w:rPr>
        <w:t>Disqualification</w:t>
      </w:r>
      <w:r>
        <w:rPr>
          <w:rFonts w:ascii="Times New Roman" w:hAnsi="Times New Roman" w:cs="Times New Roman"/>
        </w:rPr>
        <w:t xml:space="preserve"> is a discursive move in which alternative discourses are denied a hearing because the embodied persons or groups aligned with those positions are presented as lacking expertise or the right of expression, such as an utterance, “You lost the privilege of critiquing the dinner because you did not meet your kitchen responsibility.” </w:t>
      </w:r>
      <w:r w:rsidRPr="008C2760">
        <w:rPr>
          <w:rFonts w:ascii="Times New Roman" w:hAnsi="Times New Roman" w:cs="Times New Roman"/>
          <w:i/>
          <w:iCs/>
        </w:rPr>
        <w:t xml:space="preserve">Naturalization </w:t>
      </w:r>
      <w:r>
        <w:rPr>
          <w:rFonts w:ascii="Times New Roman" w:hAnsi="Times New Roman" w:cs="Times New Roman"/>
        </w:rPr>
        <w:t xml:space="preserve">is the discursive practice of reification, such as an utterance, “My husband has cheated on me several times, and that is just the way men are.” </w:t>
      </w:r>
      <w:r w:rsidRPr="008C2760">
        <w:rPr>
          <w:rFonts w:ascii="Times New Roman" w:hAnsi="Times New Roman" w:cs="Times New Roman"/>
          <w:i/>
          <w:iCs/>
        </w:rPr>
        <w:t>Neutralization</w:t>
      </w:r>
      <w:r>
        <w:rPr>
          <w:rFonts w:ascii="Times New Roman" w:hAnsi="Times New Roman" w:cs="Times New Roman"/>
        </w:rPr>
        <w:t xml:space="preserve"> is a talk in which value-laden discursive positions are value-free or objective, such as the utterance, “My teacher says that the job of teenagers is to be independent of their parents, and it is part of growing up and becoming an adult, so you cannot tell me what to do anymore.” </w:t>
      </w:r>
      <w:r w:rsidRPr="008C2760">
        <w:rPr>
          <w:rFonts w:ascii="Times New Roman" w:hAnsi="Times New Roman" w:cs="Times New Roman"/>
          <w:i/>
          <w:iCs/>
        </w:rPr>
        <w:t>Topical avoidance</w:t>
      </w:r>
      <w:r>
        <w:rPr>
          <w:rFonts w:ascii="Times New Roman" w:hAnsi="Times New Roman" w:cs="Times New Roman"/>
        </w:rPr>
        <w:t xml:space="preserve"> is that under the mantle of propriety, certain alternative discursive positions are constructed as off-limits for discussion. For example, the cultural discourses of privacy and patriarchy have functioned to silence disclosure of abuse perpetrated by men against women and adults against children. </w:t>
      </w:r>
      <w:r w:rsidRPr="00CE73A5">
        <w:rPr>
          <w:rFonts w:ascii="Times New Roman" w:hAnsi="Times New Roman" w:cs="Times New Roman"/>
          <w:i/>
          <w:iCs/>
        </w:rPr>
        <w:t>Subjectification of experience</w:t>
      </w:r>
      <w:r>
        <w:rPr>
          <w:rFonts w:ascii="Times New Roman" w:hAnsi="Times New Roman" w:cs="Times New Roman"/>
        </w:rPr>
        <w:t xml:space="preserve"> argues that a given value position is simply a matter of individual opinion or experience, as </w:t>
      </w:r>
      <w:r>
        <w:rPr>
          <w:rFonts w:ascii="Times New Roman" w:hAnsi="Times New Roman" w:cs="Times New Roman"/>
        </w:rPr>
        <w:lastRenderedPageBreak/>
        <w:t xml:space="preserve">opposed to being a social formation, and speakers can </w:t>
      </w:r>
      <w:proofErr w:type="gramStart"/>
      <w:r>
        <w:rPr>
          <w:rFonts w:ascii="Times New Roman" w:hAnsi="Times New Roman" w:cs="Times New Roman"/>
        </w:rPr>
        <w:t>close down</w:t>
      </w:r>
      <w:proofErr w:type="gramEnd"/>
      <w:r>
        <w:rPr>
          <w:rFonts w:ascii="Times New Roman" w:hAnsi="Times New Roman" w:cs="Times New Roman"/>
        </w:rPr>
        <w:t xml:space="preserve"> challenges from competing discourse positions, such as the utterance, “This is just the way I feel about it, and you cannot tell me how to feel because you are not me.” </w:t>
      </w:r>
      <w:r w:rsidRPr="00CE73A5">
        <w:rPr>
          <w:rFonts w:ascii="Times New Roman" w:hAnsi="Times New Roman" w:cs="Times New Roman"/>
          <w:i/>
          <w:iCs/>
        </w:rPr>
        <w:t>Pacification</w:t>
      </w:r>
      <w:r>
        <w:rPr>
          <w:rFonts w:ascii="Times New Roman" w:hAnsi="Times New Roman" w:cs="Times New Roman"/>
          <w:i/>
          <w:iCs/>
        </w:rPr>
        <w:t xml:space="preserve"> </w:t>
      </w:r>
      <w:r>
        <w:rPr>
          <w:rFonts w:ascii="Times New Roman" w:hAnsi="Times New Roman" w:cs="Times New Roman"/>
        </w:rPr>
        <w:t xml:space="preserve">is a powerful discursive practice by which competing discourses can be silenced. Competing discourses can be pacified by positioning differences as trivial or futile, following a discursive plea to a higher-order discursive position such as consensus, and co-opting on others’ perspectives. </w:t>
      </w:r>
    </w:p>
    <w:p w14:paraId="0A8349AE" w14:textId="77777777" w:rsidR="00256B3D" w:rsidRDefault="00256B3D" w:rsidP="00256B3D">
      <w:pPr>
        <w:spacing w:line="480" w:lineRule="auto"/>
        <w:ind w:firstLine="720"/>
        <w:rPr>
          <w:rFonts w:ascii="Times New Roman" w:eastAsia="Times" w:hAnsi="Times New Roman" w:cs="Times New Roman"/>
          <w:color w:val="000000" w:themeColor="text1"/>
        </w:rPr>
      </w:pPr>
      <w:r w:rsidRPr="00E210D4">
        <w:rPr>
          <w:rFonts w:ascii="Times New Roman" w:eastAsia="Times" w:hAnsi="Times New Roman" w:cs="Times New Roman"/>
          <w:i/>
          <w:iCs/>
          <w:color w:val="000000" w:themeColor="text1"/>
        </w:rPr>
        <w:t xml:space="preserve">Dialogically </w:t>
      </w:r>
      <w:r>
        <w:rPr>
          <w:rFonts w:ascii="Times New Roman" w:eastAsia="Times" w:hAnsi="Times New Roman" w:cs="Times New Roman"/>
          <w:i/>
          <w:iCs/>
          <w:color w:val="000000" w:themeColor="text1"/>
        </w:rPr>
        <w:t>expansive</w:t>
      </w:r>
      <w:r w:rsidRPr="00E210D4">
        <w:rPr>
          <w:rFonts w:ascii="Times New Roman" w:eastAsia="Times" w:hAnsi="Times New Roman" w:cs="Times New Roman"/>
          <w:i/>
          <w:iCs/>
          <w:color w:val="000000" w:themeColor="text1"/>
        </w:rPr>
        <w:t xml:space="preserve"> discursive practic</w:t>
      </w:r>
      <w:r>
        <w:rPr>
          <w:rFonts w:ascii="Times New Roman" w:eastAsia="Times" w:hAnsi="Times New Roman" w:cs="Times New Roman"/>
          <w:i/>
          <w:iCs/>
          <w:color w:val="000000" w:themeColor="text1"/>
        </w:rPr>
        <w:t xml:space="preserve">es </w:t>
      </w:r>
      <w:r>
        <w:rPr>
          <w:rFonts w:ascii="Times New Roman" w:eastAsia="Times" w:hAnsi="Times New Roman" w:cs="Times New Roman"/>
          <w:color w:val="000000" w:themeColor="text1"/>
        </w:rPr>
        <w:t xml:space="preserve">are deployed </w:t>
      </w:r>
      <w:r w:rsidRPr="00BF3471">
        <w:rPr>
          <w:rFonts w:ascii="Times New Roman" w:eastAsia="Times" w:hAnsi="Times New Roman" w:cs="Times New Roman"/>
          <w:color w:val="000000" w:themeColor="text1"/>
        </w:rPr>
        <w:t xml:space="preserve">to align with marginalized discursive positions to dislodge the dominance of centripetal discourses, and these discursive practices </w:t>
      </w:r>
      <w:proofErr w:type="gramStart"/>
      <w:r w:rsidRPr="00BF3471">
        <w:rPr>
          <w:rFonts w:ascii="Times New Roman" w:eastAsia="Times" w:hAnsi="Times New Roman" w:cs="Times New Roman"/>
          <w:color w:val="000000" w:themeColor="text1"/>
        </w:rPr>
        <w:t>open up</w:t>
      </w:r>
      <w:proofErr w:type="gramEnd"/>
      <w:r w:rsidRPr="00BF3471">
        <w:rPr>
          <w:rFonts w:ascii="Times New Roman" w:eastAsia="Times" w:hAnsi="Times New Roman" w:cs="Times New Roman"/>
          <w:color w:val="000000" w:themeColor="text1"/>
        </w:rPr>
        <w:t xml:space="preserve"> the conversation to those alternative voices.</w:t>
      </w:r>
      <w:r>
        <w:rPr>
          <w:rFonts w:ascii="Times New Roman" w:eastAsia="Times" w:hAnsi="Times New Roman" w:cs="Times New Roman"/>
          <w:color w:val="000000" w:themeColor="text1"/>
        </w:rPr>
        <w:t xml:space="preserve"> Attributing functions in a dialogically expansive way, such as some lexical attribute markers “possible, likely, seem,” and some lexical choice markers “on the one hand…on the other hand.” Existing work on dialogically expansive discursive practices largely sits at the level of genre study, with narratives, the carnivalesque, and rituals. However, research on dialogically expansive discursive practices is very limited and deserves scholarly attention. </w:t>
      </w:r>
    </w:p>
    <w:p w14:paraId="69AE434B" w14:textId="77777777" w:rsidR="00256B3D" w:rsidRDefault="00256B3D" w:rsidP="00256B3D">
      <w:pPr>
        <w:spacing w:line="480" w:lineRule="auto"/>
        <w:ind w:firstLine="720"/>
        <w:rPr>
          <w:rFonts w:ascii="Times New Roman" w:eastAsia="Times" w:hAnsi="Times New Roman" w:cs="Times New Roman"/>
          <w:color w:val="000000" w:themeColor="text1"/>
        </w:rPr>
      </w:pPr>
      <w:r>
        <w:rPr>
          <w:rFonts w:ascii="Times New Roman" w:eastAsia="Times" w:hAnsi="Times New Roman" w:cs="Times New Roman"/>
          <w:color w:val="000000" w:themeColor="text1"/>
        </w:rPr>
        <w:t>T</w:t>
      </w:r>
      <w:r w:rsidRPr="008A73DA">
        <w:rPr>
          <w:rFonts w:ascii="Times New Roman" w:eastAsia="Times" w:hAnsi="Times New Roman" w:cs="Times New Roman"/>
          <w:color w:val="000000" w:themeColor="text1"/>
        </w:rPr>
        <w:t>he author analyze</w:t>
      </w:r>
      <w:r>
        <w:rPr>
          <w:rFonts w:ascii="Times New Roman" w:eastAsia="Times" w:hAnsi="Times New Roman" w:cs="Times New Roman"/>
          <w:color w:val="000000" w:themeColor="text1"/>
        </w:rPr>
        <w:t>d</w:t>
      </w:r>
      <w:r w:rsidRPr="008A73DA">
        <w:rPr>
          <w:rFonts w:ascii="Times New Roman" w:eastAsia="Times" w:hAnsi="Times New Roman" w:cs="Times New Roman"/>
          <w:color w:val="000000" w:themeColor="text1"/>
        </w:rPr>
        <w:t xml:space="preserve"> to identify the discursive interplay of creating the meaning of </w:t>
      </w:r>
      <w:r>
        <w:rPr>
          <w:rFonts w:ascii="Times New Roman" w:eastAsia="Times" w:hAnsi="Times New Roman" w:cs="Times New Roman"/>
          <w:color w:val="000000" w:themeColor="text1"/>
        </w:rPr>
        <w:t>funeral planning interactions</w:t>
      </w:r>
      <w:r>
        <w:rPr>
          <w:rFonts w:ascii="Times New Roman" w:hAnsi="Times New Roman" w:cs="Times New Roman"/>
          <w:noProof/>
          <w:lang w:eastAsia="zh-TW"/>
        </w:rPr>
        <w:t>.</w:t>
      </w:r>
      <w:r w:rsidRPr="008A73DA">
        <w:rPr>
          <w:rFonts w:ascii="Times New Roman" w:eastAsia="Times" w:hAnsi="Times New Roman" w:cs="Times New Roman"/>
          <w:color w:val="000000" w:themeColor="text1"/>
        </w:rPr>
        <w:t xml:space="preserve"> Specifically, </w:t>
      </w:r>
      <w:r w:rsidRPr="00297D69">
        <w:rPr>
          <w:rFonts w:ascii="Times New Roman" w:eastAsia="Times" w:hAnsi="Times New Roman" w:cs="Times New Roman"/>
          <w:i/>
          <w:iCs/>
          <w:color w:val="000000" w:themeColor="text1"/>
        </w:rPr>
        <w:t>unfolding</w:t>
      </w:r>
      <w:r w:rsidRPr="008A73DA">
        <w:rPr>
          <w:rFonts w:ascii="Times New Roman" w:eastAsia="Times" w:hAnsi="Times New Roman" w:cs="Times New Roman"/>
          <w:color w:val="000000" w:themeColor="text1"/>
        </w:rPr>
        <w:t xml:space="preserve"> is used for examining diachronic separation (i.e., change over time) and synchronic interplay (i.e., polemic </w:t>
      </w:r>
      <w:proofErr w:type="gramStart"/>
      <w:r w:rsidRPr="008A73DA">
        <w:rPr>
          <w:rFonts w:ascii="Times New Roman" w:eastAsia="Times" w:hAnsi="Times New Roman" w:cs="Times New Roman"/>
          <w:color w:val="000000" w:themeColor="text1"/>
        </w:rPr>
        <w:t>at the moment</w:t>
      </w:r>
      <w:proofErr w:type="gramEnd"/>
      <w:r w:rsidRPr="008A73DA">
        <w:rPr>
          <w:rFonts w:ascii="Times New Roman" w:eastAsia="Times" w:hAnsi="Times New Roman" w:cs="Times New Roman"/>
          <w:color w:val="000000" w:themeColor="text1"/>
        </w:rPr>
        <w:t xml:space="preserve">). Through unfolding, researchers uncover hegemonic ideologies that are often taken for granted or silence alternative meanings </w:t>
      </w:r>
      <w:r w:rsidRPr="008A73DA">
        <w:rPr>
          <w:rFonts w:ascii="Times New Roman" w:eastAsia="Times" w:hAnsi="Times New Roman" w:cs="Times New Roman"/>
          <w:color w:val="000000" w:themeColor="text1"/>
        </w:rPr>
        <w:fldChar w:fldCharType="begin"/>
      </w:r>
      <w:r>
        <w:rPr>
          <w:rFonts w:ascii="Times New Roman" w:eastAsia="Times" w:hAnsi="Times New Roman" w:cs="Times New Roman"/>
          <w:color w:val="000000" w:themeColor="text1"/>
        </w:rPr>
        <w:instrText xml:space="preserve"> ADDIN EN.CITE &lt;EndNote&gt;&lt;Cite&gt;&lt;Author&gt;Scharp&lt;/Author&gt;&lt;Year&gt;2016&lt;/Year&gt;&lt;RecNum&gt;1646&lt;/RecNum&gt;&lt;DisplayText&gt;(Scharp &amp;amp; Thomas, 2016)&lt;/DisplayText&gt;&lt;record&gt;&lt;rec-number&gt;1646&lt;/rec-number&gt;&lt;foreign-keys&gt;&lt;key app="EN" db-id="2pe9e00ros0veneeptspa5vhz0pw2az52v20" timestamp="1651614948" guid="71b5bf9a-01fe-405d-9291-09f666e13e58"&gt;1646&lt;/key&gt;&lt;/foreign-keys&gt;&lt;ref-type name="Journal Article"&gt;17&lt;/ref-type&gt;&lt;contributors&gt;&lt;authors&gt;&lt;author&gt;Scharp, Kristina M&lt;/author&gt;&lt;author&gt;Thomas, Lindsey J&lt;/author&gt;&lt;/authors&gt;&lt;/contributors&gt;&lt;titles&gt;&lt;title&gt;Family “bonds”: Making meaning of parent–child relationships in estrangement narratives&lt;/title&gt;&lt;secondary-title&gt;Journal of Family Communication&lt;/secondary-title&gt;&lt;/titles&gt;&lt;periodical&gt;&lt;full-title&gt;Journal of Family Communication&lt;/full-title&gt;&lt;/periodical&gt;&lt;pages&gt;32-50&lt;/pages&gt;&lt;volume&gt;16&lt;/volume&gt;&lt;number&gt;1&lt;/number&gt;&lt;dates&gt;&lt;year&gt;2016&lt;/year&gt;&lt;/dates&gt;&lt;isbn&gt;1526-7431&lt;/isbn&gt;&lt;urls&gt;&lt;/urls&gt;&lt;electronic-resource-num&gt;10.1080/15267431.2015.1111215&lt;/electronic-resource-num&gt;&lt;/record&gt;&lt;/Cite&gt;&lt;/EndNote&gt;</w:instrText>
      </w:r>
      <w:r w:rsidRPr="008A73DA">
        <w:rPr>
          <w:rFonts w:ascii="Times New Roman" w:eastAsia="Times" w:hAnsi="Times New Roman" w:cs="Times New Roman"/>
          <w:color w:val="000000" w:themeColor="text1"/>
        </w:rPr>
        <w:fldChar w:fldCharType="separate"/>
      </w:r>
      <w:r w:rsidRPr="008A73DA">
        <w:rPr>
          <w:rFonts w:ascii="Times New Roman" w:eastAsia="Times" w:hAnsi="Times New Roman" w:cs="Times New Roman"/>
          <w:noProof/>
          <w:color w:val="000000" w:themeColor="text1"/>
        </w:rPr>
        <w:t>(Scharp &amp; Thomas, 2016)</w:t>
      </w:r>
      <w:r w:rsidRPr="008A73DA">
        <w:rPr>
          <w:rFonts w:ascii="Times New Roman" w:eastAsia="Times" w:hAnsi="Times New Roman" w:cs="Times New Roman"/>
          <w:color w:val="000000" w:themeColor="text1"/>
        </w:rPr>
        <w:fldChar w:fldCharType="end"/>
      </w:r>
      <w:r w:rsidRPr="008A73DA">
        <w:rPr>
          <w:rFonts w:ascii="Times New Roman" w:eastAsia="Times" w:hAnsi="Times New Roman" w:cs="Times New Roman"/>
          <w:color w:val="000000" w:themeColor="text1"/>
        </w:rPr>
        <w:t>. Diachronic interplay</w:t>
      </w:r>
      <w:r>
        <w:rPr>
          <w:rFonts w:ascii="Times New Roman" w:eastAsia="Times" w:hAnsi="Times New Roman" w:cs="Times New Roman"/>
          <w:color w:val="000000" w:themeColor="text1"/>
        </w:rPr>
        <w:t xml:space="preserve"> (RQ2b)</w:t>
      </w:r>
      <w:r w:rsidRPr="008A73DA">
        <w:rPr>
          <w:rFonts w:ascii="Times New Roman" w:eastAsia="Times" w:hAnsi="Times New Roman" w:cs="Times New Roman"/>
          <w:color w:val="000000" w:themeColor="text1"/>
        </w:rPr>
        <w:t xml:space="preserve"> is typically manifested in spiraling inversion and segmentation of the chain of utterances, and synchronic interplay </w:t>
      </w:r>
      <w:r>
        <w:rPr>
          <w:rFonts w:ascii="Times New Roman" w:eastAsia="Times" w:hAnsi="Times New Roman" w:cs="Times New Roman"/>
          <w:color w:val="000000" w:themeColor="text1"/>
        </w:rPr>
        <w:t xml:space="preserve">(RQ2a) </w:t>
      </w:r>
      <w:r w:rsidRPr="008A73DA">
        <w:rPr>
          <w:rFonts w:ascii="Times New Roman" w:eastAsia="Times" w:hAnsi="Times New Roman" w:cs="Times New Roman"/>
          <w:color w:val="000000" w:themeColor="text1"/>
        </w:rPr>
        <w:t xml:space="preserve">focuses on the co-occurrence of multiple discourses within an utterance, containing discourse markers such as negating, countering, and entertaining </w:t>
      </w:r>
      <w:r w:rsidRPr="008A73DA">
        <w:rPr>
          <w:rFonts w:ascii="Times New Roman" w:eastAsia="Times" w:hAnsi="Times New Roman" w:cs="Times New Roman"/>
          <w:color w:val="000000" w:themeColor="text1"/>
        </w:rPr>
        <w:fldChar w:fldCharType="begin"/>
      </w:r>
      <w:r>
        <w:rPr>
          <w:rFonts w:ascii="Times New Roman" w:eastAsia="Times" w:hAnsi="Times New Roman" w:cs="Times New Roman"/>
          <w:color w:val="000000" w:themeColor="text1"/>
        </w:rPr>
        <w:instrText xml:space="preserve"> ADDIN EN.CITE &lt;EndNote&gt;&lt;Cite&gt;&lt;Author&gt;Scharp&lt;/Author&gt;&lt;Year&gt;2021&lt;/Year&gt;&lt;RecNum&gt;1634&lt;/RecNum&gt;&lt;DisplayText&gt;(Scharp &amp;amp; Thomas, 2021)&lt;/DisplayText&gt;&lt;record&gt;&lt;rec-number&gt;1634&lt;/rec-number&gt;&lt;foreign-keys&gt;&lt;key app="EN" db-id="2pe9e00ros0veneeptspa5vhz0pw2az52v20" timestamp="1651289025" guid="68212de8-4dae-465f-83b6-5b0d5d1347a7"&gt;1634&lt;/key&gt;&lt;/foreign-keys&gt;&lt;ref-type name="Book Section"&gt;5&lt;/ref-type&gt;&lt;contributors&gt;&lt;authors&gt;&lt;author&gt;Scharp, Kristina M&lt;/author&gt;&lt;author&gt;Thomas, Lindsey J&lt;/author&gt;&lt;/authors&gt;&lt;secondary-authors&gt;&lt;author&gt;Braithwaite, Dawn O&lt;/author&gt;&lt;author&gt;Paul Schrodt&lt;/author&gt;&lt;/secondary-authors&gt;&lt;/contributors&gt;&lt;titles&gt;&lt;title&gt;Relational dialectics theory: A dialogic theory of meaning-making&lt;/title&gt;&lt;secondary-title&gt;Engaging Theories in Interpersonal Communication&lt;/secondary-title&gt;&lt;/titles&gt;&lt;pages&gt;194-205&lt;/pages&gt;&lt;dates&gt;&lt;year&gt;2021&lt;/year&gt;&lt;/dates&gt;&lt;publisher&gt;Routledge&lt;/publisher&gt;&lt;isbn&gt;1003195512&lt;/isbn&gt;&lt;urls&gt;&lt;/urls&gt;&lt;/record&gt;&lt;/Cite&gt;&lt;/EndNote&gt;</w:instrText>
      </w:r>
      <w:r w:rsidRPr="008A73DA">
        <w:rPr>
          <w:rFonts w:ascii="Times New Roman" w:eastAsia="Times" w:hAnsi="Times New Roman" w:cs="Times New Roman"/>
          <w:color w:val="000000" w:themeColor="text1"/>
        </w:rPr>
        <w:fldChar w:fldCharType="separate"/>
      </w:r>
      <w:r w:rsidRPr="008A73DA">
        <w:rPr>
          <w:rFonts w:ascii="Times New Roman" w:eastAsia="Times" w:hAnsi="Times New Roman" w:cs="Times New Roman"/>
          <w:noProof/>
          <w:color w:val="000000" w:themeColor="text1"/>
        </w:rPr>
        <w:t xml:space="preserve">(Scharp &amp; Thomas, </w:t>
      </w:r>
      <w:r w:rsidRPr="008A73DA">
        <w:rPr>
          <w:rFonts w:ascii="Times New Roman" w:eastAsia="Times" w:hAnsi="Times New Roman" w:cs="Times New Roman"/>
          <w:noProof/>
          <w:color w:val="000000" w:themeColor="text1"/>
        </w:rPr>
        <w:lastRenderedPageBreak/>
        <w:t>2021)</w:t>
      </w:r>
      <w:r w:rsidRPr="008A73DA">
        <w:rPr>
          <w:rFonts w:ascii="Times New Roman" w:eastAsia="Times" w:hAnsi="Times New Roman" w:cs="Times New Roman"/>
          <w:color w:val="000000" w:themeColor="text1"/>
        </w:rPr>
        <w:fldChar w:fldCharType="end"/>
      </w:r>
      <w:r w:rsidRPr="008A73DA">
        <w:rPr>
          <w:rFonts w:ascii="Times New Roman" w:eastAsia="Times" w:hAnsi="Times New Roman" w:cs="Times New Roman"/>
          <w:color w:val="000000" w:themeColor="text1"/>
        </w:rPr>
        <w:t xml:space="preserve">. Finally, the author searched for constructing dialogic transformation, especially in the form of either </w:t>
      </w:r>
      <w:r>
        <w:rPr>
          <w:rFonts w:ascii="Times New Roman" w:eastAsia="Times" w:hAnsi="Times New Roman" w:cs="Times New Roman"/>
          <w:color w:val="000000" w:themeColor="text1"/>
        </w:rPr>
        <w:t xml:space="preserve">a </w:t>
      </w:r>
      <w:r w:rsidRPr="008A73DA">
        <w:rPr>
          <w:rFonts w:ascii="Times New Roman" w:eastAsia="Times" w:hAnsi="Times New Roman" w:cs="Times New Roman"/>
          <w:color w:val="000000" w:themeColor="text1"/>
        </w:rPr>
        <w:t>discursive hybrid</w:t>
      </w:r>
      <w:r>
        <w:rPr>
          <w:rFonts w:ascii="Times New Roman" w:eastAsia="Times" w:hAnsi="Times New Roman" w:cs="Times New Roman"/>
          <w:color w:val="000000" w:themeColor="text1"/>
        </w:rPr>
        <w:t>ization</w:t>
      </w:r>
      <w:r w:rsidRPr="008A73DA">
        <w:rPr>
          <w:rFonts w:ascii="Times New Roman" w:eastAsia="Times" w:hAnsi="Times New Roman" w:cs="Times New Roman"/>
          <w:color w:val="000000" w:themeColor="text1"/>
        </w:rPr>
        <w:t xml:space="preserve"> or </w:t>
      </w:r>
      <w:r>
        <w:rPr>
          <w:rFonts w:ascii="Times New Roman" w:eastAsia="Times" w:hAnsi="Times New Roman" w:cs="Times New Roman"/>
          <w:color w:val="000000" w:themeColor="text1"/>
        </w:rPr>
        <w:t>a</w:t>
      </w:r>
      <w:r w:rsidRPr="008A73DA">
        <w:rPr>
          <w:rFonts w:ascii="Times New Roman" w:eastAsia="Times" w:hAnsi="Times New Roman" w:cs="Times New Roman"/>
          <w:color w:val="000000" w:themeColor="text1"/>
        </w:rPr>
        <w:t>esthetic moment</w:t>
      </w:r>
      <w:r>
        <w:rPr>
          <w:rFonts w:ascii="Times New Roman" w:eastAsia="Times" w:hAnsi="Times New Roman" w:cs="Times New Roman"/>
          <w:color w:val="000000" w:themeColor="text1"/>
        </w:rPr>
        <w:t xml:space="preserve">s </w:t>
      </w:r>
      <w:r>
        <w:rPr>
          <w:rFonts w:ascii="Times New Roman" w:hAnsi="Times New Roman" w:cs="Times New Roman"/>
        </w:rPr>
        <w:t>(RQ3).</w:t>
      </w:r>
    </w:p>
    <w:p w14:paraId="5D587F18" w14:textId="77777777" w:rsidR="00256B3D" w:rsidRPr="008A73DA" w:rsidRDefault="00256B3D" w:rsidP="00256B3D">
      <w:pPr>
        <w:spacing w:line="480" w:lineRule="auto"/>
        <w:rPr>
          <w:rFonts w:ascii="Times New Roman" w:hAnsi="Times New Roman" w:cs="Times New Roman"/>
          <w:b/>
          <w:bCs/>
        </w:rPr>
      </w:pPr>
      <w:r w:rsidRPr="008A73DA">
        <w:rPr>
          <w:rFonts w:ascii="Times New Roman" w:hAnsi="Times New Roman" w:cs="Times New Roman"/>
          <w:b/>
          <w:bCs/>
        </w:rPr>
        <w:t>Validation</w:t>
      </w:r>
    </w:p>
    <w:p w14:paraId="2710964F" w14:textId="77777777" w:rsidR="00256B3D" w:rsidRDefault="00256B3D" w:rsidP="00256B3D">
      <w:pPr>
        <w:spacing w:line="480" w:lineRule="auto"/>
        <w:ind w:firstLine="720"/>
        <w:rPr>
          <w:rFonts w:ascii="Times New Roman" w:hAnsi="Times New Roman" w:cs="Times New Roman"/>
        </w:rPr>
      </w:pPr>
      <w:r w:rsidRPr="008A73DA">
        <w:rPr>
          <w:rFonts w:ascii="Times New Roman" w:hAnsi="Times New Roman" w:cs="Times New Roman"/>
        </w:rPr>
        <w:fldChar w:fldCharType="begin"/>
      </w:r>
      <w:r>
        <w:rPr>
          <w:rFonts w:ascii="Times New Roman" w:hAnsi="Times New Roman" w:cs="Times New Roman"/>
        </w:rPr>
        <w:instrText xml:space="preserve"> ADDIN EN.CITE &lt;EndNote&gt;&lt;Cite AuthorYear="1"&gt;&lt;Author&gt;Creswell&lt;/Author&gt;&lt;Year&gt;2007&lt;/Year&gt;&lt;RecNum&gt;1340&lt;/RecNum&gt;&lt;DisplayText&gt;Creswell (2007)&lt;/DisplayText&gt;&lt;record&gt;&lt;rec-number&gt;1340&lt;/rec-number&gt;&lt;foreign-keys&gt;&lt;key app="EN" db-id="2pe9e00ros0veneeptspa5vhz0pw2az52v20" timestamp="1621850470" guid="7b113372-50f9-4345-8a32-ef5ef6e3a4bb"&gt;1340&lt;/key&gt;&lt;/foreign-keys&gt;&lt;ref-type name="Book Section"&gt;5&lt;/ref-type&gt;&lt;contributors&gt;&lt;authors&gt;&lt;author&gt;Creswell, John W.&lt;/author&gt;&lt;/authors&gt;&lt;secondary-authors&gt;&lt;author&gt;Creswell, J. W., &amp;amp; Poth, C. N. &lt;/author&gt;&lt;/secondary-authors&gt;&lt;/contributors&gt;&lt;titles&gt;&lt;title&gt;Five qualitative approaches to inquiry&lt;/title&gt;&lt;secondary-title&gt;Qualitative inquiry and research design: Choosing among five approaches, 2nd ed.&lt;/secondary-title&gt;&lt;/titles&gt;&lt;pages&gt;53-80&lt;/pages&gt;&lt;keywords&gt;&lt;keyword&gt;*Experimental Design&lt;/keyword&gt;&lt;keyword&gt;*Qualitative Methods&lt;/keyword&gt;&lt;keyword&gt;Ethnography&lt;/keyword&gt;&lt;keyword&gt;Grounded Theory&lt;/keyword&gt;&lt;keyword&gt;Narratives&lt;/keyword&gt;&lt;keyword&gt;Phenomenology&lt;/keyword&gt;&lt;/keywords&gt;&lt;dates&gt;&lt;year&gt;2007&lt;/year&gt;&lt;/dates&gt;&lt;pub-location&gt;Thousand Oaks, CA, US&lt;/pub-location&gt;&lt;publisher&gt;Sage Publications, Inc&lt;/publisher&gt;&lt;isbn&gt;1-4129-1607-0 (Paperback); 1-4129-1606-2 (Hardcover); 978-1-4129-1607-3 (Paperback); 978-1-4129-1606-6 (Hardcover)&lt;/isbn&gt;&lt;urls&gt;&lt;/urls&gt;&lt;/record&gt;&lt;/Cite&gt;&lt;/EndNote&gt;</w:instrText>
      </w:r>
      <w:r w:rsidRPr="008A73DA">
        <w:rPr>
          <w:rFonts w:ascii="Times New Roman" w:hAnsi="Times New Roman" w:cs="Times New Roman"/>
        </w:rPr>
        <w:fldChar w:fldCharType="separate"/>
      </w:r>
      <w:r w:rsidRPr="008A73DA">
        <w:rPr>
          <w:rFonts w:ascii="Times New Roman" w:hAnsi="Times New Roman" w:cs="Times New Roman"/>
          <w:noProof/>
        </w:rPr>
        <w:t>Creswell (2007)</w:t>
      </w:r>
      <w:r w:rsidRPr="008A73DA">
        <w:rPr>
          <w:rFonts w:ascii="Times New Roman" w:hAnsi="Times New Roman" w:cs="Times New Roman"/>
        </w:rPr>
        <w:fldChar w:fldCharType="end"/>
      </w:r>
      <w:r w:rsidRPr="008A73DA">
        <w:rPr>
          <w:rFonts w:ascii="Times New Roman" w:hAnsi="Times New Roman" w:cs="Times New Roman"/>
        </w:rPr>
        <w:t xml:space="preserve"> </w:t>
      </w:r>
      <w:r w:rsidRPr="00DD2DD5">
        <w:rPr>
          <w:rFonts w:ascii="Times New Roman" w:hAnsi="Times New Roman" w:cs="Times New Roman"/>
        </w:rPr>
        <w:t>recommends using multiple (at least two) verification methods, and the study selected t</w:t>
      </w:r>
      <w:r>
        <w:rPr>
          <w:rFonts w:ascii="Times New Roman" w:hAnsi="Times New Roman" w:cs="Times New Roman"/>
        </w:rPr>
        <w:t>wo</w:t>
      </w:r>
      <w:r w:rsidRPr="00DD2DD5">
        <w:rPr>
          <w:rFonts w:ascii="Times New Roman" w:hAnsi="Times New Roman" w:cs="Times New Roman"/>
        </w:rPr>
        <w:t xml:space="preserve"> techniques to ensure quality</w:t>
      </w:r>
      <w:r>
        <w:rPr>
          <w:rFonts w:ascii="Times New Roman" w:hAnsi="Times New Roman" w:cs="Times New Roman"/>
        </w:rPr>
        <w:t xml:space="preserve"> of findings</w:t>
      </w:r>
      <w:r w:rsidRPr="00DD2DD5">
        <w:rPr>
          <w:rFonts w:ascii="Times New Roman" w:hAnsi="Times New Roman" w:cs="Times New Roman"/>
        </w:rPr>
        <w:t>.</w:t>
      </w:r>
      <w:r>
        <w:rPr>
          <w:rFonts w:ascii="Times New Roman" w:hAnsi="Times New Roman" w:cs="Times New Roman"/>
        </w:rPr>
        <w:t xml:space="preserve"> For the e</w:t>
      </w:r>
      <w:r w:rsidRPr="00770D5E">
        <w:rPr>
          <w:rFonts w:ascii="Times New Roman" w:hAnsi="Times New Roman" w:cs="Times New Roman"/>
        </w:rPr>
        <w:t>xternal audit</w:t>
      </w:r>
      <w:r>
        <w:rPr>
          <w:rFonts w:ascii="Times New Roman" w:hAnsi="Times New Roman" w:cs="Times New Roman"/>
        </w:rPr>
        <w:t>, a senior scholar reviewed the analysis, challenged early theorizing, and cross-checked that claims were substantiated by participants’ words.</w:t>
      </w:r>
      <w:r w:rsidRPr="00770D5E">
        <w:rPr>
          <w:rFonts w:ascii="Times New Roman" w:hAnsi="Times New Roman" w:cs="Times New Roman"/>
        </w:rPr>
        <w:t xml:space="preserve"> </w:t>
      </w:r>
      <w:r>
        <w:rPr>
          <w:rFonts w:ascii="Times New Roman" w:hAnsi="Times New Roman" w:cs="Times New Roman"/>
        </w:rPr>
        <w:t>Also, t</w:t>
      </w:r>
      <w:r w:rsidRPr="00DD2DD5">
        <w:rPr>
          <w:rFonts w:ascii="Times New Roman" w:hAnsi="Times New Roman" w:cs="Times New Roman"/>
        </w:rPr>
        <w:t>he auth</w:t>
      </w:r>
      <w:r>
        <w:rPr>
          <w:rFonts w:ascii="Times New Roman" w:hAnsi="Times New Roman" w:cs="Times New Roman"/>
        </w:rPr>
        <w:t>or</w:t>
      </w:r>
      <w:r w:rsidRPr="00DD2DD5">
        <w:rPr>
          <w:rFonts w:ascii="Times New Roman" w:hAnsi="Times New Roman" w:cs="Times New Roman"/>
        </w:rPr>
        <w:t xml:space="preserve"> conduct</w:t>
      </w:r>
      <w:r>
        <w:rPr>
          <w:rFonts w:ascii="Times New Roman" w:hAnsi="Times New Roman" w:cs="Times New Roman"/>
        </w:rPr>
        <w:t>ed</w:t>
      </w:r>
      <w:r w:rsidRPr="00DD2DD5">
        <w:rPr>
          <w:rFonts w:ascii="Times New Roman" w:hAnsi="Times New Roman" w:cs="Times New Roman"/>
        </w:rPr>
        <w:t xml:space="preserve"> member-checking. For the last t</w:t>
      </w:r>
      <w:r>
        <w:rPr>
          <w:rFonts w:ascii="Times New Roman" w:hAnsi="Times New Roman" w:cs="Times New Roman"/>
        </w:rPr>
        <w:t>wo</w:t>
      </w:r>
      <w:r w:rsidRPr="00DD2DD5">
        <w:rPr>
          <w:rFonts w:ascii="Times New Roman" w:hAnsi="Times New Roman" w:cs="Times New Roman"/>
        </w:rPr>
        <w:t xml:space="preserve"> interviews, the author led conversations with participants, in which he shared </w:t>
      </w:r>
      <w:r>
        <w:rPr>
          <w:rFonts w:ascii="Times New Roman" w:hAnsi="Times New Roman" w:cs="Times New Roman"/>
        </w:rPr>
        <w:t>answers to research questions based on emerging themes</w:t>
      </w:r>
      <w:r w:rsidRPr="00DD2DD5">
        <w:rPr>
          <w:rFonts w:ascii="Times New Roman" w:hAnsi="Times New Roman" w:cs="Times New Roman"/>
        </w:rPr>
        <w:t xml:space="preserve"> and </w:t>
      </w:r>
      <w:r>
        <w:rPr>
          <w:rFonts w:ascii="Times New Roman" w:hAnsi="Times New Roman" w:cs="Times New Roman"/>
        </w:rPr>
        <w:t xml:space="preserve">encouraged </w:t>
      </w:r>
      <w:r w:rsidRPr="00DD2DD5">
        <w:rPr>
          <w:rFonts w:ascii="Times New Roman" w:hAnsi="Times New Roman" w:cs="Times New Roman"/>
        </w:rPr>
        <w:t xml:space="preserve">participants </w:t>
      </w:r>
      <w:r>
        <w:rPr>
          <w:rFonts w:ascii="Times New Roman" w:hAnsi="Times New Roman" w:cs="Times New Roman"/>
        </w:rPr>
        <w:t xml:space="preserve">to </w:t>
      </w:r>
      <w:r w:rsidRPr="00DD2DD5">
        <w:rPr>
          <w:rFonts w:ascii="Times New Roman" w:hAnsi="Times New Roman" w:cs="Times New Roman"/>
        </w:rPr>
        <w:t xml:space="preserve">evaluate their veracity. </w:t>
      </w:r>
      <w:r>
        <w:rPr>
          <w:rFonts w:ascii="Times New Roman" w:hAnsi="Times New Roman" w:cs="Times New Roman"/>
        </w:rPr>
        <w:t xml:space="preserve">The author also let the two interviewees read the findings. </w:t>
      </w:r>
      <w:r w:rsidRPr="00DD2DD5">
        <w:rPr>
          <w:rFonts w:ascii="Times New Roman" w:hAnsi="Times New Roman" w:cs="Times New Roman"/>
        </w:rPr>
        <w:t>The t</w:t>
      </w:r>
      <w:r>
        <w:rPr>
          <w:rFonts w:ascii="Times New Roman" w:hAnsi="Times New Roman" w:cs="Times New Roman"/>
        </w:rPr>
        <w:t>wo</w:t>
      </w:r>
      <w:r w:rsidRPr="00DD2DD5">
        <w:rPr>
          <w:rFonts w:ascii="Times New Roman" w:hAnsi="Times New Roman" w:cs="Times New Roman"/>
        </w:rPr>
        <w:t xml:space="preserve"> participants suggested a few technical clarifications incorporated in the findings; otherwise, participants agreed with the findings.</w:t>
      </w:r>
      <w:r>
        <w:rPr>
          <w:rFonts w:ascii="Times New Roman" w:hAnsi="Times New Roman" w:cs="Times New Roman"/>
        </w:rPr>
        <w:t xml:space="preserve"> </w:t>
      </w:r>
    </w:p>
    <w:p w14:paraId="3E7A0F67" w14:textId="6BADA986" w:rsidR="00BD74C5" w:rsidRDefault="00BD74C5" w:rsidP="00AF01F6">
      <w:pPr>
        <w:spacing w:line="480" w:lineRule="auto"/>
        <w:ind w:firstLine="720"/>
        <w:rPr>
          <w:rFonts w:ascii="Times New Roman" w:hAnsi="Times New Roman" w:cs="Times New Roman"/>
        </w:rPr>
      </w:pPr>
    </w:p>
    <w:p w14:paraId="004D61FC" w14:textId="33B4AE08" w:rsidR="00BD74C5" w:rsidRDefault="00BD74C5" w:rsidP="00AF01F6">
      <w:pPr>
        <w:spacing w:line="480" w:lineRule="auto"/>
        <w:ind w:firstLine="720"/>
        <w:rPr>
          <w:rFonts w:ascii="Times New Roman" w:hAnsi="Times New Roman" w:cs="Times New Roman"/>
        </w:rPr>
      </w:pPr>
    </w:p>
    <w:p w14:paraId="35852633" w14:textId="50174AB8" w:rsidR="00BD74C5" w:rsidRDefault="00BD74C5" w:rsidP="00AF01F6">
      <w:pPr>
        <w:spacing w:line="480" w:lineRule="auto"/>
        <w:ind w:firstLine="720"/>
        <w:rPr>
          <w:rFonts w:ascii="Times New Roman" w:hAnsi="Times New Roman" w:cs="Times New Roman"/>
        </w:rPr>
      </w:pPr>
    </w:p>
    <w:p w14:paraId="289A46AB" w14:textId="4195CF16" w:rsidR="00BD74C5" w:rsidRDefault="00BD74C5" w:rsidP="00AF01F6">
      <w:pPr>
        <w:spacing w:line="480" w:lineRule="auto"/>
        <w:ind w:firstLine="720"/>
        <w:rPr>
          <w:rFonts w:ascii="Times New Roman" w:hAnsi="Times New Roman" w:cs="Times New Roman"/>
        </w:rPr>
      </w:pPr>
    </w:p>
    <w:p w14:paraId="2B3644FA" w14:textId="5C00F752" w:rsidR="00BD74C5" w:rsidRDefault="00BD74C5" w:rsidP="00AF01F6">
      <w:pPr>
        <w:spacing w:line="480" w:lineRule="auto"/>
        <w:ind w:firstLine="720"/>
        <w:rPr>
          <w:rFonts w:ascii="Times New Roman" w:hAnsi="Times New Roman" w:cs="Times New Roman"/>
        </w:rPr>
      </w:pPr>
    </w:p>
    <w:p w14:paraId="2C1CF017" w14:textId="6D335A06" w:rsidR="00BD74C5" w:rsidRDefault="00BD74C5" w:rsidP="00AF01F6">
      <w:pPr>
        <w:spacing w:line="480" w:lineRule="auto"/>
        <w:ind w:firstLine="720"/>
        <w:rPr>
          <w:rFonts w:ascii="Times New Roman" w:hAnsi="Times New Roman" w:cs="Times New Roman"/>
        </w:rPr>
      </w:pPr>
    </w:p>
    <w:p w14:paraId="661196CE" w14:textId="2C968720" w:rsidR="00BD74C5" w:rsidRDefault="00BD74C5" w:rsidP="00AF01F6">
      <w:pPr>
        <w:spacing w:line="480" w:lineRule="auto"/>
        <w:ind w:firstLine="720"/>
        <w:rPr>
          <w:rFonts w:ascii="Times New Roman" w:hAnsi="Times New Roman" w:cs="Times New Roman"/>
        </w:rPr>
      </w:pPr>
    </w:p>
    <w:p w14:paraId="25CAB077" w14:textId="6BE096E6" w:rsidR="0028145F" w:rsidRDefault="0028145F" w:rsidP="00AF01F6">
      <w:pPr>
        <w:spacing w:line="480" w:lineRule="auto"/>
        <w:ind w:firstLine="720"/>
        <w:rPr>
          <w:rFonts w:ascii="Times New Roman" w:hAnsi="Times New Roman" w:cs="Times New Roman"/>
        </w:rPr>
      </w:pPr>
    </w:p>
    <w:p w14:paraId="2209F54F" w14:textId="25476456" w:rsidR="0028145F" w:rsidRDefault="0028145F" w:rsidP="00AF01F6">
      <w:pPr>
        <w:spacing w:line="480" w:lineRule="auto"/>
        <w:ind w:firstLine="720"/>
        <w:rPr>
          <w:rFonts w:ascii="Times New Roman" w:hAnsi="Times New Roman" w:cs="Times New Roman"/>
        </w:rPr>
      </w:pPr>
    </w:p>
    <w:p w14:paraId="3EE0FA4E" w14:textId="77777777" w:rsidR="00F27141" w:rsidRDefault="00F27141" w:rsidP="00AF01F6">
      <w:pPr>
        <w:spacing w:line="480" w:lineRule="auto"/>
        <w:ind w:firstLine="720"/>
        <w:rPr>
          <w:rFonts w:ascii="Times New Roman" w:hAnsi="Times New Roman" w:cs="Times New Roman"/>
        </w:rPr>
      </w:pPr>
    </w:p>
    <w:p w14:paraId="32CF73A4" w14:textId="3C43249A" w:rsidR="00E63B2D" w:rsidRDefault="00E63B2D">
      <w:pPr>
        <w:rPr>
          <w:rFonts w:ascii="Times New Roman" w:hAnsi="Times New Roman" w:cs="Times New Roman"/>
        </w:rPr>
      </w:pPr>
    </w:p>
    <w:p w14:paraId="76DFFDA9" w14:textId="77777777" w:rsidR="00A663EB" w:rsidRDefault="00A663EB">
      <w:pPr>
        <w:rPr>
          <w:rFonts w:ascii="Times New Roman" w:hAnsi="Times New Roman" w:cs="Times New Roman"/>
          <w:b/>
          <w:bCs/>
        </w:rPr>
      </w:pPr>
    </w:p>
    <w:p w14:paraId="439B3BF6" w14:textId="77777777" w:rsidR="00256B3D" w:rsidRPr="00662E67" w:rsidRDefault="00256B3D" w:rsidP="00256B3D">
      <w:pPr>
        <w:tabs>
          <w:tab w:val="left" w:pos="3963"/>
        </w:tabs>
        <w:spacing w:line="480" w:lineRule="auto"/>
        <w:jc w:val="center"/>
        <w:rPr>
          <w:rFonts w:ascii="Times New Roman" w:hAnsi="Times New Roman" w:cs="Times New Roman"/>
          <w:b/>
          <w:bCs/>
        </w:rPr>
      </w:pPr>
      <w:r>
        <w:rPr>
          <w:rFonts w:ascii="Times New Roman" w:hAnsi="Times New Roman" w:cs="Times New Roman"/>
          <w:b/>
          <w:bCs/>
        </w:rPr>
        <w:lastRenderedPageBreak/>
        <w:t>Chapter 7: Findings</w:t>
      </w:r>
    </w:p>
    <w:p w14:paraId="35581A85" w14:textId="0E33069C" w:rsidR="00256B3D" w:rsidRPr="00FD5655" w:rsidRDefault="00256B3D" w:rsidP="00256B3D">
      <w:pPr>
        <w:pStyle w:val="BodyText"/>
        <w:rPr>
          <w:lang w:val="en-US"/>
        </w:rPr>
      </w:pPr>
      <w:r>
        <w:rPr>
          <w:lang w:val="en-US"/>
        </w:rPr>
        <w:t xml:space="preserve">Interviews with funeral directors revealed two discourses that competed to create meaning of the commerce-care dialectic in funeral planning: </w:t>
      </w:r>
      <w:r>
        <w:rPr>
          <w:i/>
          <w:iCs/>
          <w:lang w:val="en-US"/>
        </w:rPr>
        <w:t>D</w:t>
      </w:r>
      <w:r w:rsidRPr="00216FFC">
        <w:rPr>
          <w:i/>
          <w:iCs/>
          <w:lang w:val="en-US"/>
        </w:rPr>
        <w:t xml:space="preserve">iscourse of </w:t>
      </w:r>
      <w:r>
        <w:rPr>
          <w:i/>
          <w:iCs/>
          <w:lang w:val="en-US"/>
        </w:rPr>
        <w:t>C</w:t>
      </w:r>
      <w:r w:rsidRPr="00216FFC">
        <w:rPr>
          <w:i/>
          <w:iCs/>
          <w:lang w:val="en-US"/>
        </w:rPr>
        <w:t>ommerce</w:t>
      </w:r>
      <w:r>
        <w:rPr>
          <w:lang w:val="en-US"/>
        </w:rPr>
        <w:t xml:space="preserve"> and</w:t>
      </w:r>
      <w:r>
        <w:rPr>
          <w:i/>
          <w:iCs/>
          <w:lang w:val="en-US"/>
        </w:rPr>
        <w:t xml:space="preserve"> D</w:t>
      </w:r>
      <w:r w:rsidRPr="00216FFC">
        <w:rPr>
          <w:i/>
          <w:iCs/>
          <w:lang w:val="en-US"/>
        </w:rPr>
        <w:t xml:space="preserve">iscourse of </w:t>
      </w:r>
      <w:r>
        <w:rPr>
          <w:i/>
          <w:iCs/>
          <w:lang w:val="en-US"/>
        </w:rPr>
        <w:t>C</w:t>
      </w:r>
      <w:r w:rsidRPr="00216FFC">
        <w:rPr>
          <w:i/>
          <w:iCs/>
          <w:lang w:val="en-US"/>
        </w:rPr>
        <w:t>are</w:t>
      </w:r>
      <w:r>
        <w:rPr>
          <w:lang w:val="en-US"/>
        </w:rPr>
        <w:t xml:space="preserve"> (RQ1). Moreover, the two discourses interpenetrate synchronically and diachronically. The diachronic interplay manifested in </w:t>
      </w:r>
      <w:r w:rsidRPr="00172186">
        <w:rPr>
          <w:i/>
          <w:iCs/>
          <w:lang w:val="en-US"/>
        </w:rPr>
        <w:t>spiraling inversion</w:t>
      </w:r>
      <w:r>
        <w:rPr>
          <w:lang w:val="en-US"/>
        </w:rPr>
        <w:t xml:space="preserve"> and </w:t>
      </w:r>
      <w:r w:rsidRPr="00172186">
        <w:rPr>
          <w:i/>
          <w:iCs/>
          <w:lang w:val="en-US"/>
        </w:rPr>
        <w:t>segmentation</w:t>
      </w:r>
      <w:r w:rsidRPr="006335F9">
        <w:rPr>
          <w:lang w:val="en-US"/>
        </w:rPr>
        <w:t xml:space="preserve"> </w:t>
      </w:r>
      <w:r>
        <w:rPr>
          <w:lang w:val="en-US"/>
        </w:rPr>
        <w:t xml:space="preserve">(RQ2b). The synchronic interplay was shown in </w:t>
      </w:r>
      <w:r w:rsidRPr="00172186">
        <w:rPr>
          <w:i/>
          <w:iCs/>
          <w:lang w:val="en-US"/>
        </w:rPr>
        <w:t>negating and countering</w:t>
      </w:r>
      <w:r>
        <w:rPr>
          <w:lang w:val="en-US"/>
        </w:rPr>
        <w:t xml:space="preserve">, </w:t>
      </w:r>
      <w:r w:rsidRPr="00172186">
        <w:rPr>
          <w:i/>
          <w:iCs/>
          <w:lang w:val="en-US"/>
        </w:rPr>
        <w:t xml:space="preserve">ambiguating </w:t>
      </w:r>
      <w:r>
        <w:rPr>
          <w:lang w:val="en-US"/>
        </w:rPr>
        <w:t>(a new form of synchronic interplay), and</w:t>
      </w:r>
      <w:r w:rsidRPr="00172186">
        <w:rPr>
          <w:i/>
          <w:iCs/>
          <w:lang w:val="en-US"/>
        </w:rPr>
        <w:t xml:space="preserve"> entertaining</w:t>
      </w:r>
      <w:r>
        <w:rPr>
          <w:lang w:val="en-US"/>
        </w:rPr>
        <w:t xml:space="preserve"> (RQ2a). Finally, </w:t>
      </w:r>
      <w:r w:rsidRPr="00172186">
        <w:rPr>
          <w:i/>
          <w:iCs/>
          <w:lang w:val="en-US"/>
        </w:rPr>
        <w:t xml:space="preserve">hybridization </w:t>
      </w:r>
      <w:r>
        <w:rPr>
          <w:lang w:val="en-US"/>
        </w:rPr>
        <w:t xml:space="preserve">and </w:t>
      </w:r>
      <w:r w:rsidRPr="00172186">
        <w:rPr>
          <w:i/>
          <w:iCs/>
          <w:lang w:val="en-US"/>
        </w:rPr>
        <w:t>aesthetic moment</w:t>
      </w:r>
      <w:r>
        <w:rPr>
          <w:lang w:val="en-US"/>
        </w:rPr>
        <w:t xml:space="preserve"> were identified for discursive transformative interplay (RQ3). </w:t>
      </w:r>
      <w:r>
        <w:t>For hybridization, f</w:t>
      </w:r>
      <w:r w:rsidRPr="00E719A4">
        <w:rPr>
          <w:lang w:val="en-US"/>
        </w:rPr>
        <w:t>uneral directors mix</w:t>
      </w:r>
      <w:r>
        <w:rPr>
          <w:lang w:val="en-US"/>
        </w:rPr>
        <w:t>ed</w:t>
      </w:r>
      <w:r w:rsidRPr="00E719A4">
        <w:rPr>
          <w:lang w:val="en-US"/>
        </w:rPr>
        <w:t xml:space="preserve"> the discourse of commerce and the discourse of care to create a new meaning</w:t>
      </w:r>
      <w:r>
        <w:rPr>
          <w:lang w:val="en-US"/>
        </w:rPr>
        <w:t xml:space="preserve"> –</w:t>
      </w:r>
      <w:r w:rsidRPr="00E719A4">
        <w:rPr>
          <w:lang w:val="en-US"/>
        </w:rPr>
        <w:t>the commitment to the double natures of funeral services: commerce and care</w:t>
      </w:r>
      <w:r>
        <w:t xml:space="preserve">. For aesthetic moment, </w:t>
      </w:r>
      <w:r w:rsidRPr="00C95477">
        <w:rPr>
          <w:i/>
          <w:iCs/>
        </w:rPr>
        <w:t xml:space="preserve">discourse of </w:t>
      </w:r>
      <w:r>
        <w:rPr>
          <w:i/>
          <w:iCs/>
          <w:lang w:val="en-US"/>
        </w:rPr>
        <w:t xml:space="preserve">mundanity </w:t>
      </w:r>
      <w:r>
        <w:rPr>
          <w:lang w:val="en-US"/>
        </w:rPr>
        <w:t xml:space="preserve">(defined here as </w:t>
      </w:r>
      <w:r>
        <w:rPr>
          <w:i/>
          <w:iCs/>
        </w:rPr>
        <w:t>a</w:t>
      </w:r>
      <w:r w:rsidRPr="005E74DE">
        <w:rPr>
          <w:i/>
          <w:iCs/>
        </w:rPr>
        <w:t xml:space="preserve"> system of</w:t>
      </w:r>
      <w:r>
        <w:rPr>
          <w:i/>
          <w:iCs/>
        </w:rPr>
        <w:t xml:space="preserve"> meaning in which</w:t>
      </w:r>
      <w:r>
        <w:t xml:space="preserve"> </w:t>
      </w:r>
      <w:r>
        <w:rPr>
          <w:i/>
          <w:iCs/>
        </w:rPr>
        <w:t xml:space="preserve">the gravity of life and death is made to be experienced as ordinary and </w:t>
      </w:r>
      <w:r w:rsidR="00C716D6">
        <w:rPr>
          <w:i/>
          <w:iCs/>
        </w:rPr>
        <w:t>beautiful</w:t>
      </w:r>
      <w:r>
        <w:rPr>
          <w:lang w:val="en-US"/>
        </w:rPr>
        <w:t>) was</w:t>
      </w:r>
      <w:r>
        <w:t xml:space="preserve"> proposed as the fusion of </w:t>
      </w:r>
      <w:r>
        <w:rPr>
          <w:lang w:val="en-US"/>
        </w:rPr>
        <w:t xml:space="preserve">the </w:t>
      </w:r>
      <w:r>
        <w:t xml:space="preserve">discourse of commerce and </w:t>
      </w:r>
      <w:r>
        <w:rPr>
          <w:lang w:val="en-US"/>
        </w:rPr>
        <w:t xml:space="preserve">the </w:t>
      </w:r>
      <w:r>
        <w:t>discourse of care</w:t>
      </w:r>
      <w:r>
        <w:rPr>
          <w:lang w:val="en-US"/>
        </w:rPr>
        <w:t xml:space="preserve">. The following paragraphs will discuss these findings in detail. </w:t>
      </w:r>
    </w:p>
    <w:p w14:paraId="0FFE251B" w14:textId="77777777" w:rsidR="00256B3D" w:rsidRPr="002C6FCA" w:rsidRDefault="00256B3D" w:rsidP="00256B3D">
      <w:pPr>
        <w:pStyle w:val="BodyText"/>
        <w:ind w:firstLine="0"/>
        <w:rPr>
          <w:b/>
          <w:bCs/>
          <w:lang w:val="en-US"/>
        </w:rPr>
      </w:pPr>
      <w:r w:rsidRPr="002C6FCA">
        <w:rPr>
          <w:b/>
          <w:bCs/>
          <w:lang w:val="en-US"/>
        </w:rPr>
        <w:t>RQ1: Discourse of Commerce</w:t>
      </w:r>
    </w:p>
    <w:p w14:paraId="23E2268C" w14:textId="77777777" w:rsidR="00256B3D" w:rsidRDefault="00256B3D" w:rsidP="00256B3D">
      <w:pPr>
        <w:pStyle w:val="BodyText"/>
        <w:rPr>
          <w:lang w:val="en-US" w:eastAsia="zh-CN"/>
        </w:rPr>
      </w:pPr>
      <w:r>
        <w:rPr>
          <w:lang w:val="en-US"/>
        </w:rPr>
        <w:t>As a social sector, funeral homes in the US are involved in the capitalist system and adopt core values of the liberal market competition. In doing so, funeral service</w:t>
      </w:r>
      <w:r>
        <w:rPr>
          <w:lang w:val="en-US" w:eastAsia="zh-CN"/>
        </w:rPr>
        <w:t xml:space="preserve">, although commemorating the life of a deceased person, </w:t>
      </w:r>
      <w:r>
        <w:rPr>
          <w:lang w:val="en-US"/>
        </w:rPr>
        <w:t xml:space="preserve">is commodified, commercialized, and corporatized. </w:t>
      </w:r>
    </w:p>
    <w:p w14:paraId="35ED8301" w14:textId="77777777" w:rsidR="00256B3D" w:rsidRDefault="00256B3D" w:rsidP="00256B3D">
      <w:pPr>
        <w:pStyle w:val="BodyText"/>
        <w:rPr>
          <w:lang w:val="en-US"/>
        </w:rPr>
      </w:pPr>
      <w:r w:rsidRPr="00A1361F">
        <w:rPr>
          <w:b/>
          <w:bCs/>
          <w:lang w:val="en-US"/>
        </w:rPr>
        <w:t>Commodification is necessary</w:t>
      </w:r>
      <w:r>
        <w:rPr>
          <w:lang w:val="en-US"/>
        </w:rPr>
        <w:t>. In contemporary US society, funeral homes provide funeral services to people in exchange for money, and thereby, funeral service is commodified for sale. Participating funeral directors believed in the profitable essence of funeral services; for instance, they mentioned, “A f</w:t>
      </w:r>
      <w:r w:rsidRPr="00645F65">
        <w:rPr>
          <w:lang w:val="en-US"/>
        </w:rPr>
        <w:t>uneral home ha</w:t>
      </w:r>
      <w:r>
        <w:rPr>
          <w:lang w:val="en-US"/>
        </w:rPr>
        <w:t>s</w:t>
      </w:r>
      <w:r w:rsidRPr="00645F65">
        <w:rPr>
          <w:lang w:val="en-US"/>
        </w:rPr>
        <w:t xml:space="preserve"> to make so much money a year to keep the door </w:t>
      </w:r>
      <w:r w:rsidRPr="00645F65">
        <w:rPr>
          <w:lang w:val="en-US"/>
        </w:rPr>
        <w:lastRenderedPageBreak/>
        <w:t>open</w:t>
      </w:r>
      <w:r>
        <w:rPr>
          <w:lang w:val="en-US"/>
        </w:rPr>
        <w:t>,” “Funeral service is a funeral business</w:t>
      </w:r>
      <w:r w:rsidRPr="00D105E6">
        <w:rPr>
          <w:lang w:val="en-US"/>
        </w:rPr>
        <w:t xml:space="preserve">, making profits, getting paid for providing services, </w:t>
      </w:r>
      <w:r>
        <w:rPr>
          <w:lang w:val="en-US"/>
        </w:rPr>
        <w:t xml:space="preserve">and </w:t>
      </w:r>
      <w:r w:rsidRPr="00D105E6">
        <w:rPr>
          <w:lang w:val="en-US"/>
        </w:rPr>
        <w:t>being a business</w:t>
      </w:r>
      <w:r>
        <w:rPr>
          <w:lang w:val="en-US"/>
        </w:rPr>
        <w:t>,” and “This funeral home is how my family makes a living and pays bills.” Additionally, participating funeral directors described supplying individualized services to best meet customer demands. For example, Kyle, a funeral director with eight years of experience, met Ethiopian families’ request by “taking our shoes off and walking</w:t>
      </w:r>
      <w:r w:rsidRPr="0017739A">
        <w:rPr>
          <w:lang w:val="en-US"/>
        </w:rPr>
        <w:t xml:space="preserve"> with caskets into their church</w:t>
      </w:r>
      <w:r>
        <w:rPr>
          <w:lang w:val="en-US"/>
        </w:rPr>
        <w:t xml:space="preserve"> </w:t>
      </w:r>
      <w:r w:rsidRPr="0017739A">
        <w:rPr>
          <w:lang w:val="en-US"/>
        </w:rPr>
        <w:t>in our socks</w:t>
      </w:r>
      <w:r>
        <w:rPr>
          <w:lang w:val="en-US"/>
        </w:rPr>
        <w:t>.” Breame, a funeral director with 20 years of experience, narrated providing exceptional services for Jewish and Muslim families. Breame commented, “</w:t>
      </w:r>
      <w:r w:rsidRPr="002502BB">
        <w:rPr>
          <w:lang w:val="en-US"/>
        </w:rPr>
        <w:t>The funeral home drops everything and caters to their religious request…when someone passed away, the funeral director has to be there immediately…because those types of services have to be done within X number of hours</w:t>
      </w:r>
      <w:r>
        <w:rPr>
          <w:lang w:val="en-US"/>
        </w:rPr>
        <w:t xml:space="preserve">.” </w:t>
      </w:r>
      <w:r>
        <w:rPr>
          <w:lang w:val="en-US" w:eastAsia="zh-CN"/>
        </w:rPr>
        <w:t>Furthermore, participating f</w:t>
      </w:r>
      <w:r>
        <w:rPr>
          <w:lang w:val="en-US"/>
        </w:rPr>
        <w:t xml:space="preserve">uneral directors reported evolving their funeral services </w:t>
      </w:r>
      <w:proofErr w:type="gramStart"/>
      <w:r>
        <w:rPr>
          <w:lang w:val="en-US"/>
        </w:rPr>
        <w:t>in order to</w:t>
      </w:r>
      <w:proofErr w:type="gramEnd"/>
      <w:r>
        <w:rPr>
          <w:lang w:val="en-US"/>
        </w:rPr>
        <w:t xml:space="preserve"> adapt to technological and market changes. For instance, Harley, a funeral director with 18 years of experience, explained how technologies were incorporated into funeral services, “</w:t>
      </w:r>
      <w:r w:rsidRPr="00F417C0">
        <w:rPr>
          <w:lang w:val="en-US"/>
        </w:rPr>
        <w:t xml:space="preserve">With cell phones now, we can even do </w:t>
      </w:r>
      <w:r>
        <w:rPr>
          <w:lang w:val="en-US"/>
        </w:rPr>
        <w:t>webcasts</w:t>
      </w:r>
      <w:r w:rsidRPr="00F417C0">
        <w:rPr>
          <w:lang w:val="en-US"/>
        </w:rPr>
        <w:t xml:space="preserve"> </w:t>
      </w:r>
      <w:r>
        <w:rPr>
          <w:lang w:val="en-US"/>
        </w:rPr>
        <w:t xml:space="preserve">at </w:t>
      </w:r>
      <w:r w:rsidRPr="00F417C0">
        <w:rPr>
          <w:lang w:val="en-US"/>
        </w:rPr>
        <w:t>the graveside service</w:t>
      </w:r>
      <w:r>
        <w:rPr>
          <w:lang w:val="en-US"/>
        </w:rPr>
        <w:t xml:space="preserve">… </w:t>
      </w:r>
      <w:r w:rsidRPr="00F417C0">
        <w:rPr>
          <w:lang w:val="en-US"/>
        </w:rPr>
        <w:t xml:space="preserve">Recently, </w:t>
      </w:r>
      <w:r>
        <w:rPr>
          <w:lang w:val="en-US"/>
        </w:rPr>
        <w:t>livestreaming</w:t>
      </w:r>
      <w:r w:rsidRPr="00F417C0">
        <w:rPr>
          <w:lang w:val="en-US"/>
        </w:rPr>
        <w:t xml:space="preserve"> is the newest innovation. Especially with COVID</w:t>
      </w:r>
      <w:r>
        <w:rPr>
          <w:lang w:val="en-US"/>
        </w:rPr>
        <w:t>…</w:t>
      </w:r>
      <w:r w:rsidRPr="00F417C0">
        <w:rPr>
          <w:lang w:val="en-US"/>
        </w:rPr>
        <w:t xml:space="preserve">people could watch </w:t>
      </w:r>
      <w:r>
        <w:rPr>
          <w:lang w:val="en-US"/>
        </w:rPr>
        <w:t>services</w:t>
      </w:r>
      <w:r w:rsidRPr="00F417C0">
        <w:rPr>
          <w:lang w:val="en-US"/>
        </w:rPr>
        <w:t xml:space="preserve"> online</w:t>
      </w:r>
      <w:r>
        <w:rPr>
          <w:lang w:val="en-US"/>
        </w:rPr>
        <w:t>.” Chris,</w:t>
      </w:r>
      <w:r w:rsidRPr="002F757D">
        <w:rPr>
          <w:lang w:val="en-US"/>
        </w:rPr>
        <w:t xml:space="preserve"> </w:t>
      </w:r>
      <w:r>
        <w:rPr>
          <w:lang w:val="en-US"/>
        </w:rPr>
        <w:t xml:space="preserve">a funeral </w:t>
      </w:r>
      <w:proofErr w:type="gramStart"/>
      <w:r>
        <w:rPr>
          <w:lang w:val="en-US"/>
        </w:rPr>
        <w:t>home owner</w:t>
      </w:r>
      <w:proofErr w:type="gramEnd"/>
      <w:r>
        <w:rPr>
          <w:lang w:val="en-US"/>
        </w:rPr>
        <w:t xml:space="preserve"> with 33 years of experience, observed the growth of green burials and pet funerals, “G</w:t>
      </w:r>
      <w:r>
        <w:t>reen cemeteries</w:t>
      </w:r>
      <w:r>
        <w:rPr>
          <w:lang w:val="en-US"/>
        </w:rPr>
        <w:t xml:space="preserve"> are</w:t>
      </w:r>
      <w:r>
        <w:t xml:space="preserve"> open all over Oklahoma</w:t>
      </w:r>
      <w:r>
        <w:rPr>
          <w:lang w:val="en-US"/>
        </w:rPr>
        <w:t>…</w:t>
      </w:r>
      <w:r w:rsidRPr="002F757D">
        <w:rPr>
          <w:lang w:val="en-US"/>
        </w:rPr>
        <w:t>I</w:t>
      </w:r>
      <w:r>
        <w:rPr>
          <w:lang w:val="en-US"/>
        </w:rPr>
        <w:t xml:space="preserve"> </w:t>
      </w:r>
      <w:r w:rsidRPr="002F757D">
        <w:rPr>
          <w:lang w:val="en-US"/>
        </w:rPr>
        <w:t>think that green burials will take off in millennials</w:t>
      </w:r>
      <w:r>
        <w:rPr>
          <w:lang w:val="en-US"/>
        </w:rPr>
        <w:t>…Millennials</w:t>
      </w:r>
      <w:r>
        <w:t xml:space="preserve"> look at their pets as kids. I expect pet funerals to go up. In Oklahoma, </w:t>
      </w:r>
      <w:r>
        <w:rPr>
          <w:lang w:val="en-US"/>
        </w:rPr>
        <w:t xml:space="preserve">one </w:t>
      </w:r>
      <w:r w:rsidRPr="006D0F56">
        <w:t>Pet Cemetery</w:t>
      </w:r>
      <w:r>
        <w:t xml:space="preserve"> is basically full</w:t>
      </w:r>
      <w:r>
        <w:rPr>
          <w:lang w:val="en-US"/>
        </w:rPr>
        <w:t xml:space="preserve">.” In short, funeral service is commodified in that it has a profitable nature, catering to customer demand, and adapting to technological and market change. </w:t>
      </w:r>
    </w:p>
    <w:p w14:paraId="73C79567" w14:textId="77777777" w:rsidR="00256B3D" w:rsidRDefault="00256B3D" w:rsidP="00256B3D">
      <w:pPr>
        <w:pStyle w:val="BodyText"/>
        <w:rPr>
          <w:lang w:val="en-US"/>
        </w:rPr>
      </w:pPr>
      <w:r w:rsidRPr="00A1361F">
        <w:rPr>
          <w:b/>
          <w:bCs/>
        </w:rPr>
        <w:t>Commercialization is encouraged</w:t>
      </w:r>
      <w:r w:rsidRPr="00A1361F">
        <w:t>.</w:t>
      </w:r>
      <w:r>
        <w:rPr>
          <w:lang w:val="en-US"/>
        </w:rPr>
        <w:t xml:space="preserve"> Consider that </w:t>
      </w:r>
      <w:r>
        <w:rPr>
          <w:lang w:val="en-US" w:eastAsia="zh-CN"/>
        </w:rPr>
        <w:t>f</w:t>
      </w:r>
      <w:r w:rsidRPr="006963B0">
        <w:rPr>
          <w:lang w:val="en-US" w:eastAsia="zh-CN"/>
        </w:rPr>
        <w:t xml:space="preserve">uneral homes </w:t>
      </w:r>
      <w:r>
        <w:rPr>
          <w:lang w:val="en-US" w:eastAsia="zh-CN"/>
        </w:rPr>
        <w:t>engage in</w:t>
      </w:r>
      <w:r w:rsidRPr="006963B0">
        <w:rPr>
          <w:lang w:val="en-US" w:eastAsia="zh-CN"/>
        </w:rPr>
        <w:t xml:space="preserve"> activities to </w:t>
      </w:r>
      <w:r>
        <w:rPr>
          <w:lang w:val="en-US" w:eastAsia="zh-CN"/>
        </w:rPr>
        <w:t xml:space="preserve">attract customers and </w:t>
      </w:r>
      <w:r w:rsidRPr="006963B0">
        <w:rPr>
          <w:lang w:val="en-US" w:eastAsia="zh-CN"/>
        </w:rPr>
        <w:t>promote the sale of funeral services.</w:t>
      </w:r>
      <w:r>
        <w:rPr>
          <w:lang w:val="en-US" w:eastAsia="zh-CN"/>
        </w:rPr>
        <w:t xml:space="preserve"> Funeral homes participate in community engagement to attract potential customers. Some participating funeral directors put </w:t>
      </w:r>
      <w:r>
        <w:rPr>
          <w:lang w:val="en-US" w:eastAsia="zh-CN"/>
        </w:rPr>
        <w:lastRenderedPageBreak/>
        <w:t xml:space="preserve">on events where people can </w:t>
      </w:r>
      <w:r>
        <w:t>pick up a package of</w:t>
      </w:r>
      <w:r>
        <w:rPr>
          <w:lang w:val="en-US"/>
        </w:rPr>
        <w:t xml:space="preserve"> funeral service</w:t>
      </w:r>
      <w:r>
        <w:t xml:space="preserve"> information</w:t>
      </w:r>
      <w:r>
        <w:rPr>
          <w:lang w:val="en-US" w:eastAsia="zh-CN"/>
        </w:rPr>
        <w:t>, such as “</w:t>
      </w:r>
      <w:r>
        <w:t xml:space="preserve">hosting </w:t>
      </w:r>
      <w:r>
        <w:rPr>
          <w:lang w:val="en-US"/>
        </w:rPr>
        <w:t xml:space="preserve">an </w:t>
      </w:r>
      <w:r>
        <w:t>ice cream truck</w:t>
      </w:r>
      <w:r>
        <w:rPr>
          <w:lang w:val="en-US"/>
        </w:rPr>
        <w:t xml:space="preserve"> at some of the retirement centers, </w:t>
      </w:r>
      <w:r>
        <w:t>host</w:t>
      </w:r>
      <w:r>
        <w:rPr>
          <w:lang w:val="en-US"/>
        </w:rPr>
        <w:t>ing</w:t>
      </w:r>
      <w:r>
        <w:t xml:space="preserve"> a movie night for senior citizens</w:t>
      </w:r>
      <w:r>
        <w:rPr>
          <w:lang w:val="en-US"/>
        </w:rPr>
        <w:t xml:space="preserve">, and giving funeral </w:t>
      </w:r>
      <w:r>
        <w:t>pre-arrangement</w:t>
      </w:r>
      <w:r>
        <w:rPr>
          <w:lang w:val="en-US"/>
        </w:rPr>
        <w:t xml:space="preserve"> talks in churches.” Other participating funeral directors are involved in community events where people can get to know funeral service</w:t>
      </w:r>
      <w:r>
        <w:rPr>
          <w:lang w:val="en-US" w:eastAsia="zh-CN"/>
        </w:rPr>
        <w:t xml:space="preserve">, and they mentioned: </w:t>
      </w:r>
      <w:r>
        <w:rPr>
          <w:lang w:val="en-US"/>
        </w:rPr>
        <w:t xml:space="preserve">“being a member of the Lions Club, sponsoring annual sports tournaments, being on </w:t>
      </w:r>
      <w:r>
        <w:t>the Christmas parade</w:t>
      </w:r>
      <w:r>
        <w:rPr>
          <w:lang w:val="en-US"/>
        </w:rPr>
        <w:t xml:space="preserve">, </w:t>
      </w:r>
      <w:r>
        <w:t>hav</w:t>
      </w:r>
      <w:r>
        <w:rPr>
          <w:lang w:val="en-US"/>
        </w:rPr>
        <w:t xml:space="preserve">ing town </w:t>
      </w:r>
      <w:r>
        <w:t>breakfast</w:t>
      </w:r>
      <w:r>
        <w:rPr>
          <w:lang w:val="en-US"/>
        </w:rPr>
        <w:t xml:space="preserve"> together </w:t>
      </w:r>
      <w:r>
        <w:t>with business owners</w:t>
      </w:r>
      <w:r>
        <w:rPr>
          <w:lang w:val="en-US"/>
        </w:rPr>
        <w:t>, and passing on</w:t>
      </w:r>
      <w:r>
        <w:t xml:space="preserve"> fans, pens, </w:t>
      </w:r>
      <w:r>
        <w:rPr>
          <w:lang w:val="en-US"/>
        </w:rPr>
        <w:t xml:space="preserve">and </w:t>
      </w:r>
      <w:r>
        <w:t>bags</w:t>
      </w:r>
      <w:r>
        <w:rPr>
          <w:lang w:val="en-US"/>
        </w:rPr>
        <w:t xml:space="preserve"> [with funeral home symbols] in state affairs.” Funeral homes also do advertise to promote their business; participating funeral directors said, “[We]</w:t>
      </w:r>
      <w:r w:rsidRPr="000F2E74">
        <w:rPr>
          <w:lang w:val="en-US" w:eastAsia="zh-CN"/>
        </w:rPr>
        <w:t xml:space="preserve"> have</w:t>
      </w:r>
      <w:r>
        <w:rPr>
          <w:lang w:val="en-US" w:eastAsia="zh-CN"/>
        </w:rPr>
        <w:t xml:space="preserve"> a</w:t>
      </w:r>
      <w:r w:rsidRPr="000F2E74">
        <w:rPr>
          <w:lang w:val="en-US" w:eastAsia="zh-CN"/>
        </w:rPr>
        <w:t xml:space="preserve"> television</w:t>
      </w:r>
      <w:r>
        <w:rPr>
          <w:lang w:val="en-US" w:eastAsia="zh-CN"/>
        </w:rPr>
        <w:t>, [newspaper, and radio]</w:t>
      </w:r>
      <w:r w:rsidRPr="000F2E74">
        <w:rPr>
          <w:lang w:val="en-US" w:eastAsia="zh-CN"/>
        </w:rPr>
        <w:t xml:space="preserve"> commercial</w:t>
      </w:r>
      <w:r>
        <w:rPr>
          <w:lang w:val="en-US" w:eastAsia="zh-CN"/>
        </w:rPr>
        <w:t>,</w:t>
      </w:r>
      <w:r>
        <w:rPr>
          <w:lang w:val="en-US"/>
        </w:rPr>
        <w:t>” “</w:t>
      </w:r>
      <w:r>
        <w:rPr>
          <w:lang w:val="en-US" w:eastAsia="zh-CN"/>
        </w:rPr>
        <w:t>[We]</w:t>
      </w:r>
      <w:r w:rsidRPr="000F2E74">
        <w:rPr>
          <w:lang w:val="en-US" w:eastAsia="zh-CN"/>
        </w:rPr>
        <w:t xml:space="preserve"> advertis</w:t>
      </w:r>
      <w:r>
        <w:rPr>
          <w:lang w:val="en-US" w:eastAsia="zh-CN"/>
        </w:rPr>
        <w:t>e</w:t>
      </w:r>
      <w:r w:rsidRPr="000F2E74">
        <w:rPr>
          <w:lang w:val="en-US" w:eastAsia="zh-CN"/>
        </w:rPr>
        <w:t xml:space="preserve"> around town,</w:t>
      </w:r>
      <w:r>
        <w:rPr>
          <w:lang w:val="en-US" w:eastAsia="zh-CN"/>
        </w:rPr>
        <w:t xml:space="preserve"> </w:t>
      </w:r>
      <w:r w:rsidRPr="000F2E74">
        <w:rPr>
          <w:lang w:val="en-US" w:eastAsia="zh-CN"/>
        </w:rPr>
        <w:t>like panels on the outfield</w:t>
      </w:r>
      <w:r w:rsidRPr="00D84C3E">
        <w:rPr>
          <w:lang w:val="en-US" w:eastAsia="zh-CN"/>
        </w:rPr>
        <w:t xml:space="preserve"> </w:t>
      </w:r>
      <w:r>
        <w:rPr>
          <w:lang w:val="en-US" w:eastAsia="zh-CN"/>
        </w:rPr>
        <w:t xml:space="preserve">in </w:t>
      </w:r>
      <w:r w:rsidRPr="000F2E74">
        <w:rPr>
          <w:lang w:val="en-US" w:eastAsia="zh-CN"/>
        </w:rPr>
        <w:t>baseball fields</w:t>
      </w:r>
      <w:r>
        <w:rPr>
          <w:lang w:val="en-US" w:eastAsia="zh-CN"/>
        </w:rPr>
        <w:t xml:space="preserve"> [and] the [town’s] billboard,” “[We] go to restaurants, and got </w:t>
      </w:r>
      <w:r w:rsidRPr="000F2E74">
        <w:rPr>
          <w:lang w:val="en-US" w:eastAsia="zh-CN"/>
        </w:rPr>
        <w:t>an advertisement under glass on the</w:t>
      </w:r>
      <w:r>
        <w:rPr>
          <w:lang w:val="en-US" w:eastAsia="zh-CN"/>
        </w:rPr>
        <w:t xml:space="preserve"> [dining]</w:t>
      </w:r>
      <w:r w:rsidRPr="000F2E74">
        <w:rPr>
          <w:lang w:val="en-US" w:eastAsia="zh-CN"/>
        </w:rPr>
        <w:t xml:space="preserve"> table</w:t>
      </w:r>
      <w:r>
        <w:rPr>
          <w:lang w:val="en-US" w:eastAsia="zh-CN"/>
        </w:rPr>
        <w:t>,</w:t>
      </w:r>
      <w:r>
        <w:rPr>
          <w:lang w:val="en-US"/>
        </w:rPr>
        <w:t xml:space="preserve">” “[We] have </w:t>
      </w:r>
      <w:r>
        <w:t>a Facebook page, have a website,</w:t>
      </w:r>
      <w:r>
        <w:rPr>
          <w:lang w:val="en-US"/>
        </w:rPr>
        <w:t xml:space="preserve"> and are</w:t>
      </w:r>
      <w:r>
        <w:t xml:space="preserve"> in the senior living magazine</w:t>
      </w:r>
      <w:r>
        <w:rPr>
          <w:lang w:val="en-US"/>
        </w:rPr>
        <w:t xml:space="preserve"> and the community web page,” and “[We]</w:t>
      </w:r>
      <w:r>
        <w:t xml:space="preserve"> send out mailers</w:t>
      </w:r>
      <w:r>
        <w:rPr>
          <w:lang w:val="en-US"/>
        </w:rPr>
        <w:t xml:space="preserve"> [about funeral services].” Furthermore, consider that funeral homes develop their organizational brand to</w:t>
      </w:r>
      <w:r w:rsidRPr="00BE01CB">
        <w:t xml:space="preserve"> </w:t>
      </w:r>
      <w:r>
        <w:t>create</w:t>
      </w:r>
      <w:r>
        <w:rPr>
          <w:lang w:val="en-US"/>
        </w:rPr>
        <w:t xml:space="preserve"> service</w:t>
      </w:r>
      <w:r>
        <w:t xml:space="preserve"> distinctiveness and customer loyalty</w:t>
      </w:r>
      <w:r>
        <w:rPr>
          <w:lang w:val="en-US"/>
        </w:rPr>
        <w:t>. Lucia, an area manager of the funeral corporation, explained how to build the corporation brand: “All</w:t>
      </w:r>
      <w:r w:rsidRPr="007111D0">
        <w:rPr>
          <w:lang w:val="en-US"/>
        </w:rPr>
        <w:t xml:space="preserve"> Dignity Memorial websites look identical</w:t>
      </w:r>
      <w:r>
        <w:rPr>
          <w:lang w:val="en-US"/>
        </w:rPr>
        <w:t xml:space="preserve"> and </w:t>
      </w:r>
      <w:r w:rsidRPr="007111D0">
        <w:rPr>
          <w:lang w:val="en-US"/>
        </w:rPr>
        <w:t>have the same color scheme</w:t>
      </w:r>
      <w:r>
        <w:rPr>
          <w:lang w:val="en-US"/>
        </w:rPr>
        <w:t>…The</w:t>
      </w:r>
      <w:r w:rsidRPr="007111D0">
        <w:rPr>
          <w:lang w:val="en-US"/>
        </w:rPr>
        <w:t xml:space="preserve"> corporation also offers </w:t>
      </w:r>
      <w:r>
        <w:rPr>
          <w:lang w:val="en-US"/>
        </w:rPr>
        <w:t xml:space="preserve">a </w:t>
      </w:r>
      <w:r w:rsidRPr="007111D0">
        <w:rPr>
          <w:lang w:val="en-US"/>
        </w:rPr>
        <w:t>100% service guarantee</w:t>
      </w:r>
      <w:r>
        <w:rPr>
          <w:lang w:val="en-US"/>
        </w:rPr>
        <w:t xml:space="preserve">, [which </w:t>
      </w:r>
      <w:r w:rsidRPr="007111D0">
        <w:rPr>
          <w:lang w:val="en-US"/>
        </w:rPr>
        <w:t>means that</w:t>
      </w:r>
      <w:r>
        <w:rPr>
          <w:lang w:val="en-US"/>
        </w:rPr>
        <w:t xml:space="preserve"> </w:t>
      </w:r>
      <w:r w:rsidRPr="007111D0">
        <w:rPr>
          <w:lang w:val="en-US"/>
        </w:rPr>
        <w:t>we strive to get every detail right the first time, every time</w:t>
      </w:r>
      <w:r>
        <w:rPr>
          <w:lang w:val="en-US"/>
        </w:rPr>
        <w:t>] …</w:t>
      </w:r>
      <w:r w:rsidRPr="007111D0">
        <w:rPr>
          <w:lang w:val="en-US"/>
        </w:rPr>
        <w:t xml:space="preserve"> </w:t>
      </w:r>
      <w:r>
        <w:rPr>
          <w:lang w:val="en-US"/>
        </w:rPr>
        <w:t>Policies</w:t>
      </w:r>
      <w:r w:rsidRPr="007111D0">
        <w:rPr>
          <w:lang w:val="en-US"/>
        </w:rPr>
        <w:t xml:space="preserve"> are transferrable</w:t>
      </w:r>
      <w:r>
        <w:rPr>
          <w:lang w:val="en-US"/>
        </w:rPr>
        <w:t xml:space="preserve"> </w:t>
      </w:r>
      <w:r w:rsidRPr="007111D0">
        <w:rPr>
          <w:lang w:val="en-US"/>
        </w:rPr>
        <w:t xml:space="preserve">because </w:t>
      </w:r>
      <w:r>
        <w:rPr>
          <w:lang w:val="en-US"/>
        </w:rPr>
        <w:t xml:space="preserve">the corporation has [nationwide] network.” Chris, a funeral </w:t>
      </w:r>
      <w:proofErr w:type="gramStart"/>
      <w:r>
        <w:rPr>
          <w:lang w:val="en-US"/>
        </w:rPr>
        <w:t>home owner</w:t>
      </w:r>
      <w:proofErr w:type="gramEnd"/>
      <w:r>
        <w:rPr>
          <w:lang w:val="en-US"/>
        </w:rPr>
        <w:t>, claimed that some funeral homes built customer loyalty in certain ethnic groups, “XYZ funeral home</w:t>
      </w:r>
      <w:r w:rsidRPr="00FA12FD">
        <w:rPr>
          <w:lang w:val="en-US"/>
        </w:rPr>
        <w:t xml:space="preserve"> </w:t>
      </w:r>
      <w:r w:rsidRPr="00C62422">
        <w:rPr>
          <w:lang w:val="en-US"/>
        </w:rPr>
        <w:t xml:space="preserve">in </w:t>
      </w:r>
      <w:r>
        <w:rPr>
          <w:lang w:val="en-US"/>
        </w:rPr>
        <w:t>Oklahoma City</w:t>
      </w:r>
      <w:r w:rsidRPr="00C62422">
        <w:rPr>
          <w:lang w:val="en-US"/>
        </w:rPr>
        <w:t xml:space="preserve"> does almost every single Jewish and Muslim service</w:t>
      </w:r>
      <w:r>
        <w:rPr>
          <w:lang w:val="en-US"/>
        </w:rPr>
        <w:t xml:space="preserve">…The [ethnic group] trusts and </w:t>
      </w:r>
      <w:r w:rsidRPr="00C62422">
        <w:rPr>
          <w:lang w:val="en-US"/>
        </w:rPr>
        <w:t>continue</w:t>
      </w:r>
      <w:r>
        <w:rPr>
          <w:lang w:val="en-US"/>
        </w:rPr>
        <w:t>s</w:t>
      </w:r>
      <w:r w:rsidRPr="00C62422">
        <w:rPr>
          <w:lang w:val="en-US"/>
        </w:rPr>
        <w:t xml:space="preserve"> to use</w:t>
      </w:r>
      <w:r>
        <w:rPr>
          <w:lang w:val="en-US"/>
        </w:rPr>
        <w:t xml:space="preserve"> the funeral home, and [it does not have a specific reason] because the funeral home just </w:t>
      </w:r>
      <w:r w:rsidRPr="00C62422">
        <w:rPr>
          <w:lang w:val="en-US"/>
        </w:rPr>
        <w:t>did a good job</w:t>
      </w:r>
      <w:r>
        <w:rPr>
          <w:lang w:val="en-US"/>
        </w:rPr>
        <w:t xml:space="preserve"> </w:t>
      </w:r>
      <w:r w:rsidRPr="00C62422">
        <w:rPr>
          <w:lang w:val="en-US"/>
        </w:rPr>
        <w:t>for 40 or 50 years</w:t>
      </w:r>
      <w:r>
        <w:rPr>
          <w:lang w:val="en-US"/>
        </w:rPr>
        <w:t xml:space="preserve">.” In short, funeral homes </w:t>
      </w:r>
      <w:r>
        <w:rPr>
          <w:lang w:val="en-US" w:eastAsia="zh-CN"/>
        </w:rPr>
        <w:lastRenderedPageBreak/>
        <w:t xml:space="preserve">commercialize funeral services </w:t>
      </w:r>
      <w:r w:rsidRPr="006963B0">
        <w:rPr>
          <w:lang w:val="en-US" w:eastAsia="zh-CN"/>
        </w:rPr>
        <w:t xml:space="preserve">to </w:t>
      </w:r>
      <w:r>
        <w:rPr>
          <w:lang w:val="en-US" w:eastAsia="zh-CN"/>
        </w:rPr>
        <w:t xml:space="preserve">enlarge profit by participating in community engagement, </w:t>
      </w:r>
      <w:r>
        <w:rPr>
          <w:lang w:val="en-US"/>
        </w:rPr>
        <w:t xml:space="preserve">distributing various advertisements, and developing their brands. </w:t>
      </w:r>
    </w:p>
    <w:p w14:paraId="4ABB7AAA" w14:textId="77777777" w:rsidR="00256B3D" w:rsidRDefault="00256B3D" w:rsidP="00256B3D">
      <w:pPr>
        <w:pStyle w:val="BodyText"/>
        <w:rPr>
          <w:lang w:val="en-US"/>
        </w:rPr>
      </w:pPr>
      <w:r w:rsidRPr="00A1361F">
        <w:rPr>
          <w:b/>
          <w:bCs/>
        </w:rPr>
        <w:t>Corporatization is reinforced</w:t>
      </w:r>
      <w:r>
        <w:rPr>
          <w:lang w:val="en-US"/>
        </w:rPr>
        <w:t>. Funeral homes are transforming into funeral corporations for success and survival in the funeral market. Compared with independent family-owned funeral homes, funeral corporations tend to be more competitive and profitable in the funeral service market. Funeral homes adopt bureaucratic management to organize their employees effectively. To make reasoning business decisions, a funeral director explained, “</w:t>
      </w:r>
      <w:r>
        <w:t xml:space="preserve">In </w:t>
      </w:r>
      <w:r>
        <w:rPr>
          <w:lang w:val="en-US"/>
        </w:rPr>
        <w:t xml:space="preserve">funeral </w:t>
      </w:r>
      <w:r>
        <w:t>corporations, there is a reason behind everything that they do</w:t>
      </w:r>
      <w:r>
        <w:rPr>
          <w:lang w:val="en-US"/>
        </w:rPr>
        <w:t xml:space="preserve">. Funeral corporations have much </w:t>
      </w:r>
      <w:r w:rsidRPr="00AC0DC5">
        <w:rPr>
          <w:lang w:val="en-US"/>
        </w:rPr>
        <w:t>paperwork</w:t>
      </w:r>
      <w:r>
        <w:rPr>
          <w:lang w:val="en-US"/>
        </w:rPr>
        <w:t>, [such as]</w:t>
      </w:r>
      <w:r w:rsidRPr="00AC0DC5">
        <w:rPr>
          <w:lang w:val="en-US"/>
        </w:rPr>
        <w:t xml:space="preserve"> signature permission form</w:t>
      </w:r>
      <w:r>
        <w:rPr>
          <w:lang w:val="en-US"/>
        </w:rPr>
        <w:t>s</w:t>
      </w:r>
      <w:r w:rsidRPr="00AC0DC5">
        <w:rPr>
          <w:lang w:val="en-US"/>
        </w:rPr>
        <w:t xml:space="preserve"> for embalmin</w:t>
      </w:r>
      <w:r>
        <w:rPr>
          <w:lang w:val="en-US"/>
        </w:rPr>
        <w:t>g,</w:t>
      </w:r>
      <w:r w:rsidRPr="00AC0DC5">
        <w:rPr>
          <w:lang w:val="en-US"/>
        </w:rPr>
        <w:t xml:space="preserve"> authorization form</w:t>
      </w:r>
      <w:r>
        <w:rPr>
          <w:lang w:val="en-US"/>
        </w:rPr>
        <w:t>s</w:t>
      </w:r>
      <w:r w:rsidRPr="00AC0DC5">
        <w:rPr>
          <w:lang w:val="en-US"/>
        </w:rPr>
        <w:t xml:space="preserve"> for fingerprints</w:t>
      </w:r>
      <w:r>
        <w:rPr>
          <w:lang w:val="en-US"/>
        </w:rPr>
        <w:t xml:space="preserve">, and </w:t>
      </w:r>
      <w:r w:rsidRPr="00AC0DC5">
        <w:rPr>
          <w:lang w:val="en-US"/>
        </w:rPr>
        <w:t>authorization form</w:t>
      </w:r>
      <w:r>
        <w:rPr>
          <w:lang w:val="en-US"/>
        </w:rPr>
        <w:t>s</w:t>
      </w:r>
      <w:r w:rsidRPr="00AC0DC5">
        <w:rPr>
          <w:lang w:val="en-US"/>
        </w:rPr>
        <w:t xml:space="preserve"> </w:t>
      </w:r>
      <w:r>
        <w:rPr>
          <w:lang w:val="en-US"/>
        </w:rPr>
        <w:t xml:space="preserve">to have </w:t>
      </w:r>
      <w:r w:rsidRPr="00AC0DC5">
        <w:rPr>
          <w:lang w:val="en-US"/>
        </w:rPr>
        <w:t>catering</w:t>
      </w:r>
      <w:r>
        <w:t>.</w:t>
      </w:r>
      <w:r>
        <w:rPr>
          <w:lang w:val="en-US"/>
        </w:rPr>
        <w:t xml:space="preserve">” Similarly, funeral corporations pushed sales as much as possible, as funeral directors clarified, “In funeral corporations, </w:t>
      </w:r>
      <w:r w:rsidRPr="005D4D21">
        <w:rPr>
          <w:lang w:val="en-US"/>
        </w:rPr>
        <w:t>salespeople</w:t>
      </w:r>
      <w:r>
        <w:rPr>
          <w:lang w:val="en-US"/>
        </w:rPr>
        <w:t xml:space="preserve"> are commission-based, [meaning that] they </w:t>
      </w:r>
      <w:r w:rsidRPr="005D4D21">
        <w:rPr>
          <w:lang w:val="en-US"/>
        </w:rPr>
        <w:t xml:space="preserve">get a certain type of commission out </w:t>
      </w:r>
      <w:r>
        <w:rPr>
          <w:lang w:val="en-US"/>
        </w:rPr>
        <w:t xml:space="preserve">of anything they sell. Funeral directors and [managers] are hourly-paid or salary-paid.” Besides bureaucratic management, funeral homes also merge with other funeral homes for expansion. Robert, a funeral </w:t>
      </w:r>
      <w:proofErr w:type="gramStart"/>
      <w:r>
        <w:rPr>
          <w:lang w:val="en-US"/>
        </w:rPr>
        <w:t>home owner</w:t>
      </w:r>
      <w:proofErr w:type="gramEnd"/>
      <w:r>
        <w:rPr>
          <w:lang w:val="en-US"/>
        </w:rPr>
        <w:t xml:space="preserve">, told a story, “The community had two funeral homes </w:t>
      </w:r>
      <w:r w:rsidRPr="008634AF">
        <w:rPr>
          <w:lang w:val="en-US"/>
        </w:rPr>
        <w:t>a few years ago</w:t>
      </w:r>
      <w:r>
        <w:rPr>
          <w:lang w:val="en-US"/>
        </w:rPr>
        <w:t xml:space="preserve">. [For] the </w:t>
      </w:r>
      <w:r w:rsidRPr="008634AF">
        <w:rPr>
          <w:lang w:val="en-US"/>
        </w:rPr>
        <w:t>other funeral home, the guy wanted to retire, and we end</w:t>
      </w:r>
      <w:r>
        <w:rPr>
          <w:lang w:val="en-US"/>
        </w:rPr>
        <w:t>ed up</w:t>
      </w:r>
      <w:r w:rsidRPr="008634AF">
        <w:rPr>
          <w:lang w:val="en-US"/>
        </w:rPr>
        <w:t xml:space="preserve"> working out a deal to purchase i</w:t>
      </w:r>
      <w:r>
        <w:rPr>
          <w:lang w:val="en-US"/>
        </w:rPr>
        <w:t>t. At</w:t>
      </w:r>
      <w:r w:rsidRPr="008634AF">
        <w:rPr>
          <w:lang w:val="en-US"/>
        </w:rPr>
        <w:t xml:space="preserve"> that moment, we shut</w:t>
      </w:r>
      <w:r>
        <w:rPr>
          <w:lang w:val="en-US"/>
        </w:rPr>
        <w:t xml:space="preserve"> it down because, for the [community] size, only one funeral home was needed</w:t>
      </w:r>
      <w:r w:rsidRPr="008634AF">
        <w:rPr>
          <w:lang w:val="en-US"/>
        </w:rPr>
        <w:t xml:space="preserve"> really.</w:t>
      </w:r>
      <w:r>
        <w:rPr>
          <w:lang w:val="en-US"/>
        </w:rPr>
        <w:t>” Lucia, an area manager of the funeral corporation, said, “Corporate funeral homes are always seeking to absorb</w:t>
      </w:r>
      <w:r w:rsidRPr="00A65EA5">
        <w:rPr>
          <w:lang w:val="en-US"/>
        </w:rPr>
        <w:t xml:space="preserve"> </w:t>
      </w:r>
      <w:r>
        <w:rPr>
          <w:lang w:val="en-US"/>
        </w:rPr>
        <w:t xml:space="preserve">family-owned funeral homes. </w:t>
      </w:r>
      <w:r w:rsidRPr="00A65EA5">
        <w:rPr>
          <w:lang w:val="en-US"/>
        </w:rPr>
        <w:t xml:space="preserve">Corporations are buying those small funeral homes, so my prediction is that we </w:t>
      </w:r>
      <w:r>
        <w:rPr>
          <w:lang w:val="en-US"/>
        </w:rPr>
        <w:t>will</w:t>
      </w:r>
      <w:r w:rsidRPr="00A65EA5">
        <w:rPr>
          <w:lang w:val="en-US"/>
        </w:rPr>
        <w:t xml:space="preserve"> have a lot of more </w:t>
      </w:r>
      <w:r>
        <w:rPr>
          <w:lang w:val="en-US"/>
        </w:rPr>
        <w:t xml:space="preserve">funeral </w:t>
      </w:r>
      <w:r w:rsidRPr="00A65EA5">
        <w:rPr>
          <w:lang w:val="en-US"/>
        </w:rPr>
        <w:t>corporation</w:t>
      </w:r>
      <w:r>
        <w:rPr>
          <w:lang w:val="en-US"/>
        </w:rPr>
        <w:t xml:space="preserve">s.” Moreover, funeral homes are transformed into funeral corporations focusing on shareholders’ financial interests. Harley, a funeral director with 18 years of experience, had a conversation with a regional manager of the funeral corporation regarding making funeral services more </w:t>
      </w:r>
      <w:r>
        <w:rPr>
          <w:lang w:val="en-US"/>
        </w:rPr>
        <w:lastRenderedPageBreak/>
        <w:t>affordable for poor families, and the manager responded, “W</w:t>
      </w:r>
      <w:r w:rsidRPr="00FD7184">
        <w:rPr>
          <w:lang w:val="en-US"/>
        </w:rPr>
        <w:t xml:space="preserve">e are not concerned about that. We want to take the cream off the top. We want expensive clients, and they </w:t>
      </w:r>
      <w:r>
        <w:rPr>
          <w:lang w:val="en-US"/>
        </w:rPr>
        <w:t>can</w:t>
      </w:r>
      <w:r w:rsidRPr="00FD7184">
        <w:rPr>
          <w:lang w:val="en-US"/>
        </w:rPr>
        <w:t xml:space="preserve"> spend more money. We are shooting </w:t>
      </w:r>
      <w:r>
        <w:rPr>
          <w:lang w:val="en-US"/>
        </w:rPr>
        <w:t xml:space="preserve">for </w:t>
      </w:r>
      <w:r w:rsidRPr="00FD7184">
        <w:rPr>
          <w:lang w:val="en-US"/>
        </w:rPr>
        <w:t xml:space="preserve">expensive funerals whether a family can </w:t>
      </w:r>
      <w:proofErr w:type="gramStart"/>
      <w:r w:rsidRPr="00FD7184">
        <w:rPr>
          <w:lang w:val="en-US"/>
        </w:rPr>
        <w:t>actually afford</w:t>
      </w:r>
      <w:proofErr w:type="gramEnd"/>
      <w:r w:rsidRPr="00FD7184">
        <w:rPr>
          <w:lang w:val="en-US"/>
        </w:rPr>
        <w:t xml:space="preserve"> it</w:t>
      </w:r>
      <w:r>
        <w:rPr>
          <w:lang w:val="en-US"/>
        </w:rPr>
        <w:t xml:space="preserve">.” Dennis, a funeral director with 21 years of experience, said that funeral corporations were </w:t>
      </w:r>
      <w:r>
        <w:t>pushing sales</w:t>
      </w:r>
      <w:r>
        <w:rPr>
          <w:lang w:val="en-US"/>
        </w:rPr>
        <w:t xml:space="preserve">: “Their salespeople need to sell </w:t>
      </w:r>
      <w:r>
        <w:t>a</w:t>
      </w:r>
      <w:r>
        <w:rPr>
          <w:lang w:val="en-US"/>
        </w:rPr>
        <w:t xml:space="preserve">n </w:t>
      </w:r>
      <w:r>
        <w:t>expensive package</w:t>
      </w:r>
      <w:r>
        <w:rPr>
          <w:lang w:val="en-US"/>
        </w:rPr>
        <w:t>,</w:t>
      </w:r>
      <w:r>
        <w:t xml:space="preserve"> catering</w:t>
      </w:r>
      <w:r>
        <w:rPr>
          <w:lang w:val="en-US"/>
        </w:rPr>
        <w:t xml:space="preserve">, </w:t>
      </w:r>
      <w:r>
        <w:t>casket</w:t>
      </w:r>
      <w:r>
        <w:rPr>
          <w:lang w:val="en-US"/>
        </w:rPr>
        <w:t xml:space="preserve">, and [other merchandises] </w:t>
      </w:r>
      <w:r>
        <w:t xml:space="preserve">because </w:t>
      </w:r>
      <w:r>
        <w:rPr>
          <w:lang w:val="en-US"/>
        </w:rPr>
        <w:t>they</w:t>
      </w:r>
      <w:r>
        <w:t xml:space="preserve"> make more money</w:t>
      </w:r>
      <w:r>
        <w:rPr>
          <w:lang w:val="en-US"/>
        </w:rPr>
        <w:t>…</w:t>
      </w:r>
      <w:r w:rsidRPr="003F0ED0">
        <w:t xml:space="preserve"> </w:t>
      </w:r>
      <w:r>
        <w:t>regardless of what a family really wants or needs in a service</w:t>
      </w:r>
      <w:r>
        <w:rPr>
          <w:lang w:val="en-US"/>
        </w:rPr>
        <w:t xml:space="preserve">.” Funeral homes also acquired capital from the stock market and other investors, such that Service Corporate International was listed in the stock market since 1992 </w:t>
      </w:r>
      <w:r>
        <w:rPr>
          <w:lang w:val="en-US"/>
        </w:rPr>
        <w:fldChar w:fldCharType="begin"/>
      </w:r>
      <w:r>
        <w:rPr>
          <w:lang w:val="en-US"/>
        </w:rPr>
        <w:instrText xml:space="preserve"> ADDIN EN.CITE &lt;EndNote&gt;&lt;Cite&gt;&lt;Author&gt;NASDAQ&lt;/Author&gt;&lt;Year&gt;n.d.&lt;/Year&gt;&lt;RecNum&gt;2111&lt;/RecNum&gt;&lt;DisplayText&gt;(NASDAQ, n.d.)&lt;/DisplayText&gt;&lt;record&gt;&lt;rec-number&gt;2111&lt;/rec-number&gt;&lt;foreign-keys&gt;&lt;key app="EN" db-id="2pe9e00ros0veneeptspa5vhz0pw2az52v20" timestamp="1696108395" guid="66011ccf-faeb-4abd-8867-ebd1c23ad08a"&gt;2111&lt;/key&gt;&lt;/foreign-keys&gt;&lt;ref-type name="Web Page"&gt;12&lt;/ref-type&gt;&lt;contributors&gt;&lt;authors&gt;&lt;author&gt;NASDAQ,&lt;/author&gt;&lt;/authors&gt;&lt;/contributors&gt;&lt;titles&gt;&lt;title&gt;SCI Advanced Charting&lt;/title&gt;&lt;/titles&gt;&lt;dates&gt;&lt;year&gt;n.d.&lt;/year&gt;&lt;/dates&gt;&lt;urls&gt;&lt;related-urls&gt;&lt;url&gt;https://www.nasdaq.com/market-activity/stocks/sci/advanced-charting&lt;/url&gt;&lt;/related-urls&gt;&lt;/urls&gt;&lt;custom1&gt;2023&lt;/custom1&gt;&lt;custom2&gt;Sep.30&lt;/custom2&gt;&lt;/record&gt;&lt;/Cite&gt;&lt;/EndNote&gt;</w:instrText>
      </w:r>
      <w:r>
        <w:rPr>
          <w:lang w:val="en-US"/>
        </w:rPr>
        <w:fldChar w:fldCharType="separate"/>
      </w:r>
      <w:r>
        <w:rPr>
          <w:noProof/>
          <w:lang w:val="en-US"/>
        </w:rPr>
        <w:t>(NASDAQ, n.d.)</w:t>
      </w:r>
      <w:r>
        <w:rPr>
          <w:lang w:val="en-US"/>
        </w:rPr>
        <w:fldChar w:fldCharType="end"/>
      </w:r>
      <w:r>
        <w:rPr>
          <w:lang w:val="en-US"/>
        </w:rPr>
        <w:t xml:space="preserve"> and that Mark, a funeral home owner, wa</w:t>
      </w:r>
      <w:r w:rsidRPr="00F77D8F">
        <w:rPr>
          <w:lang w:val="en-US"/>
        </w:rPr>
        <w:t xml:space="preserve">s </w:t>
      </w:r>
      <w:r>
        <w:rPr>
          <w:lang w:val="en-US"/>
        </w:rPr>
        <w:t>“</w:t>
      </w:r>
      <w:r w:rsidRPr="00F77D8F">
        <w:rPr>
          <w:lang w:val="en-US"/>
        </w:rPr>
        <w:t xml:space="preserve">constantly talking with different investors regarding </w:t>
      </w:r>
      <w:r>
        <w:rPr>
          <w:lang w:val="en-US"/>
        </w:rPr>
        <w:t xml:space="preserve">expansion.” In short, to sustain and expand the funeral service business, funeral homes </w:t>
      </w:r>
      <w:r>
        <w:rPr>
          <w:lang w:val="en-US" w:eastAsia="zh-CN"/>
        </w:rPr>
        <w:t>adopt bureaucratic management forms, merge with other funeral homes, and focus on shareholders’</w:t>
      </w:r>
      <w:r>
        <w:rPr>
          <w:lang w:val="en-US"/>
        </w:rPr>
        <w:t xml:space="preserve"> financial interests.</w:t>
      </w:r>
    </w:p>
    <w:p w14:paraId="155DBB7B" w14:textId="77777777" w:rsidR="00256B3D" w:rsidRPr="002C6FCA" w:rsidRDefault="00256B3D" w:rsidP="00256B3D">
      <w:pPr>
        <w:pStyle w:val="BodyText"/>
        <w:ind w:firstLine="0"/>
        <w:rPr>
          <w:b/>
          <w:bCs/>
          <w:lang w:val="en-US"/>
        </w:rPr>
      </w:pPr>
      <w:r w:rsidRPr="002C6FCA">
        <w:rPr>
          <w:b/>
          <w:bCs/>
          <w:lang w:val="en-US"/>
        </w:rPr>
        <w:t>RQ1: Discourse of C</w:t>
      </w:r>
      <w:r>
        <w:rPr>
          <w:b/>
          <w:bCs/>
          <w:lang w:val="en-US"/>
        </w:rPr>
        <w:t>are</w:t>
      </w:r>
    </w:p>
    <w:p w14:paraId="47EE0A7E" w14:textId="77777777" w:rsidR="00256B3D" w:rsidRDefault="00256B3D" w:rsidP="00256B3D">
      <w:pPr>
        <w:pStyle w:val="BodyText"/>
        <w:rPr>
          <w:lang w:val="en-US"/>
        </w:rPr>
      </w:pPr>
      <w:r>
        <w:rPr>
          <w:lang w:val="en-US"/>
        </w:rPr>
        <w:t xml:space="preserve">Participating funeral directors’ comments demonstrated a consistent respect for humanity, particularly concerning compassion, support, and sacredness while working in funeral service. </w:t>
      </w:r>
    </w:p>
    <w:p w14:paraId="12154F14" w14:textId="77777777" w:rsidR="00256B3D" w:rsidRDefault="00256B3D" w:rsidP="00256B3D">
      <w:pPr>
        <w:pStyle w:val="BodyText"/>
        <w:rPr>
          <w:lang w:val="en-US"/>
        </w:rPr>
      </w:pPr>
      <w:r w:rsidRPr="002338B3">
        <w:rPr>
          <w:b/>
          <w:bCs/>
          <w:lang w:val="en-US"/>
        </w:rPr>
        <w:t>Compassion is natural</w:t>
      </w:r>
      <w:r>
        <w:rPr>
          <w:lang w:val="en-US"/>
        </w:rPr>
        <w:t xml:space="preserve">. Participating funeral directors showed their concern for </w:t>
      </w:r>
      <w:r w:rsidRPr="0013711A">
        <w:rPr>
          <w:lang w:val="en-US"/>
        </w:rPr>
        <w:t>the sufferings or misfortunes of others</w:t>
      </w:r>
      <w:r>
        <w:rPr>
          <w:lang w:val="en-US"/>
        </w:rPr>
        <w:t xml:space="preserve">. </w:t>
      </w:r>
      <w:r w:rsidRPr="00C96921">
        <w:rPr>
          <w:lang w:val="en-US"/>
        </w:rPr>
        <w:t>The deceased</w:t>
      </w:r>
      <w:r>
        <w:rPr>
          <w:lang w:val="en-US"/>
        </w:rPr>
        <w:t xml:space="preserve"> associated with death </w:t>
      </w:r>
      <w:r w:rsidRPr="00C96921">
        <w:rPr>
          <w:lang w:val="en-US"/>
        </w:rPr>
        <w:t>arouse</w:t>
      </w:r>
      <w:r>
        <w:rPr>
          <w:lang w:val="en-US"/>
        </w:rPr>
        <w:t>s people’s</w:t>
      </w:r>
      <w:r w:rsidRPr="00C96921">
        <w:rPr>
          <w:lang w:val="en-US"/>
        </w:rPr>
        <w:t xml:space="preserve"> grief</w:t>
      </w:r>
      <w:r>
        <w:rPr>
          <w:lang w:val="en-US"/>
        </w:rPr>
        <w:t xml:space="preserve"> as a natural human reaction, and a participating funeral director said, “</w:t>
      </w:r>
      <w:r w:rsidRPr="00C11815">
        <w:rPr>
          <w:lang w:val="en-US"/>
        </w:rPr>
        <w:t>We get no choice. If we love, we grieve</w:t>
      </w:r>
      <w:r>
        <w:rPr>
          <w:lang w:val="en-US"/>
        </w:rPr>
        <w:t>.” Another said, “</w:t>
      </w:r>
      <w:r w:rsidRPr="00C11815">
        <w:rPr>
          <w:lang w:val="en-US"/>
        </w:rPr>
        <w:t>Grief is very real. In the small town, these people are friends and neighbors</w:t>
      </w:r>
      <w:r>
        <w:rPr>
          <w:lang w:val="en-US"/>
        </w:rPr>
        <w:t xml:space="preserve">, so </w:t>
      </w:r>
      <w:r w:rsidRPr="00C11815">
        <w:rPr>
          <w:lang w:val="en-US"/>
        </w:rPr>
        <w:t>there are more personal aspects there</w:t>
      </w:r>
      <w:r>
        <w:rPr>
          <w:lang w:val="en-US"/>
        </w:rPr>
        <w:t>.” Yet another mentioned, “</w:t>
      </w:r>
      <w:r w:rsidRPr="0089183B">
        <w:rPr>
          <w:lang w:val="en-US"/>
        </w:rPr>
        <w:t>We went on a big strain with babies</w:t>
      </w:r>
      <w:r>
        <w:rPr>
          <w:lang w:val="en-US"/>
        </w:rPr>
        <w:t xml:space="preserve">’ [service] </w:t>
      </w:r>
      <w:r w:rsidRPr="0089183B">
        <w:rPr>
          <w:lang w:val="en-US"/>
        </w:rPr>
        <w:t xml:space="preserve">lately. </w:t>
      </w:r>
      <w:r>
        <w:rPr>
          <w:lang w:val="en-US"/>
        </w:rPr>
        <w:t>[It is very difficult to embalm babies].” Funeral directors also put themselves into the bereaved’s perspective. Breame, a funeral director with 20 years of experience, narrated, “S</w:t>
      </w:r>
      <w:r w:rsidRPr="00A477FC">
        <w:rPr>
          <w:lang w:val="en-US"/>
        </w:rPr>
        <w:t>ometimes I have an old lady all by herself seeing her husband</w:t>
      </w:r>
      <w:r>
        <w:rPr>
          <w:lang w:val="en-US"/>
        </w:rPr>
        <w:t xml:space="preserve"> [in the </w:t>
      </w:r>
      <w:r>
        <w:rPr>
          <w:lang w:val="en-US"/>
        </w:rPr>
        <w:lastRenderedPageBreak/>
        <w:t>visitation]</w:t>
      </w:r>
      <w:r w:rsidRPr="00A477FC">
        <w:rPr>
          <w:lang w:val="en-US"/>
        </w:rPr>
        <w:t>, and she does not have anybody with her. I am going to stay there with her, hug her</w:t>
      </w:r>
      <w:r>
        <w:rPr>
          <w:lang w:val="en-US"/>
        </w:rPr>
        <w:t>,</w:t>
      </w:r>
      <w:r w:rsidRPr="00A477FC">
        <w:rPr>
          <w:lang w:val="en-US"/>
        </w:rPr>
        <w:t xml:space="preserve"> and stay with her while she needs to be</w:t>
      </w:r>
      <w:r>
        <w:rPr>
          <w:lang w:val="en-US"/>
        </w:rPr>
        <w:t>.” Kyle, a funeral director with eight years of experience, described his approach to talking with the bereaved, “L</w:t>
      </w:r>
      <w:r w:rsidRPr="00D2213A">
        <w:rPr>
          <w:lang w:val="en-US"/>
        </w:rPr>
        <w:t>et’s not think about money right now</w:t>
      </w:r>
      <w:r>
        <w:rPr>
          <w:lang w:val="en-US"/>
        </w:rPr>
        <w:t>. T</w:t>
      </w:r>
      <w:r w:rsidRPr="00D2213A">
        <w:rPr>
          <w:lang w:val="en-US"/>
        </w:rPr>
        <w:t>hank you for bring</w:t>
      </w:r>
      <w:r>
        <w:rPr>
          <w:lang w:val="en-US"/>
        </w:rPr>
        <w:t>ing</w:t>
      </w:r>
      <w:r w:rsidRPr="00D2213A">
        <w:rPr>
          <w:lang w:val="en-US"/>
        </w:rPr>
        <w:t xml:space="preserve"> that up</w:t>
      </w:r>
      <w:r>
        <w:rPr>
          <w:lang w:val="en-US"/>
        </w:rPr>
        <w:t>.</w:t>
      </w:r>
      <w:r w:rsidRPr="00D2213A">
        <w:rPr>
          <w:lang w:val="en-US"/>
        </w:rPr>
        <w:t xml:space="preserve"> </w:t>
      </w:r>
      <w:r>
        <w:rPr>
          <w:lang w:val="en-US"/>
        </w:rPr>
        <w:t>L</w:t>
      </w:r>
      <w:r w:rsidRPr="00D2213A">
        <w:rPr>
          <w:lang w:val="en-US"/>
        </w:rPr>
        <w:t>et’s focus on this funeral for your mum</w:t>
      </w:r>
      <w:r>
        <w:rPr>
          <w:lang w:val="en-US"/>
        </w:rPr>
        <w:t>…</w:t>
      </w:r>
      <w:r w:rsidRPr="00D2213A">
        <w:rPr>
          <w:lang w:val="en-US"/>
        </w:rPr>
        <w:t>Do not have the first worry</w:t>
      </w:r>
      <w:r>
        <w:rPr>
          <w:lang w:val="en-US"/>
        </w:rPr>
        <w:t xml:space="preserve"> [about money]</w:t>
      </w:r>
      <w:r w:rsidRPr="00D2213A">
        <w:rPr>
          <w:lang w:val="en-US"/>
        </w:rPr>
        <w:t>. You just lost your mum</w:t>
      </w:r>
      <w:r>
        <w:rPr>
          <w:lang w:val="en-US"/>
        </w:rPr>
        <w:t>. L</w:t>
      </w:r>
      <w:r w:rsidRPr="00D2213A">
        <w:rPr>
          <w:lang w:val="en-US"/>
        </w:rPr>
        <w:t>et’s figure that out.”</w:t>
      </w:r>
      <w:r>
        <w:rPr>
          <w:lang w:val="en-US"/>
        </w:rPr>
        <w:t xml:space="preserve"> Funeral directors further bemoan</w:t>
      </w:r>
      <w:r>
        <w:t xml:space="preserve"> the transience and fragility of </w:t>
      </w:r>
      <w:r>
        <w:rPr>
          <w:lang w:val="en-US"/>
        </w:rPr>
        <w:t xml:space="preserve">human </w:t>
      </w:r>
      <w:r>
        <w:t>life</w:t>
      </w:r>
      <w:r>
        <w:rPr>
          <w:lang w:val="en-US"/>
        </w:rPr>
        <w:t xml:space="preserve">. Mike, a funeral </w:t>
      </w:r>
      <w:proofErr w:type="gramStart"/>
      <w:r>
        <w:rPr>
          <w:lang w:val="en-US"/>
        </w:rPr>
        <w:t>home owner</w:t>
      </w:r>
      <w:proofErr w:type="gramEnd"/>
      <w:r>
        <w:rPr>
          <w:lang w:val="en-US"/>
        </w:rPr>
        <w:t xml:space="preserve"> with 24 years of experience, described, “</w:t>
      </w:r>
      <w:r w:rsidRPr="00350EA9">
        <w:rPr>
          <w:lang w:val="en-US"/>
        </w:rPr>
        <w:t xml:space="preserve">When you come to serve </w:t>
      </w:r>
      <w:r>
        <w:rPr>
          <w:lang w:val="en-US"/>
        </w:rPr>
        <w:t>[the deceased]</w:t>
      </w:r>
      <w:r w:rsidRPr="00350EA9">
        <w:rPr>
          <w:lang w:val="en-US"/>
        </w:rPr>
        <w:t>, the reality is that someday we are all go</w:t>
      </w:r>
      <w:r>
        <w:rPr>
          <w:lang w:val="en-US"/>
        </w:rPr>
        <w:t>ing</w:t>
      </w:r>
      <w:r w:rsidRPr="00350EA9">
        <w:rPr>
          <w:lang w:val="en-US"/>
        </w:rPr>
        <w:t xml:space="preserve"> to pass away, </w:t>
      </w:r>
      <w:r>
        <w:rPr>
          <w:lang w:val="en-US"/>
        </w:rPr>
        <w:t xml:space="preserve">[and] </w:t>
      </w:r>
      <w:r w:rsidRPr="00350EA9">
        <w:rPr>
          <w:lang w:val="en-US"/>
        </w:rPr>
        <w:t>someday we are all gone to cross that bridge</w:t>
      </w:r>
      <w:r>
        <w:rPr>
          <w:lang w:val="en-US"/>
        </w:rPr>
        <w:t xml:space="preserve">.”  Bob, a second-generation funeral </w:t>
      </w:r>
      <w:proofErr w:type="gramStart"/>
      <w:r>
        <w:rPr>
          <w:lang w:val="en-US"/>
        </w:rPr>
        <w:t>home owner</w:t>
      </w:r>
      <w:proofErr w:type="gramEnd"/>
      <w:r>
        <w:rPr>
          <w:lang w:val="en-US"/>
        </w:rPr>
        <w:t>, stated, “</w:t>
      </w:r>
      <w:r w:rsidRPr="00860B94">
        <w:rPr>
          <w:lang w:val="en-US"/>
        </w:rPr>
        <w:t xml:space="preserve">As a </w:t>
      </w:r>
      <w:r>
        <w:rPr>
          <w:lang w:val="en-US"/>
        </w:rPr>
        <w:t xml:space="preserve">local </w:t>
      </w:r>
      <w:r w:rsidRPr="00860B94">
        <w:rPr>
          <w:lang w:val="en-US"/>
        </w:rPr>
        <w:t>funeral home</w:t>
      </w:r>
      <w:r>
        <w:rPr>
          <w:lang w:val="en-US"/>
        </w:rPr>
        <w:t xml:space="preserve">, </w:t>
      </w:r>
      <w:r w:rsidRPr="00860B94">
        <w:rPr>
          <w:lang w:val="en-US"/>
        </w:rPr>
        <w:t>we should be more flexible in providing services</w:t>
      </w:r>
      <w:r>
        <w:rPr>
          <w:lang w:val="en-US"/>
        </w:rPr>
        <w:t xml:space="preserve"> and </w:t>
      </w:r>
      <w:r w:rsidRPr="00860B94">
        <w:rPr>
          <w:lang w:val="en-US"/>
        </w:rPr>
        <w:t xml:space="preserve">more adaptable to families’ needs. We never know when the next </w:t>
      </w:r>
      <w:r>
        <w:rPr>
          <w:lang w:val="en-US"/>
        </w:rPr>
        <w:t xml:space="preserve">[pandemic emergency] </w:t>
      </w:r>
      <w:r w:rsidRPr="00860B94">
        <w:rPr>
          <w:lang w:val="en-US"/>
        </w:rPr>
        <w:t>comes</w:t>
      </w:r>
      <w:r>
        <w:rPr>
          <w:lang w:val="en-US"/>
        </w:rPr>
        <w:t xml:space="preserve">.” In short, participating funeral directors’ comments clearly indicated compassion for the bereaved and the deceased </w:t>
      </w:r>
      <w:r w:rsidRPr="00C10905">
        <w:rPr>
          <w:lang w:val="en-US"/>
        </w:rPr>
        <w:t>because they had their own grief, put themselves into others</w:t>
      </w:r>
      <w:r>
        <w:rPr>
          <w:lang w:val="en-US"/>
        </w:rPr>
        <w:t xml:space="preserve">’ </w:t>
      </w:r>
      <w:r w:rsidRPr="00C10905">
        <w:rPr>
          <w:lang w:val="en-US"/>
        </w:rPr>
        <w:t>shoes, and recognized life’s transience and fragility.</w:t>
      </w:r>
    </w:p>
    <w:p w14:paraId="56877ACC" w14:textId="77777777" w:rsidR="00256B3D" w:rsidRDefault="00256B3D" w:rsidP="00256B3D">
      <w:pPr>
        <w:pStyle w:val="BodyText"/>
        <w:rPr>
          <w:lang w:val="en-US"/>
        </w:rPr>
      </w:pPr>
      <w:r w:rsidRPr="002338B3">
        <w:rPr>
          <w:b/>
          <w:bCs/>
          <w:lang w:val="en-US"/>
        </w:rPr>
        <w:t>Support is socialized</w:t>
      </w:r>
      <w:r>
        <w:rPr>
          <w:lang w:val="en-US"/>
        </w:rPr>
        <w:t>. Participating f</w:t>
      </w:r>
      <w:r w:rsidRPr="00D02077">
        <w:rPr>
          <w:lang w:val="en-US"/>
        </w:rPr>
        <w:t>uneral directors provide</w:t>
      </w:r>
      <w:r>
        <w:rPr>
          <w:lang w:val="en-US"/>
        </w:rPr>
        <w:t>d</w:t>
      </w:r>
      <w:r w:rsidRPr="00D02077">
        <w:rPr>
          <w:lang w:val="en-US"/>
        </w:rPr>
        <w:t xml:space="preserve"> social support to fit into social and professional expectations. The professionalism of funeral directors requires enacting social support. </w:t>
      </w:r>
      <w:r>
        <w:rPr>
          <w:lang w:val="en-US"/>
        </w:rPr>
        <w:t xml:space="preserve">Mike, a funeral director with 24 years of experience, reviewed one of the </w:t>
      </w:r>
      <w:r w:rsidRPr="00D02077">
        <w:rPr>
          <w:lang w:val="en-US"/>
        </w:rPr>
        <w:t>Federal Trade Commission rule</w:t>
      </w:r>
      <w:r>
        <w:rPr>
          <w:lang w:val="en-US"/>
        </w:rPr>
        <w:t>s regarding</w:t>
      </w:r>
      <w:r w:rsidRPr="00D02077">
        <w:rPr>
          <w:lang w:val="en-US"/>
        </w:rPr>
        <w:t xml:space="preserve"> provid</w:t>
      </w:r>
      <w:r>
        <w:rPr>
          <w:lang w:val="en-US"/>
        </w:rPr>
        <w:t>ing</w:t>
      </w:r>
      <w:r w:rsidRPr="00D02077">
        <w:rPr>
          <w:lang w:val="en-US"/>
        </w:rPr>
        <w:t xml:space="preserve"> information support, “having a price list available for anybody who walks into funeral homes.”</w:t>
      </w:r>
      <w:r>
        <w:rPr>
          <w:lang w:val="en-US"/>
        </w:rPr>
        <w:t xml:space="preserve"> Funeral directors also mentioned their job duties and responsibilities, such as “guiding families’ funeral arrangements,” “being present at the graveside,” “securing caskets at the cemetery,” and “doing the death certificate.” Moreover, participating funeral directors reported displaying</w:t>
      </w:r>
      <w:r w:rsidRPr="006A3864">
        <w:rPr>
          <w:lang w:val="en-US"/>
        </w:rPr>
        <w:t xml:space="preserve"> supportive behaviors to maintain a good reputation in the community and remain in business</w:t>
      </w:r>
      <w:r>
        <w:rPr>
          <w:lang w:val="en-US"/>
        </w:rPr>
        <w:t>. M</w:t>
      </w:r>
      <w:r w:rsidRPr="00046FFD">
        <w:rPr>
          <w:lang w:val="en-US"/>
        </w:rPr>
        <w:t xml:space="preserve">any </w:t>
      </w:r>
      <w:r>
        <w:rPr>
          <w:lang w:val="en-US"/>
        </w:rPr>
        <w:t xml:space="preserve">participating </w:t>
      </w:r>
      <w:r w:rsidRPr="00046FFD">
        <w:rPr>
          <w:lang w:val="en-US"/>
        </w:rPr>
        <w:t>funeral directors</w:t>
      </w:r>
      <w:r>
        <w:rPr>
          <w:lang w:val="en-US"/>
        </w:rPr>
        <w:t xml:space="preserve"> are conscious of their reputations while working in funeral services, so they “do</w:t>
      </w:r>
      <w:r>
        <w:t xml:space="preserve"> the right thing</w:t>
      </w:r>
      <w:r>
        <w:rPr>
          <w:lang w:val="en-US"/>
        </w:rPr>
        <w:t xml:space="preserve">, </w:t>
      </w:r>
      <w:r>
        <w:rPr>
          <w:lang w:val="en-US"/>
        </w:rPr>
        <w:lastRenderedPageBreak/>
        <w:t xml:space="preserve">[show] their </w:t>
      </w:r>
      <w:r>
        <w:t>morals</w:t>
      </w:r>
      <w:r>
        <w:rPr>
          <w:lang w:val="en-US"/>
        </w:rPr>
        <w:t>,</w:t>
      </w:r>
      <w:r w:rsidRPr="00046FFD">
        <w:rPr>
          <w:lang w:val="en-US"/>
        </w:rPr>
        <w:t xml:space="preserve"> stay straight, do not give people a reason to doubt </w:t>
      </w:r>
      <w:r>
        <w:rPr>
          <w:lang w:val="en-US"/>
        </w:rPr>
        <w:t xml:space="preserve">them, and </w:t>
      </w:r>
      <w:r w:rsidRPr="00046FFD">
        <w:rPr>
          <w:lang w:val="en-US"/>
        </w:rPr>
        <w:t>do not get name</w:t>
      </w:r>
      <w:r>
        <w:rPr>
          <w:lang w:val="en-US"/>
        </w:rPr>
        <w:t>s</w:t>
      </w:r>
      <w:r w:rsidRPr="00046FFD">
        <w:rPr>
          <w:lang w:val="en-US"/>
        </w:rPr>
        <w:t xml:space="preserve"> on something negative.</w:t>
      </w:r>
      <w:r>
        <w:rPr>
          <w:lang w:val="en-US"/>
        </w:rPr>
        <w:t>” Some funeral homes provide many additional (and typically free) aftercare services, “We provide</w:t>
      </w:r>
      <w:r>
        <w:t xml:space="preserve"> </w:t>
      </w:r>
      <w:r>
        <w:rPr>
          <w:lang w:val="en-US"/>
        </w:rPr>
        <w:t xml:space="preserve">a </w:t>
      </w:r>
      <w:r>
        <w:t>grief support group</w:t>
      </w:r>
      <w:r>
        <w:rPr>
          <w:lang w:val="en-US"/>
        </w:rPr>
        <w:t xml:space="preserve"> </w:t>
      </w:r>
      <w:r>
        <w:t>that meets at the funeral home monthly</w:t>
      </w:r>
      <w:r>
        <w:rPr>
          <w:lang w:val="en-US"/>
        </w:rPr>
        <w:t>,”</w:t>
      </w:r>
      <w:r>
        <w:t xml:space="preserve"> </w:t>
      </w:r>
      <w:r>
        <w:rPr>
          <w:lang w:val="en-US"/>
        </w:rPr>
        <w:t>“</w:t>
      </w:r>
      <w:r>
        <w:t>We also send families to other resources, such as monuments for the cemetery</w:t>
      </w:r>
      <w:r>
        <w:rPr>
          <w:lang w:val="en-US"/>
        </w:rPr>
        <w:t>,</w:t>
      </w:r>
      <w:r>
        <w:t xml:space="preserve"> estate planning for probate</w:t>
      </w:r>
      <w:r>
        <w:rPr>
          <w:lang w:val="en-US"/>
        </w:rPr>
        <w:t xml:space="preserve">, and handouts for </w:t>
      </w:r>
      <w:r>
        <w:t>contact</w:t>
      </w:r>
      <w:r>
        <w:rPr>
          <w:lang w:val="en-US"/>
        </w:rPr>
        <w:t xml:space="preserve">ing </w:t>
      </w:r>
      <w:r>
        <w:t>Facebook</w:t>
      </w:r>
      <w:r>
        <w:rPr>
          <w:lang w:val="en-US"/>
        </w:rPr>
        <w:t>,” and</w:t>
      </w:r>
      <w:r w:rsidRPr="00F67266">
        <w:t xml:space="preserve"> </w:t>
      </w:r>
      <w:r>
        <w:rPr>
          <w:lang w:val="en-US"/>
        </w:rPr>
        <w:t>“</w:t>
      </w:r>
      <w:r>
        <w:t>We text them, call them, and check how their life is going.</w:t>
      </w:r>
      <w:r>
        <w:rPr>
          <w:lang w:val="en-US"/>
        </w:rPr>
        <w:t xml:space="preserve">” Funeral directors also internalize social support into their self-identity. </w:t>
      </w:r>
      <w:r w:rsidRPr="00C61C2F">
        <w:rPr>
          <w:lang w:val="en-US"/>
        </w:rPr>
        <w:t>Brandon, a funeral director with 18 years of experience,</w:t>
      </w:r>
      <w:r>
        <w:rPr>
          <w:lang w:val="en-US"/>
        </w:rPr>
        <w:t xml:space="preserve"> told a story of </w:t>
      </w:r>
      <w:r w:rsidRPr="00C61C2F">
        <w:rPr>
          <w:lang w:val="en-US"/>
        </w:rPr>
        <w:t>on</w:t>
      </w:r>
      <w:r>
        <w:rPr>
          <w:lang w:val="en-US"/>
        </w:rPr>
        <w:t>-</w:t>
      </w:r>
      <w:r w:rsidRPr="00C61C2F">
        <w:rPr>
          <w:lang w:val="en-US"/>
        </w:rPr>
        <w:t>call 24/7</w:t>
      </w:r>
      <w:r>
        <w:rPr>
          <w:lang w:val="en-US"/>
        </w:rPr>
        <w:t xml:space="preserve">: </w:t>
      </w:r>
      <w:r w:rsidRPr="00C61C2F">
        <w:rPr>
          <w:lang w:val="en-US"/>
        </w:rPr>
        <w:t>“I had a woman who passed away at 12:02 am</w:t>
      </w:r>
      <w:r>
        <w:rPr>
          <w:lang w:val="en-US"/>
        </w:rPr>
        <w:t xml:space="preserve">, and </w:t>
      </w:r>
      <w:r w:rsidRPr="00C61C2F">
        <w:rPr>
          <w:lang w:val="en-US"/>
        </w:rPr>
        <w:t>I got her</w:t>
      </w:r>
      <w:r>
        <w:rPr>
          <w:lang w:val="en-US"/>
        </w:rPr>
        <w:t xml:space="preserve"> and </w:t>
      </w:r>
      <w:r w:rsidRPr="00C61C2F">
        <w:rPr>
          <w:lang w:val="en-US"/>
        </w:rPr>
        <w:t>went to bed at 4:40 am</w:t>
      </w:r>
      <w:r>
        <w:rPr>
          <w:lang w:val="en-US"/>
        </w:rPr>
        <w:t>.” Rebecca, a funeral director with 18 years of experience,</w:t>
      </w:r>
      <w:r w:rsidRPr="00CB6D52">
        <w:rPr>
          <w:lang w:val="en-US" w:eastAsia="zh-TW"/>
        </w:rPr>
        <w:t xml:space="preserve"> </w:t>
      </w:r>
      <w:r w:rsidRPr="00C61C2F">
        <w:rPr>
          <w:lang w:val="en-US" w:eastAsia="zh-TW"/>
        </w:rPr>
        <w:t>lo</w:t>
      </w:r>
      <w:r>
        <w:rPr>
          <w:lang w:val="en-US" w:eastAsia="zh-TW"/>
        </w:rPr>
        <w:t>st</w:t>
      </w:r>
      <w:r w:rsidRPr="00C61C2F">
        <w:rPr>
          <w:lang w:val="en-US" w:eastAsia="zh-TW"/>
        </w:rPr>
        <w:t xml:space="preserve"> track of time </w:t>
      </w:r>
      <w:r>
        <w:rPr>
          <w:lang w:val="en-US" w:eastAsia="zh-TW"/>
        </w:rPr>
        <w:t xml:space="preserve">while embalming, </w:t>
      </w:r>
      <w:r>
        <w:rPr>
          <w:lang w:val="en-US"/>
        </w:rPr>
        <w:t>“</w:t>
      </w:r>
      <w:r w:rsidRPr="00C61C2F">
        <w:rPr>
          <w:lang w:val="en-US" w:eastAsia="zh-TW"/>
        </w:rPr>
        <w:t>I worked as I want to do my best every time. If it is going to take two hours for this person to be ready, I am going to take two hours</w:t>
      </w:r>
      <w:r>
        <w:rPr>
          <w:lang w:val="en-US" w:eastAsia="zh-TW"/>
        </w:rPr>
        <w:t>.</w:t>
      </w:r>
      <w:r>
        <w:rPr>
          <w:lang w:val="en-US"/>
        </w:rPr>
        <w:t xml:space="preserve">” In short, funeral directors are socialized to provide social support because of the professionalism requirement, reputation in the community, and internalized self-identity. </w:t>
      </w:r>
    </w:p>
    <w:p w14:paraId="267EB75B" w14:textId="74AAB7E9" w:rsidR="00256B3D" w:rsidRDefault="00256B3D" w:rsidP="00CA37DD">
      <w:pPr>
        <w:pStyle w:val="BodyText"/>
        <w:rPr>
          <w:lang w:val="en-US"/>
        </w:rPr>
      </w:pPr>
      <w:r>
        <w:rPr>
          <w:b/>
          <w:bCs/>
          <w:lang w:val="en-US"/>
        </w:rPr>
        <w:t>Sacredness</w:t>
      </w:r>
      <w:r w:rsidRPr="002338B3">
        <w:rPr>
          <w:b/>
          <w:bCs/>
          <w:lang w:val="en-US"/>
        </w:rPr>
        <w:t xml:space="preserve"> is ex</w:t>
      </w:r>
      <w:r>
        <w:rPr>
          <w:b/>
          <w:bCs/>
          <w:lang w:val="en-US"/>
        </w:rPr>
        <w:t>isten</w:t>
      </w:r>
      <w:r w:rsidRPr="002338B3">
        <w:rPr>
          <w:b/>
          <w:bCs/>
          <w:lang w:val="en-US"/>
        </w:rPr>
        <w:t>tial</w:t>
      </w:r>
      <w:r>
        <w:rPr>
          <w:lang w:val="en-US"/>
        </w:rPr>
        <w:t>. Participating funeral directors</w:t>
      </w:r>
      <w:r w:rsidR="00CA37DD">
        <w:rPr>
          <w:lang w:val="en-US"/>
        </w:rPr>
        <w:t xml:space="preserve"> claimed of experiencing </w:t>
      </w:r>
      <w:r>
        <w:rPr>
          <w:lang w:val="en-US"/>
        </w:rPr>
        <w:t xml:space="preserve">sacredness </w:t>
      </w:r>
      <w:r w:rsidR="00CA37DD">
        <w:rPr>
          <w:lang w:val="en-US"/>
        </w:rPr>
        <w:t xml:space="preserve">while </w:t>
      </w:r>
      <w:r>
        <w:rPr>
          <w:lang w:val="en-US"/>
        </w:rPr>
        <w:t xml:space="preserve">working in space that connects people to the mystery of the beyond. Some funeral directors </w:t>
      </w:r>
      <w:r w:rsidR="00CA37DD">
        <w:rPr>
          <w:lang w:val="en-US"/>
        </w:rPr>
        <w:t>interpreted themselves as having a fa</w:t>
      </w:r>
      <w:r w:rsidR="00CA37DD">
        <w:rPr>
          <w:rFonts w:hint="eastAsia"/>
          <w:lang w:val="en-US" w:eastAsia="zh-CN"/>
        </w:rPr>
        <w:t>talistic</w:t>
      </w:r>
      <w:r w:rsidR="00CA37DD">
        <w:rPr>
          <w:lang w:val="en-US"/>
        </w:rPr>
        <w:t xml:space="preserve"> professional career</w:t>
      </w:r>
      <w:r>
        <w:rPr>
          <w:lang w:val="en-US"/>
        </w:rPr>
        <w:t>; as one participant said, “</w:t>
      </w:r>
      <w:r>
        <w:t>It is a calling</w:t>
      </w:r>
      <w:r>
        <w:rPr>
          <w:lang w:val="en-US"/>
        </w:rPr>
        <w:t xml:space="preserve"> [to be a funeral director]. T</w:t>
      </w:r>
      <w:r w:rsidRPr="00F4408C">
        <w:rPr>
          <w:lang w:val="en-US"/>
        </w:rPr>
        <w:t>here is no grey area</w:t>
      </w:r>
      <w:r>
        <w:rPr>
          <w:lang w:val="en-US"/>
        </w:rPr>
        <w:t>. E</w:t>
      </w:r>
      <w:r w:rsidRPr="00F4408C">
        <w:rPr>
          <w:lang w:val="en-US"/>
        </w:rPr>
        <w:t>ither you can do this</w:t>
      </w:r>
      <w:r>
        <w:rPr>
          <w:lang w:val="en-US"/>
        </w:rPr>
        <w:t>,</w:t>
      </w:r>
      <w:r w:rsidRPr="00F4408C">
        <w:rPr>
          <w:lang w:val="en-US"/>
        </w:rPr>
        <w:t xml:space="preserve"> or you cannot do this</w:t>
      </w:r>
      <w:r>
        <w:rPr>
          <w:lang w:val="en-US"/>
        </w:rPr>
        <w:t>.” Another participant mentioned, “</w:t>
      </w:r>
      <w:r w:rsidRPr="00556D07">
        <w:rPr>
          <w:lang w:val="en-US"/>
        </w:rPr>
        <w:t xml:space="preserve">I am one of those people that was born to do </w:t>
      </w:r>
      <w:r>
        <w:rPr>
          <w:lang w:val="en-US"/>
        </w:rPr>
        <w:t>[funeral service].” Yet another participant declared, “</w:t>
      </w:r>
      <w:r>
        <w:t xml:space="preserve">I am </w:t>
      </w:r>
      <w:r>
        <w:rPr>
          <w:lang w:val="en-US"/>
        </w:rPr>
        <w:t xml:space="preserve">a </w:t>
      </w:r>
      <w:r>
        <w:t>third</w:t>
      </w:r>
      <w:r>
        <w:rPr>
          <w:lang w:val="en-US"/>
        </w:rPr>
        <w:t>-generation</w:t>
      </w:r>
      <w:r>
        <w:t xml:space="preserve"> funeral director</w:t>
      </w:r>
      <w:r>
        <w:rPr>
          <w:lang w:val="en-US"/>
        </w:rPr>
        <w:t>…</w:t>
      </w:r>
      <w:r>
        <w:t>I was raised in this small town and in a funeral business.</w:t>
      </w:r>
      <w:r>
        <w:rPr>
          <w:lang w:val="en-US"/>
        </w:rPr>
        <w:t xml:space="preserve">” </w:t>
      </w:r>
      <w:r>
        <w:rPr>
          <w:rFonts w:ascii="Times" w:hAnsi="Times"/>
          <w:lang w:val="en-US"/>
        </w:rPr>
        <w:t xml:space="preserve">Many participating </w:t>
      </w:r>
      <w:r>
        <w:rPr>
          <w:rFonts w:ascii="Times" w:hAnsi="Times"/>
        </w:rPr>
        <w:t>funeral director</w:t>
      </w:r>
      <w:r w:rsidRPr="00294ABE">
        <w:rPr>
          <w:rFonts w:ascii="Times" w:hAnsi="Times"/>
        </w:rPr>
        <w:t xml:space="preserve">s identified </w:t>
      </w:r>
      <w:r>
        <w:rPr>
          <w:rFonts w:ascii="Times" w:hAnsi="Times"/>
          <w:lang w:val="en-US"/>
        </w:rPr>
        <w:t xml:space="preserve">their job as </w:t>
      </w:r>
      <w:r w:rsidRPr="00294ABE">
        <w:rPr>
          <w:rFonts w:ascii="Times" w:hAnsi="Times"/>
        </w:rPr>
        <w:t>rewarding</w:t>
      </w:r>
      <w:r>
        <w:rPr>
          <w:rFonts w:ascii="Times" w:hAnsi="Times"/>
          <w:lang w:val="en-US"/>
        </w:rPr>
        <w:t xml:space="preserve"> because of helping people. Ryan, a funeral director with 18 years of experience, shared his experience, </w:t>
      </w:r>
      <w:r w:rsidRPr="00294ABE">
        <w:rPr>
          <w:rFonts w:ascii="Times" w:hAnsi="Times"/>
        </w:rPr>
        <w:t>“When people come to hug me and say: thank you, they make me think I cannot leave this job, this profession</w:t>
      </w:r>
      <w:r>
        <w:rPr>
          <w:rFonts w:ascii="Times" w:hAnsi="Times"/>
          <w:lang w:val="en-US"/>
        </w:rPr>
        <w:t xml:space="preserve">, some [other] jobs are </w:t>
      </w:r>
      <w:r>
        <w:rPr>
          <w:rFonts w:ascii="Times" w:hAnsi="Times"/>
          <w:lang w:val="en-US"/>
        </w:rPr>
        <w:lastRenderedPageBreak/>
        <w:t>better paid though.</w:t>
      </w:r>
      <w:r w:rsidRPr="00294ABE">
        <w:rPr>
          <w:rFonts w:ascii="Times" w:hAnsi="Times"/>
        </w:rPr>
        <w:t>”</w:t>
      </w:r>
      <w:r>
        <w:rPr>
          <w:rFonts w:ascii="Times" w:hAnsi="Times"/>
          <w:lang w:val="en-US"/>
        </w:rPr>
        <w:t xml:space="preserve"> Mike, a funeral director with 24 years of experience, shared, </w:t>
      </w:r>
      <w:r>
        <w:rPr>
          <w:lang w:val="en-US"/>
        </w:rPr>
        <w:t>“</w:t>
      </w:r>
      <w:r>
        <w:t xml:space="preserve">I would call </w:t>
      </w:r>
      <w:r>
        <w:rPr>
          <w:lang w:val="en-US"/>
        </w:rPr>
        <w:t xml:space="preserve">this job: </w:t>
      </w:r>
      <w:r>
        <w:t>the happy in the sad</w:t>
      </w:r>
      <w:r>
        <w:rPr>
          <w:lang w:val="en-US"/>
        </w:rPr>
        <w:t xml:space="preserve">. </w:t>
      </w:r>
      <w:r w:rsidRPr="00673EC8">
        <w:rPr>
          <w:lang w:val="en-US"/>
        </w:rPr>
        <w:t>I helped them walk through the process</w:t>
      </w:r>
      <w:r>
        <w:rPr>
          <w:lang w:val="en-US"/>
        </w:rPr>
        <w:t xml:space="preserve">. </w:t>
      </w:r>
      <w:r w:rsidRPr="00673EC8">
        <w:rPr>
          <w:lang w:val="en-US"/>
        </w:rPr>
        <w:t>Grief, automobile accidents, children, not everything</w:t>
      </w:r>
      <w:r>
        <w:rPr>
          <w:lang w:val="en-US"/>
        </w:rPr>
        <w:t xml:space="preserve"> I </w:t>
      </w:r>
      <w:r w:rsidRPr="00673EC8">
        <w:rPr>
          <w:lang w:val="en-US"/>
        </w:rPr>
        <w:t xml:space="preserve">see is pleasant, but I think at the end of </w:t>
      </w:r>
      <w:r>
        <w:rPr>
          <w:lang w:val="en-US"/>
        </w:rPr>
        <w:t>the day,</w:t>
      </w:r>
      <w:r w:rsidRPr="00673EC8">
        <w:rPr>
          <w:lang w:val="en-US"/>
        </w:rPr>
        <w:t xml:space="preserve"> I go home, and I feel rewarded.</w:t>
      </w:r>
      <w:r>
        <w:rPr>
          <w:lang w:val="en-US"/>
        </w:rPr>
        <w:t>” Funeral directors are closely associated with death and dying. Sonny, a funeral director with 12 years of experience, said, “I experience sacredness while doing embalming.” Chad, a funeral director with 12 years of experience, mentioned, “</w:t>
      </w:r>
      <w:r w:rsidRPr="00CC3258">
        <w:rPr>
          <w:lang w:val="en-US"/>
        </w:rPr>
        <w:t>Some people are s</w:t>
      </w:r>
      <w:r>
        <w:rPr>
          <w:lang w:val="en-US"/>
        </w:rPr>
        <w:t>ca</w:t>
      </w:r>
      <w:r w:rsidRPr="00CC3258">
        <w:rPr>
          <w:lang w:val="en-US"/>
        </w:rPr>
        <w:t>red to talk to us.</w:t>
      </w:r>
      <w:r>
        <w:rPr>
          <w:lang w:val="en-US"/>
        </w:rPr>
        <w:t xml:space="preserve"> They are scared to walk into funeral homes.</w:t>
      </w:r>
      <w:r w:rsidRPr="00CC3258">
        <w:rPr>
          <w:lang w:val="en-US"/>
        </w:rPr>
        <w:t xml:space="preserve"> There are two</w:t>
      </w:r>
      <w:r>
        <w:rPr>
          <w:lang w:val="en-US"/>
        </w:rPr>
        <w:t xml:space="preserve"> [types of]</w:t>
      </w:r>
      <w:r w:rsidRPr="00CC3258">
        <w:rPr>
          <w:lang w:val="en-US"/>
        </w:rPr>
        <w:t xml:space="preserve"> people</w:t>
      </w:r>
      <w:r>
        <w:rPr>
          <w:lang w:val="en-US"/>
        </w:rPr>
        <w:t>. T</w:t>
      </w:r>
      <w:r w:rsidRPr="00CC3258">
        <w:rPr>
          <w:lang w:val="en-US"/>
        </w:rPr>
        <w:t>hey either have a hundred questions</w:t>
      </w:r>
      <w:r>
        <w:rPr>
          <w:lang w:val="en-US"/>
        </w:rPr>
        <w:t xml:space="preserve"> </w:t>
      </w:r>
      <w:r w:rsidRPr="00CC3258">
        <w:rPr>
          <w:lang w:val="en-US"/>
        </w:rPr>
        <w:t>or walk away</w:t>
      </w:r>
      <w:r>
        <w:rPr>
          <w:lang w:val="en-US"/>
        </w:rPr>
        <w:t xml:space="preserve">.” In short, funeral directors take care of people for sacred reasons, inclusive of having a </w:t>
      </w:r>
      <w:r>
        <w:rPr>
          <w:lang w:val="en-US" w:eastAsia="zh-CN"/>
        </w:rPr>
        <w:t xml:space="preserve">fateful professional career, experiencing </w:t>
      </w:r>
      <w:r>
        <w:rPr>
          <w:lang w:val="en-US"/>
        </w:rPr>
        <w:t xml:space="preserve">self-rewarding, and being closely associated with death and dying. </w:t>
      </w:r>
    </w:p>
    <w:p w14:paraId="664CF054" w14:textId="77777777" w:rsidR="00256B3D" w:rsidRDefault="00256B3D" w:rsidP="00256B3D">
      <w:pPr>
        <w:pStyle w:val="BodyText"/>
        <w:rPr>
          <w:lang w:val="en-US"/>
        </w:rPr>
      </w:pPr>
      <w:r>
        <w:rPr>
          <w:lang w:val="en-US"/>
        </w:rPr>
        <w:t xml:space="preserve">As such, the </w:t>
      </w:r>
      <w:r>
        <w:rPr>
          <w:i/>
          <w:iCs/>
          <w:lang w:val="en-US"/>
        </w:rPr>
        <w:t>D</w:t>
      </w:r>
      <w:r w:rsidRPr="00216FFC">
        <w:rPr>
          <w:i/>
          <w:iCs/>
          <w:lang w:val="en-US"/>
        </w:rPr>
        <w:t xml:space="preserve">iscourse of </w:t>
      </w:r>
      <w:r>
        <w:rPr>
          <w:i/>
          <w:iCs/>
          <w:lang w:val="en-US"/>
        </w:rPr>
        <w:t>C</w:t>
      </w:r>
      <w:r w:rsidRPr="00216FFC">
        <w:rPr>
          <w:i/>
          <w:iCs/>
          <w:lang w:val="en-US"/>
        </w:rPr>
        <w:t>ommerce</w:t>
      </w:r>
      <w:r>
        <w:rPr>
          <w:lang w:val="en-US"/>
        </w:rPr>
        <w:t xml:space="preserve"> and the</w:t>
      </w:r>
      <w:r>
        <w:rPr>
          <w:i/>
          <w:iCs/>
          <w:lang w:val="en-US"/>
        </w:rPr>
        <w:t xml:space="preserve"> D</w:t>
      </w:r>
      <w:r w:rsidRPr="00216FFC">
        <w:rPr>
          <w:i/>
          <w:iCs/>
          <w:lang w:val="en-US"/>
        </w:rPr>
        <w:t xml:space="preserve">iscourse of </w:t>
      </w:r>
      <w:r>
        <w:rPr>
          <w:i/>
          <w:iCs/>
          <w:lang w:val="en-US"/>
        </w:rPr>
        <w:t>C</w:t>
      </w:r>
      <w:r w:rsidRPr="00216FFC">
        <w:rPr>
          <w:i/>
          <w:iCs/>
          <w:lang w:val="en-US"/>
        </w:rPr>
        <w:t>are</w:t>
      </w:r>
      <w:r>
        <w:rPr>
          <w:i/>
          <w:iCs/>
          <w:lang w:val="en-US"/>
        </w:rPr>
        <w:t xml:space="preserve"> </w:t>
      </w:r>
      <w:r>
        <w:rPr>
          <w:lang w:val="en-US"/>
        </w:rPr>
        <w:t xml:space="preserve">represent two meaning systems that compete to create meanings of the commerce-care dialectic in funeral planning. The </w:t>
      </w:r>
      <w:r>
        <w:rPr>
          <w:i/>
          <w:iCs/>
          <w:lang w:val="en-US"/>
        </w:rPr>
        <w:t>D</w:t>
      </w:r>
      <w:r w:rsidRPr="00216FFC">
        <w:rPr>
          <w:i/>
          <w:iCs/>
          <w:lang w:val="en-US"/>
        </w:rPr>
        <w:t xml:space="preserve">iscourse of </w:t>
      </w:r>
      <w:r>
        <w:rPr>
          <w:i/>
          <w:iCs/>
          <w:lang w:val="en-US"/>
        </w:rPr>
        <w:t>C</w:t>
      </w:r>
      <w:r w:rsidRPr="00216FFC">
        <w:rPr>
          <w:i/>
          <w:iCs/>
          <w:lang w:val="en-US"/>
        </w:rPr>
        <w:t>ommerce</w:t>
      </w:r>
      <w:r>
        <w:rPr>
          <w:lang w:val="en-US"/>
        </w:rPr>
        <w:t xml:space="preserve"> indicates </w:t>
      </w:r>
      <w:r>
        <w:t>the capitalist system, which applies the core values of the</w:t>
      </w:r>
      <w:r>
        <w:rPr>
          <w:lang w:val="en-US"/>
        </w:rPr>
        <w:t xml:space="preserve"> </w:t>
      </w:r>
      <w:r>
        <w:t>liberal market competition. In specific, funeral services are commodified in exchange for money. Funeral homes</w:t>
      </w:r>
      <w:r>
        <w:rPr>
          <w:lang w:val="en-US"/>
        </w:rPr>
        <w:t xml:space="preserve"> also</w:t>
      </w:r>
      <w:r>
        <w:t xml:space="preserve"> engage in commercial activities to attract customers and promote sales. To further control and dominate the funeral market, funeral homes are transforming into funeral</w:t>
      </w:r>
      <w:r>
        <w:rPr>
          <w:lang w:val="en-US"/>
        </w:rPr>
        <w:t xml:space="preserve"> </w:t>
      </w:r>
      <w:r>
        <w:t>corporations for success and survival. However, the</w:t>
      </w:r>
      <w:r>
        <w:rPr>
          <w:rStyle w:val="Emphasis"/>
          <w:color w:val="0E101A"/>
        </w:rPr>
        <w:t> Discourse of Care </w:t>
      </w:r>
      <w:r>
        <w:t>reflects the consistent</w:t>
      </w:r>
      <w:r>
        <w:rPr>
          <w:lang w:val="en-US"/>
        </w:rPr>
        <w:t xml:space="preserve"> </w:t>
      </w:r>
      <w:r>
        <w:t>respect for humanity, which resists the alienation caused by capital. In specific, funeral directors</w:t>
      </w:r>
      <w:r>
        <w:rPr>
          <w:lang w:val="en-US"/>
        </w:rPr>
        <w:t xml:space="preserve"> </w:t>
      </w:r>
      <w:r>
        <w:t>show their natural compassion to clients, provide social support as part of professionalism, and</w:t>
      </w:r>
      <w:r>
        <w:rPr>
          <w:lang w:val="en-US"/>
        </w:rPr>
        <w:t xml:space="preserve"> </w:t>
      </w:r>
      <w:r>
        <w:t>experience sacredness while working. </w:t>
      </w:r>
    </w:p>
    <w:p w14:paraId="30ACB14A" w14:textId="77777777" w:rsidR="00256B3D" w:rsidRDefault="00256B3D" w:rsidP="00256B3D">
      <w:pPr>
        <w:rPr>
          <w:rFonts w:ascii="Times New Roman" w:eastAsia="SimSun" w:hAnsi="Times New Roman" w:cs="Times New Roman"/>
          <w:b/>
          <w:bCs/>
          <w:lang w:eastAsia="x-none"/>
        </w:rPr>
      </w:pPr>
      <w:r>
        <w:rPr>
          <w:b/>
          <w:bCs/>
        </w:rPr>
        <w:br w:type="page"/>
      </w:r>
    </w:p>
    <w:p w14:paraId="6C1A3780" w14:textId="77777777" w:rsidR="00256B3D" w:rsidRPr="00105A5A" w:rsidRDefault="00256B3D" w:rsidP="00256B3D">
      <w:pPr>
        <w:pStyle w:val="BodyText"/>
        <w:ind w:firstLine="0"/>
        <w:rPr>
          <w:b/>
          <w:bCs/>
          <w:lang w:val="en-US"/>
        </w:rPr>
      </w:pPr>
      <w:r w:rsidRPr="00105A5A">
        <w:rPr>
          <w:b/>
          <w:bCs/>
          <w:lang w:val="en-US"/>
        </w:rPr>
        <w:lastRenderedPageBreak/>
        <w:t xml:space="preserve">RQ2: </w:t>
      </w:r>
      <w:r>
        <w:rPr>
          <w:b/>
          <w:bCs/>
          <w:lang w:val="en-US"/>
        </w:rPr>
        <w:t xml:space="preserve">Discursive Diachronic Interplay </w:t>
      </w:r>
    </w:p>
    <w:p w14:paraId="44D01E9D" w14:textId="26A08665" w:rsidR="00256B3D" w:rsidRDefault="00256B3D" w:rsidP="00256B3D">
      <w:pPr>
        <w:pStyle w:val="BodyText"/>
        <w:rPr>
          <w:lang w:val="en-US"/>
        </w:rPr>
      </w:pPr>
      <w:r>
        <w:rPr>
          <w:lang w:val="en-US"/>
        </w:rPr>
        <w:t xml:space="preserve">The two discourses, </w:t>
      </w:r>
      <w:r w:rsidRPr="00D773AD">
        <w:rPr>
          <w:i/>
          <w:iCs/>
          <w:lang w:val="en-US"/>
        </w:rPr>
        <w:t>Discourse of Commerce</w:t>
      </w:r>
      <w:r>
        <w:rPr>
          <w:lang w:val="en-US"/>
        </w:rPr>
        <w:t xml:space="preserve"> and </w:t>
      </w:r>
      <w:r w:rsidRPr="00D773AD">
        <w:rPr>
          <w:i/>
          <w:iCs/>
          <w:lang w:val="en-US"/>
        </w:rPr>
        <w:t>Discourse of Care</w:t>
      </w:r>
      <w:r>
        <w:rPr>
          <w:lang w:val="en-US"/>
        </w:rPr>
        <w:t xml:space="preserve">, compete to make meaning of the commerce-care dialectic in funeral planning. Findings show that the two discourses interplay diachronically, including spiraling inversion and segmentation. </w:t>
      </w:r>
      <w:r w:rsidR="001902CC">
        <w:rPr>
          <w:lang w:val="en-US"/>
        </w:rPr>
        <w:t xml:space="preserve">Spiraling inversion and segmentation are related but different. Segmentation focuses on </w:t>
      </w:r>
      <w:proofErr w:type="gramStart"/>
      <w:r w:rsidR="001902CC">
        <w:rPr>
          <w:lang w:val="en-US"/>
        </w:rPr>
        <w:t>topical</w:t>
      </w:r>
      <w:proofErr w:type="gramEnd"/>
      <w:r w:rsidR="001902CC">
        <w:rPr>
          <w:lang w:val="en-US"/>
        </w:rPr>
        <w:t xml:space="preserve"> or activity domains where indicate different discourses. Conversely, spiral inversion focuses on the same topic that reflects competing discourses throughout the longitudinal conversations. </w:t>
      </w:r>
    </w:p>
    <w:p w14:paraId="5C82288E" w14:textId="0D853B8D" w:rsidR="001902CC" w:rsidRDefault="001902CC" w:rsidP="001902CC">
      <w:pPr>
        <w:pStyle w:val="BodyText"/>
        <w:rPr>
          <w:lang w:val="en-US"/>
        </w:rPr>
      </w:pPr>
      <w:r w:rsidRPr="001665F2">
        <w:rPr>
          <w:b/>
          <w:bCs/>
          <w:lang w:val="en-US"/>
        </w:rPr>
        <w:t>Segmentation</w:t>
      </w:r>
      <w:r>
        <w:rPr>
          <w:lang w:val="en-US"/>
        </w:rPr>
        <w:t>. Segmentation, the other one of the two diachronic practices identified by Baxter and Montgomery,</w:t>
      </w:r>
      <w:r w:rsidRPr="00C52F4A">
        <w:t xml:space="preserve"> manifests </w:t>
      </w:r>
      <w:r>
        <w:rPr>
          <w:lang w:val="en-US"/>
        </w:rPr>
        <w:t xml:space="preserve">the </w:t>
      </w:r>
      <w:r w:rsidRPr="00C52F4A">
        <w:t>ebb</w:t>
      </w:r>
      <w:r>
        <w:rPr>
          <w:lang w:val="en-US"/>
        </w:rPr>
        <w:t xml:space="preserve"> </w:t>
      </w:r>
      <w:r w:rsidRPr="00C52F4A">
        <w:t>and</w:t>
      </w:r>
      <w:r>
        <w:rPr>
          <w:lang w:val="en-US"/>
        </w:rPr>
        <w:t xml:space="preserve"> </w:t>
      </w:r>
      <w:r w:rsidRPr="00C52F4A">
        <w:t xml:space="preserve">flow in which the </w:t>
      </w:r>
      <w:r>
        <w:rPr>
          <w:lang w:val="en-US"/>
        </w:rPr>
        <w:t xml:space="preserve">displacement </w:t>
      </w:r>
      <w:r w:rsidRPr="00C52F4A">
        <w:t>of a topical or activity domain transforms the centered discourse</w:t>
      </w:r>
      <w:r>
        <w:rPr>
          <w:lang w:val="en-US"/>
        </w:rPr>
        <w:t>. Funeral directors manifest this</w:t>
      </w:r>
      <w:r w:rsidRPr="00C52F4A">
        <w:t xml:space="preserve"> ebb</w:t>
      </w:r>
      <w:r>
        <w:rPr>
          <w:lang w:val="en-US"/>
        </w:rPr>
        <w:t xml:space="preserve"> </w:t>
      </w:r>
      <w:r w:rsidRPr="00C52F4A">
        <w:t>and</w:t>
      </w:r>
      <w:r>
        <w:rPr>
          <w:lang w:val="en-US"/>
        </w:rPr>
        <w:t xml:space="preserve"> </w:t>
      </w:r>
      <w:r w:rsidRPr="00C52F4A">
        <w:t>flow</w:t>
      </w:r>
      <w:r>
        <w:rPr>
          <w:lang w:val="en-US"/>
        </w:rPr>
        <w:t xml:space="preserve"> within steps of providing funeral services and types of community engagement of funeral homes.</w:t>
      </w:r>
    </w:p>
    <w:p w14:paraId="085AB112" w14:textId="77777777" w:rsidR="001902CC" w:rsidRDefault="001902CC" w:rsidP="001902CC">
      <w:pPr>
        <w:pStyle w:val="BodyText"/>
        <w:rPr>
          <w:lang w:val="en-US"/>
        </w:rPr>
      </w:pPr>
      <w:r>
        <w:rPr>
          <w:lang w:val="en-US"/>
        </w:rPr>
        <w:t>Providing funeral services includes many steps across various topics and activities. Mike, a funeral director with 22 years of experience,</w:t>
      </w:r>
    </w:p>
    <w:p w14:paraId="1A47BF15" w14:textId="77777777" w:rsidR="001902CC" w:rsidRDefault="001902CC" w:rsidP="001902CC">
      <w:pPr>
        <w:pStyle w:val="BodyText"/>
        <w:ind w:left="720" w:firstLine="0"/>
        <w:rPr>
          <w:lang w:val="en-US"/>
        </w:rPr>
      </w:pPr>
      <w:r>
        <w:rPr>
          <w:lang w:val="en-US"/>
        </w:rPr>
        <w:t xml:space="preserve">We first meet families and say sorry for their loved one’s death… then we pick up our items [or merchandise] and get the contract… Usually, families will have a visitation or viewing, and then we have a funeral… </w:t>
      </w:r>
      <w:r>
        <w:t xml:space="preserve">We may be in contact with that family for a week or two until we get insurance and the death certificate </w:t>
      </w:r>
      <w:r>
        <w:rPr>
          <w:lang w:val="en-US"/>
        </w:rPr>
        <w:t xml:space="preserve">is </w:t>
      </w:r>
      <w:r>
        <w:t>taken care of</w:t>
      </w:r>
      <w:r>
        <w:rPr>
          <w:lang w:val="en-US"/>
        </w:rPr>
        <w:t xml:space="preserve"> … </w:t>
      </w:r>
      <w:r>
        <w:t>We may give them a phone call and ask how they are doing</w:t>
      </w:r>
      <w:r>
        <w:rPr>
          <w:lang w:val="en-US"/>
        </w:rPr>
        <w:t xml:space="preserve"> months later.</w:t>
      </w:r>
    </w:p>
    <w:p w14:paraId="4D7A3D4E" w14:textId="77777777" w:rsidR="001902CC" w:rsidRPr="009533C7" w:rsidRDefault="001902CC" w:rsidP="001902CC">
      <w:pPr>
        <w:pStyle w:val="BodyText"/>
        <w:ind w:firstLine="0"/>
        <w:rPr>
          <w:lang w:val="en-US"/>
        </w:rPr>
      </w:pPr>
      <w:r>
        <w:rPr>
          <w:lang w:val="en-US"/>
        </w:rPr>
        <w:t>In the narrative, Mike</w:t>
      </w:r>
      <w:r w:rsidRPr="005E05AA">
        <w:rPr>
          <w:lang w:val="en-US"/>
        </w:rPr>
        <w:t xml:space="preserve"> ha</w:t>
      </w:r>
      <w:r>
        <w:rPr>
          <w:lang w:val="en-US"/>
        </w:rPr>
        <w:t xml:space="preserve">s telephone communication, which indicates care; then, he guides clients in picking merchandise, which means commerce; then, viewing, visitation, and memorial services are related to care; then, the insurance payment is about commerce; finally, the aftercare of checking clients’ life suggests care. In short, within this narrative, Mike illustrates many steps </w:t>
      </w:r>
      <w:r>
        <w:rPr>
          <w:lang w:val="en-US"/>
        </w:rPr>
        <w:lastRenderedPageBreak/>
        <w:t>of providing a funeral service, which shows the</w:t>
      </w:r>
      <w:r w:rsidRPr="00C52F4A">
        <w:t xml:space="preserve"> ebb</w:t>
      </w:r>
      <w:r>
        <w:rPr>
          <w:lang w:val="en-US"/>
        </w:rPr>
        <w:t xml:space="preserve"> </w:t>
      </w:r>
      <w:r w:rsidRPr="00C52F4A">
        <w:t>and</w:t>
      </w:r>
      <w:r>
        <w:rPr>
          <w:lang w:val="en-US"/>
        </w:rPr>
        <w:t xml:space="preserve"> </w:t>
      </w:r>
      <w:r w:rsidRPr="00C52F4A">
        <w:t>flow</w:t>
      </w:r>
      <w:r>
        <w:rPr>
          <w:lang w:val="en-US"/>
        </w:rPr>
        <w:t xml:space="preserve"> of the discourse of commerce and the discourse of care. </w:t>
      </w:r>
    </w:p>
    <w:p w14:paraId="658EA769" w14:textId="77777777" w:rsidR="001902CC" w:rsidRDefault="001902CC" w:rsidP="001902CC">
      <w:pPr>
        <w:pStyle w:val="BodyText"/>
        <w:rPr>
          <w:lang w:val="en-US"/>
        </w:rPr>
      </w:pPr>
      <w:r>
        <w:rPr>
          <w:lang w:val="en-US"/>
        </w:rPr>
        <w:t xml:space="preserve">Funeral homes, as a social sector in communities, do multiple types of community engagement. Participating funeral directors said, “We </w:t>
      </w:r>
      <w:r>
        <w:rPr>
          <w:color w:val="000000"/>
          <w:shd w:val="clear" w:color="auto" w:fill="FFFFFF"/>
        </w:rPr>
        <w:t>support all sports tournaments</w:t>
      </w:r>
      <w:r>
        <w:rPr>
          <w:color w:val="000000"/>
          <w:shd w:val="clear" w:color="auto" w:fill="FFFFFF"/>
          <w:lang w:val="en-US"/>
        </w:rPr>
        <w:t xml:space="preserve"> in our areas;</w:t>
      </w:r>
      <w:r>
        <w:rPr>
          <w:lang w:val="en-US"/>
        </w:rPr>
        <w:t xml:space="preserve">” and “We support all school events. We have two </w:t>
      </w:r>
      <w:r>
        <w:rPr>
          <w:color w:val="000000"/>
          <w:shd w:val="clear" w:color="auto" w:fill="FFFFFF"/>
        </w:rPr>
        <w:t>k through 12 schools in our area plus the community college</w:t>
      </w:r>
      <w:r>
        <w:rPr>
          <w:color w:val="000000"/>
          <w:shd w:val="clear" w:color="auto" w:fill="FFFFFF"/>
          <w:lang w:val="en-US"/>
        </w:rPr>
        <w:t>.</w:t>
      </w:r>
      <w:r>
        <w:rPr>
          <w:lang w:val="en-US"/>
        </w:rPr>
        <w:t>” Yet other participants mentioned,</w:t>
      </w:r>
      <w:r>
        <w:t xml:space="preserve"> </w:t>
      </w:r>
      <w:r>
        <w:rPr>
          <w:lang w:val="en-US"/>
        </w:rPr>
        <w:t>“</w:t>
      </w:r>
      <w:r>
        <w:t xml:space="preserve">We do host a pre-arrangement seminar about once a year at </w:t>
      </w:r>
      <w:r>
        <w:rPr>
          <w:lang w:val="en-US"/>
        </w:rPr>
        <w:t>[our funeral home],” and “W</w:t>
      </w:r>
      <w:r>
        <w:t>e</w:t>
      </w:r>
      <w:r>
        <w:rPr>
          <w:lang w:val="en-US"/>
        </w:rPr>
        <w:t xml:space="preserve"> [get]</w:t>
      </w:r>
      <w:r>
        <w:t xml:space="preserve"> invited to</w:t>
      </w:r>
      <w:r>
        <w:rPr>
          <w:lang w:val="en-US"/>
        </w:rPr>
        <w:t xml:space="preserve"> give a talk at </w:t>
      </w:r>
      <w:r>
        <w:t>senior living homes.</w:t>
      </w:r>
      <w:r>
        <w:rPr>
          <w:lang w:val="en-US"/>
        </w:rPr>
        <w:t>”</w:t>
      </w:r>
      <w:r>
        <w:t xml:space="preserve"> </w:t>
      </w:r>
      <w:r>
        <w:rPr>
          <w:lang w:val="en-US"/>
        </w:rPr>
        <w:t>Here, we see that community engagement related to sports tournaments and school events is centered on the discourse of care. Also, giving funeral pre-arrangement seminars and senior affairs concerns the discourse of commerce. In short, interviews with participating funeral directors illustrated many types of community engagement, which show the</w:t>
      </w:r>
      <w:r w:rsidRPr="00C52F4A">
        <w:t xml:space="preserve"> ebb</w:t>
      </w:r>
      <w:r>
        <w:rPr>
          <w:lang w:val="en-US"/>
        </w:rPr>
        <w:t xml:space="preserve"> </w:t>
      </w:r>
      <w:r w:rsidRPr="00C52F4A">
        <w:t>and</w:t>
      </w:r>
      <w:r>
        <w:rPr>
          <w:lang w:val="en-US"/>
        </w:rPr>
        <w:t xml:space="preserve"> </w:t>
      </w:r>
      <w:r w:rsidRPr="00C52F4A">
        <w:t>flow</w:t>
      </w:r>
      <w:r>
        <w:rPr>
          <w:lang w:val="en-US"/>
        </w:rPr>
        <w:t xml:space="preserve"> of commerce and care.</w:t>
      </w:r>
    </w:p>
    <w:p w14:paraId="2CB94B53" w14:textId="77777777" w:rsidR="001902CC" w:rsidRPr="00A42012" w:rsidRDefault="001902CC" w:rsidP="001902CC">
      <w:pPr>
        <w:pStyle w:val="BodyText"/>
        <w:rPr>
          <w:lang w:val="en-US"/>
        </w:rPr>
      </w:pPr>
      <w:r>
        <w:t>As such, the analysis of interviews reveals two diachronic practices, spiraling inversion and segmentation, which reflect the diachronic interplay between the </w:t>
      </w:r>
      <w:r>
        <w:rPr>
          <w:rStyle w:val="Emphasis"/>
          <w:color w:val="0E101A"/>
        </w:rPr>
        <w:t>discourse of commerce</w:t>
      </w:r>
      <w:r>
        <w:t> and the </w:t>
      </w:r>
      <w:r>
        <w:rPr>
          <w:rStyle w:val="Emphasis"/>
          <w:color w:val="0E101A"/>
        </w:rPr>
        <w:t>discourse of care</w:t>
      </w:r>
      <w:r>
        <w:t>. </w:t>
      </w:r>
      <w:r>
        <w:rPr>
          <w:lang w:val="en-US"/>
        </w:rPr>
        <w:t>For spiral inversion, conversations in a period regarding guiding funeral planning and having telephone communication with clients reflect this</w:t>
      </w:r>
      <w:r w:rsidRPr="00C52F4A">
        <w:t xml:space="preserve"> back-and-forth pattern</w:t>
      </w:r>
      <w:r>
        <w:rPr>
          <w:lang w:val="en-US"/>
        </w:rPr>
        <w:t xml:space="preserve"> of </w:t>
      </w:r>
      <w:r w:rsidRPr="00880574">
        <w:rPr>
          <w:lang w:val="en-US"/>
        </w:rPr>
        <w:t>care</w:t>
      </w:r>
      <w:r>
        <w:rPr>
          <w:lang w:val="en-US"/>
        </w:rPr>
        <w:t xml:space="preserve"> and </w:t>
      </w:r>
      <w:r w:rsidRPr="00880574">
        <w:rPr>
          <w:lang w:val="en-US"/>
        </w:rPr>
        <w:t>commerce</w:t>
      </w:r>
      <w:r>
        <w:rPr>
          <w:lang w:val="en-US"/>
        </w:rPr>
        <w:t>. For segmentation, funeral directors manifest this</w:t>
      </w:r>
      <w:r w:rsidRPr="00C52F4A">
        <w:t xml:space="preserve"> ebb</w:t>
      </w:r>
      <w:r>
        <w:rPr>
          <w:lang w:val="en-US"/>
        </w:rPr>
        <w:t xml:space="preserve"> </w:t>
      </w:r>
      <w:r w:rsidRPr="00C52F4A">
        <w:t>and</w:t>
      </w:r>
      <w:r>
        <w:rPr>
          <w:lang w:val="en-US"/>
        </w:rPr>
        <w:t xml:space="preserve"> </w:t>
      </w:r>
      <w:r w:rsidRPr="00C52F4A">
        <w:t>flow</w:t>
      </w:r>
      <w:r>
        <w:rPr>
          <w:lang w:val="en-US"/>
        </w:rPr>
        <w:t xml:space="preserve"> of commerce and care within steps of providing funeral services and types of community engagement of funeral homes.</w:t>
      </w:r>
    </w:p>
    <w:p w14:paraId="7F334346" w14:textId="6C85B15D" w:rsidR="00256B3D" w:rsidRDefault="00256B3D" w:rsidP="00256B3D">
      <w:pPr>
        <w:pStyle w:val="BodyText"/>
        <w:rPr>
          <w:lang w:val="en-US"/>
        </w:rPr>
      </w:pPr>
      <w:r>
        <w:rPr>
          <w:b/>
          <w:bCs/>
          <w:lang w:val="en-US"/>
        </w:rPr>
        <w:t>Spiraling inversion</w:t>
      </w:r>
      <w:r>
        <w:rPr>
          <w:lang w:val="en-US"/>
        </w:rPr>
        <w:t xml:space="preserve">. </w:t>
      </w:r>
      <w:r w:rsidRPr="00C52F4A">
        <w:t>The spiraling inversion</w:t>
      </w:r>
      <w:r>
        <w:rPr>
          <w:lang w:val="en-US"/>
        </w:rPr>
        <w:t>, one of the two diachronic practices identified by Baxter and Montgomery,</w:t>
      </w:r>
      <w:r w:rsidRPr="00C52F4A">
        <w:t xml:space="preserve"> suggests a back-and-forth pattern in which one discourse is dominant first, and then another is transformed into dominance for a given topical or activity domain over time.</w:t>
      </w:r>
      <w:r>
        <w:rPr>
          <w:lang w:val="en-US"/>
        </w:rPr>
        <w:t xml:space="preserve"> Analysis of interviews reveals this</w:t>
      </w:r>
      <w:r w:rsidRPr="00C52F4A">
        <w:t xml:space="preserve"> back-and-forth pattern</w:t>
      </w:r>
      <w:r>
        <w:rPr>
          <w:lang w:val="en-US"/>
        </w:rPr>
        <w:t xml:space="preserve"> within </w:t>
      </w:r>
      <w:r>
        <w:rPr>
          <w:lang w:val="en-US"/>
        </w:rPr>
        <w:lastRenderedPageBreak/>
        <w:t>conversations in a period regarding guiding funeral planning and having telephone communication with clients.</w:t>
      </w:r>
      <w:r w:rsidR="00DD6819">
        <w:rPr>
          <w:lang w:val="en-US"/>
        </w:rPr>
        <w:t xml:space="preserve"> (The interviewing data of this study is not longitudinal, but it attempts to capture conversations of families and funeral professionals in funeral planning.)</w:t>
      </w:r>
    </w:p>
    <w:p w14:paraId="6CA8D741" w14:textId="77777777" w:rsidR="00256B3D" w:rsidRDefault="00256B3D" w:rsidP="00256B3D">
      <w:pPr>
        <w:pStyle w:val="BodyText"/>
        <w:rPr>
          <w:lang w:val="en-US"/>
        </w:rPr>
      </w:pPr>
      <w:r>
        <w:rPr>
          <w:lang w:val="en-US"/>
        </w:rPr>
        <w:t xml:space="preserve">Harley, a funeral director with 18 years of experience, reviewed his conversation with clients regarding guiding funeral planning, and he mentioned, </w:t>
      </w:r>
    </w:p>
    <w:p w14:paraId="2456B826" w14:textId="77777777" w:rsidR="00256B3D" w:rsidRDefault="00256B3D" w:rsidP="00256B3D">
      <w:pPr>
        <w:pStyle w:val="BodyText"/>
        <w:ind w:left="720" w:firstLine="0"/>
        <w:rPr>
          <w:lang w:val="en-US"/>
        </w:rPr>
      </w:pPr>
      <w:r>
        <w:rPr>
          <w:lang w:val="en-US" w:eastAsia="zh-CN"/>
        </w:rPr>
        <w:t>[While families come in], “</w:t>
      </w:r>
      <w:r w:rsidRPr="006924CB">
        <w:rPr>
          <w:lang w:val="en-US"/>
        </w:rPr>
        <w:t>let’s not think about money right now, thank you for bring</w:t>
      </w:r>
      <w:r>
        <w:rPr>
          <w:lang w:val="en-US"/>
        </w:rPr>
        <w:t>ing</w:t>
      </w:r>
      <w:r w:rsidRPr="006924CB">
        <w:rPr>
          <w:lang w:val="en-US"/>
        </w:rPr>
        <w:t xml:space="preserve"> that up, you got the means to pay for it, let’s focus on this funeral for your mum</w:t>
      </w:r>
      <w:r>
        <w:rPr>
          <w:lang w:val="en-US"/>
        </w:rPr>
        <w:t xml:space="preserve">… </w:t>
      </w:r>
      <w:r w:rsidRPr="006924CB">
        <w:rPr>
          <w:lang w:val="en-US"/>
        </w:rPr>
        <w:t>Do not have the first worry. You just lost your mum</w:t>
      </w:r>
      <w:r>
        <w:rPr>
          <w:lang w:val="en-US"/>
        </w:rPr>
        <w:t>. L</w:t>
      </w:r>
      <w:r w:rsidRPr="006924CB">
        <w:rPr>
          <w:lang w:val="en-US"/>
        </w:rPr>
        <w:t>et’s figure that out.”</w:t>
      </w:r>
      <w:r>
        <w:rPr>
          <w:lang w:val="en-US"/>
        </w:rPr>
        <w:t xml:space="preserve"> … A</w:t>
      </w:r>
      <w:r w:rsidRPr="005B0442">
        <w:rPr>
          <w:lang w:val="en-US"/>
        </w:rPr>
        <w:t>nd then</w:t>
      </w:r>
      <w:r>
        <w:rPr>
          <w:lang w:val="en-US"/>
        </w:rPr>
        <w:t>,</w:t>
      </w:r>
      <w:r w:rsidRPr="005B0442">
        <w:rPr>
          <w:lang w:val="en-US"/>
        </w:rPr>
        <w:t xml:space="preserve"> we are going to pick out our items. I will tell them, “</w:t>
      </w:r>
      <w:r>
        <w:rPr>
          <w:lang w:val="en-US"/>
        </w:rPr>
        <w:t>O</w:t>
      </w:r>
      <w:r w:rsidRPr="005B0442">
        <w:rPr>
          <w:lang w:val="en-US"/>
        </w:rPr>
        <w:t>kay, it is the time to pick out other things</w:t>
      </w:r>
      <w:r>
        <w:rPr>
          <w:lang w:val="en-US"/>
        </w:rPr>
        <w:t>. T</w:t>
      </w:r>
      <w:r w:rsidRPr="005B0442">
        <w:rPr>
          <w:lang w:val="en-US"/>
        </w:rPr>
        <w:t>he biggest choice is usually the casket. Are you comfortable to go to the show room? I can show you the caskets.”</w:t>
      </w:r>
      <w:r w:rsidRPr="0059163C">
        <w:t xml:space="preserve"> </w:t>
      </w:r>
      <w:r>
        <w:rPr>
          <w:lang w:val="en-US"/>
        </w:rPr>
        <w:t>W</w:t>
      </w:r>
      <w:r>
        <w:t>e have a placard on each casket that shows the price…</w:t>
      </w:r>
      <w:r>
        <w:rPr>
          <w:lang w:val="en-US"/>
        </w:rPr>
        <w:t xml:space="preserve"> [Sometimes a family asks for price negotiation], w</w:t>
      </w:r>
      <w:r>
        <w:t>e can make that decision. We can do that, and we will help people.</w:t>
      </w:r>
      <w:r w:rsidRPr="0059163C">
        <w:t xml:space="preserve"> </w:t>
      </w:r>
      <w:r>
        <w:rPr>
          <w:lang w:val="en-US"/>
        </w:rPr>
        <w:t>We</w:t>
      </w:r>
      <w:r>
        <w:t xml:space="preserve"> are not turning everybody away. We will find a way to help them…</w:t>
      </w:r>
      <w:r>
        <w:rPr>
          <w:lang w:val="en-US"/>
        </w:rPr>
        <w:t xml:space="preserve"> </w:t>
      </w:r>
      <w:r w:rsidRPr="006924CB">
        <w:rPr>
          <w:lang w:val="en-US"/>
        </w:rPr>
        <w:t>However, in the end</w:t>
      </w:r>
      <w:r>
        <w:rPr>
          <w:lang w:val="en-US"/>
        </w:rPr>
        <w:t>, I am</w:t>
      </w:r>
      <w:r w:rsidRPr="006924CB">
        <w:rPr>
          <w:lang w:val="en-US"/>
        </w:rPr>
        <w:t xml:space="preserve"> going to say, “</w:t>
      </w:r>
      <w:r>
        <w:rPr>
          <w:lang w:val="en-US"/>
        </w:rPr>
        <w:t>B</w:t>
      </w:r>
      <w:r w:rsidRPr="006924CB">
        <w:rPr>
          <w:lang w:val="en-US"/>
        </w:rPr>
        <w:t>y the way, how are you going to pay for this?” I do not like to talk about payment until the very end.</w:t>
      </w:r>
    </w:p>
    <w:p w14:paraId="2DE3540F" w14:textId="77777777" w:rsidR="00256B3D" w:rsidRDefault="00256B3D" w:rsidP="00256B3D">
      <w:pPr>
        <w:pStyle w:val="BodyText"/>
        <w:ind w:firstLine="0"/>
        <w:rPr>
          <w:lang w:val="en-US"/>
        </w:rPr>
      </w:pPr>
      <w:r w:rsidRPr="00880574">
        <w:rPr>
          <w:lang w:val="en-US"/>
        </w:rPr>
        <w:t xml:space="preserve">Within the narrative, </w:t>
      </w:r>
      <w:r>
        <w:rPr>
          <w:lang w:val="en-US"/>
        </w:rPr>
        <w:t>Harley emphasizes that he</w:t>
      </w:r>
      <w:r w:rsidRPr="00880574">
        <w:rPr>
          <w:lang w:val="en-US"/>
        </w:rPr>
        <w:t xml:space="preserve"> do</w:t>
      </w:r>
      <w:r>
        <w:rPr>
          <w:lang w:val="en-US"/>
        </w:rPr>
        <w:t>es</w:t>
      </w:r>
      <w:r w:rsidRPr="00880574">
        <w:rPr>
          <w:lang w:val="en-US"/>
        </w:rPr>
        <w:t xml:space="preserve"> not let families worry</w:t>
      </w:r>
      <w:r>
        <w:rPr>
          <w:lang w:val="en-US"/>
        </w:rPr>
        <w:t xml:space="preserve"> about payment at first</w:t>
      </w:r>
      <w:r w:rsidRPr="00880574">
        <w:rPr>
          <w:lang w:val="en-US"/>
        </w:rPr>
        <w:t>, which focuses on the discourse of care at the beginning; then</w:t>
      </w:r>
      <w:r>
        <w:rPr>
          <w:lang w:val="en-US"/>
        </w:rPr>
        <w:t>, he</w:t>
      </w:r>
      <w:r w:rsidRPr="00880574">
        <w:rPr>
          <w:lang w:val="en-US"/>
        </w:rPr>
        <w:t xml:space="preserve"> guide</w:t>
      </w:r>
      <w:r>
        <w:rPr>
          <w:lang w:val="en-US"/>
        </w:rPr>
        <w:t>s</w:t>
      </w:r>
      <w:r w:rsidRPr="00880574">
        <w:rPr>
          <w:lang w:val="en-US"/>
        </w:rPr>
        <w:t xml:space="preserve"> families in picking merchandise, which is related to the discourse of commerce; then, </w:t>
      </w:r>
      <w:r>
        <w:rPr>
          <w:lang w:val="en-US"/>
        </w:rPr>
        <w:t>he</w:t>
      </w:r>
      <w:r w:rsidRPr="00880574">
        <w:rPr>
          <w:lang w:val="en-US"/>
        </w:rPr>
        <w:t xml:space="preserve"> </w:t>
      </w:r>
      <w:r>
        <w:rPr>
          <w:lang w:val="en-US"/>
        </w:rPr>
        <w:t>guides</w:t>
      </w:r>
      <w:r w:rsidRPr="00880574">
        <w:rPr>
          <w:lang w:val="en-US"/>
        </w:rPr>
        <w:t xml:space="preserve"> families </w:t>
      </w:r>
      <w:r>
        <w:rPr>
          <w:lang w:val="en-US"/>
        </w:rPr>
        <w:t>into</w:t>
      </w:r>
      <w:r w:rsidRPr="00880574">
        <w:rPr>
          <w:lang w:val="en-US"/>
        </w:rPr>
        <w:t xml:space="preserve"> affordable</w:t>
      </w:r>
      <w:r>
        <w:rPr>
          <w:lang w:val="en-US"/>
        </w:rPr>
        <w:t xml:space="preserve"> services and products</w:t>
      </w:r>
      <w:r w:rsidRPr="00880574">
        <w:rPr>
          <w:lang w:val="en-US"/>
        </w:rPr>
        <w:t xml:space="preserve">, which is aligned to the discourse of care; finally, </w:t>
      </w:r>
      <w:r>
        <w:rPr>
          <w:lang w:val="en-US"/>
        </w:rPr>
        <w:t xml:space="preserve">he </w:t>
      </w:r>
      <w:r w:rsidRPr="00880574">
        <w:rPr>
          <w:lang w:val="en-US"/>
        </w:rPr>
        <w:t>ask</w:t>
      </w:r>
      <w:r>
        <w:rPr>
          <w:lang w:val="en-US"/>
        </w:rPr>
        <w:t>s</w:t>
      </w:r>
      <w:r w:rsidRPr="00880574">
        <w:rPr>
          <w:lang w:val="en-US"/>
        </w:rPr>
        <w:t xml:space="preserve"> for a payment, which is the discourse of commerce. In short, this narrative shows that the centripetal discourse jumps back and forth as “care, commerce, care, and commerce” in funeral planning.</w:t>
      </w:r>
    </w:p>
    <w:p w14:paraId="051C9D84" w14:textId="77777777" w:rsidR="00256B3D" w:rsidRDefault="00256B3D" w:rsidP="00256B3D">
      <w:pPr>
        <w:pStyle w:val="BodyText"/>
      </w:pPr>
      <w:r>
        <w:rPr>
          <w:lang w:val="en-US"/>
        </w:rPr>
        <w:t xml:space="preserve">Kyle, a funeral director with 13 years of experience, reviewed his telephone communication with clients from the first phone call to the last, and he said, </w:t>
      </w:r>
    </w:p>
    <w:p w14:paraId="35D3912B" w14:textId="77777777" w:rsidR="00256B3D" w:rsidRDefault="00256B3D" w:rsidP="00256B3D">
      <w:pPr>
        <w:pStyle w:val="BodyText"/>
        <w:ind w:left="720" w:firstLine="0"/>
        <w:rPr>
          <w:lang w:val="en-US" w:eastAsia="zh-CN"/>
        </w:rPr>
      </w:pPr>
      <w:r>
        <w:rPr>
          <w:lang w:val="en-US"/>
        </w:rPr>
        <w:lastRenderedPageBreak/>
        <w:t>W</w:t>
      </w:r>
      <w:r>
        <w:t>hen we first get a phone call and talk to them on the phone, we will say</w:t>
      </w:r>
      <w:r>
        <w:rPr>
          <w:lang w:val="en-US"/>
        </w:rPr>
        <w:t>,</w:t>
      </w:r>
      <w:r>
        <w:t xml:space="preserve"> “I am so sorry, please accept our condolence, what questions do you have right now, what is your main concerns, let’s talk about that. Do you want to set up a time and come in?”</w:t>
      </w:r>
      <w:r>
        <w:rPr>
          <w:lang w:val="en-US"/>
        </w:rPr>
        <w:t xml:space="preserve"> … In some cases, </w:t>
      </w:r>
      <w:r w:rsidRPr="00571724">
        <w:rPr>
          <w:lang w:val="en-US" w:eastAsia="zh-CN"/>
        </w:rPr>
        <w:t>both funeral homes are willing to serve this family</w:t>
      </w:r>
      <w:r>
        <w:rPr>
          <w:lang w:val="en-US"/>
        </w:rPr>
        <w:t xml:space="preserve">. [Before families pay for funeral services], </w:t>
      </w:r>
      <w:r w:rsidRPr="00571724">
        <w:rPr>
          <w:lang w:val="en-US" w:eastAsia="zh-CN"/>
        </w:rPr>
        <w:t>a family will jump back and forth on a phone call and try to negotiate</w:t>
      </w:r>
      <w:r>
        <w:rPr>
          <w:lang w:val="en-US" w:eastAsia="zh-CN"/>
        </w:rPr>
        <w:t xml:space="preserve"> [the price] … [A couple of weeks later, after funeral services,] w</w:t>
      </w:r>
      <w:r w:rsidRPr="00A54622">
        <w:rPr>
          <w:lang w:val="en-US" w:eastAsia="zh-CN"/>
        </w:rPr>
        <w:t>e call them and check how their life is going. Sometimes, we meet them at the Walmart. Usually, they respond</w:t>
      </w:r>
      <w:r>
        <w:rPr>
          <w:lang w:val="en-US" w:eastAsia="zh-CN"/>
        </w:rPr>
        <w:t>,</w:t>
      </w:r>
      <w:r w:rsidRPr="00A54622">
        <w:rPr>
          <w:lang w:val="en-US" w:eastAsia="zh-CN"/>
        </w:rPr>
        <w:t xml:space="preserve"> “</w:t>
      </w:r>
      <w:r>
        <w:rPr>
          <w:lang w:val="en-US" w:eastAsia="zh-CN"/>
        </w:rPr>
        <w:t>Th</w:t>
      </w:r>
      <w:r w:rsidRPr="00A54622">
        <w:rPr>
          <w:lang w:val="en-US" w:eastAsia="zh-CN"/>
        </w:rPr>
        <w:t>ank you for checking on me, and I appreciate everything you did.”</w:t>
      </w:r>
    </w:p>
    <w:p w14:paraId="1074EBA7" w14:textId="77777777" w:rsidR="00256B3D" w:rsidRPr="006924CB" w:rsidRDefault="00256B3D" w:rsidP="00256B3D">
      <w:pPr>
        <w:pStyle w:val="BodyText"/>
        <w:ind w:firstLine="0"/>
        <w:rPr>
          <w:lang w:val="en-US"/>
        </w:rPr>
      </w:pPr>
      <w:r>
        <w:rPr>
          <w:lang w:val="en-US" w:eastAsia="zh-CN"/>
        </w:rPr>
        <w:t xml:space="preserve">In the narrative, Kyle comforts families when he first receives a family phone call, which indicates the discourse of care; and then, he may do price negotiation on the phone when families do funeral home shopping, which centers on the discourse of commerce; later, Kyle checks families’ life after funeral services, which shows his care. </w:t>
      </w:r>
      <w:r>
        <w:rPr>
          <w:lang w:val="en-US"/>
        </w:rPr>
        <w:t xml:space="preserve">In short, this narrative shows that the centripetal discourse jumps </w:t>
      </w:r>
      <w:r w:rsidRPr="00C52F4A">
        <w:t>back</w:t>
      </w:r>
      <w:r>
        <w:rPr>
          <w:lang w:val="en-US"/>
        </w:rPr>
        <w:t xml:space="preserve"> an</w:t>
      </w:r>
      <w:r w:rsidRPr="00C52F4A">
        <w:t>d</w:t>
      </w:r>
      <w:r>
        <w:rPr>
          <w:lang w:val="en-US"/>
        </w:rPr>
        <w:t xml:space="preserve"> </w:t>
      </w:r>
      <w:r w:rsidRPr="00C52F4A">
        <w:t xml:space="preserve">forth </w:t>
      </w:r>
      <w:r>
        <w:rPr>
          <w:lang w:val="en-US"/>
        </w:rPr>
        <w:t>between “care, commerce, and care”</w:t>
      </w:r>
      <w:r w:rsidRPr="00D4502C">
        <w:rPr>
          <w:lang w:val="en-US"/>
        </w:rPr>
        <w:t xml:space="preserve"> </w:t>
      </w:r>
      <w:r>
        <w:rPr>
          <w:lang w:val="en-US"/>
        </w:rPr>
        <w:t>in their telephone communication with clients from the first phone call to the last.</w:t>
      </w:r>
    </w:p>
    <w:p w14:paraId="56FE25F9" w14:textId="77777777" w:rsidR="00256B3D" w:rsidRPr="00105A5A" w:rsidRDefault="00256B3D" w:rsidP="00256B3D">
      <w:pPr>
        <w:pStyle w:val="BodyText"/>
        <w:ind w:firstLine="0"/>
        <w:rPr>
          <w:b/>
          <w:bCs/>
          <w:lang w:val="en-US"/>
        </w:rPr>
      </w:pPr>
      <w:r w:rsidRPr="00105A5A">
        <w:rPr>
          <w:b/>
          <w:bCs/>
          <w:lang w:val="en-US"/>
        </w:rPr>
        <w:t xml:space="preserve">RQ2: </w:t>
      </w:r>
      <w:r>
        <w:rPr>
          <w:b/>
          <w:bCs/>
          <w:lang w:val="en-US"/>
        </w:rPr>
        <w:t xml:space="preserve">Discursive Synchronic Interplay </w:t>
      </w:r>
    </w:p>
    <w:p w14:paraId="6F039D04" w14:textId="77777777" w:rsidR="00256B3D" w:rsidRDefault="00256B3D" w:rsidP="00256B3D">
      <w:pPr>
        <w:pStyle w:val="BodyText"/>
        <w:rPr>
          <w:lang w:val="en-US"/>
        </w:rPr>
      </w:pPr>
      <w:r>
        <w:rPr>
          <w:lang w:val="en-US"/>
        </w:rPr>
        <w:t xml:space="preserve">The </w:t>
      </w:r>
      <w:r w:rsidRPr="00D773AD">
        <w:rPr>
          <w:i/>
          <w:iCs/>
          <w:lang w:val="en-US"/>
        </w:rPr>
        <w:t>Discourse of Commerce</w:t>
      </w:r>
      <w:r>
        <w:rPr>
          <w:lang w:val="en-US"/>
        </w:rPr>
        <w:t xml:space="preserve"> and the </w:t>
      </w:r>
      <w:r w:rsidRPr="00D773AD">
        <w:rPr>
          <w:i/>
          <w:iCs/>
          <w:lang w:val="en-US"/>
        </w:rPr>
        <w:t>Discourse of Care</w:t>
      </w:r>
      <w:r>
        <w:rPr>
          <w:lang w:val="en-US"/>
        </w:rPr>
        <w:t xml:space="preserve"> also interplay synchronically. Findings show that the two discourses interplay synchronically, including negating and countering, ambiguating (a new form of synchronic interplay), and entertaining.</w:t>
      </w:r>
    </w:p>
    <w:p w14:paraId="78ABA14E" w14:textId="77777777" w:rsidR="00256B3D" w:rsidRDefault="00256B3D" w:rsidP="00256B3D">
      <w:pPr>
        <w:pStyle w:val="BodyText"/>
        <w:rPr>
          <w:lang w:val="en-US"/>
        </w:rPr>
      </w:pPr>
      <w:r>
        <w:rPr>
          <w:b/>
          <w:bCs/>
          <w:lang w:val="en-US"/>
        </w:rPr>
        <w:t>Negating and Countering</w:t>
      </w:r>
      <w:r>
        <w:rPr>
          <w:lang w:val="en-US"/>
        </w:rPr>
        <w:t xml:space="preserve">. Negating and countering occur in utterances with a feature of the antagonistic-nonantagonistic struggle, which describes two speakers aligning with different discursive positions in one utterance. </w:t>
      </w:r>
      <w:r w:rsidRPr="00550B6A">
        <w:rPr>
          <w:i/>
          <w:iCs/>
          <w:lang w:val="en-US"/>
        </w:rPr>
        <w:t xml:space="preserve">Negating </w:t>
      </w:r>
      <w:r>
        <w:rPr>
          <w:lang w:val="en-US"/>
        </w:rPr>
        <w:t xml:space="preserve">is a disclaiming that one speaker applies to reject the other speaker’s discursive position. </w:t>
      </w:r>
      <w:r w:rsidRPr="00550B6A">
        <w:rPr>
          <w:i/>
          <w:iCs/>
          <w:lang w:val="en-US"/>
        </w:rPr>
        <w:t>Countering</w:t>
      </w:r>
      <w:r>
        <w:rPr>
          <w:lang w:val="en-US"/>
        </w:rPr>
        <w:t xml:space="preserve"> is a disclaiming that one speaker applies to replace the other speaker’s discursive position with an alternative discursive position. </w:t>
      </w:r>
    </w:p>
    <w:p w14:paraId="6B581B1B" w14:textId="77777777" w:rsidR="00256B3D" w:rsidRDefault="00256B3D" w:rsidP="00256B3D">
      <w:pPr>
        <w:pStyle w:val="BodyText"/>
        <w:rPr>
          <w:lang w:val="en-US"/>
        </w:rPr>
      </w:pPr>
      <w:r>
        <w:rPr>
          <w:lang w:val="en-US"/>
        </w:rPr>
        <w:lastRenderedPageBreak/>
        <w:t>Participating funeral directors negated clients’ discursive position when clients couple funeral directors with the discourse of commerce in funeral planning. For example, Kristina, a funeral director with ten years of experience,</w:t>
      </w:r>
      <w:r w:rsidRPr="0033053A">
        <w:rPr>
          <w:lang w:val="en-US"/>
        </w:rPr>
        <w:t xml:space="preserve"> </w:t>
      </w:r>
      <w:r>
        <w:rPr>
          <w:lang w:val="en-US"/>
        </w:rPr>
        <w:t>rejected clients’ potentially negative discursive positioning of funeral directors by saying, “[Families] are</w:t>
      </w:r>
      <w:r w:rsidRPr="000D3A15">
        <w:t xml:space="preserve"> grieving</w:t>
      </w:r>
      <w:r>
        <w:rPr>
          <w:rFonts w:ascii="Times" w:hAnsi="Times"/>
          <w:lang w:val="en-US"/>
        </w:rPr>
        <w:t xml:space="preserve"> …</w:t>
      </w:r>
      <w:r w:rsidRPr="000D3A15">
        <w:t>They think that we are sharks</w:t>
      </w:r>
      <w:r>
        <w:rPr>
          <w:lang w:val="en-US"/>
        </w:rPr>
        <w:t xml:space="preserve"> </w:t>
      </w:r>
      <w:r w:rsidRPr="000D3A15">
        <w:t>and try to get every penny from them</w:t>
      </w:r>
      <w:r>
        <w:rPr>
          <w:lang w:val="en-US"/>
        </w:rPr>
        <w:t xml:space="preserve">. We are not. </w:t>
      </w:r>
      <w:r>
        <w:rPr>
          <w:rFonts w:ascii="Times" w:hAnsi="Times"/>
          <w:lang w:val="en-US"/>
        </w:rPr>
        <w:t>We do not make a lot of money.</w:t>
      </w:r>
      <w:r w:rsidRPr="005B4AB1">
        <w:rPr>
          <w:lang w:val="en-US"/>
        </w:rPr>
        <w:t xml:space="preserve"> </w:t>
      </w:r>
      <w:r>
        <w:rPr>
          <w:lang w:val="en-US"/>
        </w:rPr>
        <w:t>W</w:t>
      </w:r>
      <w:r w:rsidRPr="001E0C16">
        <w:rPr>
          <w:lang w:val="en-US"/>
        </w:rPr>
        <w:t>e are not all about the mone</w:t>
      </w:r>
      <w:r>
        <w:rPr>
          <w:lang w:val="en-US"/>
        </w:rPr>
        <w:t>y</w:t>
      </w:r>
      <w:r w:rsidRPr="000D3A15">
        <w:t>.</w:t>
      </w:r>
      <w:r>
        <w:rPr>
          <w:lang w:val="en-US"/>
        </w:rPr>
        <w:t>” Rebecca, a funeral director with 18 years of experience, corrected a potential misunderstanding: many funeral directors took advantage of the bereaved for profit. Rebecca mentioned, “</w:t>
      </w:r>
      <w:r w:rsidRPr="001E0C16">
        <w:rPr>
          <w:lang w:val="en-US"/>
        </w:rPr>
        <w:t>I do not personally like to ask</w:t>
      </w:r>
      <w:r>
        <w:rPr>
          <w:lang w:val="en-US"/>
        </w:rPr>
        <w:t xml:space="preserve"> families for money</w:t>
      </w:r>
      <w:r w:rsidRPr="001E0C16">
        <w:rPr>
          <w:lang w:val="en-US"/>
        </w:rPr>
        <w:t>, and a lot of funeral directors are that way</w:t>
      </w:r>
      <w:r>
        <w:rPr>
          <w:lang w:val="en-US"/>
        </w:rPr>
        <w:t xml:space="preserve">. </w:t>
      </w:r>
      <w:r w:rsidRPr="004F38C9">
        <w:rPr>
          <w:lang w:val="en-US"/>
        </w:rPr>
        <w:t>I do feel bad asking because they just lost someone, they are grieving,</w:t>
      </w:r>
      <w:r>
        <w:rPr>
          <w:lang w:val="en-US"/>
        </w:rPr>
        <w:t xml:space="preserve"> and</w:t>
      </w:r>
      <w:r w:rsidRPr="004F38C9">
        <w:rPr>
          <w:lang w:val="en-US"/>
        </w:rPr>
        <w:t xml:space="preserve"> that is where people think that we take advantage of people</w:t>
      </w:r>
      <w:r>
        <w:rPr>
          <w:lang w:val="en-US"/>
        </w:rPr>
        <w:t xml:space="preserve">.” In short, funeral directors negate the discourse of commerce by rejecting clients’ discursive positions and correcting clients’ misunderstandings. </w:t>
      </w:r>
    </w:p>
    <w:p w14:paraId="2E14B8B2" w14:textId="77777777" w:rsidR="00256B3D" w:rsidRPr="00BD3C37" w:rsidRDefault="00256B3D" w:rsidP="00256B3D">
      <w:pPr>
        <w:pStyle w:val="BodyText"/>
        <w:rPr>
          <w:rFonts w:ascii="Times" w:hAnsi="Times"/>
          <w:lang w:val="en-US"/>
        </w:rPr>
      </w:pPr>
      <w:r>
        <w:rPr>
          <w:lang w:val="en-US"/>
        </w:rPr>
        <w:t>While they are likely unaware of it, participating funeral directors also replaced the discourse of commerce with the discourse of care when clients associate funeral directors with the discourse of commerce in funeral planning. Some participating funeral directors included conjunctions in their utterances to accomplish countering, and they commented, “</w:t>
      </w:r>
      <w:r>
        <w:rPr>
          <w:rFonts w:ascii="Times" w:hAnsi="Times"/>
          <w:lang w:val="en-US"/>
        </w:rPr>
        <w:t>Even</w:t>
      </w:r>
      <w:r>
        <w:rPr>
          <w:rFonts w:ascii="Times" w:hAnsi="Times"/>
        </w:rPr>
        <w:t xml:space="preserve"> though we have not done anything</w:t>
      </w:r>
      <w:r>
        <w:rPr>
          <w:rFonts w:ascii="Times" w:hAnsi="Times"/>
          <w:lang w:val="en-US"/>
        </w:rPr>
        <w:t>,</w:t>
      </w:r>
      <w:r>
        <w:rPr>
          <w:rFonts w:ascii="Times" w:hAnsi="Times"/>
        </w:rPr>
        <w:t xml:space="preserve"> we are there to help them</w:t>
      </w:r>
      <w:r>
        <w:rPr>
          <w:rFonts w:ascii="Times" w:hAnsi="Times"/>
          <w:lang w:val="en-US"/>
        </w:rPr>
        <w:t xml:space="preserve">;” </w:t>
      </w:r>
      <w:r>
        <w:rPr>
          <w:lang w:val="en-US"/>
        </w:rPr>
        <w:t>“W</w:t>
      </w:r>
      <w:r w:rsidRPr="001E0C16">
        <w:rPr>
          <w:lang w:val="en-US"/>
        </w:rPr>
        <w:t>e have to make money, but that is not why most of us are here</w:t>
      </w:r>
      <w:r>
        <w:rPr>
          <w:lang w:val="en-US"/>
        </w:rPr>
        <w:t>;” “</w:t>
      </w:r>
      <w:r w:rsidRPr="00D14FAF">
        <w:rPr>
          <w:rFonts w:ascii="Times" w:hAnsi="Times"/>
        </w:rPr>
        <w:t xml:space="preserve">If </w:t>
      </w:r>
      <w:r>
        <w:rPr>
          <w:rFonts w:ascii="Times" w:hAnsi="Times"/>
          <w:lang w:val="en-US"/>
        </w:rPr>
        <w:t>a funeral director</w:t>
      </w:r>
      <w:r w:rsidRPr="00D14FAF">
        <w:rPr>
          <w:rFonts w:ascii="Times" w:hAnsi="Times"/>
        </w:rPr>
        <w:t xml:space="preserve"> only work</w:t>
      </w:r>
      <w:r>
        <w:rPr>
          <w:rFonts w:ascii="Times" w:hAnsi="Times"/>
          <w:lang w:val="en-US"/>
        </w:rPr>
        <w:t xml:space="preserve">s </w:t>
      </w:r>
      <w:r w:rsidRPr="00D14FAF">
        <w:rPr>
          <w:rFonts w:ascii="Times" w:hAnsi="Times"/>
        </w:rPr>
        <w:t xml:space="preserve">for money, </w:t>
      </w:r>
      <w:r>
        <w:rPr>
          <w:rFonts w:ascii="Times" w:hAnsi="Times"/>
          <w:lang w:val="en-US"/>
        </w:rPr>
        <w:t>he is</w:t>
      </w:r>
      <w:r w:rsidRPr="00D14FAF">
        <w:rPr>
          <w:rFonts w:ascii="Times" w:hAnsi="Times"/>
        </w:rPr>
        <w:t xml:space="preserve"> in a wrong profession</w:t>
      </w:r>
      <w:r>
        <w:rPr>
          <w:rFonts w:ascii="Times" w:hAnsi="Times"/>
          <w:lang w:val="en-US"/>
        </w:rPr>
        <w:t>;” and “I</w:t>
      </w:r>
      <w:r w:rsidRPr="00BD3C37">
        <w:rPr>
          <w:rFonts w:ascii="Times" w:hAnsi="Times"/>
          <w:lang w:val="en-US"/>
        </w:rPr>
        <w:t xml:space="preserve">f </w:t>
      </w:r>
      <w:r>
        <w:rPr>
          <w:rFonts w:ascii="Times" w:hAnsi="Times"/>
          <w:lang w:val="en-US"/>
        </w:rPr>
        <w:t>funeral directors</w:t>
      </w:r>
      <w:r w:rsidRPr="00BD3C37">
        <w:rPr>
          <w:rFonts w:ascii="Times" w:hAnsi="Times"/>
          <w:lang w:val="en-US"/>
        </w:rPr>
        <w:t xml:space="preserve"> care about money only, they will just leave the job immediately </w:t>
      </w:r>
      <w:r>
        <w:rPr>
          <w:rFonts w:ascii="Times" w:hAnsi="Times"/>
          <w:lang w:val="en-US"/>
        </w:rPr>
        <w:t>once</w:t>
      </w:r>
      <w:r w:rsidRPr="00BD3C37">
        <w:rPr>
          <w:rFonts w:ascii="Times" w:hAnsi="Times"/>
          <w:lang w:val="en-US"/>
        </w:rPr>
        <w:t xml:space="preserve"> they can find a better payment</w:t>
      </w:r>
      <w:r>
        <w:rPr>
          <w:rFonts w:ascii="Times" w:hAnsi="Times"/>
          <w:lang w:val="en-US"/>
        </w:rPr>
        <w:t xml:space="preserve">.” Some participating funeral directors emphasized the caring nature of funeral services, and they said, </w:t>
      </w:r>
      <w:r>
        <w:rPr>
          <w:lang w:val="en-US"/>
        </w:rPr>
        <w:t xml:space="preserve">“We are here helping people, helping the community, and </w:t>
      </w:r>
      <w:r>
        <w:rPr>
          <w:rFonts w:ascii="Times" w:hAnsi="Times"/>
        </w:rPr>
        <w:t>preserv</w:t>
      </w:r>
      <w:r>
        <w:rPr>
          <w:rFonts w:ascii="Times" w:hAnsi="Times"/>
          <w:lang w:val="en-US"/>
        </w:rPr>
        <w:t>ing</w:t>
      </w:r>
      <w:r>
        <w:rPr>
          <w:rFonts w:ascii="Times" w:hAnsi="Times"/>
        </w:rPr>
        <w:t xml:space="preserve"> your loved one’s image for you</w:t>
      </w:r>
      <w:r>
        <w:rPr>
          <w:rFonts w:ascii="Times" w:hAnsi="Times"/>
          <w:lang w:val="en-US"/>
        </w:rPr>
        <w:t>.”</w:t>
      </w:r>
      <w:r>
        <w:rPr>
          <w:lang w:val="en-US"/>
        </w:rPr>
        <w:t xml:space="preserve"> In short, funeral </w:t>
      </w:r>
      <w:r>
        <w:rPr>
          <w:lang w:val="en-US"/>
        </w:rPr>
        <w:lastRenderedPageBreak/>
        <w:t>directors replace the discourse of commerce with the discourse of care by including conjunctions (e.g., but, though, and if) in utterances and emphasizing</w:t>
      </w:r>
      <w:r>
        <w:rPr>
          <w:rFonts w:ascii="Times" w:hAnsi="Times"/>
          <w:lang w:val="en-US"/>
        </w:rPr>
        <w:t xml:space="preserve"> the caring nature of funeral services. </w:t>
      </w:r>
    </w:p>
    <w:p w14:paraId="6BFE4F11" w14:textId="4D72E321" w:rsidR="00256B3D" w:rsidRPr="00B95338" w:rsidRDefault="00256B3D" w:rsidP="00256B3D">
      <w:pPr>
        <w:pStyle w:val="BodyText"/>
        <w:rPr>
          <w:lang w:val="en-US" w:eastAsia="zh-CN"/>
        </w:rPr>
      </w:pPr>
      <w:r w:rsidRPr="00E406AC">
        <w:rPr>
          <w:b/>
          <w:bCs/>
          <w:lang w:val="en-US"/>
        </w:rPr>
        <w:t>Ambiguating</w:t>
      </w:r>
      <w:r>
        <w:rPr>
          <w:lang w:val="en-US"/>
        </w:rPr>
        <w:t>. This study introduces</w:t>
      </w:r>
      <w:r w:rsidRPr="00BF69A6">
        <w:rPr>
          <w:i/>
          <w:iCs/>
          <w:lang w:val="en-US"/>
        </w:rPr>
        <w:t xml:space="preserve"> ambiguating</w:t>
      </w:r>
      <w:r>
        <w:rPr>
          <w:lang w:val="en-US"/>
        </w:rPr>
        <w:t xml:space="preserve"> as a new form of synchronic interplay. This new form provides an additional discursive marker that can be used to identify discursive synchronic interplay in utterances. Ambiguating occurs in utterances with a feature of the direct-indirect struggle, which describes </w:t>
      </w:r>
      <w:r w:rsidRPr="00C52F4A">
        <w:t>the ambiguous level of an utterance situated in a binary continuum of directness-indirectness.</w:t>
      </w:r>
      <w:r>
        <w:rPr>
          <w:lang w:val="en-US"/>
        </w:rPr>
        <w:t xml:space="preserve"> </w:t>
      </w:r>
      <w:r w:rsidRPr="000A173D">
        <w:rPr>
          <w:i/>
          <w:iCs/>
          <w:lang w:val="en-US"/>
        </w:rPr>
        <w:t>Ambiguating</w:t>
      </w:r>
      <w:r>
        <w:rPr>
          <w:lang w:val="en-US"/>
        </w:rPr>
        <w:t xml:space="preserve"> is a linguistic strategy by which a speaker makes utterances in an ambiguous style</w:t>
      </w:r>
      <w:r w:rsidR="003F0E1A">
        <w:rPr>
          <w:lang w:val="en-US"/>
        </w:rPr>
        <w:t xml:space="preserve">, and it </w:t>
      </w:r>
      <w:r w:rsidR="003F0E1A" w:rsidRPr="003F0E1A">
        <w:rPr>
          <w:lang w:val="en-US"/>
        </w:rPr>
        <w:t xml:space="preserve">has the function of </w:t>
      </w:r>
      <w:r w:rsidR="003F0E1A">
        <w:rPr>
          <w:lang w:val="en-US"/>
        </w:rPr>
        <w:t>swinging</w:t>
      </w:r>
      <w:r w:rsidR="003F0E1A" w:rsidRPr="003F0E1A">
        <w:rPr>
          <w:lang w:val="en-US"/>
        </w:rPr>
        <w:t xml:space="preserve"> the </w:t>
      </w:r>
      <w:r w:rsidR="003F0E1A">
        <w:rPr>
          <w:lang w:val="en-US"/>
        </w:rPr>
        <w:t>centripetal discourse (i.e., dominant discourse) to straddle centripetal and centrifugal discourse (i.e., marginal discourse) in one utterance</w:t>
      </w:r>
      <w:r w:rsidR="003F0E1A" w:rsidRPr="003F0E1A">
        <w:rPr>
          <w:lang w:val="en-US"/>
        </w:rPr>
        <w:t>.</w:t>
      </w:r>
    </w:p>
    <w:p w14:paraId="162C272E" w14:textId="5815B77C" w:rsidR="00256B3D" w:rsidRDefault="00256B3D" w:rsidP="003F0E1A">
      <w:pPr>
        <w:pStyle w:val="BodyText"/>
        <w:rPr>
          <w:lang w:val="en-US"/>
        </w:rPr>
      </w:pPr>
      <w:r>
        <w:rPr>
          <w:lang w:val="en-US"/>
        </w:rPr>
        <w:t xml:space="preserve">Analysis revealed that participating funeral directors ambiguated their responses to </w:t>
      </w:r>
      <w:r w:rsidR="003F0E1A">
        <w:rPr>
          <w:lang w:val="en-US"/>
        </w:rPr>
        <w:t xml:space="preserve">straddle the discourse of commerce and the discourse of care </w:t>
      </w:r>
      <w:r>
        <w:rPr>
          <w:lang w:val="en-US"/>
        </w:rPr>
        <w:t>when clients negotiate the price of funeral services. Funeral directors use ambiguous terms to indicate the discourse of care. Lucia, a funeral director with 13 years of experience, said,</w:t>
      </w:r>
      <w:r w:rsidRPr="005E1814">
        <w:rPr>
          <w:lang w:val="en-US"/>
        </w:rPr>
        <w:t xml:space="preserve"> </w:t>
      </w:r>
      <w:r>
        <w:rPr>
          <w:lang w:val="en-US"/>
        </w:rPr>
        <w:t>“</w:t>
      </w:r>
      <w:r w:rsidRPr="005E1814">
        <w:rPr>
          <w:lang w:val="en-US"/>
        </w:rPr>
        <w:t>There is not really a difference between funeral service and funeral business</w:t>
      </w:r>
      <w:r>
        <w:rPr>
          <w:lang w:val="en-US"/>
        </w:rPr>
        <w:t>.</w:t>
      </w:r>
      <w:r w:rsidRPr="005E1814">
        <w:rPr>
          <w:lang w:val="en-US"/>
        </w:rPr>
        <w:t xml:space="preserve"> It </w:t>
      </w:r>
      <w:r>
        <w:rPr>
          <w:lang w:val="en-US"/>
        </w:rPr>
        <w:t>is u</w:t>
      </w:r>
      <w:r w:rsidRPr="005E1814">
        <w:rPr>
          <w:lang w:val="en-US"/>
        </w:rPr>
        <w:t xml:space="preserve">nique that we put service and business </w:t>
      </w:r>
      <w:r>
        <w:rPr>
          <w:lang w:val="en-US"/>
        </w:rPr>
        <w:t>as [completely interchangeable terms]</w:t>
      </w:r>
      <w:r w:rsidRPr="005E1814">
        <w:rPr>
          <w:lang w:val="en-US"/>
        </w:rPr>
        <w:t>.</w:t>
      </w:r>
      <w:r>
        <w:rPr>
          <w:lang w:val="en-US"/>
        </w:rPr>
        <w:t xml:space="preserve"> [Everyone likes the term of funeral service].” Participating funeral directors utilized modifiers (e.g., sometimes) in utterances to diminish the discourse of commerce. Robert, a funeral </w:t>
      </w:r>
      <w:proofErr w:type="gramStart"/>
      <w:r>
        <w:rPr>
          <w:lang w:val="en-US"/>
        </w:rPr>
        <w:t>home owner</w:t>
      </w:r>
      <w:proofErr w:type="gramEnd"/>
      <w:r>
        <w:rPr>
          <w:lang w:val="en-US"/>
        </w:rPr>
        <w:t>, narrated his experience, “S</w:t>
      </w:r>
      <w:r w:rsidRPr="00BC0585">
        <w:rPr>
          <w:lang w:val="en-US"/>
        </w:rPr>
        <w:t>ometimes families do not have enough</w:t>
      </w:r>
      <w:r>
        <w:rPr>
          <w:lang w:val="en-US"/>
        </w:rPr>
        <w:t>,</w:t>
      </w:r>
      <w:r w:rsidRPr="00BC0585">
        <w:rPr>
          <w:lang w:val="en-US"/>
        </w:rPr>
        <w:t xml:space="preserve"> and we can work out something so that it is affordable. </w:t>
      </w:r>
      <w:r>
        <w:rPr>
          <w:lang w:val="en-US"/>
        </w:rPr>
        <w:t>O</w:t>
      </w:r>
      <w:r w:rsidRPr="00BC0585">
        <w:rPr>
          <w:lang w:val="en-US"/>
        </w:rPr>
        <w:t>f course, sometimes they may not have anything, but as the only funeral home</w:t>
      </w:r>
      <w:r>
        <w:rPr>
          <w:lang w:val="en-US"/>
        </w:rPr>
        <w:t xml:space="preserve"> in town</w:t>
      </w:r>
      <w:r w:rsidRPr="00BC0585">
        <w:rPr>
          <w:lang w:val="en-US"/>
        </w:rPr>
        <w:t xml:space="preserve">, we </w:t>
      </w:r>
      <w:proofErr w:type="gramStart"/>
      <w:r w:rsidRPr="00BC0585">
        <w:rPr>
          <w:lang w:val="en-US"/>
        </w:rPr>
        <w:t>have to</w:t>
      </w:r>
      <w:proofErr w:type="gramEnd"/>
      <w:r w:rsidRPr="00BC0585">
        <w:rPr>
          <w:lang w:val="en-US"/>
        </w:rPr>
        <w:t xml:space="preserve"> work with that.</w:t>
      </w:r>
      <w:r>
        <w:rPr>
          <w:lang w:val="en-US"/>
        </w:rPr>
        <w:t xml:space="preserve">” Participating funeral directors also tempered the discourse of commerce by producing the discourse of care. Ryan, a funeral director with 18 years of experience, produced the discourse of care by providing multiple options rather than being strict with the cost of funeral services, </w:t>
      </w:r>
      <w:r w:rsidRPr="00056451">
        <w:rPr>
          <w:lang w:val="en-US"/>
        </w:rPr>
        <w:lastRenderedPageBreak/>
        <w:t>“</w:t>
      </w:r>
      <w:r>
        <w:rPr>
          <w:lang w:val="en-US"/>
        </w:rPr>
        <w:t>W</w:t>
      </w:r>
      <w:r w:rsidRPr="00056451">
        <w:rPr>
          <w:lang w:val="en-US"/>
        </w:rPr>
        <w:t xml:space="preserve">hat about this </w:t>
      </w:r>
      <w:r>
        <w:rPr>
          <w:lang w:val="en-US"/>
        </w:rPr>
        <w:t>[nice but cheaper] casket</w:t>
      </w:r>
      <w:r w:rsidRPr="00056451">
        <w:rPr>
          <w:lang w:val="en-US"/>
        </w:rPr>
        <w:t xml:space="preserve"> right here</w:t>
      </w:r>
      <w:r>
        <w:rPr>
          <w:lang w:val="en-US"/>
        </w:rPr>
        <w:t xml:space="preserve">? </w:t>
      </w:r>
      <w:r w:rsidRPr="00056451">
        <w:rPr>
          <w:lang w:val="en-US"/>
        </w:rPr>
        <w:t xml:space="preserve">I know you really want </w:t>
      </w:r>
      <w:r>
        <w:rPr>
          <w:lang w:val="en-US"/>
        </w:rPr>
        <w:t>a burial. Ha</w:t>
      </w:r>
      <w:r w:rsidRPr="00056451">
        <w:rPr>
          <w:lang w:val="en-US"/>
        </w:rPr>
        <w:t>s your mother or father ever considered cremation? Our policy is 50%</w:t>
      </w:r>
      <w:r>
        <w:rPr>
          <w:lang w:val="en-US"/>
        </w:rPr>
        <w:t xml:space="preserve"> required and</w:t>
      </w:r>
      <w:r w:rsidRPr="00056451">
        <w:rPr>
          <w:lang w:val="en-US"/>
        </w:rPr>
        <w:t xml:space="preserve"> monthly payment </w:t>
      </w:r>
      <w:r>
        <w:rPr>
          <w:lang w:val="en-US"/>
        </w:rPr>
        <w:t>i</w:t>
      </w:r>
      <w:r w:rsidRPr="00056451">
        <w:rPr>
          <w:lang w:val="en-US"/>
        </w:rPr>
        <w:t>n the second half.</w:t>
      </w:r>
      <w:r>
        <w:rPr>
          <w:lang w:val="en-US"/>
        </w:rPr>
        <w:t xml:space="preserve">” In short, funeral directors ambiguate their responses to </w:t>
      </w:r>
      <w:r w:rsidR="003F0E1A">
        <w:rPr>
          <w:lang w:val="en-US"/>
        </w:rPr>
        <w:t xml:space="preserve">straddle the discourse of commerce and the discourse of care </w:t>
      </w:r>
      <w:r>
        <w:rPr>
          <w:lang w:val="en-US"/>
        </w:rPr>
        <w:t xml:space="preserve">by using ambiguous terms, utilizing modifiers in utterances, and producing the discourse of care. </w:t>
      </w:r>
    </w:p>
    <w:p w14:paraId="36E7C7AF" w14:textId="77777777" w:rsidR="00256B3D" w:rsidRDefault="00256B3D" w:rsidP="00256B3D">
      <w:pPr>
        <w:pStyle w:val="BodyText"/>
        <w:tabs>
          <w:tab w:val="clear" w:pos="8640"/>
          <w:tab w:val="left" w:pos="1160"/>
        </w:tabs>
        <w:rPr>
          <w:rFonts w:eastAsia="Times"/>
          <w:color w:val="000000" w:themeColor="text1"/>
          <w:lang w:val="en-US"/>
        </w:rPr>
      </w:pPr>
      <w:r w:rsidRPr="00784BFF">
        <w:rPr>
          <w:b/>
          <w:bCs/>
          <w:lang w:val="en-US"/>
        </w:rPr>
        <w:t>Entertaining</w:t>
      </w:r>
      <w:r>
        <w:rPr>
          <w:lang w:val="en-US"/>
        </w:rPr>
        <w:t>. Entertaining occurs in utterances with a feature of the serious-playful struggle, which draws attention to the tone of an utterance.</w:t>
      </w:r>
      <w:r w:rsidRPr="004B2E43">
        <w:t xml:space="preserve"> </w:t>
      </w:r>
      <w:r w:rsidRPr="004E2C24">
        <w:rPr>
          <w:rFonts w:eastAsia="Times"/>
          <w:i/>
          <w:iCs/>
          <w:color w:val="000000" w:themeColor="text1"/>
        </w:rPr>
        <w:t>Entertaining</w:t>
      </w:r>
      <w:r>
        <w:rPr>
          <w:rFonts w:eastAsia="Times"/>
          <w:color w:val="000000" w:themeColor="text1"/>
        </w:rPr>
        <w:t xml:space="preserve"> </w:t>
      </w:r>
      <w:r>
        <w:rPr>
          <w:rFonts w:eastAsia="Times"/>
          <w:color w:val="000000" w:themeColor="text1"/>
          <w:lang w:val="en-US"/>
        </w:rPr>
        <w:t xml:space="preserve">is a linguistic strategy that makes </w:t>
      </w:r>
      <w:r w:rsidRPr="004B2E43">
        <w:rPr>
          <w:lang w:val="en-US"/>
        </w:rPr>
        <w:t>a dominant discourse acknowledge the possibility of a marginalized discourse.</w:t>
      </w:r>
    </w:p>
    <w:p w14:paraId="74E45259" w14:textId="77777777" w:rsidR="00256B3D" w:rsidRPr="00DB163A" w:rsidRDefault="00256B3D" w:rsidP="00256B3D">
      <w:pPr>
        <w:pStyle w:val="BodyText"/>
        <w:tabs>
          <w:tab w:val="clear" w:pos="8640"/>
          <w:tab w:val="left" w:pos="1160"/>
        </w:tabs>
        <w:rPr>
          <w:lang w:val="en-US"/>
        </w:rPr>
      </w:pPr>
      <w:r>
        <w:rPr>
          <w:lang w:val="en-US"/>
        </w:rPr>
        <w:t>Analysis revealed that participating f</w:t>
      </w:r>
      <w:r w:rsidRPr="00F96A1F">
        <w:rPr>
          <w:lang w:val="en-US"/>
        </w:rPr>
        <w:t>uneral directors entertain</w:t>
      </w:r>
      <w:r>
        <w:rPr>
          <w:lang w:val="en-US"/>
        </w:rPr>
        <w:t>ed</w:t>
      </w:r>
      <w:r w:rsidRPr="00F96A1F">
        <w:rPr>
          <w:lang w:val="en-US"/>
        </w:rPr>
        <w:t xml:space="preserve"> funeral planning conversations to</w:t>
      </w:r>
      <w:r>
        <w:rPr>
          <w:lang w:val="en-US"/>
        </w:rPr>
        <w:t xml:space="preserve"> acknowledge the discourse of care when the discourse of commerce is dominant. Participating funeral directors apply the playful device of the </w:t>
      </w:r>
      <w:r w:rsidRPr="003C55EF">
        <w:rPr>
          <w:i/>
          <w:iCs/>
          <w:lang w:val="en-US"/>
        </w:rPr>
        <w:t xml:space="preserve">rogue </w:t>
      </w:r>
      <w:r>
        <w:rPr>
          <w:lang w:val="en-US"/>
        </w:rPr>
        <w:t xml:space="preserve">(i.e., </w:t>
      </w:r>
      <w:r>
        <w:t>parod</w:t>
      </w:r>
      <w:r>
        <w:rPr>
          <w:lang w:val="en-US"/>
        </w:rPr>
        <w:t xml:space="preserve">y) to challenge the discourse of commerce. For example, John, a funeral director with 18 years of experience, frequently received families’ questions about the placement of deceased organs because funeral directors sold organs to biomedical supply companies in horror movies, and he responded, “I did not do anything for that, and those organs left there, in the body [after embalming].” John’s response mentioned taking care of the deceased body, indicating that the discourse of care competes with the discourse of commerce. Moreover, participating funeral directors also applied </w:t>
      </w:r>
      <w:r>
        <w:t>the</w:t>
      </w:r>
      <w:r>
        <w:rPr>
          <w:lang w:val="en-US"/>
        </w:rPr>
        <w:t xml:space="preserve"> playful device, </w:t>
      </w:r>
      <w:r w:rsidRPr="002126CE">
        <w:rPr>
          <w:i/>
          <w:iCs/>
        </w:rPr>
        <w:t>fool</w:t>
      </w:r>
      <w:r>
        <w:t xml:space="preserve"> (i.e., enacted ignorance for purposes of unmasking implicit assumptions)</w:t>
      </w:r>
      <w:r>
        <w:rPr>
          <w:lang w:val="en-US"/>
        </w:rPr>
        <w:t>, to challenge the discourse of commerce. Kristina, a funeral director with 13 years of experience, frequently received client requests to bury the deceased in a cardboard box, and she replied, “</w:t>
      </w:r>
      <w:r w:rsidRPr="00EA4DF7">
        <w:rPr>
          <w:lang w:val="en-US"/>
        </w:rPr>
        <w:t>There are some things you can do, but there are som</w:t>
      </w:r>
      <w:r>
        <w:rPr>
          <w:lang w:val="en-US"/>
        </w:rPr>
        <w:t>e</w:t>
      </w:r>
      <w:r w:rsidRPr="00EA4DF7">
        <w:rPr>
          <w:lang w:val="en-US"/>
        </w:rPr>
        <w:t xml:space="preserve"> </w:t>
      </w:r>
      <w:r>
        <w:rPr>
          <w:lang w:val="en-US"/>
        </w:rPr>
        <w:t xml:space="preserve">things </w:t>
      </w:r>
      <w:r w:rsidRPr="00EA4DF7">
        <w:rPr>
          <w:lang w:val="en-US"/>
        </w:rPr>
        <w:t>you cannot</w:t>
      </w:r>
      <w:r>
        <w:rPr>
          <w:lang w:val="en-US"/>
        </w:rPr>
        <w:t>…C</w:t>
      </w:r>
      <w:r w:rsidRPr="00EA4DF7">
        <w:rPr>
          <w:lang w:val="en-US"/>
        </w:rPr>
        <w:t>emeteries require caskets. I mean</w:t>
      </w:r>
      <w:r>
        <w:rPr>
          <w:lang w:val="en-US"/>
        </w:rPr>
        <w:t>, it is not like I am out to just take [their money].</w:t>
      </w:r>
      <w:r w:rsidRPr="00EA4DF7">
        <w:rPr>
          <w:lang w:val="en-US"/>
        </w:rPr>
        <w:t xml:space="preserve"> </w:t>
      </w:r>
      <w:r>
        <w:rPr>
          <w:lang w:val="en-US"/>
        </w:rPr>
        <w:t>I</w:t>
      </w:r>
      <w:r w:rsidRPr="00EA4DF7">
        <w:rPr>
          <w:lang w:val="en-US"/>
        </w:rPr>
        <w:t>t is a business, just like everything else</w:t>
      </w:r>
      <w:r>
        <w:rPr>
          <w:lang w:val="en-US"/>
        </w:rPr>
        <w:t xml:space="preserve">.” Kristina’s reply ignored clients’ assumption that was a </w:t>
      </w:r>
      <w:r>
        <w:rPr>
          <w:lang w:val="en-US"/>
        </w:rPr>
        <w:lastRenderedPageBreak/>
        <w:t xml:space="preserve">burial in a cardboard box cheaper than in a casket, and they unmasked the rule of a burial for taking care of clients. The analysis also revealed that participating funeral directors also utilized </w:t>
      </w:r>
      <w:r>
        <w:t xml:space="preserve">the </w:t>
      </w:r>
      <w:r w:rsidRPr="002126CE">
        <w:rPr>
          <w:i/>
          <w:iCs/>
        </w:rPr>
        <w:t>clown</w:t>
      </w:r>
      <w:r>
        <w:rPr>
          <w:lang w:val="en-US"/>
        </w:rPr>
        <w:t xml:space="preserve"> (</w:t>
      </w:r>
      <w:r>
        <w:t>i.e., malicious distortion of a discursive position for purposes of laughing at its absurdity)</w:t>
      </w:r>
      <w:r>
        <w:rPr>
          <w:lang w:val="en-US"/>
        </w:rPr>
        <w:t>, a playful device, to challenge the discourse of commerce. For example, Ryan, a funeral director with 18 years of experience, commented on the difficulty of discussing money with families, “</w:t>
      </w:r>
      <w:r w:rsidRPr="000C1A24">
        <w:rPr>
          <w:lang w:val="en-US"/>
        </w:rPr>
        <w:t xml:space="preserve">You know. </w:t>
      </w:r>
      <w:r>
        <w:rPr>
          <w:lang w:val="en-US"/>
        </w:rPr>
        <w:t>It</w:t>
      </w:r>
      <w:r w:rsidRPr="000C1A24">
        <w:rPr>
          <w:lang w:val="en-US"/>
        </w:rPr>
        <w:t xml:space="preserve"> is a lot easier to work with people dead</w:t>
      </w:r>
      <w:r>
        <w:rPr>
          <w:lang w:val="en-US"/>
        </w:rPr>
        <w:t xml:space="preserve"> [like embalming]</w:t>
      </w:r>
      <w:r w:rsidRPr="000C1A24">
        <w:rPr>
          <w:lang w:val="en-US"/>
        </w:rPr>
        <w:t xml:space="preserve"> than people alive</w:t>
      </w:r>
      <w:r>
        <w:rPr>
          <w:lang w:val="en-US"/>
        </w:rPr>
        <w:t xml:space="preserve"> [for money issues]. Haha…” In short, fu</w:t>
      </w:r>
      <w:r w:rsidRPr="00F96A1F">
        <w:rPr>
          <w:lang w:val="en-US"/>
        </w:rPr>
        <w:t>neral directors entertain</w:t>
      </w:r>
      <w:r w:rsidRPr="00003787">
        <w:rPr>
          <w:lang w:val="en-US"/>
        </w:rPr>
        <w:t xml:space="preserve"> </w:t>
      </w:r>
      <w:r w:rsidRPr="00F96A1F">
        <w:rPr>
          <w:lang w:val="en-US"/>
        </w:rPr>
        <w:t>funeral planning conversations</w:t>
      </w:r>
      <w:r>
        <w:rPr>
          <w:lang w:val="en-US"/>
        </w:rPr>
        <w:t xml:space="preserve"> by applying the playful devices of</w:t>
      </w:r>
      <w:r>
        <w:t xml:space="preserve"> </w:t>
      </w:r>
      <w:r>
        <w:rPr>
          <w:i/>
          <w:iCs/>
          <w:lang w:val="en-US"/>
        </w:rPr>
        <w:t>rogue, f</w:t>
      </w:r>
      <w:r w:rsidRPr="002126CE">
        <w:rPr>
          <w:i/>
          <w:iCs/>
        </w:rPr>
        <w:t>ool</w:t>
      </w:r>
      <w:r>
        <w:t>, and</w:t>
      </w:r>
      <w:r>
        <w:rPr>
          <w:lang w:val="en-US"/>
        </w:rPr>
        <w:t xml:space="preserve"> </w:t>
      </w:r>
      <w:r w:rsidRPr="00877846">
        <w:rPr>
          <w:i/>
          <w:iCs/>
          <w:lang w:val="en-US"/>
        </w:rPr>
        <w:t>clown</w:t>
      </w:r>
      <w:r>
        <w:rPr>
          <w:lang w:val="en-US"/>
        </w:rPr>
        <w:t xml:space="preserve"> </w:t>
      </w:r>
      <w:r w:rsidRPr="00F96A1F">
        <w:rPr>
          <w:lang w:val="en-US"/>
        </w:rPr>
        <w:t>to</w:t>
      </w:r>
      <w:r>
        <w:rPr>
          <w:lang w:val="en-US"/>
        </w:rPr>
        <w:t xml:space="preserve"> acknowledge the discourse of care when the discourse of commerce is dominant.</w:t>
      </w:r>
    </w:p>
    <w:p w14:paraId="76380F00" w14:textId="77777777" w:rsidR="00256B3D" w:rsidRPr="00B2198B" w:rsidRDefault="00256B3D" w:rsidP="00256B3D">
      <w:pPr>
        <w:pStyle w:val="BodyText"/>
        <w:tabs>
          <w:tab w:val="clear" w:pos="8640"/>
          <w:tab w:val="left" w:pos="1160"/>
        </w:tabs>
        <w:ind w:firstLine="0"/>
        <w:rPr>
          <w:b/>
          <w:bCs/>
          <w:lang w:val="en-US"/>
        </w:rPr>
      </w:pPr>
      <w:r w:rsidRPr="00F41710">
        <w:rPr>
          <w:b/>
          <w:bCs/>
          <w:lang w:val="en-US"/>
        </w:rPr>
        <w:t xml:space="preserve">RQ3: </w:t>
      </w:r>
      <w:r>
        <w:rPr>
          <w:b/>
          <w:bCs/>
          <w:lang w:val="en-US"/>
        </w:rPr>
        <w:t xml:space="preserve">Discursive </w:t>
      </w:r>
      <w:r w:rsidRPr="00F41710">
        <w:rPr>
          <w:b/>
          <w:bCs/>
          <w:lang w:val="en-US"/>
        </w:rPr>
        <w:t>Transformative Interplay</w:t>
      </w:r>
    </w:p>
    <w:p w14:paraId="5FA457C7" w14:textId="77777777" w:rsidR="00256B3D" w:rsidRDefault="00256B3D" w:rsidP="00256B3D">
      <w:pPr>
        <w:pStyle w:val="BodyText"/>
        <w:rPr>
          <w:lang w:val="en-US"/>
        </w:rPr>
      </w:pPr>
      <w:r>
        <w:rPr>
          <w:lang w:val="en-US"/>
        </w:rPr>
        <w:t xml:space="preserve">The </w:t>
      </w:r>
      <w:r w:rsidRPr="00D773AD">
        <w:rPr>
          <w:i/>
          <w:iCs/>
          <w:lang w:val="en-US"/>
        </w:rPr>
        <w:t>Discourse of Commerce</w:t>
      </w:r>
      <w:r>
        <w:rPr>
          <w:lang w:val="en-US"/>
        </w:rPr>
        <w:t xml:space="preserve"> and the </w:t>
      </w:r>
      <w:r w:rsidRPr="00D773AD">
        <w:rPr>
          <w:i/>
          <w:iCs/>
          <w:lang w:val="en-US"/>
        </w:rPr>
        <w:t>Discourse of Care</w:t>
      </w:r>
      <w:r>
        <w:rPr>
          <w:lang w:val="en-US"/>
        </w:rPr>
        <w:t xml:space="preserve"> are further discursive transformative interplay and generate meanings. Analysis of interviews reveals the two approaches of discursive transformative interplay: </w:t>
      </w:r>
      <w:r w:rsidRPr="008A4145">
        <w:rPr>
          <w:i/>
          <w:iCs/>
        </w:rPr>
        <w:t>hybridization</w:t>
      </w:r>
      <w:r w:rsidRPr="00FB0878">
        <w:t xml:space="preserve"> and </w:t>
      </w:r>
      <w:r w:rsidRPr="008A4145">
        <w:rPr>
          <w:i/>
          <w:iCs/>
        </w:rPr>
        <w:t>aesthetic moments</w:t>
      </w:r>
      <w:r>
        <w:rPr>
          <w:lang w:val="en-US"/>
        </w:rPr>
        <w:t>. These two approaches are enacted when</w:t>
      </w:r>
      <w:r>
        <w:t xml:space="preserve"> competing discourses achieve a certain truce through </w:t>
      </w:r>
      <w:r w:rsidRPr="00866B72">
        <w:rPr>
          <w:i/>
          <w:iCs/>
        </w:rPr>
        <w:t>compromise</w:t>
      </w:r>
      <w:r>
        <w:rPr>
          <w:i/>
          <w:iCs/>
          <w:lang w:val="en-US"/>
        </w:rPr>
        <w:t xml:space="preserve"> </w:t>
      </w:r>
      <w:r w:rsidRPr="008A4145">
        <w:t>(Baxter &amp; Montgomery, 1996)</w:t>
      </w:r>
      <w:r>
        <w:rPr>
          <w:lang w:val="en-US"/>
        </w:rPr>
        <w:t>.</w:t>
      </w:r>
    </w:p>
    <w:p w14:paraId="3EC852F9" w14:textId="4A583CC5" w:rsidR="00256B3D" w:rsidRPr="007D540C" w:rsidRDefault="00256B3D" w:rsidP="00256B3D">
      <w:pPr>
        <w:pStyle w:val="BodyText"/>
        <w:rPr>
          <w:lang w:val="en-US"/>
        </w:rPr>
      </w:pPr>
      <w:r w:rsidRPr="00FB0878">
        <w:rPr>
          <w:b/>
          <w:bCs/>
          <w:lang w:val="en-US"/>
        </w:rPr>
        <w:t>Hybridization</w:t>
      </w:r>
      <w:r>
        <w:rPr>
          <w:lang w:val="en-US"/>
        </w:rPr>
        <w:t xml:space="preserve">. </w:t>
      </w:r>
      <w:r w:rsidR="00C716D6">
        <w:t>Hybridization is mixing two or more distinct discourses to create a new meaning</w:t>
      </w:r>
      <w:r w:rsidR="00C716D6">
        <w:rPr>
          <w:lang w:val="en-US"/>
        </w:rPr>
        <w:t xml:space="preserve">. </w:t>
      </w:r>
      <w:r>
        <w:rPr>
          <w:lang w:val="en-US"/>
        </w:rPr>
        <w:t>Participating f</w:t>
      </w:r>
      <w:r w:rsidRPr="007D540C">
        <w:rPr>
          <w:lang w:val="en-US"/>
        </w:rPr>
        <w:t>uneral directors mix</w:t>
      </w:r>
      <w:r>
        <w:rPr>
          <w:lang w:val="en-US"/>
        </w:rPr>
        <w:t>ed</w:t>
      </w:r>
      <w:r w:rsidRPr="007D540C">
        <w:rPr>
          <w:lang w:val="en-US"/>
        </w:rPr>
        <w:t xml:space="preserve"> the discourse of commerce and the discourse of care to create a new meaning, and that was the commitment to the double natures of funeral services: commerce and care.</w:t>
      </w:r>
      <w:r>
        <w:rPr>
          <w:lang w:val="en-US"/>
        </w:rPr>
        <w:t xml:space="preserve"> Ruth, a funeral </w:t>
      </w:r>
      <w:proofErr w:type="gramStart"/>
      <w:r>
        <w:rPr>
          <w:lang w:val="en-US"/>
        </w:rPr>
        <w:t>home owner</w:t>
      </w:r>
      <w:proofErr w:type="gramEnd"/>
      <w:r>
        <w:rPr>
          <w:lang w:val="en-US"/>
        </w:rPr>
        <w:t>, described, “</w:t>
      </w:r>
      <w:r w:rsidRPr="004F00C6">
        <w:rPr>
          <w:lang w:val="en-US"/>
        </w:rPr>
        <w:t xml:space="preserve">Most people are happy and relaxed when they </w:t>
      </w:r>
      <w:r>
        <w:rPr>
          <w:lang w:val="en-US"/>
        </w:rPr>
        <w:t xml:space="preserve">pay [for their funeral service contract] </w:t>
      </w:r>
      <w:r w:rsidRPr="004F00C6">
        <w:rPr>
          <w:lang w:val="en-US"/>
        </w:rPr>
        <w:t>because they get that burden finished</w:t>
      </w:r>
      <w:r>
        <w:rPr>
          <w:lang w:val="en-US"/>
        </w:rPr>
        <w:t>..</w:t>
      </w:r>
      <w:r w:rsidRPr="004F00C6">
        <w:rPr>
          <w:lang w:val="en-US"/>
        </w:rPr>
        <w:t>. So, a paying customer is a happy customer</w:t>
      </w:r>
      <w:r>
        <w:rPr>
          <w:lang w:val="en-US"/>
        </w:rPr>
        <w:t>;</w:t>
      </w:r>
      <w:r w:rsidRPr="004F00C6">
        <w:rPr>
          <w:lang w:val="en-US"/>
        </w:rPr>
        <w:t xml:space="preserve"> a happy customer is a paying customer.</w:t>
      </w:r>
      <w:r>
        <w:rPr>
          <w:lang w:val="en-US"/>
        </w:rPr>
        <w:t xml:space="preserve">” Notice how the comment highlights a customer’s happiness, which indicates the outcome of care, accompanied by the transactional nature of paying for a funeral service contract. Similarly, </w:t>
      </w:r>
      <w:r>
        <w:rPr>
          <w:lang w:val="en-US"/>
        </w:rPr>
        <w:lastRenderedPageBreak/>
        <w:t>Lucia, a funeral director with 13 years of experience, highlighted the two key characteristics of funeral professionals, “</w:t>
      </w:r>
      <w:r w:rsidRPr="00B65C44">
        <w:rPr>
          <w:lang w:val="en-US"/>
        </w:rPr>
        <w:t>You are gonna be empathetic and compassionate, but you also have to be business savvy in the sense that we are still a business</w:t>
      </w:r>
      <w:r>
        <w:rPr>
          <w:lang w:val="en-US"/>
        </w:rPr>
        <w:t>…</w:t>
      </w:r>
      <w:r w:rsidRPr="00B65C44">
        <w:rPr>
          <w:lang w:val="en-US"/>
        </w:rPr>
        <w:t>It is no fun asking a grieving family for 10000 dollars, but unfortunately</w:t>
      </w:r>
      <w:r>
        <w:rPr>
          <w:lang w:val="en-US"/>
        </w:rPr>
        <w:t>,</w:t>
      </w:r>
      <w:r w:rsidRPr="00B65C44">
        <w:t xml:space="preserve"> </w:t>
      </w:r>
      <w:r w:rsidRPr="00B65C44">
        <w:rPr>
          <w:lang w:val="en-US"/>
        </w:rPr>
        <w:t>that is the service we are providing.</w:t>
      </w:r>
      <w:r>
        <w:rPr>
          <w:lang w:val="en-US"/>
        </w:rPr>
        <w:t>”</w:t>
      </w:r>
    </w:p>
    <w:p w14:paraId="2623E098" w14:textId="10745929" w:rsidR="00256B3D" w:rsidRPr="003C19EC" w:rsidRDefault="00256B3D" w:rsidP="008121B3">
      <w:pPr>
        <w:pStyle w:val="BodyText"/>
        <w:rPr>
          <w:lang w:val="en-US"/>
        </w:rPr>
      </w:pPr>
      <w:r w:rsidRPr="00FB0878">
        <w:rPr>
          <w:b/>
          <w:bCs/>
          <w:lang w:val="en-US"/>
        </w:rPr>
        <w:t xml:space="preserve">Aesthetic </w:t>
      </w:r>
      <w:r>
        <w:rPr>
          <w:b/>
          <w:bCs/>
          <w:lang w:val="en-US"/>
        </w:rPr>
        <w:t>m</w:t>
      </w:r>
      <w:r w:rsidRPr="00FB0878">
        <w:rPr>
          <w:b/>
          <w:bCs/>
          <w:lang w:val="en-US"/>
        </w:rPr>
        <w:t>oment</w:t>
      </w:r>
      <w:r>
        <w:rPr>
          <w:lang w:val="en-US"/>
        </w:rPr>
        <w:t xml:space="preserve">. </w:t>
      </w:r>
      <w:r w:rsidR="00C716D6">
        <w:t>Aesthetic moments involve the interpenetration of discourses in which two meaning systems are transformed into one new meaning system</w:t>
      </w:r>
      <w:r w:rsidR="00C716D6">
        <w:rPr>
          <w:lang w:val="en-US"/>
        </w:rPr>
        <w:t xml:space="preserve">. </w:t>
      </w:r>
      <w:r>
        <w:rPr>
          <w:lang w:val="en-US"/>
        </w:rPr>
        <w:t xml:space="preserve">Within funeral services, the discourse of commerce and the discourse of care were interpenetrated and fused into a new meaning system, the </w:t>
      </w:r>
      <w:r w:rsidRPr="00C95477">
        <w:rPr>
          <w:i/>
          <w:iCs/>
        </w:rPr>
        <w:t xml:space="preserve">discourse of </w:t>
      </w:r>
      <w:r>
        <w:rPr>
          <w:i/>
          <w:iCs/>
          <w:lang w:val="en-US"/>
        </w:rPr>
        <w:t>mundanity</w:t>
      </w:r>
      <w:r>
        <w:rPr>
          <w:lang w:val="en-US"/>
        </w:rPr>
        <w:t xml:space="preserve">, </w:t>
      </w:r>
      <w:r w:rsidR="008121B3">
        <w:rPr>
          <w:lang w:val="en-US"/>
        </w:rPr>
        <w:t>which</w:t>
      </w:r>
      <w:r>
        <w:rPr>
          <w:lang w:val="en-US"/>
        </w:rPr>
        <w:t xml:space="preserve"> was “</w:t>
      </w:r>
      <w:r>
        <w:rPr>
          <w:i/>
          <w:iCs/>
        </w:rPr>
        <w:t>a</w:t>
      </w:r>
      <w:r w:rsidRPr="005E74DE">
        <w:rPr>
          <w:i/>
          <w:iCs/>
        </w:rPr>
        <w:t xml:space="preserve"> system of</w:t>
      </w:r>
      <w:r>
        <w:rPr>
          <w:i/>
          <w:iCs/>
        </w:rPr>
        <w:t xml:space="preserve"> meaning in which</w:t>
      </w:r>
      <w:r>
        <w:t xml:space="preserve"> </w:t>
      </w:r>
      <w:r>
        <w:rPr>
          <w:i/>
          <w:iCs/>
        </w:rPr>
        <w:t xml:space="preserve">the gravity of life and death is made to be experienced as ordinary and </w:t>
      </w:r>
      <w:r w:rsidR="00C716D6">
        <w:rPr>
          <w:i/>
          <w:iCs/>
        </w:rPr>
        <w:t>beautiful</w:t>
      </w:r>
      <w:r>
        <w:rPr>
          <w:lang w:val="en-US"/>
        </w:rPr>
        <w:t xml:space="preserve">.” Aesthetic moments happen uncommonly in funeral professionals’ everyday life, but funeral directors </w:t>
      </w:r>
      <w:r w:rsidR="00135E2F">
        <w:rPr>
          <w:lang w:val="en-US"/>
        </w:rPr>
        <w:t xml:space="preserve">are likely to </w:t>
      </w:r>
      <w:r>
        <w:rPr>
          <w:lang w:val="en-US"/>
        </w:rPr>
        <w:t xml:space="preserve">experience </w:t>
      </w:r>
      <w:r w:rsidR="008121B3">
        <w:rPr>
          <w:lang w:val="en-US"/>
        </w:rPr>
        <w:t>them</w:t>
      </w:r>
      <w:r w:rsidR="00135E2F">
        <w:rPr>
          <w:lang w:val="en-US"/>
        </w:rPr>
        <w:t xml:space="preserve"> when </w:t>
      </w:r>
      <w:r w:rsidR="008121B3">
        <w:rPr>
          <w:lang w:val="en-US"/>
        </w:rPr>
        <w:t>they appreciate their long-time commitment to their professional careers</w:t>
      </w:r>
      <w:r w:rsidR="00135E2F">
        <w:rPr>
          <w:lang w:val="en-US"/>
        </w:rPr>
        <w:t>, especially at the time when they are about to retire</w:t>
      </w:r>
      <w:r>
        <w:rPr>
          <w:lang w:val="en-US"/>
        </w:rPr>
        <w:t xml:space="preserve">. Ryan, a funeral director with 18 years of experience, described,  </w:t>
      </w:r>
    </w:p>
    <w:p w14:paraId="496BDB4B" w14:textId="77777777" w:rsidR="00256B3D" w:rsidRDefault="00256B3D" w:rsidP="00256B3D">
      <w:pPr>
        <w:pStyle w:val="BodyText"/>
        <w:ind w:left="720" w:firstLine="0"/>
        <w:rPr>
          <w:lang w:val="en-US"/>
        </w:rPr>
      </w:pPr>
      <w:r w:rsidRPr="00D573FA">
        <w:rPr>
          <w:lang w:val="en-US"/>
        </w:rPr>
        <w:t>I will be honest with you: I thought about leaving the industry because there are jobs that pay better in money. And this job had no weekends, no nights, and no holidays. But when I talk to somebody, usually in person, after funerals or cremations, they will come and hug you and thank you. When I get something like that, it makes me think, “I cannot leave this job, I cannot leave this profession</w:t>
      </w:r>
      <w:r>
        <w:rPr>
          <w:lang w:val="en-US"/>
        </w:rPr>
        <w:t>.</w:t>
      </w:r>
      <w:r w:rsidRPr="00D573FA">
        <w:rPr>
          <w:lang w:val="en-US"/>
        </w:rPr>
        <w:t xml:space="preserve">” I do not know if you call it, maybe “reaffirming” or “rewarding.” You know everybody </w:t>
      </w:r>
      <w:proofErr w:type="gramStart"/>
      <w:r w:rsidRPr="00D573FA">
        <w:rPr>
          <w:lang w:val="en-US"/>
        </w:rPr>
        <w:t>has to</w:t>
      </w:r>
      <w:proofErr w:type="gramEnd"/>
      <w:r w:rsidRPr="00D573FA">
        <w:rPr>
          <w:lang w:val="en-US"/>
        </w:rPr>
        <w:t xml:space="preserve"> get paid. You know, </w:t>
      </w:r>
      <w:proofErr w:type="gramStart"/>
      <w:r w:rsidRPr="00D573FA">
        <w:rPr>
          <w:lang w:val="en-US"/>
        </w:rPr>
        <w:t>We</w:t>
      </w:r>
      <w:proofErr w:type="gramEnd"/>
      <w:r w:rsidRPr="00D573FA">
        <w:rPr>
          <w:lang w:val="en-US"/>
        </w:rPr>
        <w:t xml:space="preserve"> have bills, and we have to pay, but to me, this is more rewarding.</w:t>
      </w:r>
    </w:p>
    <w:p w14:paraId="4233F2A0" w14:textId="78DF3EBD" w:rsidR="00013CD7" w:rsidRDefault="00256B3D" w:rsidP="00256B3D">
      <w:pPr>
        <w:pStyle w:val="BodyText"/>
        <w:ind w:firstLine="0"/>
        <w:rPr>
          <w:lang w:val="en-US"/>
        </w:rPr>
      </w:pPr>
      <w:r w:rsidRPr="00D573FA">
        <w:rPr>
          <w:lang w:val="en-US"/>
        </w:rPr>
        <w:t xml:space="preserve">Within this description, a funeral director mentioned the care and commerce nature of funeral services, such as payments, jobs, holidays, and hugs. Then, he admitted the ordinariness of life, such as bills and payments. Also, he valued his ordinary job by stating his preference for being a </w:t>
      </w:r>
      <w:r w:rsidRPr="00D573FA">
        <w:rPr>
          <w:lang w:val="en-US"/>
        </w:rPr>
        <w:lastRenderedPageBreak/>
        <w:t>funeral professional</w:t>
      </w:r>
      <w:r>
        <w:rPr>
          <w:lang w:val="en-US"/>
        </w:rPr>
        <w:t>, which involve</w:t>
      </w:r>
      <w:r w:rsidR="009B0C6A">
        <w:rPr>
          <w:lang w:val="en-US"/>
        </w:rPr>
        <w:t>s tasks related to</w:t>
      </w:r>
      <w:r>
        <w:rPr>
          <w:lang w:val="en-US"/>
        </w:rPr>
        <w:t xml:space="preserve"> death</w:t>
      </w:r>
      <w:r w:rsidRPr="00D573FA">
        <w:rPr>
          <w:lang w:val="en-US"/>
        </w:rPr>
        <w:t>. Further, he enjoyed his ordinary job while experiencing strong self-rewarding</w:t>
      </w:r>
      <w:r>
        <w:rPr>
          <w:lang w:val="en-US"/>
        </w:rPr>
        <w:t xml:space="preserve"> as a funeral professional</w:t>
      </w:r>
      <w:r w:rsidRPr="00D573FA">
        <w:rPr>
          <w:lang w:val="en-US"/>
        </w:rPr>
        <w:t>.</w:t>
      </w:r>
      <w:r w:rsidR="009318B9">
        <w:rPr>
          <w:lang w:val="en-US"/>
        </w:rPr>
        <w:t xml:space="preserve"> In short, this narrative describes the ordinariness of life and interprets those ordinary tasks as rewarding, indicating that</w:t>
      </w:r>
      <w:r w:rsidR="009B0C6A">
        <w:rPr>
          <w:lang w:val="en-US"/>
        </w:rPr>
        <w:t xml:space="preserve"> </w:t>
      </w:r>
      <w:r w:rsidR="009318B9">
        <w:rPr>
          <w:lang w:val="en-US"/>
        </w:rPr>
        <w:t>ordinary life tasks are transformed into enjoyable and beautiful life moments for funeral directors.</w:t>
      </w:r>
    </w:p>
    <w:p w14:paraId="4ADFF75A" w14:textId="7C2D9D21" w:rsidR="00013CD7" w:rsidRDefault="00013CD7" w:rsidP="00013CD7">
      <w:pPr>
        <w:pStyle w:val="BodyText"/>
        <w:rPr>
          <w:lang w:val="en-US"/>
        </w:rPr>
      </w:pPr>
      <w:r>
        <w:rPr>
          <w:lang w:val="en-US"/>
        </w:rPr>
        <w:t xml:space="preserve">Another </w:t>
      </w:r>
      <w:r w:rsidR="00B31864">
        <w:rPr>
          <w:lang w:val="en-US"/>
        </w:rPr>
        <w:t xml:space="preserve">story </w:t>
      </w:r>
      <w:r>
        <w:rPr>
          <w:lang w:val="en-US"/>
        </w:rPr>
        <w:t xml:space="preserve">of Richy, a funeral director with 39 years of experience, </w:t>
      </w:r>
      <w:r w:rsidR="00B31864">
        <w:rPr>
          <w:lang w:val="en-US"/>
        </w:rPr>
        <w:t xml:space="preserve">reflected </w:t>
      </w:r>
      <w:r w:rsidR="00F77AD6">
        <w:rPr>
          <w:lang w:val="en-US"/>
        </w:rPr>
        <w:t xml:space="preserve">another aesthetic moment, he narrated, </w:t>
      </w:r>
      <w:r>
        <w:rPr>
          <w:lang w:val="en-US"/>
        </w:rPr>
        <w:t xml:space="preserve"> </w:t>
      </w:r>
    </w:p>
    <w:p w14:paraId="023BC57D" w14:textId="6F147C3E" w:rsidR="0056542E" w:rsidRDefault="00B31864" w:rsidP="0056542E">
      <w:pPr>
        <w:pStyle w:val="BodyText"/>
        <w:ind w:left="720" w:firstLine="0"/>
      </w:pPr>
      <w:r w:rsidRPr="00B31864">
        <w:rPr>
          <w:lang w:val="en-US"/>
        </w:rPr>
        <w:t xml:space="preserve">I </w:t>
      </w:r>
      <w:proofErr w:type="gramStart"/>
      <w:r w:rsidRPr="00B31864">
        <w:rPr>
          <w:lang w:val="en-US"/>
        </w:rPr>
        <w:t>have to</w:t>
      </w:r>
      <w:proofErr w:type="gramEnd"/>
      <w:r w:rsidRPr="00B31864">
        <w:rPr>
          <w:lang w:val="en-US"/>
        </w:rPr>
        <w:t xml:space="preserve"> tell you this</w:t>
      </w:r>
      <w:r w:rsidR="0056542E">
        <w:rPr>
          <w:lang w:val="en-US"/>
        </w:rPr>
        <w:t>, brother.</w:t>
      </w:r>
      <w:r w:rsidR="0056542E">
        <w:t xml:space="preserve"> It happens with my dad, my granddad, and a lot of my friends. Embalmers reach a period where they do not want to do [embalming] anymore; they go to the burnout phase that we call “the Last Zion.” A lot of embalmers, when they get in their 60s, are like, “Okay, I am through</w:t>
      </w:r>
      <w:r w:rsidR="0056542E">
        <w:rPr>
          <w:lang w:val="en-US"/>
        </w:rPr>
        <w:t>.</w:t>
      </w:r>
      <w:r w:rsidR="0056542E">
        <w:t>” We are through the prep room, embalming, making a decision, draining blood, restoring, and serving bodies.” I did not understand it </w:t>
      </w:r>
      <w:r w:rsidR="0056542E">
        <w:rPr>
          <w:lang w:val="en-US"/>
        </w:rPr>
        <w:t xml:space="preserve">ten </w:t>
      </w:r>
      <w:r w:rsidR="0056542E">
        <w:t xml:space="preserve">years ago, but I understand it now. I am close to that point. [He] is my friend; what if he dies next week? [Crying…] I do not want to do it. I am tired of it. That is something we all have to deal with. It is very similar to retirement. I have seen every death known to man, </w:t>
      </w:r>
      <w:r w:rsidR="0056542E">
        <w:rPr>
          <w:lang w:val="en-US"/>
        </w:rPr>
        <w:t xml:space="preserve">such as </w:t>
      </w:r>
      <w:r w:rsidR="0056542E">
        <w:t>gun shooting</w:t>
      </w:r>
      <w:r w:rsidR="0056542E">
        <w:rPr>
          <w:lang w:val="en-US"/>
        </w:rPr>
        <w:t xml:space="preserve"> and c</w:t>
      </w:r>
      <w:r w:rsidR="0056542E">
        <w:t>ar crash, [and I do not want to do it anymore].</w:t>
      </w:r>
    </w:p>
    <w:p w14:paraId="01F640BC" w14:textId="62B091B8" w:rsidR="0066355A" w:rsidRDefault="0056542E" w:rsidP="0056542E">
      <w:pPr>
        <w:pStyle w:val="BodyText"/>
        <w:ind w:firstLine="0"/>
        <w:rPr>
          <w:lang w:val="en-US"/>
        </w:rPr>
      </w:pPr>
      <w:r>
        <w:t>Within this description, an embalmer mentioned the care and commerce nature of embalming tasks, such as decision-making, serving bodies, restoring, and draining blood. Also, he admits the finite nature of embalming, indicating that he will retire one day and cannot do more</w:t>
      </w:r>
      <w:r w:rsidR="009B0C6A">
        <w:rPr>
          <w:lang w:val="en-US"/>
        </w:rPr>
        <w:t xml:space="preserve"> </w:t>
      </w:r>
      <w:r>
        <w:t>embalming. Further, embalmers called this burnout stage of their professional career “the Last Zion,” which indicates the transformation of embalming tasks</w:t>
      </w:r>
      <w:r w:rsidR="009318B9">
        <w:rPr>
          <w:lang w:val="en-US"/>
        </w:rPr>
        <w:t>.</w:t>
      </w:r>
      <w:r>
        <w:t> </w:t>
      </w:r>
      <w:r w:rsidR="009318B9">
        <w:rPr>
          <w:lang w:val="en-US"/>
        </w:rPr>
        <w:t>In short, this narrative describes the ordinary embalming tasks that will reach the</w:t>
      </w:r>
      <w:r w:rsidR="009318B9">
        <w:t xml:space="preserve"> burnout phase</w:t>
      </w:r>
      <w:r w:rsidR="009318B9">
        <w:rPr>
          <w:lang w:val="en-US"/>
        </w:rPr>
        <w:t>,</w:t>
      </w:r>
      <w:r w:rsidR="009318B9">
        <w:t xml:space="preserve"> “the Last Zion</w:t>
      </w:r>
      <w:r w:rsidR="009318B9">
        <w:rPr>
          <w:lang w:val="en-US"/>
        </w:rPr>
        <w:t>,</w:t>
      </w:r>
      <w:r w:rsidR="009318B9">
        <w:t>”</w:t>
      </w:r>
      <w:r w:rsidR="009318B9">
        <w:rPr>
          <w:lang w:val="en-US"/>
        </w:rPr>
        <w:t xml:space="preserve"> indicating </w:t>
      </w:r>
      <w:r w:rsidR="009318B9">
        <w:rPr>
          <w:lang w:val="en-US"/>
        </w:rPr>
        <w:lastRenderedPageBreak/>
        <w:t>that</w:t>
      </w:r>
      <w:r w:rsidR="009318B9">
        <w:t> </w:t>
      </w:r>
      <w:r w:rsidR="009318B9">
        <w:rPr>
          <w:lang w:val="en-US"/>
        </w:rPr>
        <w:t xml:space="preserve">ordinary embalming tasks are transformed into grief but beautiful life moments for embalmers. </w:t>
      </w:r>
      <w:r w:rsidR="009B0C6A">
        <w:rPr>
          <w:lang w:val="en-US"/>
        </w:rPr>
        <w:t>In</w:t>
      </w:r>
      <w:r w:rsidR="00256B3D">
        <w:rPr>
          <w:lang w:val="en-US"/>
        </w:rPr>
        <w:t xml:space="preserve"> short</w:t>
      </w:r>
      <w:r w:rsidR="00013CD7">
        <w:rPr>
          <w:lang w:val="en-US"/>
        </w:rPr>
        <w:t xml:space="preserve">, </w:t>
      </w:r>
      <w:r w:rsidR="00256B3D">
        <w:rPr>
          <w:lang w:val="en-US"/>
        </w:rPr>
        <w:t>th</w:t>
      </w:r>
      <w:r w:rsidR="00013CD7">
        <w:rPr>
          <w:lang w:val="en-US"/>
        </w:rPr>
        <w:t>ese two</w:t>
      </w:r>
      <w:r w:rsidR="00256B3D">
        <w:rPr>
          <w:lang w:val="en-US"/>
        </w:rPr>
        <w:t xml:space="preserve"> whole narrative</w:t>
      </w:r>
      <w:r w:rsidR="00013CD7">
        <w:rPr>
          <w:lang w:val="en-US"/>
        </w:rPr>
        <w:t>s</w:t>
      </w:r>
      <w:r w:rsidR="00256B3D">
        <w:rPr>
          <w:lang w:val="en-US"/>
        </w:rPr>
        <w:t xml:space="preserve"> suggested a new meaning system, the </w:t>
      </w:r>
      <w:r w:rsidR="00256B3D" w:rsidRPr="00C95477">
        <w:rPr>
          <w:i/>
          <w:iCs/>
        </w:rPr>
        <w:t xml:space="preserve">discourse of </w:t>
      </w:r>
      <w:r w:rsidR="00256B3D">
        <w:rPr>
          <w:i/>
          <w:iCs/>
          <w:lang w:val="en-US"/>
        </w:rPr>
        <w:t>mundanity</w:t>
      </w:r>
      <w:r w:rsidR="00256B3D">
        <w:rPr>
          <w:lang w:val="en-US"/>
        </w:rPr>
        <w:t>, that was “</w:t>
      </w:r>
      <w:r w:rsidR="00256B3D">
        <w:rPr>
          <w:i/>
          <w:iCs/>
        </w:rPr>
        <w:t>a</w:t>
      </w:r>
      <w:r w:rsidR="00256B3D" w:rsidRPr="005E74DE">
        <w:rPr>
          <w:i/>
          <w:iCs/>
        </w:rPr>
        <w:t xml:space="preserve"> system of</w:t>
      </w:r>
      <w:r w:rsidR="00256B3D">
        <w:rPr>
          <w:i/>
          <w:iCs/>
        </w:rPr>
        <w:t xml:space="preserve"> meaning in which</w:t>
      </w:r>
      <w:r w:rsidR="00256B3D">
        <w:t xml:space="preserve"> </w:t>
      </w:r>
      <w:r w:rsidR="00256B3D">
        <w:rPr>
          <w:i/>
          <w:iCs/>
        </w:rPr>
        <w:t xml:space="preserve">the gravity of life and death is made to be experienced as ordinary and </w:t>
      </w:r>
      <w:r w:rsidR="00C716D6">
        <w:rPr>
          <w:i/>
          <w:iCs/>
        </w:rPr>
        <w:t>beautiful</w:t>
      </w:r>
      <w:r w:rsidR="00256B3D">
        <w:rPr>
          <w:lang w:val="en-US"/>
        </w:rPr>
        <w:t>.”</w:t>
      </w:r>
    </w:p>
    <w:p w14:paraId="380333FE" w14:textId="5749CEB2" w:rsidR="0066355A" w:rsidRDefault="0066355A" w:rsidP="00296D17">
      <w:pPr>
        <w:pStyle w:val="BodyText"/>
        <w:ind w:firstLine="0"/>
        <w:rPr>
          <w:lang w:val="en-US"/>
        </w:rPr>
      </w:pPr>
    </w:p>
    <w:p w14:paraId="458B5888" w14:textId="0DD03965" w:rsidR="00BC262B" w:rsidRDefault="00BC262B" w:rsidP="00296D17">
      <w:pPr>
        <w:pStyle w:val="BodyText"/>
        <w:ind w:firstLine="0"/>
        <w:rPr>
          <w:lang w:val="en-US"/>
        </w:rPr>
      </w:pPr>
    </w:p>
    <w:p w14:paraId="08367EF5" w14:textId="2DB13760" w:rsidR="00BC262B" w:rsidRDefault="00BC262B" w:rsidP="00296D17">
      <w:pPr>
        <w:pStyle w:val="BodyText"/>
        <w:ind w:firstLine="0"/>
        <w:rPr>
          <w:lang w:val="en-US"/>
        </w:rPr>
      </w:pPr>
    </w:p>
    <w:p w14:paraId="02A62476" w14:textId="3AD17A64" w:rsidR="00BC262B" w:rsidRDefault="00BC262B" w:rsidP="00296D17">
      <w:pPr>
        <w:pStyle w:val="BodyText"/>
        <w:ind w:firstLine="0"/>
        <w:rPr>
          <w:lang w:val="en-US"/>
        </w:rPr>
      </w:pPr>
    </w:p>
    <w:p w14:paraId="115118AA" w14:textId="6F2BDD10" w:rsidR="00BC262B" w:rsidRDefault="00BC262B" w:rsidP="00296D17">
      <w:pPr>
        <w:pStyle w:val="BodyText"/>
        <w:ind w:firstLine="0"/>
        <w:rPr>
          <w:lang w:val="en-US"/>
        </w:rPr>
      </w:pPr>
    </w:p>
    <w:p w14:paraId="00CCAE92" w14:textId="4751BEFA" w:rsidR="00BC262B" w:rsidRDefault="00BC262B" w:rsidP="00296D17">
      <w:pPr>
        <w:pStyle w:val="BodyText"/>
        <w:ind w:firstLine="0"/>
        <w:rPr>
          <w:lang w:val="en-US"/>
        </w:rPr>
      </w:pPr>
    </w:p>
    <w:p w14:paraId="26184F8B" w14:textId="0DB05AD2" w:rsidR="00BC262B" w:rsidRDefault="00BC262B" w:rsidP="00296D17">
      <w:pPr>
        <w:pStyle w:val="BodyText"/>
        <w:ind w:firstLine="0"/>
        <w:rPr>
          <w:lang w:val="en-US"/>
        </w:rPr>
      </w:pPr>
    </w:p>
    <w:p w14:paraId="4198DD2A" w14:textId="20697AE9" w:rsidR="00BC262B" w:rsidRDefault="00BC262B" w:rsidP="00296D17">
      <w:pPr>
        <w:pStyle w:val="BodyText"/>
        <w:ind w:firstLine="0"/>
        <w:rPr>
          <w:lang w:val="en-US"/>
        </w:rPr>
      </w:pPr>
    </w:p>
    <w:p w14:paraId="099D10A5" w14:textId="69942ECE" w:rsidR="00BC262B" w:rsidRDefault="00BC262B" w:rsidP="00296D17">
      <w:pPr>
        <w:pStyle w:val="BodyText"/>
        <w:ind w:firstLine="0"/>
        <w:rPr>
          <w:lang w:val="en-US"/>
        </w:rPr>
      </w:pPr>
    </w:p>
    <w:p w14:paraId="74D47CC2" w14:textId="16C31C36" w:rsidR="00BC262B" w:rsidRDefault="00BC262B" w:rsidP="00296D17">
      <w:pPr>
        <w:pStyle w:val="BodyText"/>
        <w:ind w:firstLine="0"/>
        <w:rPr>
          <w:lang w:val="en-US"/>
        </w:rPr>
      </w:pPr>
    </w:p>
    <w:p w14:paraId="561DEF4D" w14:textId="557232D7" w:rsidR="00BC262B" w:rsidRDefault="00BC262B" w:rsidP="00296D17">
      <w:pPr>
        <w:pStyle w:val="BodyText"/>
        <w:ind w:firstLine="0"/>
        <w:rPr>
          <w:lang w:val="en-US"/>
        </w:rPr>
      </w:pPr>
    </w:p>
    <w:p w14:paraId="19154217" w14:textId="5F9539FB" w:rsidR="00BC262B" w:rsidRDefault="00BC262B" w:rsidP="00296D17">
      <w:pPr>
        <w:pStyle w:val="BodyText"/>
        <w:ind w:firstLine="0"/>
        <w:rPr>
          <w:lang w:val="en-US"/>
        </w:rPr>
      </w:pPr>
    </w:p>
    <w:p w14:paraId="7ADE32EA" w14:textId="395427F4" w:rsidR="00BC262B" w:rsidRDefault="00BC262B" w:rsidP="00296D17">
      <w:pPr>
        <w:pStyle w:val="BodyText"/>
        <w:ind w:firstLine="0"/>
        <w:rPr>
          <w:lang w:val="en-US"/>
        </w:rPr>
      </w:pPr>
    </w:p>
    <w:p w14:paraId="6C8D99AC" w14:textId="0F4D5A1E" w:rsidR="00BC262B" w:rsidRDefault="00BC262B" w:rsidP="00296D17">
      <w:pPr>
        <w:pStyle w:val="BodyText"/>
        <w:ind w:firstLine="0"/>
        <w:rPr>
          <w:lang w:val="en-US"/>
        </w:rPr>
      </w:pPr>
    </w:p>
    <w:p w14:paraId="2586E37A" w14:textId="42D18A19" w:rsidR="00BC262B" w:rsidRDefault="00BC262B" w:rsidP="00296D17">
      <w:pPr>
        <w:pStyle w:val="BodyText"/>
        <w:ind w:firstLine="0"/>
        <w:rPr>
          <w:lang w:val="en-US"/>
        </w:rPr>
      </w:pPr>
    </w:p>
    <w:p w14:paraId="7BABC58F" w14:textId="07C6EF0C" w:rsidR="00BC262B" w:rsidRDefault="00BC262B" w:rsidP="00296D17">
      <w:pPr>
        <w:pStyle w:val="BodyText"/>
        <w:ind w:firstLine="0"/>
        <w:rPr>
          <w:lang w:val="en-US"/>
        </w:rPr>
      </w:pPr>
    </w:p>
    <w:p w14:paraId="75CD48A4" w14:textId="5F68BF00" w:rsidR="00BC262B" w:rsidRDefault="00BC262B" w:rsidP="00296D17">
      <w:pPr>
        <w:pStyle w:val="BodyText"/>
        <w:ind w:firstLine="0"/>
        <w:rPr>
          <w:lang w:val="en-US"/>
        </w:rPr>
      </w:pPr>
    </w:p>
    <w:p w14:paraId="507453EB" w14:textId="77777777" w:rsidR="00BC262B" w:rsidRDefault="00BC262B" w:rsidP="00296D17">
      <w:pPr>
        <w:pStyle w:val="BodyText"/>
        <w:ind w:firstLine="0"/>
        <w:rPr>
          <w:lang w:val="en-US"/>
        </w:rPr>
      </w:pPr>
    </w:p>
    <w:p w14:paraId="5C86C4B5" w14:textId="77777777" w:rsidR="00D72300" w:rsidRPr="00FD4D47" w:rsidRDefault="00D72300" w:rsidP="00296D17">
      <w:pPr>
        <w:pStyle w:val="BodyText"/>
        <w:ind w:firstLine="0"/>
        <w:rPr>
          <w:b/>
          <w:bCs/>
        </w:rPr>
      </w:pPr>
    </w:p>
    <w:p w14:paraId="53B54204" w14:textId="77777777" w:rsidR="00256B3D" w:rsidRPr="00F72D54" w:rsidRDefault="00256B3D" w:rsidP="00256B3D">
      <w:pPr>
        <w:spacing w:line="480" w:lineRule="auto"/>
        <w:jc w:val="center"/>
        <w:rPr>
          <w:rFonts w:ascii="Times New Roman" w:hAnsi="Times New Roman" w:cs="Times New Roman"/>
          <w:b/>
          <w:bCs/>
        </w:rPr>
      </w:pPr>
      <w:r w:rsidRPr="00F72D54">
        <w:rPr>
          <w:rFonts w:ascii="Times New Roman" w:hAnsi="Times New Roman" w:cs="Times New Roman"/>
          <w:b/>
          <w:bCs/>
        </w:rPr>
        <w:lastRenderedPageBreak/>
        <w:t>Chapter 8: Discussion</w:t>
      </w:r>
    </w:p>
    <w:p w14:paraId="6BB27E39" w14:textId="44248DF3" w:rsidR="00256B3D" w:rsidRPr="00F72D54" w:rsidRDefault="00256B3D" w:rsidP="00256B3D">
      <w:pPr>
        <w:spacing w:line="480" w:lineRule="auto"/>
        <w:ind w:firstLine="720"/>
        <w:rPr>
          <w:rFonts w:ascii="Times New Roman" w:hAnsi="Times New Roman" w:cs="Times New Roman"/>
        </w:rPr>
      </w:pPr>
      <w:r w:rsidRPr="00F72D54">
        <w:rPr>
          <w:rFonts w:ascii="Times New Roman" w:hAnsi="Times New Roman" w:cs="Times New Roman"/>
        </w:rPr>
        <w:t xml:space="preserve">This dissertation, grounded in relational dialectics theory 2.0, aims to illustrate what meanings emerge from the commerce-care dialectic when engaging in funeral planning. The contrapuntal analysis of interviews reveals that the </w:t>
      </w:r>
      <w:r w:rsidRPr="00F72D54">
        <w:rPr>
          <w:rFonts w:ascii="Times New Roman" w:hAnsi="Times New Roman" w:cs="Times New Roman"/>
          <w:i/>
          <w:iCs/>
        </w:rPr>
        <w:t>discourse of commerce</w:t>
      </w:r>
      <w:r w:rsidRPr="00F72D54">
        <w:rPr>
          <w:rFonts w:ascii="Times New Roman" w:hAnsi="Times New Roman" w:cs="Times New Roman"/>
        </w:rPr>
        <w:t xml:space="preserve"> and the </w:t>
      </w:r>
      <w:r w:rsidRPr="00F72D54">
        <w:rPr>
          <w:rFonts w:ascii="Times New Roman" w:hAnsi="Times New Roman" w:cs="Times New Roman"/>
          <w:i/>
          <w:iCs/>
        </w:rPr>
        <w:t>discourse of care</w:t>
      </w:r>
      <w:r w:rsidRPr="00F72D54">
        <w:rPr>
          <w:rFonts w:ascii="Times New Roman" w:hAnsi="Times New Roman" w:cs="Times New Roman"/>
        </w:rPr>
        <w:t xml:space="preserve"> are central to the meaning-making of the commerce-care dialectic when engaging in funeral planning (RQ1). Also, the two discourses interplay synchronically and diachronically. The diachronic interplay manifests in </w:t>
      </w:r>
      <w:r w:rsidRPr="00F72D54">
        <w:rPr>
          <w:rFonts w:ascii="Times New Roman" w:hAnsi="Times New Roman" w:cs="Times New Roman"/>
          <w:i/>
          <w:iCs/>
        </w:rPr>
        <w:t>spiraling inversion</w:t>
      </w:r>
      <w:r w:rsidRPr="00F72D54">
        <w:rPr>
          <w:rFonts w:ascii="Times New Roman" w:hAnsi="Times New Roman" w:cs="Times New Roman"/>
        </w:rPr>
        <w:t xml:space="preserve"> and </w:t>
      </w:r>
      <w:r w:rsidRPr="00F72D54">
        <w:rPr>
          <w:rFonts w:ascii="Times New Roman" w:hAnsi="Times New Roman" w:cs="Times New Roman"/>
          <w:i/>
          <w:iCs/>
        </w:rPr>
        <w:t>segmentation</w:t>
      </w:r>
      <w:r w:rsidRPr="00F72D54">
        <w:rPr>
          <w:rFonts w:ascii="Times New Roman" w:hAnsi="Times New Roman" w:cs="Times New Roman"/>
        </w:rPr>
        <w:t xml:space="preserve">, and the synchronic interplay is shown in </w:t>
      </w:r>
      <w:r w:rsidRPr="00F72D54">
        <w:rPr>
          <w:rFonts w:ascii="Times New Roman" w:hAnsi="Times New Roman" w:cs="Times New Roman"/>
          <w:i/>
          <w:iCs/>
        </w:rPr>
        <w:t>negating and countering</w:t>
      </w:r>
      <w:r w:rsidRPr="00F72D54">
        <w:rPr>
          <w:rFonts w:ascii="Times New Roman" w:hAnsi="Times New Roman" w:cs="Times New Roman"/>
        </w:rPr>
        <w:t xml:space="preserve">, </w:t>
      </w:r>
      <w:r w:rsidRPr="00F72D54">
        <w:rPr>
          <w:rFonts w:ascii="Times New Roman" w:hAnsi="Times New Roman" w:cs="Times New Roman"/>
          <w:i/>
          <w:iCs/>
        </w:rPr>
        <w:t xml:space="preserve">ambiguating </w:t>
      </w:r>
      <w:r w:rsidRPr="00F72D54">
        <w:rPr>
          <w:rFonts w:ascii="Times New Roman" w:hAnsi="Times New Roman" w:cs="Times New Roman"/>
        </w:rPr>
        <w:t>(a new form of synchronic interplay), and</w:t>
      </w:r>
      <w:r w:rsidRPr="00F72D54">
        <w:rPr>
          <w:rFonts w:ascii="Times New Roman" w:hAnsi="Times New Roman" w:cs="Times New Roman"/>
          <w:i/>
          <w:iCs/>
        </w:rPr>
        <w:t xml:space="preserve"> entertaining</w:t>
      </w:r>
      <w:r w:rsidRPr="00F72D54">
        <w:rPr>
          <w:rFonts w:ascii="Times New Roman" w:hAnsi="Times New Roman" w:cs="Times New Roman"/>
        </w:rPr>
        <w:t xml:space="preserve"> (RQ2). Based on these findings, this dissertation aligns the discursive synchronic markers, including negating, countering, ambiguating (a new marker proposed), and entertaining, with four features of utterance chains. The alignment gives an additional guideline to make researchers confident in identifying discursive synchronic interplay other than having the guideline of the three discursive markers. Moreover, </w:t>
      </w:r>
      <w:r w:rsidRPr="00F72D54">
        <w:rPr>
          <w:rFonts w:ascii="Times New Roman" w:hAnsi="Times New Roman" w:cs="Times New Roman"/>
          <w:i/>
          <w:iCs/>
        </w:rPr>
        <w:t xml:space="preserve">hybridization </w:t>
      </w:r>
      <w:r w:rsidRPr="00F72D54">
        <w:rPr>
          <w:rFonts w:ascii="Times New Roman" w:hAnsi="Times New Roman" w:cs="Times New Roman"/>
        </w:rPr>
        <w:t xml:space="preserve">and </w:t>
      </w:r>
      <w:r w:rsidRPr="00F72D54">
        <w:rPr>
          <w:rFonts w:ascii="Times New Roman" w:hAnsi="Times New Roman" w:cs="Times New Roman"/>
          <w:i/>
          <w:iCs/>
        </w:rPr>
        <w:t>aesthetic moment</w:t>
      </w:r>
      <w:r w:rsidRPr="00F72D54">
        <w:rPr>
          <w:rFonts w:ascii="Times New Roman" w:hAnsi="Times New Roman" w:cs="Times New Roman"/>
        </w:rPr>
        <w:t xml:space="preserve"> are identified for discursive transformative interplay, which indicates meanings emergent from the interplay (RQ3). These findings provide empirical evidence to support Mumby’s </w:t>
      </w:r>
      <w:r w:rsidRPr="00F72D54">
        <w:rPr>
          <w:rFonts w:ascii="Times New Roman" w:hAnsi="Times New Roman" w:cs="Times New Roman"/>
        </w:rPr>
        <w:fldChar w:fldCharType="begin"/>
      </w:r>
      <w:r w:rsidRPr="00F72D54">
        <w:rPr>
          <w:rFonts w:ascii="Times New Roman" w:hAnsi="Times New Roman" w:cs="Times New Roman"/>
        </w:rPr>
        <w:instrText xml:space="preserve"> ADDIN EN.CITE &lt;EndNote&gt;&lt;Cite ExcludeAuth="1"&gt;&lt;Author&gt;Mumby&lt;/Author&gt;&lt;Year&gt;2005&lt;/Year&gt;&lt;RecNum&gt;2287&lt;/RecNum&gt;&lt;DisplayText&gt;(2005)&lt;/DisplayText&gt;&lt;record&gt;&lt;rec-number&gt;2287&lt;/rec-number&gt;&lt;foreign-keys&gt;&lt;key app="EN" db-id="2pe9e00ros0veneeptspa5vhz0pw2az52v20" timestamp="1709784889" guid="8b5596a4-bc6d-4344-af19-c70683b3ec46"&gt;2287&lt;/key&gt;&lt;/foreign-keys&gt;&lt;ref-type name="Journal Article"&gt;17&lt;/ref-type&gt;&lt;contributors&gt;&lt;authors&gt;&lt;author&gt;Mumby, Dennis K.&lt;/author&gt;&lt;/authors&gt;&lt;/contributors&gt;&lt;titles&gt;&lt;title&gt;Theorizing resistance in organization studies:A dialectical approach&lt;/title&gt;&lt;secondary-title&gt;Management Communication Quarterly&lt;/secondary-title&gt;&lt;/titles&gt;&lt;periodical&gt;&lt;full-title&gt;Management Communication Quarterly&lt;/full-title&gt;&lt;/periodical&gt;&lt;pages&gt;19-44&lt;/pages&gt;&lt;volume&gt;19&lt;/volume&gt;&lt;number&gt;1&lt;/number&gt;&lt;keywords&gt;&lt;keyword&gt;resistance,control,dialectics,discourse,Marxism,Foucault,poststructuralism&lt;/keyword&gt;&lt;/keywords&gt;&lt;dates&gt;&lt;year&gt;2005&lt;/year&gt;&lt;/dates&gt;&lt;urls&gt;&lt;related-urls&gt;&lt;url&gt;https://journals.sagepub.com/doi/abs/10.1177/0893318905276558&lt;/url&gt;&lt;/related-urls&gt;&lt;/urls&gt;&lt;electronic-resource-num&gt;10.1177/0893318905276558&lt;/electronic-resource-num&gt;&lt;/record&gt;&lt;/Cite&gt;&lt;/EndNote&gt;</w:instrText>
      </w:r>
      <w:r w:rsidRPr="00F72D54">
        <w:rPr>
          <w:rFonts w:ascii="Times New Roman" w:hAnsi="Times New Roman" w:cs="Times New Roman"/>
        </w:rPr>
        <w:fldChar w:fldCharType="separate"/>
      </w:r>
      <w:r w:rsidRPr="00F72D54">
        <w:rPr>
          <w:rFonts w:ascii="Times New Roman" w:hAnsi="Times New Roman" w:cs="Times New Roman"/>
          <w:noProof/>
        </w:rPr>
        <w:t>(2005)</w:t>
      </w:r>
      <w:r w:rsidRPr="00F72D54">
        <w:rPr>
          <w:rFonts w:ascii="Times New Roman" w:hAnsi="Times New Roman" w:cs="Times New Roman"/>
        </w:rPr>
        <w:fldChar w:fldCharType="end"/>
      </w:r>
      <w:r w:rsidRPr="00F72D54">
        <w:rPr>
          <w:rFonts w:ascii="Times New Roman" w:hAnsi="Times New Roman" w:cs="Times New Roman"/>
        </w:rPr>
        <w:t xml:space="preserve"> theorizing that control and resistance are mutually constitutive. For hybridization, funeral directors are mixing the discourse of commerce and the discourse of care to create a new meaning, and that is the commitment to the double nature of funeral services: commerce and care. For aesthetic moments, the </w:t>
      </w:r>
      <w:r w:rsidRPr="00F72D54">
        <w:rPr>
          <w:rFonts w:ascii="Times New Roman" w:hAnsi="Times New Roman" w:cs="Times New Roman"/>
          <w:i/>
          <w:iCs/>
        </w:rPr>
        <w:t>discourse of mundanity</w:t>
      </w:r>
      <w:r w:rsidRPr="00F72D54">
        <w:rPr>
          <w:rFonts w:ascii="Times New Roman" w:hAnsi="Times New Roman" w:cs="Times New Roman"/>
        </w:rPr>
        <w:t xml:space="preserve"> is proposed as the fusion of the discourse of commerce and the discourse of care, and that is “</w:t>
      </w:r>
      <w:r w:rsidRPr="00F72D54">
        <w:rPr>
          <w:rFonts w:ascii="Times New Roman" w:hAnsi="Times New Roman" w:cs="Times New Roman"/>
          <w:i/>
          <w:iCs/>
        </w:rPr>
        <w:t>a system of meaning in which</w:t>
      </w:r>
      <w:r w:rsidRPr="00F72D54">
        <w:rPr>
          <w:rFonts w:ascii="Times New Roman" w:hAnsi="Times New Roman" w:cs="Times New Roman"/>
        </w:rPr>
        <w:t xml:space="preserve"> </w:t>
      </w:r>
      <w:r w:rsidRPr="00F72D54">
        <w:rPr>
          <w:rFonts w:ascii="Times New Roman" w:hAnsi="Times New Roman" w:cs="Times New Roman"/>
          <w:i/>
          <w:iCs/>
        </w:rPr>
        <w:t xml:space="preserve">the gravity of life and death is made to be experienced as ordinary and </w:t>
      </w:r>
      <w:r w:rsidR="00C716D6">
        <w:rPr>
          <w:rFonts w:ascii="Times New Roman" w:hAnsi="Times New Roman" w:cs="Times New Roman"/>
          <w:i/>
          <w:iCs/>
        </w:rPr>
        <w:t>beautiful</w:t>
      </w:r>
      <w:r w:rsidRPr="00F72D54">
        <w:rPr>
          <w:rFonts w:ascii="Times New Roman" w:hAnsi="Times New Roman" w:cs="Times New Roman"/>
        </w:rPr>
        <w:t xml:space="preserve">.” These findings provide empirical evidence to support Mumby’s </w:t>
      </w:r>
      <w:r w:rsidRPr="00F72D54">
        <w:rPr>
          <w:rFonts w:ascii="Times New Roman" w:hAnsi="Times New Roman" w:cs="Times New Roman"/>
        </w:rPr>
        <w:fldChar w:fldCharType="begin"/>
      </w:r>
      <w:r w:rsidRPr="00F72D54">
        <w:rPr>
          <w:rFonts w:ascii="Times New Roman" w:hAnsi="Times New Roman" w:cs="Times New Roman"/>
        </w:rPr>
        <w:instrText xml:space="preserve"> ADDIN EN.CITE &lt;EndNote&gt;&lt;Cite ExcludeAuth="1"&gt;&lt;Author&gt;Mumby&lt;/Author&gt;&lt;Year&gt;2005&lt;/Year&gt;&lt;RecNum&gt;2287&lt;/RecNum&gt;&lt;DisplayText&gt;(2005)&lt;/DisplayText&gt;&lt;record&gt;&lt;rec-number&gt;2287&lt;/rec-number&gt;&lt;foreign-keys&gt;&lt;key app="EN" db-id="2pe9e00ros0veneeptspa5vhz0pw2az52v20" timestamp="1709784889" guid="8b5596a4-bc6d-4344-af19-c70683b3ec46"&gt;2287&lt;/key&gt;&lt;/foreign-keys&gt;&lt;ref-type name="Journal Article"&gt;17&lt;/ref-type&gt;&lt;contributors&gt;&lt;authors&gt;&lt;author&gt;Mumby, Dennis K.&lt;/author&gt;&lt;/authors&gt;&lt;/contributors&gt;&lt;titles&gt;&lt;title&gt;Theorizing resistance in organization studies:A dialectical approach&lt;/title&gt;&lt;secondary-title&gt;Management Communication Quarterly&lt;/secondary-title&gt;&lt;/titles&gt;&lt;periodical&gt;&lt;full-title&gt;Management Communication Quarterly&lt;/full-title&gt;&lt;/periodical&gt;&lt;pages&gt;19-44&lt;/pages&gt;&lt;volume&gt;19&lt;/volume&gt;&lt;number&gt;1&lt;/number&gt;&lt;keywords&gt;&lt;keyword&gt;resistance,control,dialectics,discourse,Marxism,Foucault,poststructuralism&lt;/keyword&gt;&lt;/keywords&gt;&lt;dates&gt;&lt;year&gt;2005&lt;/year&gt;&lt;/dates&gt;&lt;urls&gt;&lt;related-urls&gt;&lt;url&gt;https://journals.sagepub.com/doi/abs/10.1177/0893318905276558&lt;/url&gt;&lt;/related-urls&gt;&lt;/urls&gt;&lt;electronic-resource-num&gt;10.1177/0893318905276558&lt;/electronic-resource-num&gt;&lt;/record&gt;&lt;/Cite&gt;&lt;/EndNote&gt;</w:instrText>
      </w:r>
      <w:r w:rsidRPr="00F72D54">
        <w:rPr>
          <w:rFonts w:ascii="Times New Roman" w:hAnsi="Times New Roman" w:cs="Times New Roman"/>
        </w:rPr>
        <w:fldChar w:fldCharType="separate"/>
      </w:r>
      <w:r w:rsidRPr="00F72D54">
        <w:rPr>
          <w:rFonts w:ascii="Times New Roman" w:hAnsi="Times New Roman" w:cs="Times New Roman"/>
          <w:noProof/>
        </w:rPr>
        <w:t>(2005)</w:t>
      </w:r>
      <w:r w:rsidRPr="00F72D54">
        <w:rPr>
          <w:rFonts w:ascii="Times New Roman" w:hAnsi="Times New Roman" w:cs="Times New Roman"/>
        </w:rPr>
        <w:fldChar w:fldCharType="end"/>
      </w:r>
      <w:r w:rsidRPr="00F72D54">
        <w:rPr>
          <w:rFonts w:ascii="Times New Roman" w:hAnsi="Times New Roman" w:cs="Times New Roman"/>
        </w:rPr>
        <w:t xml:space="preserve"> theorizing that the control-resistance constitutive transforms as a routine social production of daily organizational life (see </w:t>
      </w:r>
      <w:r w:rsidRPr="00F72D54">
        <w:rPr>
          <w:rFonts w:ascii="Times New Roman" w:hAnsi="Times New Roman" w:cs="Times New Roman"/>
        </w:rPr>
        <w:lastRenderedPageBreak/>
        <w:t xml:space="preserve">details below). Furthermore, the dissertation proposes a perspective of acknowledging human life, which is the complex interpenetration and constitutive process of the costed life and/or the sacred life, labeled as the </w:t>
      </w:r>
      <w:r w:rsidRPr="00F72D54">
        <w:rPr>
          <w:rFonts w:ascii="Times New Roman" w:hAnsi="Times New Roman" w:cs="Times New Roman"/>
          <w:i/>
          <w:iCs/>
        </w:rPr>
        <w:t>commerce-care dialectic perspective</w:t>
      </w:r>
      <w:r w:rsidRPr="00F72D54">
        <w:rPr>
          <w:rFonts w:ascii="Times New Roman" w:hAnsi="Times New Roman" w:cs="Times New Roman"/>
        </w:rPr>
        <w:t>, defined as:</w:t>
      </w:r>
    </w:p>
    <w:p w14:paraId="39A14AB1" w14:textId="77777777" w:rsidR="00256B3D" w:rsidRPr="00F72D54" w:rsidRDefault="00256B3D" w:rsidP="00256B3D">
      <w:pPr>
        <w:spacing w:line="480" w:lineRule="auto"/>
        <w:ind w:left="720"/>
        <w:rPr>
          <w:rFonts w:ascii="Times New Roman" w:hAnsi="Times New Roman" w:cs="Times New Roman"/>
          <w:i/>
          <w:iCs/>
        </w:rPr>
      </w:pPr>
      <w:r w:rsidRPr="00F72D54">
        <w:rPr>
          <w:rFonts w:ascii="Times New Roman" w:hAnsi="Times New Roman" w:cs="Times New Roman"/>
          <w:i/>
          <w:iCs/>
        </w:rPr>
        <w:t xml:space="preserve">Humans make meanings of unresolvable life events or struggles, which have two core attributes of money and humanity, and transform those struggles into </w:t>
      </w:r>
      <w:r>
        <w:rPr>
          <w:rFonts w:ascii="Times New Roman" w:hAnsi="Times New Roman" w:cs="Times New Roman"/>
          <w:i/>
          <w:iCs/>
        </w:rPr>
        <w:t>mundane</w:t>
      </w:r>
      <w:r w:rsidRPr="00F72D54">
        <w:rPr>
          <w:rFonts w:ascii="Times New Roman" w:hAnsi="Times New Roman" w:cs="Times New Roman"/>
          <w:i/>
          <w:iCs/>
        </w:rPr>
        <w:t xml:space="preserve"> aesthetic moments by enact</w:t>
      </w:r>
      <w:r>
        <w:rPr>
          <w:rFonts w:ascii="Times New Roman" w:hAnsi="Times New Roman" w:cs="Times New Roman"/>
          <w:i/>
          <w:iCs/>
        </w:rPr>
        <w:t>ing</w:t>
      </w:r>
      <w:r w:rsidRPr="00F72D54">
        <w:rPr>
          <w:rFonts w:ascii="Times New Roman" w:hAnsi="Times New Roman" w:cs="Times New Roman"/>
          <w:i/>
          <w:iCs/>
        </w:rPr>
        <w:t xml:space="preserve"> behaviors and actions. </w:t>
      </w:r>
    </w:p>
    <w:p w14:paraId="7BBB370C" w14:textId="77777777" w:rsidR="00256B3D" w:rsidRPr="00F72D54" w:rsidRDefault="00256B3D" w:rsidP="00256B3D">
      <w:pPr>
        <w:spacing w:line="480" w:lineRule="auto"/>
        <w:rPr>
          <w:rFonts w:ascii="Times New Roman" w:hAnsi="Times New Roman" w:cs="Times New Roman"/>
        </w:rPr>
      </w:pPr>
      <w:r w:rsidRPr="00F72D54">
        <w:rPr>
          <w:rFonts w:ascii="Times New Roman" w:hAnsi="Times New Roman" w:cs="Times New Roman"/>
        </w:rPr>
        <w:t xml:space="preserve">Lastly, the dissertation provides practical implications </w:t>
      </w:r>
      <w:r>
        <w:rPr>
          <w:rFonts w:ascii="Times New Roman" w:hAnsi="Times New Roman" w:cs="Times New Roman"/>
        </w:rPr>
        <w:t>for</w:t>
      </w:r>
      <w:r w:rsidRPr="00F72D54">
        <w:rPr>
          <w:rFonts w:ascii="Times New Roman" w:hAnsi="Times New Roman" w:cs="Times New Roman"/>
        </w:rPr>
        <w:t xml:space="preserve"> facilitat</w:t>
      </w:r>
      <w:r>
        <w:rPr>
          <w:rFonts w:ascii="Times New Roman" w:hAnsi="Times New Roman" w:cs="Times New Roman"/>
        </w:rPr>
        <w:t>ing</w:t>
      </w:r>
      <w:r w:rsidRPr="00F72D54">
        <w:rPr>
          <w:rFonts w:ascii="Times New Roman" w:hAnsi="Times New Roman" w:cs="Times New Roman"/>
        </w:rPr>
        <w:t xml:space="preserve"> funeral planning. </w:t>
      </w:r>
    </w:p>
    <w:p w14:paraId="583BC3E4" w14:textId="77777777" w:rsidR="00256B3D" w:rsidRPr="00F72D54" w:rsidRDefault="00256B3D" w:rsidP="00256B3D">
      <w:pPr>
        <w:spacing w:line="480" w:lineRule="auto"/>
        <w:rPr>
          <w:rFonts w:ascii="Times New Roman" w:hAnsi="Times New Roman" w:cs="Times New Roman"/>
          <w:b/>
          <w:bCs/>
        </w:rPr>
      </w:pPr>
      <w:r w:rsidRPr="00F72D54">
        <w:rPr>
          <w:rFonts w:ascii="Times New Roman" w:hAnsi="Times New Roman" w:cs="Times New Roman"/>
          <w:b/>
          <w:bCs/>
        </w:rPr>
        <w:t>Theoretical Contributions</w:t>
      </w:r>
    </w:p>
    <w:p w14:paraId="07D6D77A" w14:textId="77777777" w:rsidR="00256B3D" w:rsidRPr="00F72D54" w:rsidRDefault="00256B3D" w:rsidP="00256B3D">
      <w:pPr>
        <w:pStyle w:val="BodyText"/>
        <w:rPr>
          <w:i/>
          <w:iCs/>
          <w:lang w:val="en-US"/>
        </w:rPr>
      </w:pPr>
      <w:r w:rsidRPr="00F72D54">
        <w:rPr>
          <w:b/>
          <w:bCs/>
        </w:rPr>
        <w:t xml:space="preserve">Relational </w:t>
      </w:r>
      <w:r w:rsidRPr="00F72D54">
        <w:rPr>
          <w:b/>
          <w:bCs/>
          <w:lang w:val="en-US"/>
        </w:rPr>
        <w:t>d</w:t>
      </w:r>
      <w:r w:rsidRPr="00F72D54">
        <w:rPr>
          <w:b/>
          <w:bCs/>
        </w:rPr>
        <w:t xml:space="preserve">ialectics </w:t>
      </w:r>
      <w:r w:rsidRPr="00F72D54">
        <w:rPr>
          <w:b/>
          <w:bCs/>
          <w:lang w:val="en-US"/>
        </w:rPr>
        <w:t>t</w:t>
      </w:r>
      <w:r w:rsidRPr="00F72D54">
        <w:rPr>
          <w:b/>
          <w:bCs/>
        </w:rPr>
        <w:t>heory</w:t>
      </w:r>
      <w:r w:rsidRPr="00F72D54">
        <w:rPr>
          <w:b/>
          <w:bCs/>
          <w:lang w:val="en-US"/>
        </w:rPr>
        <w:t>.</w:t>
      </w:r>
      <w:r w:rsidRPr="00F72D54">
        <w:t xml:space="preserve"> This dissertation contributes to RDT </w:t>
      </w:r>
      <w:r w:rsidRPr="00F72D54">
        <w:rPr>
          <w:noProof/>
        </w:rPr>
        <w:t>b</w:t>
      </w:r>
      <w:r w:rsidRPr="00F72D54">
        <w:rPr>
          <w:noProof/>
          <w:lang w:val="en-US"/>
        </w:rPr>
        <w:t>y comprehensively</w:t>
      </w:r>
      <w:r w:rsidRPr="00F72D54">
        <w:t xml:space="preserve"> applying the RDT framework to the scenario of funeral planning. </w:t>
      </w:r>
      <w:r w:rsidRPr="00F72D54">
        <w:rPr>
          <w:lang w:val="en-US"/>
        </w:rPr>
        <w:fldChar w:fldCharType="begin"/>
      </w:r>
      <w:r w:rsidRPr="00F72D54">
        <w:rPr>
          <w:lang w:val="en-US"/>
        </w:rPr>
        <w:instrText xml:space="preserve"> ADDIN EN.CITE &lt;EndNote&gt;&lt;Cite AuthorYear="1"&gt;&lt;Author&gt;Baxter&lt;/Author&gt;&lt;Year&gt;2021&lt;/Year&gt;&lt;RecNum&gt;1635&lt;/RecNum&gt;&lt;DisplayText&gt;Baxter et al. (2021)&lt;/DisplayText&gt;&lt;record&gt;&lt;rec-number&gt;1635&lt;/rec-number&gt;&lt;foreign-keys&gt;&lt;key app="EN" db-id="2pe9e00ros0veneeptspa5vhz0pw2az52v20" timestamp="1651291792" guid="9386a910-98ed-4546-a0ef-92560d132ee4"&gt;1635&lt;/key&gt;&lt;/foreign-keys&gt;&lt;ref-type name="Journal Article"&gt;17&lt;/ref-type&gt;&lt;contributors&gt;&lt;authors&gt;&lt;author&gt;Baxter, Leslie A&lt;/author&gt;&lt;author&gt;Scharp, Kristina M&lt;/author&gt;&lt;author&gt;Thomas, Lindsey J&lt;/author&gt;&lt;/authors&gt;&lt;/contributors&gt;&lt;titles&gt;&lt;title&gt;Relational dialectics theory&lt;/title&gt;&lt;secondary-title&gt;Journal of Family Theory &amp;amp; Review&lt;/secondary-title&gt;&lt;/titles&gt;&lt;periodical&gt;&lt;full-title&gt;Journal of Family Theory &amp;amp; Review&lt;/full-title&gt;&lt;/periodical&gt;&lt;pages&gt;7-20&lt;/pages&gt;&lt;volume&gt;13&lt;/volume&gt;&lt;number&gt;1&lt;/number&gt;&lt;dates&gt;&lt;year&gt;2021&lt;/year&gt;&lt;/dates&gt;&lt;isbn&gt;1756-2570&lt;/isbn&gt;&lt;urls&gt;&lt;/urls&gt;&lt;electronic-resource-num&gt;10.1111/jftr.12405&lt;/electronic-resource-num&gt;&lt;/record&gt;&lt;/Cite&gt;&lt;/EndNote&gt;</w:instrText>
      </w:r>
      <w:r w:rsidRPr="00F72D54">
        <w:rPr>
          <w:lang w:val="en-US"/>
        </w:rPr>
        <w:fldChar w:fldCharType="separate"/>
      </w:r>
      <w:r w:rsidRPr="00F72D54">
        <w:rPr>
          <w:noProof/>
          <w:lang w:val="en-US"/>
        </w:rPr>
        <w:t>Baxter et al. (2021)</w:t>
      </w:r>
      <w:r w:rsidRPr="00F72D54">
        <w:rPr>
          <w:lang w:val="en-US"/>
        </w:rPr>
        <w:fldChar w:fldCharType="end"/>
      </w:r>
      <w:r w:rsidRPr="00F72D54">
        <w:rPr>
          <w:lang w:val="en-US"/>
        </w:rPr>
        <w:t xml:space="preserve"> direct RDT researchers to </w:t>
      </w:r>
      <w:proofErr w:type="gramStart"/>
      <w:r w:rsidRPr="00F72D54">
        <w:rPr>
          <w:lang w:val="en-US"/>
        </w:rPr>
        <w:t>look into</w:t>
      </w:r>
      <w:proofErr w:type="gramEnd"/>
      <w:r w:rsidRPr="00F72D54">
        <w:rPr>
          <w:lang w:val="en-US"/>
        </w:rPr>
        <w:t xml:space="preserve"> </w:t>
      </w:r>
      <w:r w:rsidRPr="00F72D54">
        <w:t>the full utterance chain</w:t>
      </w:r>
      <w:r w:rsidRPr="00F72D54">
        <w:rPr>
          <w:lang w:val="en-US"/>
        </w:rPr>
        <w:t xml:space="preserve">, especially </w:t>
      </w:r>
      <w:r w:rsidRPr="00F72D54">
        <w:t xml:space="preserve">the distal not-yet-spoken and distal already-spoken utterances. Funeral planning is a </w:t>
      </w:r>
      <w:r w:rsidRPr="00F72D54">
        <w:rPr>
          <w:i/>
          <w:iCs/>
        </w:rPr>
        <w:t>conversational</w:t>
      </w:r>
      <w:r w:rsidRPr="00F72D54">
        <w:t xml:space="preserve"> process of arranging funerals, which </w:t>
      </w:r>
      <w:r w:rsidRPr="00F72D54">
        <w:rPr>
          <w:lang w:val="en-US"/>
        </w:rPr>
        <w:t xml:space="preserve">represents the full utterance chain and documents discursive synchronic interplay and discursive diachronic interplay. For discursive diachronic interplay, </w:t>
      </w:r>
      <w:r w:rsidRPr="00F72D54">
        <w:rPr>
          <w:i/>
          <w:iCs/>
          <w:lang w:val="en-US"/>
        </w:rPr>
        <w:t>spiral inversion</w:t>
      </w:r>
      <w:r w:rsidRPr="00F72D54">
        <w:rPr>
          <w:lang w:val="en-US"/>
        </w:rPr>
        <w:t xml:space="preserve"> is identified in funeral directors’ narratives of guiding funeral planning and having telephone communication with clients, and </w:t>
      </w:r>
      <w:r w:rsidRPr="00F72D54">
        <w:rPr>
          <w:i/>
          <w:iCs/>
          <w:lang w:val="en-US"/>
        </w:rPr>
        <w:t xml:space="preserve">segmentation </w:t>
      </w:r>
      <w:r w:rsidRPr="00F72D54">
        <w:rPr>
          <w:lang w:val="en-US" w:eastAsia="zh-CN"/>
        </w:rPr>
        <w:t xml:space="preserve">is identified in </w:t>
      </w:r>
      <w:r w:rsidRPr="00F72D54">
        <w:rPr>
          <w:lang w:val="en-US"/>
        </w:rPr>
        <w:t xml:space="preserve">steps of providing funeral services and types of community engagement of funeral homes. For discursive synchronic interplay, findings identified discursive markers of negating and countering, ambiguating (a new form of synchronic interplay), and entertaining. The following paragraphs explain theoretical contributions to RDT. </w:t>
      </w:r>
    </w:p>
    <w:p w14:paraId="58150809" w14:textId="77777777" w:rsidR="00256B3D" w:rsidRPr="00F72D54" w:rsidRDefault="00256B3D" w:rsidP="00256B3D">
      <w:pPr>
        <w:pStyle w:val="BodyText"/>
        <w:rPr>
          <w:lang w:val="en-US"/>
        </w:rPr>
      </w:pPr>
      <w:r w:rsidRPr="00F72D54">
        <w:rPr>
          <w:lang w:val="en-US"/>
        </w:rPr>
        <w:t>The dissertation develops the discursive markers, which are indicators applied by researchers to identify discursive synchronic interplay for the contrapuntal analysis, by (</w:t>
      </w:r>
      <w:r>
        <w:rPr>
          <w:lang w:val="en-US"/>
        </w:rPr>
        <w:t>a</w:t>
      </w:r>
      <w:r w:rsidRPr="00F72D54">
        <w:rPr>
          <w:lang w:val="en-US"/>
        </w:rPr>
        <w:t>) aligning the discursive markers (i.e., negating, countering, and entertaining) with f</w:t>
      </w:r>
      <w:r w:rsidRPr="00F72D54">
        <w:t>our features of utterance chains</w:t>
      </w:r>
      <w:r w:rsidRPr="00F72D54">
        <w:rPr>
          <w:lang w:val="en-US"/>
        </w:rPr>
        <w:t xml:space="preserve"> and (</w:t>
      </w:r>
      <w:r>
        <w:rPr>
          <w:lang w:val="en-US"/>
        </w:rPr>
        <w:t>b</w:t>
      </w:r>
      <w:r w:rsidRPr="00F72D54">
        <w:rPr>
          <w:lang w:val="en-US"/>
        </w:rPr>
        <w:t xml:space="preserve">) proposing another discursive marker, </w:t>
      </w:r>
      <w:r w:rsidRPr="00F72D54">
        <w:rPr>
          <w:i/>
          <w:iCs/>
          <w:lang w:val="en-US"/>
        </w:rPr>
        <w:t>ambiguating</w:t>
      </w:r>
      <w:r w:rsidRPr="00F72D54">
        <w:rPr>
          <w:lang w:val="en-US"/>
        </w:rPr>
        <w:t xml:space="preserve">. </w:t>
      </w:r>
      <w:r w:rsidRPr="00F72D54">
        <w:fldChar w:fldCharType="begin"/>
      </w:r>
      <w:r w:rsidRPr="00F72D54">
        <w:instrText xml:space="preserve"> ADDIN EN.CITE &lt;EndNote&gt;&lt;Cite AuthorYear="1"&gt;&lt;Author&gt;Baxter&lt;/Author&gt;&lt;Year&gt;2011&lt;/Year&gt;&lt;RecNum&gt;1633&lt;/RecNum&gt;&lt;DisplayText&gt;Baxter (2011)&lt;/DisplayText&gt;&lt;record&gt;&lt;rec-number&gt;1633&lt;/rec-number&gt;&lt;foreign-keys&gt;&lt;key app="EN" db-id="2pe9e00ros0veneeptspa5vhz0pw2az52v20" timestamp="1651286064" guid="faff47c4-c762-4121-b9c8-9978bd77054b"&gt;1633&lt;/key&gt;&lt;/foreign-keys&gt;&lt;ref-type name="Book"&gt;6&lt;/ref-type&gt;&lt;contributors&gt;&lt;authors&gt;&lt;author&gt;Baxter, Leslie A.&lt;/author&gt;&lt;/authors&gt;&lt;/contributors&gt;&lt;titles&gt;&lt;title&gt;Voicing relationships: a dialogic perspective&lt;/title&gt;&lt;/titles&gt;&lt;keywords&gt;&lt;keyword&gt;Bakhtin, M. M. (Mikhail Mikhaĭlovich), 1895-1975&lt;/keyword&gt;&lt;keyword&gt;Interpersonal relations&lt;/keyword&gt;&lt;keyword&gt;Dialogue analysis&lt;/keyword&gt;&lt;/keywords&gt;&lt;dates&gt;&lt;year&gt;2011&lt;/year&gt;&lt;/dates&gt;&lt;pub-location&gt;Thousand Oaks, Calif.&lt;/pub-location&gt;&lt;publisher&gt;SAGE Publications, Inc&lt;/publisher&gt;&lt;urls&gt;&lt;/urls&gt;&lt;/record&gt;&lt;/Cite&gt;&lt;/EndNote&gt;</w:instrText>
      </w:r>
      <w:r w:rsidRPr="00F72D54">
        <w:fldChar w:fldCharType="separate"/>
      </w:r>
      <w:r w:rsidRPr="00F72D54">
        <w:rPr>
          <w:noProof/>
        </w:rPr>
        <w:t>Baxter (2011)</w:t>
      </w:r>
      <w:r w:rsidRPr="00F72D54">
        <w:fldChar w:fldCharType="end"/>
      </w:r>
      <w:r w:rsidRPr="00F72D54">
        <w:rPr>
          <w:lang w:val="en-US"/>
        </w:rPr>
        <w:t xml:space="preserve"> </w:t>
      </w:r>
      <w:r w:rsidRPr="00F72D54">
        <w:rPr>
          <w:lang w:val="en-US"/>
        </w:rPr>
        <w:lastRenderedPageBreak/>
        <w:t>proposed four features</w:t>
      </w:r>
      <w:r w:rsidRPr="00F72D54">
        <w:t xml:space="preserve"> of utterance chains </w:t>
      </w:r>
      <w:r w:rsidRPr="00F72D54">
        <w:rPr>
          <w:lang w:val="en-US"/>
        </w:rPr>
        <w:t>that manifest the discursive</w:t>
      </w:r>
      <w:r w:rsidRPr="00F72D54">
        <w:t xml:space="preserve"> synchronic interplay, conceptualized as dimensions: </w:t>
      </w:r>
      <w:r w:rsidRPr="00F72D54">
        <w:rPr>
          <w:i/>
          <w:iCs/>
        </w:rPr>
        <w:t>antagonistic-nonantagonistic struggle</w:t>
      </w:r>
      <w:r w:rsidRPr="00F72D54">
        <w:t>,</w:t>
      </w:r>
      <w:r w:rsidRPr="00F72D54">
        <w:rPr>
          <w:i/>
          <w:iCs/>
        </w:rPr>
        <w:t xml:space="preserve"> direct-indirect struggle</w:t>
      </w:r>
      <w:r w:rsidRPr="00F72D54">
        <w:t xml:space="preserve">, </w:t>
      </w:r>
      <w:r w:rsidRPr="00F72D54">
        <w:rPr>
          <w:i/>
          <w:iCs/>
        </w:rPr>
        <w:t>serious-playful struggle</w:t>
      </w:r>
      <w:r w:rsidRPr="00F72D54">
        <w:t>, and</w:t>
      </w:r>
      <w:r w:rsidRPr="00F72D54">
        <w:rPr>
          <w:i/>
          <w:iCs/>
        </w:rPr>
        <w:t xml:space="preserve"> polemical-transformative struggle</w:t>
      </w:r>
      <w:r w:rsidRPr="00F72D54">
        <w:t>.</w:t>
      </w:r>
      <w:r w:rsidRPr="00F72D54">
        <w:rPr>
          <w:lang w:val="en-US"/>
        </w:rPr>
        <w:t xml:space="preserve"> Additionally, although negating, countering, and entertaining are suggested to identify discursive synchronic interplay </w:t>
      </w:r>
      <w:r w:rsidRPr="00F72D54">
        <w:rPr>
          <w:lang w:val="en-US"/>
        </w:rPr>
        <w:fldChar w:fldCharType="begin"/>
      </w:r>
      <w:r w:rsidRPr="00F72D54">
        <w:rPr>
          <w:lang w:val="en-US"/>
        </w:rPr>
        <w:instrText xml:space="preserve"> ADDIN EN.CITE &lt;EndNote&gt;&lt;Cite&gt;&lt;Author&gt;Baxter&lt;/Author&gt;&lt;Year&gt;2011&lt;/Year&gt;&lt;RecNum&gt;1633&lt;/RecNum&gt;&lt;DisplayText&gt;(Baxter, 2011; Scharp &amp;amp; Thomas, 2021)&lt;/DisplayText&gt;&lt;record&gt;&lt;rec-number&gt;1633&lt;/rec-number&gt;&lt;foreign-keys&gt;&lt;key app="EN" db-id="2pe9e00ros0veneeptspa5vhz0pw2az52v20" timestamp="1651286064" guid="faff47c4-c762-4121-b9c8-9978bd77054b"&gt;1633&lt;/key&gt;&lt;/foreign-keys&gt;&lt;ref-type name="Book"&gt;6&lt;/ref-type&gt;&lt;contributors&gt;&lt;authors&gt;&lt;author&gt;Baxter, Leslie A.&lt;/author&gt;&lt;/authors&gt;&lt;/contributors&gt;&lt;titles&gt;&lt;title&gt;Voicing relationships: a dialogic perspective&lt;/title&gt;&lt;/titles&gt;&lt;keywords&gt;&lt;keyword&gt;Bakhtin, M. M. (Mikhail Mikhaĭlovich), 1895-1975&lt;/keyword&gt;&lt;keyword&gt;Interpersonal relations&lt;/keyword&gt;&lt;keyword&gt;Dialogue analysis&lt;/keyword&gt;&lt;/keywords&gt;&lt;dates&gt;&lt;year&gt;2011&lt;/year&gt;&lt;/dates&gt;&lt;pub-location&gt;Thousand Oaks, Calif.&lt;/pub-location&gt;&lt;publisher&gt;SAGE Publications, Inc&lt;/publisher&gt;&lt;urls&gt;&lt;/urls&gt;&lt;/record&gt;&lt;/Cite&gt;&lt;Cite&gt;&lt;Author&gt;Scharp&lt;/Author&gt;&lt;Year&gt;2021&lt;/Year&gt;&lt;RecNum&gt;1634&lt;/RecNum&gt;&lt;record&gt;&lt;rec-number&gt;1634&lt;/rec-number&gt;&lt;foreign-keys&gt;&lt;key app="EN" db-id="2pe9e00ros0veneeptspa5vhz0pw2az52v20" timestamp="1651289025" guid="68212de8-4dae-465f-83b6-5b0d5d1347a7"&gt;1634&lt;/key&gt;&lt;/foreign-keys&gt;&lt;ref-type name="Book Section"&gt;5&lt;/ref-type&gt;&lt;contributors&gt;&lt;authors&gt;&lt;author&gt;Scharp, Kristina M&lt;/author&gt;&lt;author&gt;Thomas, Lindsey J&lt;/author&gt;&lt;/authors&gt;&lt;secondary-authors&gt;&lt;author&gt;Braithwaite, Dawn O&lt;/author&gt;&lt;author&gt;Paul Schrodt&lt;/author&gt;&lt;/secondary-authors&gt;&lt;/contributors&gt;&lt;titles&gt;&lt;title&gt;Relational dialectics theory: A dialogic theory of meaning-making&lt;/title&gt;&lt;secondary-title&gt;Engaging Theories in Interpersonal Communication&lt;/secondary-title&gt;&lt;/titles&gt;&lt;pages&gt;194-205&lt;/pages&gt;&lt;dates&gt;&lt;year&gt;2021&lt;/year&gt;&lt;/dates&gt;&lt;publisher&gt;Routledge&lt;/publisher&gt;&lt;isbn&gt;1003195512&lt;/isbn&gt;&lt;urls&gt;&lt;/urls&gt;&lt;/record&gt;&lt;/Cite&gt;&lt;/EndNote&gt;</w:instrText>
      </w:r>
      <w:r w:rsidRPr="00F72D54">
        <w:rPr>
          <w:lang w:val="en-US"/>
        </w:rPr>
        <w:fldChar w:fldCharType="separate"/>
      </w:r>
      <w:r w:rsidRPr="00F72D54">
        <w:rPr>
          <w:noProof/>
          <w:lang w:val="en-US"/>
        </w:rPr>
        <w:t>(Baxter, 2011; Scharp &amp; Thomas, 2021)</w:t>
      </w:r>
      <w:r w:rsidRPr="00F72D54">
        <w:rPr>
          <w:lang w:val="en-US"/>
        </w:rPr>
        <w:fldChar w:fldCharType="end"/>
      </w:r>
      <w:r w:rsidRPr="00F72D54">
        <w:rPr>
          <w:lang w:val="en-US"/>
        </w:rPr>
        <w:t xml:space="preserve">, these three discursive markers are general and are not explicitly aligned with the four features of utterance chains, so researchers usually encounter an internal uncertainty when they claim to identify synchronic interplay by just having a guideline of the three discursive markers. This dissertation attempts to resolve this issue by aligning the discursive markers with four features of utterance chains. The alignment gives an additional guideline to make researchers confident in identifying discursive synchronic interplay other than having the guideline of the three discursive markers. </w:t>
      </w:r>
    </w:p>
    <w:p w14:paraId="39E21B42" w14:textId="77777777" w:rsidR="00256B3D" w:rsidRPr="00F72D54" w:rsidRDefault="00256B3D" w:rsidP="00256B3D">
      <w:pPr>
        <w:pStyle w:val="BodyText"/>
        <w:rPr>
          <w:lang w:val="en-US" w:eastAsia="zh-CN"/>
        </w:rPr>
      </w:pPr>
      <w:r w:rsidRPr="00F72D54">
        <w:rPr>
          <w:lang w:val="en-US"/>
        </w:rPr>
        <w:t xml:space="preserve"> More specifically, the dissertation argues that </w:t>
      </w:r>
      <w:r w:rsidRPr="00F72D54">
        <w:rPr>
          <w:i/>
          <w:iCs/>
          <w:lang w:val="en-US"/>
        </w:rPr>
        <w:t>negating</w:t>
      </w:r>
      <w:r w:rsidRPr="00F72D54">
        <w:rPr>
          <w:lang w:val="en-US"/>
        </w:rPr>
        <w:t xml:space="preserve"> and </w:t>
      </w:r>
      <w:r w:rsidRPr="00F72D54">
        <w:rPr>
          <w:i/>
          <w:iCs/>
          <w:lang w:val="en-US"/>
        </w:rPr>
        <w:t xml:space="preserve">countering </w:t>
      </w:r>
      <w:r w:rsidRPr="00F72D54">
        <w:rPr>
          <w:lang w:val="en-US"/>
        </w:rPr>
        <w:t xml:space="preserve">occur in utterances with a feature of the antagonistic-nonantagonistic struggle, which describes two speakers aligning with different discursive positions in one utterance. </w:t>
      </w:r>
      <w:r w:rsidRPr="00F72D54">
        <w:rPr>
          <w:i/>
          <w:iCs/>
          <w:lang w:val="en-US"/>
        </w:rPr>
        <w:t xml:space="preserve">Negating </w:t>
      </w:r>
      <w:r w:rsidRPr="00F72D54">
        <w:rPr>
          <w:lang w:val="en-US"/>
        </w:rPr>
        <w:t>is a disclaiming that one speaker applies to reject the other speaker’s discursive position. Concretely, funeral directors negate the discourse of commerce by rejecting clients’ discursive positions related to commerce and correcting clients’ misunderstandings. For example, a funeral director denied families’ beliefs of commerce, “they think that we are sharks and try to get every penny from them. We are not. We do not make a lot of money. We are not all about the money.” Negating challenges clients’ assumptions and forces clients to receive new messages and discursive positions about funeral planning.</w:t>
      </w:r>
      <w:r w:rsidRPr="00F72D54">
        <w:rPr>
          <w:lang w:val="en-US" w:eastAsia="zh-CN"/>
        </w:rPr>
        <w:t xml:space="preserve"> </w:t>
      </w:r>
      <w:r w:rsidRPr="00F72D54">
        <w:rPr>
          <w:i/>
          <w:iCs/>
          <w:lang w:val="en-US"/>
        </w:rPr>
        <w:t>Countering</w:t>
      </w:r>
      <w:r w:rsidRPr="00F72D54">
        <w:rPr>
          <w:lang w:val="en-US"/>
        </w:rPr>
        <w:t xml:space="preserve"> is a disclaiming that one speaker applies to supplant the other speaker’s discursive position with an alternative discursive position. Funeral directors supplant the discourse of commerce with the discourse of care by including conjunctions and </w:t>
      </w:r>
      <w:r w:rsidRPr="00F72D54">
        <w:rPr>
          <w:lang w:val="en-US"/>
        </w:rPr>
        <w:lastRenderedPageBreak/>
        <w:t xml:space="preserve">connectives in utterances (e.g., </w:t>
      </w:r>
      <w:r w:rsidRPr="00F72D54">
        <w:rPr>
          <w:rFonts w:eastAsia="Times"/>
          <w:color w:val="000000" w:themeColor="text1"/>
        </w:rPr>
        <w:t xml:space="preserve">however, </w:t>
      </w:r>
      <w:proofErr w:type="gramStart"/>
      <w:r w:rsidRPr="00F72D54">
        <w:rPr>
          <w:rFonts w:eastAsia="Times"/>
          <w:color w:val="000000" w:themeColor="text1"/>
        </w:rPr>
        <w:t>but</w:t>
      </w:r>
      <w:r w:rsidRPr="00F72D54">
        <w:rPr>
          <w:rFonts w:eastAsia="Times"/>
          <w:color w:val="000000" w:themeColor="text1"/>
          <w:lang w:val="en-US"/>
        </w:rPr>
        <w:t>,</w:t>
      </w:r>
      <w:proofErr w:type="gramEnd"/>
      <w:r w:rsidRPr="00F72D54">
        <w:rPr>
          <w:rFonts w:eastAsia="Times"/>
          <w:color w:val="000000" w:themeColor="text1"/>
          <w:lang w:val="en-US"/>
        </w:rPr>
        <w:t xml:space="preserve"> </w:t>
      </w:r>
      <w:r w:rsidRPr="00F72D54">
        <w:rPr>
          <w:rFonts w:eastAsia="Times"/>
          <w:color w:val="000000" w:themeColor="text1"/>
        </w:rPr>
        <w:t>yet, nevertheless</w:t>
      </w:r>
      <w:r w:rsidRPr="00F72D54">
        <w:rPr>
          <w:rFonts w:eastAsia="Times"/>
          <w:color w:val="000000" w:themeColor="text1"/>
          <w:lang w:val="en-US"/>
        </w:rPr>
        <w:t xml:space="preserve">, </w:t>
      </w:r>
      <w:r w:rsidRPr="00F72D54">
        <w:rPr>
          <w:rFonts w:eastAsia="Times"/>
          <w:color w:val="000000" w:themeColor="text1"/>
        </w:rPr>
        <w:t>even, only, just, still</w:t>
      </w:r>
      <w:r w:rsidRPr="00F72D54">
        <w:rPr>
          <w:rFonts w:eastAsia="Times"/>
          <w:color w:val="000000" w:themeColor="text1"/>
          <w:lang w:val="en-US"/>
        </w:rPr>
        <w:t>, and so on</w:t>
      </w:r>
      <w:r w:rsidRPr="00F72D54">
        <w:rPr>
          <w:lang w:val="en-US"/>
        </w:rPr>
        <w:t>) and emphasizing the caring nature of funeral services (e.g., a funeral director clearly states that, “we are here to help people.”). Countering directs clients to an alternative discursive position so that clients will develop their past assumptions into new assumptions on funeral planning.</w:t>
      </w:r>
    </w:p>
    <w:p w14:paraId="323C9296" w14:textId="77777777" w:rsidR="00256B3D" w:rsidRPr="00F72D54" w:rsidRDefault="00256B3D" w:rsidP="00256B3D">
      <w:pPr>
        <w:pStyle w:val="BodyText"/>
        <w:rPr>
          <w:lang w:val="en-US"/>
        </w:rPr>
      </w:pPr>
      <w:r w:rsidRPr="00F72D54">
        <w:rPr>
          <w:lang w:val="en-US"/>
        </w:rPr>
        <w:t>This dissertation introduces</w:t>
      </w:r>
      <w:r w:rsidRPr="00F72D54">
        <w:rPr>
          <w:i/>
          <w:iCs/>
          <w:lang w:val="en-US"/>
        </w:rPr>
        <w:t xml:space="preserve"> ambiguating</w:t>
      </w:r>
      <w:r w:rsidRPr="00F72D54">
        <w:rPr>
          <w:lang w:val="en-US"/>
        </w:rPr>
        <w:t xml:space="preserve"> as a new form of synchronic interplay. The dissertation argues that ambiguating occurs in utterances with a feature of the direct-indirect struggle, which describes </w:t>
      </w:r>
      <w:r w:rsidRPr="00F72D54">
        <w:t>the ambiguous level of an utterance situated in a binary continuum of directness-indirectness.</w:t>
      </w:r>
      <w:r w:rsidRPr="00F72D54">
        <w:rPr>
          <w:lang w:val="en-US"/>
        </w:rPr>
        <w:t xml:space="preserve"> </w:t>
      </w:r>
      <w:r w:rsidRPr="00F72D54">
        <w:rPr>
          <w:i/>
          <w:iCs/>
          <w:lang w:val="en-US"/>
        </w:rPr>
        <w:t>Ambiguating</w:t>
      </w:r>
      <w:r w:rsidRPr="00F72D54">
        <w:rPr>
          <w:lang w:val="en-US"/>
        </w:rPr>
        <w:t xml:space="preserve"> is a linguistic strategy by which a speaker makes utterances in an unclear style. Concretely, funeral directors ambiguate their responses to enhance the discourse of care by using vagueness (e.g., funeral service is an ambiguous term to represent funeral business), utilizing modifiers in utterances (e.g., sometimes, occasionally, often), and providing additional options beyond commerce (e.g., instead of paying the full in advance, 50% required payment and monthly payment in the second half). Corresponding to</w:t>
      </w:r>
      <w:r w:rsidRPr="00F72D54">
        <w:rPr>
          <w:lang w:val="en-US" w:eastAsia="zh-CN"/>
        </w:rPr>
        <w:t xml:space="preserve"> </w:t>
      </w:r>
      <w:r w:rsidRPr="00F72D54">
        <w:rPr>
          <w:lang w:val="en-US"/>
        </w:rPr>
        <w:t xml:space="preserve">functions of strategic ambiguity, which promote unified diversity, facilitate organizational change, amplify existing source attributions, and preserve privileged positions </w:t>
      </w:r>
      <w:r w:rsidRPr="00F72D54">
        <w:fldChar w:fldCharType="begin"/>
      </w:r>
      <w:r w:rsidRPr="00F72D54">
        <w:instrText xml:space="preserve"> ADDIN EN.CITE &lt;EndNote&gt;&lt;Cite&gt;&lt;Author&gt;Eisenberg&lt;/Author&gt;&lt;Year&gt;1984&lt;/Year&gt;&lt;RecNum&gt;2202&lt;/RecNum&gt;&lt;DisplayText&gt;(Eisenberg, 1984)&lt;/DisplayText&gt;&lt;record&gt;&lt;rec-number&gt;2202&lt;/rec-number&gt;&lt;foreign-keys&gt;&lt;key app="EN" db-id="2pe9e00ros0veneeptspa5vhz0pw2az52v20" timestamp="1698553610" guid="4d96163b-d541-46c3-8d7d-e5b6c4b22ca2"&gt;2202&lt;/key&gt;&lt;/foreign-keys&gt;&lt;ref-type name="Journal Article"&gt;17&lt;/ref-type&gt;&lt;contributors&gt;&lt;authors&gt;&lt;author&gt;Eisenberg, Eric M.&lt;/author&gt;&lt;/authors&gt;&lt;/contributors&gt;&lt;titles&gt;&lt;title&gt;Ambiguity as strategy in organizational communication&lt;/title&gt;&lt;secondary-title&gt;Communication Monographs&lt;/secondary-title&gt;&lt;/titles&gt;&lt;periodical&gt;&lt;full-title&gt;Communication Monographs&lt;/full-title&gt;&lt;/periodical&gt;&lt;pages&gt;227-242&lt;/pages&gt;&lt;volume&gt;51&lt;/volume&gt;&lt;number&gt;3&lt;/number&gt;&lt;dates&gt;&lt;year&gt;1984&lt;/year&gt;&lt;/dates&gt;&lt;publisher&gt;Routledge&lt;/publisher&gt;&lt;isbn&gt;0363-7751&lt;/isbn&gt;&lt;urls&gt;&lt;related-urls&gt;&lt;url&gt;https://doi.org/10.1080/03637758409390197&lt;/url&gt;&lt;/related-urls&gt;&lt;/urls&gt;&lt;electronic-resource-num&gt;10.1080/03637758409390197&lt;/electronic-resource-num&gt;&lt;/record&gt;&lt;/Cite&gt;&lt;/EndNote&gt;</w:instrText>
      </w:r>
      <w:r w:rsidRPr="00F72D54">
        <w:fldChar w:fldCharType="separate"/>
      </w:r>
      <w:r w:rsidRPr="00F72D54">
        <w:rPr>
          <w:noProof/>
        </w:rPr>
        <w:t>(Eisenberg, 1984)</w:t>
      </w:r>
      <w:r w:rsidRPr="00F72D54">
        <w:fldChar w:fldCharType="end"/>
      </w:r>
      <w:r w:rsidRPr="00F72D54">
        <w:rPr>
          <w:lang w:val="en-US"/>
        </w:rPr>
        <w:t xml:space="preserve">, </w:t>
      </w:r>
      <w:r w:rsidRPr="00F72D54">
        <w:rPr>
          <w:i/>
          <w:iCs/>
          <w:lang w:val="en-US"/>
        </w:rPr>
        <w:t>ambiguating</w:t>
      </w:r>
      <w:r w:rsidRPr="00F72D54">
        <w:rPr>
          <w:lang w:val="en-US"/>
        </w:rPr>
        <w:t xml:space="preserve"> represents synchronic interplay because it </w:t>
      </w:r>
      <w:r w:rsidRPr="00F72D54">
        <w:t xml:space="preserve">allows multiple interpretations to exist </w:t>
      </w:r>
      <w:r w:rsidRPr="00F72D54">
        <w:rPr>
          <w:lang w:val="en-US"/>
        </w:rPr>
        <w:t xml:space="preserve">and cultivates different interpretations to grow </w:t>
      </w:r>
      <w:r w:rsidRPr="00F72D54">
        <w:t>among people who attend to the same message</w:t>
      </w:r>
      <w:r w:rsidRPr="00F72D54">
        <w:rPr>
          <w:lang w:val="en-US"/>
        </w:rPr>
        <w:t xml:space="preserve">. </w:t>
      </w:r>
    </w:p>
    <w:p w14:paraId="58D055A3" w14:textId="77777777" w:rsidR="00256B3D" w:rsidRPr="00F72D54" w:rsidRDefault="00256B3D" w:rsidP="00256B3D">
      <w:pPr>
        <w:pStyle w:val="BodyText"/>
        <w:tabs>
          <w:tab w:val="clear" w:pos="8640"/>
          <w:tab w:val="left" w:pos="1160"/>
        </w:tabs>
        <w:rPr>
          <w:lang w:val="en-US"/>
        </w:rPr>
      </w:pPr>
      <w:r w:rsidRPr="00F72D54">
        <w:rPr>
          <w:lang w:val="en-US"/>
        </w:rPr>
        <w:t>The dissertation also argues that</w:t>
      </w:r>
      <w:r w:rsidRPr="00F72D54">
        <w:rPr>
          <w:i/>
          <w:iCs/>
          <w:lang w:val="en-US"/>
        </w:rPr>
        <w:t xml:space="preserve"> entertaining </w:t>
      </w:r>
      <w:r w:rsidRPr="00F72D54">
        <w:rPr>
          <w:lang w:val="en-US"/>
        </w:rPr>
        <w:t xml:space="preserve">occurs in utterances with a feature of the serious-playful struggle, which draws attention to the tone of an utterance. </w:t>
      </w:r>
      <w:r w:rsidRPr="00F72D54">
        <w:rPr>
          <w:rFonts w:eastAsia="Times"/>
          <w:i/>
          <w:iCs/>
          <w:color w:val="000000" w:themeColor="text1"/>
        </w:rPr>
        <w:t>Entertaining</w:t>
      </w:r>
      <w:r w:rsidRPr="00F72D54">
        <w:rPr>
          <w:rFonts w:eastAsia="Times"/>
          <w:color w:val="000000" w:themeColor="text1"/>
        </w:rPr>
        <w:t xml:space="preserve"> </w:t>
      </w:r>
      <w:r w:rsidRPr="00F72D54">
        <w:rPr>
          <w:rFonts w:eastAsia="Times"/>
          <w:color w:val="000000" w:themeColor="text1"/>
          <w:lang w:val="en-US"/>
        </w:rPr>
        <w:t xml:space="preserve">is a linguistic strategy that integrates alternative discursive positions into utterances. Specifically, </w:t>
      </w:r>
      <w:r w:rsidRPr="00F72D54">
        <w:rPr>
          <w:lang w:val="en-US"/>
        </w:rPr>
        <w:t>funeral directors entertain funeral planning conversations by applying the playful devices of</w:t>
      </w:r>
      <w:r w:rsidRPr="00F72D54">
        <w:t xml:space="preserve"> </w:t>
      </w:r>
      <w:r w:rsidRPr="00F72D54">
        <w:rPr>
          <w:i/>
          <w:iCs/>
          <w:lang w:val="en-US"/>
        </w:rPr>
        <w:t>rogue, f</w:t>
      </w:r>
      <w:r w:rsidRPr="00F72D54">
        <w:rPr>
          <w:i/>
          <w:iCs/>
        </w:rPr>
        <w:t>ool</w:t>
      </w:r>
      <w:r w:rsidRPr="00F72D54">
        <w:t>, and</w:t>
      </w:r>
      <w:r w:rsidRPr="00F72D54">
        <w:rPr>
          <w:lang w:val="en-US"/>
        </w:rPr>
        <w:t xml:space="preserve"> </w:t>
      </w:r>
      <w:r w:rsidRPr="00F72D54">
        <w:rPr>
          <w:i/>
          <w:iCs/>
          <w:lang w:val="en-US"/>
        </w:rPr>
        <w:t>clown</w:t>
      </w:r>
      <w:r w:rsidRPr="00F72D54">
        <w:rPr>
          <w:lang w:val="en-US"/>
        </w:rPr>
        <w:t xml:space="preserve"> to acknowledge the discourse of care when the discourse of commerce is dominant. These playful devices arise alternative discursive positions into utterances because of </w:t>
      </w:r>
      <w:r w:rsidRPr="00F72D54">
        <w:rPr>
          <w:lang w:val="en-US"/>
        </w:rPr>
        <w:lastRenderedPageBreak/>
        <w:t>humorous communication, which functions to</w:t>
      </w:r>
      <w:r w:rsidRPr="00F72D54">
        <w:t xml:space="preserve"> </w:t>
      </w:r>
      <w:r w:rsidRPr="00F72D54">
        <w:rPr>
          <w:lang w:val="en-US"/>
        </w:rPr>
        <w:t xml:space="preserve">increase group cohesion and cope with stress </w:t>
      </w:r>
      <w:r w:rsidRPr="00F72D54">
        <w:rPr>
          <w:lang w:val="en-US"/>
        </w:rPr>
        <w:fldChar w:fldCharType="begin">
          <w:fldData xml:space="preserve">PEVuZE5vdGU+PENpdGU+PEF1dGhvcj5NdWxrYXk8L0F1dGhvcj48WWVhcj4xOTg4PC9ZZWFyPjxS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==
</w:fldData>
        </w:fldChar>
      </w:r>
      <w:r>
        <w:rPr>
          <w:lang w:val="en-US"/>
        </w:rPr>
        <w:instrText xml:space="preserve"> ADDIN EN.CITE </w:instrText>
      </w:r>
      <w:r>
        <w:rPr>
          <w:lang w:val="en-US"/>
        </w:rPr>
        <w:fldChar w:fldCharType="begin">
          <w:fldData xml:space="preserve">PEVuZE5vdGU+PENpdGU+PEF1dGhvcj5NdWxrYXk8L0F1dGhvcj48WWVhcj4xOTg4PC9ZZWFyPjxS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==
</w:fldData>
        </w:fldChar>
      </w:r>
      <w:r>
        <w:rPr>
          <w:lang w:val="en-US"/>
        </w:rPr>
        <w:instrText xml:space="preserve"> ADDIN EN.CITE.DATA </w:instrText>
      </w:r>
      <w:r>
        <w:rPr>
          <w:lang w:val="en-US"/>
        </w:rPr>
      </w:r>
      <w:r>
        <w:rPr>
          <w:lang w:val="en-US"/>
        </w:rPr>
        <w:fldChar w:fldCharType="end"/>
      </w:r>
      <w:r w:rsidRPr="00F72D54">
        <w:rPr>
          <w:lang w:val="en-US"/>
        </w:rPr>
      </w:r>
      <w:r w:rsidRPr="00F72D54">
        <w:rPr>
          <w:lang w:val="en-US"/>
        </w:rPr>
        <w:fldChar w:fldCharType="separate"/>
      </w:r>
      <w:r>
        <w:rPr>
          <w:noProof/>
          <w:lang w:val="en-US"/>
        </w:rPr>
        <w:t>(e.g., Banas et al., 2011; Booth-Butterfield et al., 2007; Mulkay, 1988)</w:t>
      </w:r>
      <w:r w:rsidRPr="00F72D54">
        <w:rPr>
          <w:lang w:val="en-US"/>
        </w:rPr>
        <w:fldChar w:fldCharType="end"/>
      </w:r>
      <w:r w:rsidRPr="00F72D54">
        <w:rPr>
          <w:lang w:val="en-US"/>
        </w:rPr>
        <w:t xml:space="preserve">. Humorous communication can also promote resource-building social play </w:t>
      </w:r>
      <w:r w:rsidRPr="00F72D54">
        <w:rPr>
          <w:lang w:val="en-US"/>
        </w:rPr>
        <w:fldChar w:fldCharType="begin"/>
      </w:r>
      <w:r w:rsidRPr="00F72D54">
        <w:rPr>
          <w:lang w:val="en-US"/>
        </w:rPr>
        <w:instrText xml:space="preserve"> ADDIN EN.CITE &lt;EndNote&gt;&lt;Cite&gt;&lt;Author&gt;Gervais&lt;/Author&gt;&lt;Year&gt;2005&lt;/Year&gt;&lt;RecNum&gt;2299&lt;/RecNum&gt;&lt;DisplayText&gt;(Gervais &amp;amp; Wilson, 2005)&lt;/DisplayText&gt;&lt;record&gt;&lt;rec-number&gt;2299&lt;/rec-number&gt;&lt;foreign-keys&gt;&lt;key app="EN" db-id="2pe9e00ros0veneeptspa5vhz0pw2az52v20" timestamp="1710644239" guid="d023c583-7920-40e0-90b6-e82429a03cab"&gt;2299&lt;/key&gt;&lt;/foreign-keys&gt;&lt;ref-type name="Journal Article"&gt;17&lt;/ref-type&gt;&lt;contributors&gt;&lt;authors&gt;&lt;author&gt;Gervais, Matthew &lt;/author&gt;&lt;author&gt;Wilson, D. S.&lt;/author&gt;&lt;/authors&gt;&lt;/contributors&gt;&lt;titles&gt;&lt;title&gt;The evolution and functions of laughter and humor: A synthetic approach&lt;/title&gt;&lt;secondary-title&gt;The Quarterly Review of Biology&lt;/secondary-title&gt;&lt;/titles&gt;&lt;periodical&gt;&lt;full-title&gt;The Quarterly Review of Biology&lt;/full-title&gt;&lt;/periodical&gt;&lt;pages&gt;395-430&lt;/pages&gt;&lt;volume&gt;80&lt;/volume&gt;&lt;number&gt;4&lt;/number&gt;&lt;keywords&gt;&lt;keyword&gt;laughter,,humor,,emotional expression,,nonverbal communication,,contagion,,mirror neurons,,SMA,,theory of mind,,language,,play,,joy,,multi‐level selection,,social neuroscience,,positive psychology,,evolutionary psychology,,Duchenne,,coordination&lt;/keyword&gt;&lt;/keywords&gt;&lt;dates&gt;&lt;year&gt;2005&lt;/year&gt;&lt;/dates&gt;&lt;accession-num&gt;16519138&lt;/accession-num&gt;&lt;urls&gt;&lt;related-urls&gt;&lt;url&gt;https://www.journals.uchicago.edu/doi/abs/10.1086/498281&lt;/url&gt;&lt;/related-urls&gt;&lt;/urls&gt;&lt;electronic-resource-num&gt;10.1086/498281&lt;/electronic-resource-num&gt;&lt;/record&gt;&lt;/Cite&gt;&lt;/EndNote&gt;</w:instrText>
      </w:r>
      <w:r w:rsidRPr="00F72D54">
        <w:rPr>
          <w:lang w:val="en-US"/>
        </w:rPr>
        <w:fldChar w:fldCharType="separate"/>
      </w:r>
      <w:r w:rsidRPr="00F72D54">
        <w:rPr>
          <w:noProof/>
          <w:lang w:val="en-US"/>
        </w:rPr>
        <w:t>(Gervais &amp; Wilson, 2005)</w:t>
      </w:r>
      <w:r w:rsidRPr="00F72D54">
        <w:rPr>
          <w:lang w:val="en-US"/>
        </w:rPr>
        <w:fldChar w:fldCharType="end"/>
      </w:r>
      <w:r w:rsidRPr="00F72D54">
        <w:rPr>
          <w:lang w:val="en-US"/>
        </w:rPr>
        <w:t xml:space="preserve">, which allows alternative discursive positions to exist. </w:t>
      </w:r>
    </w:p>
    <w:p w14:paraId="4B72438D" w14:textId="77777777" w:rsidR="00256B3D" w:rsidRPr="00F72D54" w:rsidRDefault="00256B3D" w:rsidP="00256B3D">
      <w:pPr>
        <w:pStyle w:val="BodyText"/>
        <w:tabs>
          <w:tab w:val="clear" w:pos="8640"/>
          <w:tab w:val="left" w:pos="3940"/>
        </w:tabs>
        <w:rPr>
          <w:lang w:val="en-US"/>
        </w:rPr>
      </w:pPr>
      <w:r w:rsidRPr="00F72D54">
        <w:rPr>
          <w:lang w:val="en-US"/>
        </w:rPr>
        <w:t>As such, this dissertation aligns the discursive synchronic markers, including negating, countering, ambiguating (a new marker proposed), and entertaining, with f</w:t>
      </w:r>
      <w:r w:rsidRPr="00F72D54">
        <w:t>our features of utterance chains</w:t>
      </w:r>
      <w:r w:rsidRPr="00F72D54">
        <w:rPr>
          <w:lang w:val="en-US"/>
        </w:rPr>
        <w:t xml:space="preserve">. The alignment gives an additional guideline to make researchers confident in identifying discursive synchronic interplay other than having the guideline of the three discursive markers. In other words, for RDT research in the future, to identify discursive synchronic interplay, researchers should analyze utterance chains by recognizing both discursive synchronic markers and features of utterance chains and then confirming discursive synchronic markers and features of utterance chains aligned. </w:t>
      </w:r>
    </w:p>
    <w:p w14:paraId="7996634B" w14:textId="77777777" w:rsidR="00256B3D" w:rsidRPr="00F72D54" w:rsidRDefault="00256B3D" w:rsidP="00256B3D">
      <w:pPr>
        <w:spacing w:line="480" w:lineRule="auto"/>
        <w:ind w:firstLine="720"/>
        <w:rPr>
          <w:rFonts w:ascii="Times New Roman" w:hAnsi="Times New Roman" w:cs="Times New Roman"/>
        </w:rPr>
      </w:pPr>
      <w:r w:rsidRPr="00F72D54">
        <w:rPr>
          <w:rFonts w:ascii="Times New Roman" w:hAnsi="Times New Roman" w:cs="Times New Roman"/>
          <w:b/>
          <w:bCs/>
        </w:rPr>
        <w:t>Control-Resistance dialectic</w:t>
      </w:r>
      <w:r w:rsidRPr="00F72D54">
        <w:rPr>
          <w:rFonts w:ascii="Times New Roman" w:hAnsi="Times New Roman" w:cs="Times New Roman"/>
        </w:rPr>
        <w:t xml:space="preserve">. This dissertation contributes to the control-resistance dialectic in organization studies </w:t>
      </w:r>
      <w:r w:rsidRPr="00F72D54">
        <w:rPr>
          <w:rFonts w:ascii="Times New Roman" w:hAnsi="Times New Roman" w:cs="Times New Roman"/>
        </w:rPr>
        <w:fldChar w:fldCharType="begin"/>
      </w:r>
      <w:r w:rsidRPr="00F72D54">
        <w:rPr>
          <w:rFonts w:ascii="Times New Roman" w:hAnsi="Times New Roman" w:cs="Times New Roman"/>
        </w:rPr>
        <w:instrText xml:space="preserve"> ADDIN EN.CITE &lt;EndNote&gt;&lt;Cite&gt;&lt;Author&gt;Mumby&lt;/Author&gt;&lt;Year&gt;2005&lt;/Year&gt;&lt;RecNum&gt;2287&lt;/RecNum&gt;&lt;Prefix&gt;e.g.`, &lt;/Prefix&gt;&lt;DisplayText&gt;(e.g., Mumby, 2005)&lt;/DisplayText&gt;&lt;record&gt;&lt;rec-number&gt;2287&lt;/rec-number&gt;&lt;foreign-keys&gt;&lt;key app="EN" db-id="2pe9e00ros0veneeptspa5vhz0pw2az52v20" timestamp="1709784889" guid="8b5596a4-bc6d-4344-af19-c70683b3ec46"&gt;2287&lt;/key&gt;&lt;/foreign-keys&gt;&lt;ref-type name="Journal Article"&gt;17&lt;/ref-type&gt;&lt;contributors&gt;&lt;authors&gt;&lt;author&gt;Mumby, Dennis K.&lt;/author&gt;&lt;/authors&gt;&lt;/contributors&gt;&lt;titles&gt;&lt;title&gt;Theorizing resistance in organization studies:A dialectical approach&lt;/title&gt;&lt;secondary-title&gt;Management Communication Quarterly&lt;/secondary-title&gt;&lt;/titles&gt;&lt;periodical&gt;&lt;full-title&gt;Management Communication Quarterly&lt;/full-title&gt;&lt;/periodical&gt;&lt;pages&gt;19-44&lt;/pages&gt;&lt;volume&gt;19&lt;/volume&gt;&lt;number&gt;1&lt;/number&gt;&lt;keywords&gt;&lt;keyword&gt;resistance,control,dialectics,discourse,Marxism,Foucault,poststructuralism&lt;/keyword&gt;&lt;/keywords&gt;&lt;dates&gt;&lt;year&gt;2005&lt;/year&gt;&lt;/dates&gt;&lt;urls&gt;&lt;related-urls&gt;&lt;url&gt;https://journals.sagepub.com/doi/abs/10.1177/0893318905276558&lt;/url&gt;&lt;/related-urls&gt;&lt;/urls&gt;&lt;electronic-resource-num&gt;10.1177/0893318905276558&lt;/electronic-resource-num&gt;&lt;/record&gt;&lt;/Cite&gt;&lt;/EndNote&gt;</w:instrText>
      </w:r>
      <w:r w:rsidRPr="00F72D54">
        <w:rPr>
          <w:rFonts w:ascii="Times New Roman" w:hAnsi="Times New Roman" w:cs="Times New Roman"/>
        </w:rPr>
        <w:fldChar w:fldCharType="separate"/>
      </w:r>
      <w:r w:rsidRPr="00F72D54">
        <w:rPr>
          <w:rFonts w:ascii="Times New Roman" w:hAnsi="Times New Roman" w:cs="Times New Roman"/>
          <w:noProof/>
        </w:rPr>
        <w:t>(e.g., Mumby, 2005)</w:t>
      </w:r>
      <w:r w:rsidRPr="00F72D54">
        <w:rPr>
          <w:rFonts w:ascii="Times New Roman" w:hAnsi="Times New Roman" w:cs="Times New Roman"/>
        </w:rPr>
        <w:fldChar w:fldCharType="end"/>
      </w:r>
      <w:r w:rsidRPr="00F72D54">
        <w:rPr>
          <w:rFonts w:ascii="Times New Roman" w:hAnsi="Times New Roman" w:cs="Times New Roman"/>
        </w:rPr>
        <w:t xml:space="preserve"> by providing empirical evidence of the commerce-care dialectic in funeral planning. </w:t>
      </w:r>
      <w:r w:rsidRPr="00F72D54">
        <w:rPr>
          <w:rFonts w:ascii="Times New Roman" w:hAnsi="Times New Roman" w:cs="Times New Roman"/>
        </w:rPr>
        <w:fldChar w:fldCharType="begin"/>
      </w:r>
      <w:r w:rsidRPr="00F72D54">
        <w:rPr>
          <w:rFonts w:ascii="Times New Roman" w:hAnsi="Times New Roman" w:cs="Times New Roman"/>
        </w:rPr>
        <w:instrText xml:space="preserve"> ADDIN EN.CITE &lt;EndNote&gt;&lt;Cite AuthorYear="1"&gt;&lt;Author&gt;Mumby&lt;/Author&gt;&lt;Year&gt;2005&lt;/Year&gt;&lt;RecNum&gt;2287&lt;/RecNum&gt;&lt;DisplayText&gt;Mumby (2005)&lt;/DisplayText&gt;&lt;record&gt;&lt;rec-number&gt;2287&lt;/rec-number&gt;&lt;foreign-keys&gt;&lt;key app="EN" db-id="2pe9e00ros0veneeptspa5vhz0pw2az52v20" timestamp="1709784889" guid="8b5596a4-bc6d-4344-af19-c70683b3ec46"&gt;2287&lt;/key&gt;&lt;/foreign-keys&gt;&lt;ref-type name="Journal Article"&gt;17&lt;/ref-type&gt;&lt;contributors&gt;&lt;authors&gt;&lt;author&gt;Mumby, Dennis K.&lt;/author&gt;&lt;/authors&gt;&lt;/contributors&gt;&lt;titles&gt;&lt;title&gt;Theorizing resistance in organization studies:A dialectical approach&lt;/title&gt;&lt;secondary-title&gt;Management Communication Quarterly&lt;/secondary-title&gt;&lt;/titles&gt;&lt;periodical&gt;&lt;full-title&gt;Management Communication Quarterly&lt;/full-title&gt;&lt;/periodical&gt;&lt;pages&gt;19-44&lt;/pages&gt;&lt;volume&gt;19&lt;/volume&gt;&lt;number&gt;1&lt;/number&gt;&lt;keywords&gt;&lt;keyword&gt;resistance,control,dialectics,discourse,Marxism,Foucault,poststructuralism&lt;/keyword&gt;&lt;/keywords&gt;&lt;dates&gt;&lt;year&gt;2005&lt;/year&gt;&lt;/dates&gt;&lt;urls&gt;&lt;related-urls&gt;&lt;url&gt;https://journals.sagepub.com/doi/abs/10.1177/0893318905276558&lt;/url&gt;&lt;/related-urls&gt;&lt;/urls&gt;&lt;electronic-resource-num&gt;10.1177/0893318905276558&lt;/electronic-resource-num&gt;&lt;/record&gt;&lt;/Cite&gt;&lt;/EndNote&gt;</w:instrText>
      </w:r>
      <w:r w:rsidRPr="00F72D54">
        <w:rPr>
          <w:rFonts w:ascii="Times New Roman" w:hAnsi="Times New Roman" w:cs="Times New Roman"/>
        </w:rPr>
        <w:fldChar w:fldCharType="separate"/>
      </w:r>
      <w:r w:rsidRPr="00F72D54">
        <w:rPr>
          <w:rFonts w:ascii="Times New Roman" w:hAnsi="Times New Roman" w:cs="Times New Roman"/>
          <w:noProof/>
        </w:rPr>
        <w:t>Mumby (2005)</w:t>
      </w:r>
      <w:r w:rsidRPr="00F72D54">
        <w:rPr>
          <w:rFonts w:ascii="Times New Roman" w:hAnsi="Times New Roman" w:cs="Times New Roman"/>
        </w:rPr>
        <w:fldChar w:fldCharType="end"/>
      </w:r>
      <w:r w:rsidRPr="00F72D54">
        <w:rPr>
          <w:rFonts w:ascii="Times New Roman" w:hAnsi="Times New Roman" w:cs="Times New Roman"/>
        </w:rPr>
        <w:t xml:space="preserve"> theorized the notion of control and resistance as “mutually constitutive, and as a routine social production of daily organizational life” (p. 20). The commerce-care dialectic in funeral planning, which is the struggle of coping with and adapting to death manifests in arranging funerals, perfectly represented Mumby’s theorizing by applying the dialectic approach. </w:t>
      </w:r>
    </w:p>
    <w:p w14:paraId="196C23BE" w14:textId="77777777" w:rsidR="00256B3D" w:rsidRDefault="00256B3D" w:rsidP="00256B3D">
      <w:pPr>
        <w:spacing w:line="480" w:lineRule="auto"/>
        <w:ind w:firstLine="720"/>
        <w:rPr>
          <w:rFonts w:ascii="Times New Roman" w:hAnsi="Times New Roman" w:cs="Times New Roman"/>
        </w:rPr>
      </w:pPr>
      <w:r>
        <w:rPr>
          <w:rFonts w:ascii="Times New Roman" w:hAnsi="Times New Roman" w:cs="Times New Roman"/>
        </w:rPr>
        <w:t>Specifically</w:t>
      </w:r>
      <w:r w:rsidRPr="00F72D54">
        <w:rPr>
          <w:rFonts w:ascii="Times New Roman" w:hAnsi="Times New Roman" w:cs="Times New Roman"/>
        </w:rPr>
        <w:t xml:space="preserve">, </w:t>
      </w:r>
      <w:r w:rsidRPr="00660AEF">
        <w:rPr>
          <w:rFonts w:ascii="Times New Roman" w:hAnsi="Times New Roman" w:cs="Times New Roman"/>
        </w:rPr>
        <w:t xml:space="preserve">findings identify the two meaning systems, the </w:t>
      </w:r>
      <w:r w:rsidRPr="00660AEF">
        <w:rPr>
          <w:rFonts w:ascii="Times New Roman" w:hAnsi="Times New Roman" w:cs="Times New Roman"/>
          <w:i/>
          <w:iCs/>
        </w:rPr>
        <w:t>discourse of commerce</w:t>
      </w:r>
      <w:r w:rsidRPr="00660AEF">
        <w:rPr>
          <w:rFonts w:ascii="Times New Roman" w:hAnsi="Times New Roman" w:cs="Times New Roman"/>
        </w:rPr>
        <w:t xml:space="preserve"> and </w:t>
      </w:r>
      <w:r w:rsidRPr="00660AEF">
        <w:rPr>
          <w:rFonts w:ascii="Times New Roman" w:hAnsi="Times New Roman" w:cs="Times New Roman"/>
          <w:i/>
          <w:iCs/>
        </w:rPr>
        <w:t>the discourse of care</w:t>
      </w:r>
      <w:r w:rsidRPr="00660AEF">
        <w:rPr>
          <w:rFonts w:ascii="Times New Roman" w:hAnsi="Times New Roman" w:cs="Times New Roman"/>
        </w:rPr>
        <w:t xml:space="preserve">, in which people make meaning of the commerce-care dialectic in funeral planning. Three assertions explain the discourse of commerce, including that commodification is necessary, commercialization is encouraged, and corporatization is reinforced. These assertions </w:t>
      </w:r>
      <w:r w:rsidRPr="00660AEF">
        <w:rPr>
          <w:rFonts w:ascii="Times New Roman" w:hAnsi="Times New Roman" w:cs="Times New Roman"/>
        </w:rPr>
        <w:lastRenderedPageBreak/>
        <w:t xml:space="preserve">reflect that funeral homes are involved in the capitalist system and adopt the core values of liberal market competition. In other words, the discourse of commerce reflects capitalism control, which reproduces and reinforces the capitalist system of contemporary US society. Moreover, three assertions explain the discourse of care, including that compassion is natural, support is socialized, and sacredness is existential. These three assertions reflect </w:t>
      </w:r>
      <w:r>
        <w:rPr>
          <w:rFonts w:ascii="Times New Roman" w:hAnsi="Times New Roman" w:cs="Times New Roman"/>
        </w:rPr>
        <w:t xml:space="preserve">that funeral directors </w:t>
      </w:r>
      <w:r w:rsidRPr="00C10E7E">
        <w:rPr>
          <w:rFonts w:ascii="Times New Roman" w:hAnsi="Times New Roman" w:cs="Times New Roman"/>
        </w:rPr>
        <w:t>demonstrate consistent respect for humanity, particularly concerning compassion, support, and sacredness while working in funeral service.</w:t>
      </w:r>
      <w:r>
        <w:rPr>
          <w:rFonts w:ascii="Times New Roman" w:hAnsi="Times New Roman" w:cs="Times New Roman"/>
        </w:rPr>
        <w:t xml:space="preserve"> In other words, the discourse of care reflects </w:t>
      </w:r>
      <w:r w:rsidRPr="00660AEF">
        <w:rPr>
          <w:rFonts w:ascii="Times New Roman" w:hAnsi="Times New Roman" w:cs="Times New Roman"/>
        </w:rPr>
        <w:t>the resistance of humanity, which confronts and deflects the capitalist system.</w:t>
      </w:r>
    </w:p>
    <w:p w14:paraId="64A3EE49" w14:textId="77777777" w:rsidR="00256B3D" w:rsidRDefault="00256B3D" w:rsidP="00256B3D">
      <w:pPr>
        <w:spacing w:line="480" w:lineRule="auto"/>
        <w:ind w:firstLine="720"/>
        <w:rPr>
          <w:rFonts w:ascii="Times New Roman" w:hAnsi="Times New Roman" w:cs="Times New Roman"/>
        </w:rPr>
      </w:pPr>
      <w:r w:rsidRPr="00F72D54">
        <w:rPr>
          <w:rFonts w:ascii="Times New Roman" w:hAnsi="Times New Roman" w:cs="Times New Roman"/>
        </w:rPr>
        <w:t>Additionally, findings also identify discursive transformative interplay</w:t>
      </w:r>
      <w:r>
        <w:rPr>
          <w:rFonts w:ascii="Times New Roman" w:hAnsi="Times New Roman" w:cs="Times New Roman"/>
        </w:rPr>
        <w:t xml:space="preserve">: the </w:t>
      </w:r>
      <w:r w:rsidRPr="00F72D54">
        <w:rPr>
          <w:rFonts w:ascii="Times New Roman" w:hAnsi="Times New Roman" w:cs="Times New Roman"/>
          <w:i/>
          <w:iCs/>
        </w:rPr>
        <w:t>hybridization</w:t>
      </w:r>
      <w:r>
        <w:rPr>
          <w:rFonts w:ascii="Times New Roman" w:hAnsi="Times New Roman" w:cs="Times New Roman"/>
        </w:rPr>
        <w:t xml:space="preserve"> of the </w:t>
      </w:r>
      <w:r w:rsidRPr="00F72D54">
        <w:rPr>
          <w:rFonts w:ascii="Times New Roman" w:hAnsi="Times New Roman" w:cs="Times New Roman"/>
          <w:i/>
          <w:iCs/>
        </w:rPr>
        <w:t>discourse of commerce</w:t>
      </w:r>
      <w:r w:rsidRPr="00F72D54">
        <w:rPr>
          <w:rFonts w:ascii="Times New Roman" w:hAnsi="Times New Roman" w:cs="Times New Roman"/>
        </w:rPr>
        <w:t xml:space="preserve"> and the </w:t>
      </w:r>
      <w:r w:rsidRPr="00F72D54">
        <w:rPr>
          <w:rFonts w:ascii="Times New Roman" w:hAnsi="Times New Roman" w:cs="Times New Roman"/>
          <w:i/>
          <w:iCs/>
        </w:rPr>
        <w:t>discourse of care</w:t>
      </w:r>
      <w:r>
        <w:rPr>
          <w:rFonts w:ascii="Times New Roman" w:hAnsi="Times New Roman" w:cs="Times New Roman"/>
        </w:rPr>
        <w:t xml:space="preserve">, </w:t>
      </w:r>
      <w:r w:rsidRPr="00660AEF">
        <w:rPr>
          <w:rFonts w:ascii="Times New Roman" w:hAnsi="Times New Roman" w:cs="Times New Roman"/>
        </w:rPr>
        <w:t xml:space="preserve">where emergent </w:t>
      </w:r>
      <w:r w:rsidRPr="00F72D54">
        <w:rPr>
          <w:rFonts w:ascii="Times New Roman" w:hAnsi="Times New Roman" w:cs="Times New Roman"/>
        </w:rPr>
        <w:t>meanings reflect the mutual constitutive of the</w:t>
      </w:r>
      <w:r>
        <w:rPr>
          <w:rFonts w:ascii="Times New Roman" w:hAnsi="Times New Roman" w:cs="Times New Roman"/>
        </w:rPr>
        <w:t xml:space="preserve"> control and resistance. </w:t>
      </w:r>
      <w:r w:rsidRPr="00F72D54">
        <w:rPr>
          <w:rFonts w:ascii="Times New Roman" w:hAnsi="Times New Roman" w:cs="Times New Roman"/>
        </w:rPr>
        <w:t>Specifically, funeral directors hybridize the discourse of commerce and the discourse of care and commit the double nature of funeral services: commerce and care.</w:t>
      </w:r>
      <w:r>
        <w:rPr>
          <w:rFonts w:ascii="Times New Roman" w:hAnsi="Times New Roman" w:cs="Times New Roman"/>
        </w:rPr>
        <w:t xml:space="preserve"> This hybridization reflects that what appears to be the resistance of care as the control to professionals (e.g., </w:t>
      </w:r>
      <w:r w:rsidRPr="0061624A">
        <w:rPr>
          <w:rFonts w:ascii="Times New Roman" w:hAnsi="Times New Roman" w:cs="Times New Roman"/>
        </w:rPr>
        <w:t>funeral directors are socialized to provide social support because of the professionalism requirement</w:t>
      </w:r>
      <w:r>
        <w:rPr>
          <w:rFonts w:ascii="Times New Roman" w:hAnsi="Times New Roman" w:cs="Times New Roman"/>
        </w:rPr>
        <w:t xml:space="preserve">) and what appears to be the control of commerce as the resistance to professionals (e.g., </w:t>
      </w:r>
      <w:r w:rsidRPr="0061624A">
        <w:rPr>
          <w:rFonts w:ascii="Times New Roman" w:hAnsi="Times New Roman" w:cs="Times New Roman"/>
        </w:rPr>
        <w:t>funeral homes commercialize funeral services to enlarge profit by participating in community engagement</w:t>
      </w:r>
      <w:r>
        <w:rPr>
          <w:rFonts w:ascii="Times New Roman" w:hAnsi="Times New Roman" w:cs="Times New Roman"/>
        </w:rPr>
        <w:t xml:space="preserve">). </w:t>
      </w:r>
    </w:p>
    <w:p w14:paraId="7FF9648C" w14:textId="7D6767B8" w:rsidR="00256B3D" w:rsidRDefault="00256B3D" w:rsidP="00256B3D">
      <w:pPr>
        <w:spacing w:line="480" w:lineRule="auto"/>
        <w:ind w:firstLine="720"/>
        <w:rPr>
          <w:rFonts w:ascii="Times New Roman" w:hAnsi="Times New Roman" w:cs="Times New Roman"/>
        </w:rPr>
      </w:pPr>
      <w:r w:rsidRPr="00F72D54">
        <w:rPr>
          <w:rFonts w:ascii="Times New Roman" w:hAnsi="Times New Roman" w:cs="Times New Roman"/>
        </w:rPr>
        <w:t>Moreover, findings also identify discursive transformative interplay</w:t>
      </w:r>
      <w:r>
        <w:rPr>
          <w:rFonts w:ascii="Times New Roman" w:hAnsi="Times New Roman" w:cs="Times New Roman"/>
        </w:rPr>
        <w:t xml:space="preserve">: the </w:t>
      </w:r>
      <w:r w:rsidRPr="00C10E7E">
        <w:rPr>
          <w:rFonts w:ascii="Times New Roman" w:hAnsi="Times New Roman" w:cs="Times New Roman"/>
          <w:i/>
          <w:iCs/>
        </w:rPr>
        <w:t>aesthetic moment</w:t>
      </w:r>
      <w:r>
        <w:rPr>
          <w:rFonts w:ascii="Times New Roman" w:hAnsi="Times New Roman" w:cs="Times New Roman"/>
        </w:rPr>
        <w:t xml:space="preserve"> of</w:t>
      </w:r>
      <w:r w:rsidRPr="00C10E7E">
        <w:rPr>
          <w:rFonts w:ascii="Times New Roman" w:hAnsi="Times New Roman" w:cs="Times New Roman"/>
        </w:rPr>
        <w:t xml:space="preserve"> </w:t>
      </w:r>
      <w:r>
        <w:rPr>
          <w:rFonts w:ascii="Times New Roman" w:hAnsi="Times New Roman" w:cs="Times New Roman"/>
        </w:rPr>
        <w:t xml:space="preserve">the </w:t>
      </w:r>
      <w:r w:rsidRPr="00F72D54">
        <w:rPr>
          <w:rFonts w:ascii="Times New Roman" w:hAnsi="Times New Roman" w:cs="Times New Roman"/>
          <w:i/>
          <w:iCs/>
        </w:rPr>
        <w:t>discourse of commerce</w:t>
      </w:r>
      <w:r w:rsidRPr="00F72D54">
        <w:rPr>
          <w:rFonts w:ascii="Times New Roman" w:hAnsi="Times New Roman" w:cs="Times New Roman"/>
        </w:rPr>
        <w:t xml:space="preserve"> and the </w:t>
      </w:r>
      <w:r w:rsidRPr="00F72D54">
        <w:rPr>
          <w:rFonts w:ascii="Times New Roman" w:hAnsi="Times New Roman" w:cs="Times New Roman"/>
          <w:i/>
          <w:iCs/>
        </w:rPr>
        <w:t>discourse of care</w:t>
      </w:r>
      <w:r>
        <w:rPr>
          <w:rFonts w:ascii="Times New Roman" w:hAnsi="Times New Roman" w:cs="Times New Roman"/>
        </w:rPr>
        <w:t xml:space="preserve">, where </w:t>
      </w:r>
      <w:r w:rsidRPr="00F72D54">
        <w:rPr>
          <w:rFonts w:ascii="Times New Roman" w:hAnsi="Times New Roman" w:cs="Times New Roman"/>
        </w:rPr>
        <w:t xml:space="preserve">emergent meanings sediment as a routine social production of daily organizational life. </w:t>
      </w:r>
      <w:proofErr w:type="gramStart"/>
      <w:r w:rsidRPr="00F72D54">
        <w:rPr>
          <w:rFonts w:ascii="Times New Roman" w:hAnsi="Times New Roman" w:cs="Times New Roman"/>
        </w:rPr>
        <w:t xml:space="preserve">In particular, </w:t>
      </w:r>
      <w:r>
        <w:rPr>
          <w:rFonts w:ascii="Times New Roman" w:hAnsi="Times New Roman" w:cs="Times New Roman"/>
        </w:rPr>
        <w:t>in</w:t>
      </w:r>
      <w:proofErr w:type="gramEnd"/>
      <w:r>
        <w:rPr>
          <w:rFonts w:ascii="Times New Roman" w:hAnsi="Times New Roman" w:cs="Times New Roman"/>
        </w:rPr>
        <w:t xml:space="preserve"> funeral directors’ everyday organizational life</w:t>
      </w:r>
      <w:r w:rsidRPr="00F72D54">
        <w:rPr>
          <w:rFonts w:ascii="Times New Roman" w:hAnsi="Times New Roman" w:cs="Times New Roman"/>
        </w:rPr>
        <w:t xml:space="preserve">, the </w:t>
      </w:r>
      <w:r w:rsidRPr="00F72D54">
        <w:rPr>
          <w:rFonts w:ascii="Times New Roman" w:hAnsi="Times New Roman" w:cs="Times New Roman"/>
          <w:i/>
          <w:iCs/>
        </w:rPr>
        <w:t>discourse of mundanity</w:t>
      </w:r>
      <w:r w:rsidRPr="00F72D54">
        <w:rPr>
          <w:rFonts w:ascii="Times New Roman" w:hAnsi="Times New Roman" w:cs="Times New Roman"/>
        </w:rPr>
        <w:t xml:space="preserve"> is proposed as the fusion of the discourse of commerce and the discourse of care, and that is “</w:t>
      </w:r>
      <w:r w:rsidRPr="00F72D54">
        <w:rPr>
          <w:rFonts w:ascii="Times New Roman" w:hAnsi="Times New Roman" w:cs="Times New Roman"/>
          <w:i/>
          <w:iCs/>
        </w:rPr>
        <w:t>a system of meaning in which</w:t>
      </w:r>
      <w:r w:rsidRPr="00F72D54">
        <w:rPr>
          <w:rFonts w:ascii="Times New Roman" w:hAnsi="Times New Roman" w:cs="Times New Roman"/>
        </w:rPr>
        <w:t xml:space="preserve"> </w:t>
      </w:r>
      <w:r w:rsidRPr="00F72D54">
        <w:rPr>
          <w:rFonts w:ascii="Times New Roman" w:hAnsi="Times New Roman" w:cs="Times New Roman"/>
          <w:i/>
          <w:iCs/>
        </w:rPr>
        <w:t xml:space="preserve">the gravity of life and death is made to be experienced as ordinary and </w:t>
      </w:r>
      <w:r w:rsidR="00C716D6">
        <w:rPr>
          <w:rFonts w:ascii="Times New Roman" w:hAnsi="Times New Roman" w:cs="Times New Roman"/>
          <w:i/>
          <w:iCs/>
        </w:rPr>
        <w:t>beautiful</w:t>
      </w:r>
      <w:r w:rsidRPr="00F72D54">
        <w:rPr>
          <w:rFonts w:ascii="Times New Roman" w:hAnsi="Times New Roman" w:cs="Times New Roman"/>
        </w:rPr>
        <w:t xml:space="preserve">.” </w:t>
      </w:r>
      <w:r>
        <w:rPr>
          <w:rFonts w:ascii="Times New Roman" w:hAnsi="Times New Roman" w:cs="Times New Roman"/>
        </w:rPr>
        <w:t xml:space="preserve">The aesthetic </w:t>
      </w:r>
      <w:r>
        <w:rPr>
          <w:rFonts w:ascii="Times New Roman" w:hAnsi="Times New Roman" w:cs="Times New Roman"/>
        </w:rPr>
        <w:lastRenderedPageBreak/>
        <w:t xml:space="preserve">moment reflects the fusion of control (i.e., the discourse of commerce) and resistance (i.e., the discourse of care), which is transformed over a routine </w:t>
      </w:r>
      <w:r w:rsidRPr="00F72D54">
        <w:rPr>
          <w:rFonts w:ascii="Times New Roman" w:hAnsi="Times New Roman" w:cs="Times New Roman"/>
        </w:rPr>
        <w:t>social production of daily organizational life</w:t>
      </w:r>
      <w:r>
        <w:rPr>
          <w:rFonts w:ascii="Times New Roman" w:hAnsi="Times New Roman" w:cs="Times New Roman"/>
        </w:rPr>
        <w:t xml:space="preserve"> (e.g., a </w:t>
      </w:r>
      <w:r w:rsidRPr="00F72D54">
        <w:rPr>
          <w:rFonts w:ascii="Times New Roman" w:hAnsi="Times New Roman" w:cs="Times New Roman"/>
        </w:rPr>
        <w:t>funeral director claims their self-rewarding in being a funeral professional and would like to stay in the industry even having a better payment opportunity</w:t>
      </w:r>
      <w:r>
        <w:rPr>
          <w:rFonts w:ascii="Times New Roman" w:hAnsi="Times New Roman" w:cs="Times New Roman"/>
        </w:rPr>
        <w:t>).</w:t>
      </w:r>
    </w:p>
    <w:p w14:paraId="1D933CA2" w14:textId="25CA593F" w:rsidR="00256B3D" w:rsidRDefault="00256B3D" w:rsidP="00256B3D">
      <w:pPr>
        <w:spacing w:line="480" w:lineRule="auto"/>
        <w:ind w:firstLine="720"/>
        <w:rPr>
          <w:rFonts w:ascii="Times New Roman" w:hAnsi="Times New Roman" w:cs="Times New Roman"/>
        </w:rPr>
      </w:pPr>
      <w:r w:rsidRPr="00F72D54">
        <w:rPr>
          <w:rFonts w:ascii="Times New Roman" w:hAnsi="Times New Roman" w:cs="Times New Roman"/>
        </w:rPr>
        <w:t xml:space="preserve">As such, the dissertation provides empirical evidence for </w:t>
      </w:r>
      <w:r>
        <w:rPr>
          <w:rFonts w:ascii="Times New Roman" w:hAnsi="Times New Roman" w:cs="Times New Roman"/>
        </w:rPr>
        <w:t xml:space="preserve">Mumby’s theorizing on (1) </w:t>
      </w:r>
      <w:r w:rsidRPr="00F72D54">
        <w:rPr>
          <w:rFonts w:ascii="Times New Roman" w:hAnsi="Times New Roman" w:cs="Times New Roman"/>
        </w:rPr>
        <w:t xml:space="preserve">the mutual constitutive of </w:t>
      </w:r>
      <w:r>
        <w:rPr>
          <w:rFonts w:ascii="Times New Roman" w:hAnsi="Times New Roman" w:cs="Times New Roman"/>
        </w:rPr>
        <w:t>control and resistance</w:t>
      </w:r>
      <w:r w:rsidRPr="00F72D54">
        <w:rPr>
          <w:rFonts w:ascii="Times New Roman" w:hAnsi="Times New Roman" w:cs="Times New Roman"/>
        </w:rPr>
        <w:t xml:space="preserve"> by identifying the</w:t>
      </w:r>
      <w:r>
        <w:rPr>
          <w:rFonts w:ascii="Times New Roman" w:hAnsi="Times New Roman" w:cs="Times New Roman"/>
        </w:rPr>
        <w:t xml:space="preserve"> hybridization of the</w:t>
      </w:r>
      <w:r w:rsidRPr="00F72D54">
        <w:rPr>
          <w:rFonts w:ascii="Times New Roman" w:hAnsi="Times New Roman" w:cs="Times New Roman"/>
        </w:rPr>
        <w:t xml:space="preserve"> </w:t>
      </w:r>
      <w:r w:rsidRPr="00F72D54">
        <w:rPr>
          <w:rFonts w:ascii="Times New Roman" w:hAnsi="Times New Roman" w:cs="Times New Roman"/>
          <w:i/>
          <w:iCs/>
        </w:rPr>
        <w:t>discourse of commerce</w:t>
      </w:r>
      <w:r w:rsidRPr="00F72D54">
        <w:rPr>
          <w:rFonts w:ascii="Times New Roman" w:hAnsi="Times New Roman" w:cs="Times New Roman"/>
        </w:rPr>
        <w:t xml:space="preserve"> and the </w:t>
      </w:r>
      <w:r w:rsidRPr="00F72D54">
        <w:rPr>
          <w:rFonts w:ascii="Times New Roman" w:hAnsi="Times New Roman" w:cs="Times New Roman"/>
          <w:i/>
          <w:iCs/>
        </w:rPr>
        <w:t>discourse of care</w:t>
      </w:r>
      <w:r w:rsidRPr="00F72D54">
        <w:rPr>
          <w:rFonts w:ascii="Times New Roman" w:hAnsi="Times New Roman" w:cs="Times New Roman"/>
        </w:rPr>
        <w:t xml:space="preserve"> </w:t>
      </w:r>
      <w:r>
        <w:rPr>
          <w:rFonts w:ascii="Times New Roman" w:hAnsi="Times New Roman" w:cs="Times New Roman"/>
        </w:rPr>
        <w:t xml:space="preserve">as </w:t>
      </w:r>
      <w:r w:rsidRPr="00F72D54">
        <w:rPr>
          <w:rFonts w:ascii="Times New Roman" w:hAnsi="Times New Roman" w:cs="Times New Roman"/>
        </w:rPr>
        <w:t>the double nature</w:t>
      </w:r>
      <w:r>
        <w:rPr>
          <w:rFonts w:ascii="Times New Roman" w:hAnsi="Times New Roman" w:cs="Times New Roman"/>
        </w:rPr>
        <w:t xml:space="preserve"> (i.e., commerce and care)</w:t>
      </w:r>
      <w:r w:rsidRPr="00F72D54">
        <w:rPr>
          <w:rFonts w:ascii="Times New Roman" w:hAnsi="Times New Roman" w:cs="Times New Roman"/>
        </w:rPr>
        <w:t xml:space="preserve"> of funeral services</w:t>
      </w:r>
      <w:r>
        <w:rPr>
          <w:rFonts w:ascii="Times New Roman" w:hAnsi="Times New Roman" w:cs="Times New Roman"/>
        </w:rPr>
        <w:t xml:space="preserve"> and (2) the control-resistance dialectic transformation as </w:t>
      </w:r>
      <w:r w:rsidRPr="00F72D54">
        <w:rPr>
          <w:rFonts w:ascii="Times New Roman" w:hAnsi="Times New Roman" w:cs="Times New Roman"/>
        </w:rPr>
        <w:t>a routine social production of daily organizational life</w:t>
      </w:r>
      <w:r>
        <w:rPr>
          <w:rFonts w:ascii="Times New Roman" w:hAnsi="Times New Roman" w:cs="Times New Roman"/>
        </w:rPr>
        <w:t xml:space="preserve"> by </w:t>
      </w:r>
      <w:r w:rsidRPr="00F72D54">
        <w:rPr>
          <w:rFonts w:ascii="Times New Roman" w:hAnsi="Times New Roman" w:cs="Times New Roman"/>
        </w:rPr>
        <w:t xml:space="preserve">proposing the </w:t>
      </w:r>
      <w:r w:rsidRPr="00F72D54">
        <w:rPr>
          <w:rFonts w:ascii="Times New Roman" w:hAnsi="Times New Roman" w:cs="Times New Roman"/>
          <w:i/>
          <w:iCs/>
        </w:rPr>
        <w:t xml:space="preserve">discourse of </w:t>
      </w:r>
      <w:r>
        <w:rPr>
          <w:rFonts w:ascii="Times New Roman" w:hAnsi="Times New Roman" w:cs="Times New Roman"/>
          <w:i/>
          <w:iCs/>
        </w:rPr>
        <w:t>mundanity</w:t>
      </w:r>
      <w:r>
        <w:rPr>
          <w:rFonts w:ascii="Times New Roman" w:hAnsi="Times New Roman" w:cs="Times New Roman"/>
        </w:rPr>
        <w:t>, which is “</w:t>
      </w:r>
      <w:r w:rsidRPr="00F72D54">
        <w:rPr>
          <w:rFonts w:ascii="Times New Roman" w:hAnsi="Times New Roman" w:cs="Times New Roman"/>
          <w:i/>
          <w:iCs/>
        </w:rPr>
        <w:t>a system of meaning in which</w:t>
      </w:r>
      <w:r w:rsidRPr="00F72D54">
        <w:rPr>
          <w:rFonts w:ascii="Times New Roman" w:hAnsi="Times New Roman" w:cs="Times New Roman"/>
        </w:rPr>
        <w:t xml:space="preserve"> </w:t>
      </w:r>
      <w:r w:rsidRPr="00F72D54">
        <w:rPr>
          <w:rFonts w:ascii="Times New Roman" w:hAnsi="Times New Roman" w:cs="Times New Roman"/>
          <w:i/>
          <w:iCs/>
        </w:rPr>
        <w:t xml:space="preserve">the gravity of life and death is made to be experienced as ordinary and </w:t>
      </w:r>
      <w:r w:rsidR="00C716D6">
        <w:rPr>
          <w:rFonts w:ascii="Times New Roman" w:hAnsi="Times New Roman" w:cs="Times New Roman"/>
          <w:i/>
          <w:iCs/>
        </w:rPr>
        <w:t>beautiful</w:t>
      </w:r>
      <w:r w:rsidRPr="00F72D54">
        <w:rPr>
          <w:rFonts w:ascii="Times New Roman" w:hAnsi="Times New Roman" w:cs="Times New Roman"/>
        </w:rPr>
        <w:t>.”</w:t>
      </w:r>
    </w:p>
    <w:p w14:paraId="3489CA60" w14:textId="77777777" w:rsidR="00256B3D" w:rsidRPr="00F72D54" w:rsidRDefault="00256B3D" w:rsidP="00256B3D">
      <w:pPr>
        <w:spacing w:line="480" w:lineRule="auto"/>
        <w:ind w:firstLine="720"/>
        <w:rPr>
          <w:rFonts w:ascii="Times New Roman" w:hAnsi="Times New Roman" w:cs="Times New Roman"/>
        </w:rPr>
      </w:pPr>
      <w:r w:rsidRPr="00F72D54">
        <w:rPr>
          <w:rFonts w:ascii="Times New Roman" w:hAnsi="Times New Roman" w:cs="Times New Roman"/>
          <w:b/>
          <w:bCs/>
        </w:rPr>
        <w:t>The Commerce-Care dialectic perspective</w:t>
      </w:r>
      <w:r w:rsidRPr="00F72D54">
        <w:rPr>
          <w:rFonts w:ascii="Times New Roman" w:hAnsi="Times New Roman" w:cs="Times New Roman"/>
        </w:rPr>
        <w:t xml:space="preserve">. The dissertation proposes a perspective of acknowledging human life, which is the complex interpenetration and constitutive process of the costed life and/or the sacred life, labeled as the </w:t>
      </w:r>
      <w:r w:rsidRPr="00F72D54">
        <w:rPr>
          <w:rFonts w:ascii="Times New Roman" w:hAnsi="Times New Roman" w:cs="Times New Roman"/>
          <w:i/>
          <w:iCs/>
        </w:rPr>
        <w:t>commerce-care dialectic perspective</w:t>
      </w:r>
      <w:r w:rsidRPr="00F72D54">
        <w:rPr>
          <w:rFonts w:ascii="Times New Roman" w:hAnsi="Times New Roman" w:cs="Times New Roman"/>
        </w:rPr>
        <w:t>, defined as:</w:t>
      </w:r>
    </w:p>
    <w:p w14:paraId="25258F35" w14:textId="77777777" w:rsidR="00256B3D" w:rsidRPr="00F72D54" w:rsidRDefault="00256B3D" w:rsidP="00256B3D">
      <w:pPr>
        <w:spacing w:line="480" w:lineRule="auto"/>
        <w:ind w:left="720"/>
        <w:rPr>
          <w:rFonts w:ascii="Times New Roman" w:hAnsi="Times New Roman" w:cs="Times New Roman"/>
          <w:i/>
          <w:iCs/>
        </w:rPr>
      </w:pPr>
      <w:r w:rsidRPr="00F72D54">
        <w:rPr>
          <w:rFonts w:ascii="Times New Roman" w:hAnsi="Times New Roman" w:cs="Times New Roman"/>
          <w:i/>
          <w:iCs/>
        </w:rPr>
        <w:t>Humans make meanings of unresolvable life events or struggles, which have two core attributes of money and humanity, and transform those struggles into</w:t>
      </w:r>
      <w:r w:rsidRPr="00B64ACB">
        <w:rPr>
          <w:rFonts w:ascii="Times New Roman" w:hAnsi="Times New Roman" w:cs="Times New Roman"/>
          <w:i/>
          <w:iCs/>
        </w:rPr>
        <w:t xml:space="preserve"> </w:t>
      </w:r>
      <w:r>
        <w:rPr>
          <w:rFonts w:ascii="Times New Roman" w:hAnsi="Times New Roman" w:cs="Times New Roman"/>
          <w:i/>
          <w:iCs/>
        </w:rPr>
        <w:t>mundane</w:t>
      </w:r>
      <w:r w:rsidRPr="00F72D54">
        <w:rPr>
          <w:rFonts w:ascii="Times New Roman" w:hAnsi="Times New Roman" w:cs="Times New Roman"/>
          <w:i/>
          <w:iCs/>
        </w:rPr>
        <w:t xml:space="preserve"> aesthetic moments by enact</w:t>
      </w:r>
      <w:r>
        <w:rPr>
          <w:rFonts w:ascii="Times New Roman" w:hAnsi="Times New Roman" w:cs="Times New Roman"/>
          <w:i/>
          <w:iCs/>
        </w:rPr>
        <w:t>ing</w:t>
      </w:r>
      <w:r w:rsidRPr="00F72D54">
        <w:rPr>
          <w:rFonts w:ascii="Times New Roman" w:hAnsi="Times New Roman" w:cs="Times New Roman"/>
          <w:i/>
          <w:iCs/>
        </w:rPr>
        <w:t xml:space="preserve"> behaviors and actions. </w:t>
      </w:r>
    </w:p>
    <w:p w14:paraId="2CF39EED" w14:textId="77777777" w:rsidR="00256B3D" w:rsidRPr="00F72D54" w:rsidRDefault="00256B3D" w:rsidP="00256B3D">
      <w:pPr>
        <w:spacing w:line="480" w:lineRule="auto"/>
        <w:rPr>
          <w:rFonts w:ascii="Times New Roman" w:hAnsi="Times New Roman" w:cs="Times New Roman"/>
        </w:rPr>
      </w:pPr>
      <w:r w:rsidRPr="00F72D54">
        <w:rPr>
          <w:rFonts w:ascii="Times New Roman" w:hAnsi="Times New Roman" w:cs="Times New Roman"/>
        </w:rPr>
        <w:t xml:space="preserve">The following paragraphs explain how the funeral industry and services reflect the commerce-care dialectic perspective and how this perspective can be transferred to other fields and life events. </w:t>
      </w:r>
    </w:p>
    <w:p w14:paraId="1924A631" w14:textId="77777777" w:rsidR="00256B3D" w:rsidRDefault="00256B3D" w:rsidP="00256B3D">
      <w:pPr>
        <w:spacing w:line="480" w:lineRule="auto"/>
        <w:ind w:firstLine="720"/>
        <w:rPr>
          <w:rFonts w:ascii="Times New Roman" w:hAnsi="Times New Roman" w:cs="Times New Roman"/>
        </w:rPr>
      </w:pPr>
      <w:r w:rsidRPr="00F72D54">
        <w:rPr>
          <w:rFonts w:ascii="Times New Roman" w:hAnsi="Times New Roman" w:cs="Times New Roman"/>
        </w:rPr>
        <w:t>The funeral industry and services reflect the commerce-care dialectic perspective, manifesting in the 20</w:t>
      </w:r>
      <w:r w:rsidRPr="00F72D54">
        <w:rPr>
          <w:rFonts w:ascii="Times New Roman" w:hAnsi="Times New Roman" w:cs="Times New Roman"/>
          <w:vertAlign w:val="superscript"/>
        </w:rPr>
        <w:t>th</w:t>
      </w:r>
      <w:r w:rsidRPr="00F72D54">
        <w:rPr>
          <w:rFonts w:ascii="Times New Roman" w:hAnsi="Times New Roman" w:cs="Times New Roman"/>
        </w:rPr>
        <w:t>-century history of American funeral homes and the meaning-making process of funeral planning. Throughout reviewing the 20</w:t>
      </w:r>
      <w:r w:rsidRPr="00F72D54">
        <w:rPr>
          <w:rFonts w:ascii="Times New Roman" w:hAnsi="Times New Roman" w:cs="Times New Roman"/>
          <w:vertAlign w:val="superscript"/>
        </w:rPr>
        <w:t>th</w:t>
      </w:r>
      <w:r w:rsidRPr="00F72D54">
        <w:rPr>
          <w:rFonts w:ascii="Times New Roman" w:hAnsi="Times New Roman" w:cs="Times New Roman"/>
        </w:rPr>
        <w:t xml:space="preserve">-century history of American funeral homes in Chapter Two, the author identifies three characteristics of the commerce-care dialectic </w:t>
      </w:r>
      <w:r w:rsidRPr="00F72D54">
        <w:rPr>
          <w:rFonts w:ascii="Times New Roman" w:hAnsi="Times New Roman" w:cs="Times New Roman"/>
        </w:rPr>
        <w:lastRenderedPageBreak/>
        <w:t xml:space="preserve">in funeral services. First, </w:t>
      </w:r>
      <w:r>
        <w:rPr>
          <w:rFonts w:ascii="Times New Roman" w:hAnsi="Times New Roman" w:cs="Times New Roman"/>
        </w:rPr>
        <w:t xml:space="preserve">a </w:t>
      </w:r>
      <w:r w:rsidRPr="00F72D54">
        <w:rPr>
          <w:rFonts w:ascii="Times New Roman" w:hAnsi="Times New Roman" w:cs="Times New Roman"/>
        </w:rPr>
        <w:t xml:space="preserve">funeral service is a business that provides profound care for clients, indicating </w:t>
      </w:r>
      <w:r>
        <w:rPr>
          <w:rFonts w:ascii="Times New Roman" w:hAnsi="Times New Roman" w:cs="Times New Roman"/>
        </w:rPr>
        <w:t>money</w:t>
      </w:r>
      <w:r w:rsidRPr="00F72D54">
        <w:rPr>
          <w:rFonts w:ascii="Times New Roman" w:hAnsi="Times New Roman" w:cs="Times New Roman"/>
        </w:rPr>
        <w:t xml:space="preserve"> and </w:t>
      </w:r>
      <w:r>
        <w:rPr>
          <w:rFonts w:ascii="Times New Roman" w:hAnsi="Times New Roman" w:cs="Times New Roman"/>
        </w:rPr>
        <w:t>humanity attributes</w:t>
      </w:r>
      <w:r w:rsidRPr="00F72D54">
        <w:rPr>
          <w:rFonts w:ascii="Times New Roman" w:hAnsi="Times New Roman" w:cs="Times New Roman"/>
        </w:rPr>
        <w:t xml:space="preserve">. Second, the commerce-care dialectic is perennial and unresolvable in funeral services, indicating that humans struggle with coping with and adapting </w:t>
      </w:r>
      <w:r>
        <w:rPr>
          <w:rFonts w:ascii="Times New Roman" w:hAnsi="Times New Roman" w:cs="Times New Roman"/>
        </w:rPr>
        <w:t>to their loved one’s death</w:t>
      </w:r>
      <w:r w:rsidRPr="00F72D54">
        <w:rPr>
          <w:rFonts w:ascii="Times New Roman" w:hAnsi="Times New Roman" w:cs="Times New Roman"/>
        </w:rPr>
        <w:t xml:space="preserve">. Third, although conceivably unresolvable, people need to face and manage the commerce-care dialectic in funeral services, indicating that </w:t>
      </w:r>
      <w:r>
        <w:rPr>
          <w:rFonts w:ascii="Times New Roman" w:hAnsi="Times New Roman" w:cs="Times New Roman"/>
        </w:rPr>
        <w:t xml:space="preserve">people eventually enact funeral planning and appreciate memorial services, even though </w:t>
      </w:r>
      <w:r w:rsidRPr="00F72D54">
        <w:rPr>
          <w:rFonts w:ascii="Times New Roman" w:hAnsi="Times New Roman" w:cs="Times New Roman"/>
        </w:rPr>
        <w:t xml:space="preserve">some meaning-makings of </w:t>
      </w:r>
      <w:r>
        <w:rPr>
          <w:rFonts w:ascii="Times New Roman" w:hAnsi="Times New Roman" w:cs="Times New Roman"/>
        </w:rPr>
        <w:t>funeral services</w:t>
      </w:r>
      <w:r w:rsidRPr="00F72D54">
        <w:rPr>
          <w:rFonts w:ascii="Times New Roman" w:hAnsi="Times New Roman" w:cs="Times New Roman"/>
        </w:rPr>
        <w:t xml:space="preserve"> favor their identities, relationships, and acknowledgments, while others are not favorable in that regard. </w:t>
      </w:r>
    </w:p>
    <w:p w14:paraId="2E087334" w14:textId="77777777" w:rsidR="00256B3D" w:rsidRPr="00F72D54" w:rsidRDefault="00256B3D" w:rsidP="00256B3D">
      <w:pPr>
        <w:spacing w:line="480" w:lineRule="auto"/>
        <w:ind w:firstLine="720"/>
        <w:rPr>
          <w:rFonts w:ascii="Times New Roman" w:hAnsi="Times New Roman" w:cs="Times New Roman"/>
        </w:rPr>
      </w:pPr>
      <w:r w:rsidRPr="00F72D54">
        <w:rPr>
          <w:rFonts w:ascii="Times New Roman" w:hAnsi="Times New Roman" w:cs="Times New Roman"/>
        </w:rPr>
        <w:t xml:space="preserve">Moreover, this dissertation explores the meaning-making of funeral planning, and the findings of the three research questions reveal the commerce-care dialectic perspective in funeral planning. First, the </w:t>
      </w:r>
      <w:r w:rsidRPr="00F72D54">
        <w:rPr>
          <w:rFonts w:ascii="Times New Roman" w:hAnsi="Times New Roman" w:cs="Times New Roman"/>
          <w:i/>
          <w:iCs/>
        </w:rPr>
        <w:t>discourse of commerce</w:t>
      </w:r>
      <w:r w:rsidRPr="00F72D54">
        <w:rPr>
          <w:rFonts w:ascii="Times New Roman" w:hAnsi="Times New Roman" w:cs="Times New Roman"/>
        </w:rPr>
        <w:t xml:space="preserve"> and the </w:t>
      </w:r>
      <w:r w:rsidRPr="00F72D54">
        <w:rPr>
          <w:rFonts w:ascii="Times New Roman" w:hAnsi="Times New Roman" w:cs="Times New Roman"/>
          <w:i/>
          <w:iCs/>
        </w:rPr>
        <w:t xml:space="preserve">discourse of care </w:t>
      </w:r>
      <w:r w:rsidRPr="00F72D54">
        <w:rPr>
          <w:rFonts w:ascii="Times New Roman" w:hAnsi="Times New Roman" w:cs="Times New Roman"/>
        </w:rPr>
        <w:t>indicate</w:t>
      </w:r>
      <w:r>
        <w:rPr>
          <w:rFonts w:ascii="Times New Roman" w:hAnsi="Times New Roman" w:cs="Times New Roman"/>
        </w:rPr>
        <w:t xml:space="preserve"> attributes of</w:t>
      </w:r>
      <w:r w:rsidRPr="00F72D54">
        <w:rPr>
          <w:rFonts w:ascii="Times New Roman" w:hAnsi="Times New Roman" w:cs="Times New Roman"/>
        </w:rPr>
        <w:t xml:space="preserve"> </w:t>
      </w:r>
      <w:r>
        <w:rPr>
          <w:rFonts w:ascii="Times New Roman" w:hAnsi="Times New Roman" w:cs="Times New Roman"/>
        </w:rPr>
        <w:t>money and humanity</w:t>
      </w:r>
      <w:r w:rsidRPr="00F72D54">
        <w:rPr>
          <w:rFonts w:ascii="Times New Roman" w:hAnsi="Times New Roman" w:cs="Times New Roman"/>
        </w:rPr>
        <w:t xml:space="preserve">. Second, the discursive synchronic and diachronic interplays reflect that funeral directors and their clients struggle with coping with and adapting to </w:t>
      </w:r>
      <w:r>
        <w:rPr>
          <w:rFonts w:ascii="Times New Roman" w:hAnsi="Times New Roman" w:cs="Times New Roman"/>
        </w:rPr>
        <w:t xml:space="preserve">(unresolvable) </w:t>
      </w:r>
      <w:r w:rsidRPr="00F72D54">
        <w:rPr>
          <w:rFonts w:ascii="Times New Roman" w:hAnsi="Times New Roman" w:cs="Times New Roman"/>
        </w:rPr>
        <w:t xml:space="preserve">death during funeral planning. Third, the </w:t>
      </w:r>
      <w:r w:rsidRPr="00F72D54">
        <w:rPr>
          <w:rFonts w:ascii="Times New Roman" w:hAnsi="Times New Roman" w:cs="Times New Roman"/>
          <w:i/>
          <w:iCs/>
        </w:rPr>
        <w:t xml:space="preserve">discourse of mundanity </w:t>
      </w:r>
      <w:r w:rsidRPr="00F72D54">
        <w:rPr>
          <w:rFonts w:ascii="Times New Roman" w:hAnsi="Times New Roman" w:cs="Times New Roman"/>
        </w:rPr>
        <w:t xml:space="preserve">is proposed as the fusion of the discourse of commerce and the discourse of care, suggesting </w:t>
      </w:r>
      <w:r>
        <w:rPr>
          <w:rFonts w:ascii="Times New Roman" w:hAnsi="Times New Roman" w:cs="Times New Roman"/>
        </w:rPr>
        <w:t xml:space="preserve">that people finally enact behaviors and actions on funeral planning.  </w:t>
      </w:r>
    </w:p>
    <w:p w14:paraId="15385DB9" w14:textId="77777777" w:rsidR="00256B3D" w:rsidRPr="00303928" w:rsidRDefault="00256B3D" w:rsidP="00256B3D">
      <w:pPr>
        <w:spacing w:line="480" w:lineRule="auto"/>
        <w:ind w:firstLine="720"/>
        <w:rPr>
          <w:rFonts w:ascii="Times New Roman" w:hAnsi="Times New Roman" w:cs="Times New Roman"/>
        </w:rPr>
      </w:pPr>
      <w:r w:rsidRPr="00F72D54">
        <w:rPr>
          <w:rFonts w:ascii="Times New Roman" w:hAnsi="Times New Roman" w:cs="Times New Roman"/>
        </w:rPr>
        <w:t xml:space="preserve">The dissertation argues that the </w:t>
      </w:r>
      <w:r w:rsidRPr="00F72D54">
        <w:rPr>
          <w:rFonts w:ascii="Times New Roman" w:hAnsi="Times New Roman" w:cs="Times New Roman"/>
          <w:i/>
          <w:iCs/>
        </w:rPr>
        <w:t>commerce-care dialectic perspective</w:t>
      </w:r>
      <w:r w:rsidRPr="00F72D54">
        <w:rPr>
          <w:rFonts w:ascii="Times New Roman" w:hAnsi="Times New Roman" w:cs="Times New Roman"/>
        </w:rPr>
        <w:t xml:space="preserve"> can be transferred to other industrial fields, such as education and healthcare, and life events, such as fundraising ideas and volunteering activities. These industrial fields and life events operate by the principles of capitalism and market forces, but people who engage in these fields and events unconsciously and consciously enact support from the profound care of humanity while doing their jobs or delivering services. </w:t>
      </w:r>
      <w:r>
        <w:rPr>
          <w:rFonts w:ascii="Times New Roman" w:hAnsi="Times New Roman" w:cs="Times New Roman"/>
        </w:rPr>
        <w:t xml:space="preserve">Therefore, the </w:t>
      </w:r>
      <w:r w:rsidRPr="00F72D54">
        <w:rPr>
          <w:rFonts w:ascii="Times New Roman" w:hAnsi="Times New Roman" w:cs="Times New Roman"/>
          <w:i/>
          <w:iCs/>
        </w:rPr>
        <w:t>commerce-care dialectic perspective</w:t>
      </w:r>
      <w:r>
        <w:rPr>
          <w:rFonts w:ascii="Times New Roman" w:hAnsi="Times New Roman" w:cs="Times New Roman"/>
          <w:i/>
          <w:iCs/>
        </w:rPr>
        <w:t xml:space="preserve"> </w:t>
      </w:r>
      <w:r>
        <w:rPr>
          <w:rFonts w:ascii="Times New Roman" w:hAnsi="Times New Roman" w:cs="Times New Roman"/>
        </w:rPr>
        <w:t>can be applied to describe, acknowledge, understand, and interpret extensive industrial fields and life events.</w:t>
      </w:r>
    </w:p>
    <w:p w14:paraId="2E702ECA" w14:textId="77777777" w:rsidR="00256B3D" w:rsidRPr="00F72D54" w:rsidRDefault="00256B3D" w:rsidP="00256B3D">
      <w:pPr>
        <w:spacing w:line="480" w:lineRule="auto"/>
        <w:rPr>
          <w:rFonts w:ascii="Times New Roman" w:hAnsi="Times New Roman" w:cs="Times New Roman"/>
          <w:b/>
          <w:bCs/>
        </w:rPr>
      </w:pPr>
      <w:r w:rsidRPr="00F72D54">
        <w:rPr>
          <w:rFonts w:ascii="Times New Roman" w:hAnsi="Times New Roman" w:cs="Times New Roman"/>
          <w:b/>
          <w:bCs/>
        </w:rPr>
        <w:lastRenderedPageBreak/>
        <w:t>Practical Implications</w:t>
      </w:r>
    </w:p>
    <w:p w14:paraId="20BFD825" w14:textId="62276DB9" w:rsidR="00256B3D" w:rsidRPr="00F72D54" w:rsidRDefault="00256B3D" w:rsidP="00486B52">
      <w:pPr>
        <w:spacing w:line="480" w:lineRule="auto"/>
        <w:ind w:firstLine="720"/>
        <w:rPr>
          <w:rFonts w:ascii="Times New Roman" w:hAnsi="Times New Roman" w:cs="Times New Roman"/>
        </w:rPr>
      </w:pPr>
      <w:r w:rsidRPr="00F72D54">
        <w:rPr>
          <w:rFonts w:ascii="Times New Roman" w:hAnsi="Times New Roman" w:cs="Times New Roman"/>
        </w:rPr>
        <w:t>The dissertation offers practical implications for facilitating future funeral planning for funeral professionals, clients, and governmental agencies. Funeral professionals should engage in more caring behaviors than commercial behaviors in funeral planning</w:t>
      </w:r>
      <w:r w:rsidR="00486B52" w:rsidRPr="00F72D54">
        <w:rPr>
          <w:rFonts w:ascii="Times New Roman" w:hAnsi="Times New Roman" w:cs="Times New Roman"/>
        </w:rPr>
        <w:t xml:space="preserve">. </w:t>
      </w:r>
      <w:r w:rsidR="00486B52">
        <w:rPr>
          <w:rFonts w:ascii="Times New Roman" w:hAnsi="Times New Roman" w:cs="Times New Roman"/>
        </w:rPr>
        <w:t xml:space="preserve">For doing that, </w:t>
      </w:r>
      <w:r w:rsidR="00486B52" w:rsidRPr="00486B52">
        <w:rPr>
          <w:rFonts w:ascii="Times New Roman" w:hAnsi="Times New Roman" w:cs="Times New Roman"/>
        </w:rPr>
        <w:t>a training session for funeral directors might include the importance of self-care</w:t>
      </w:r>
      <w:r w:rsidR="00486B52">
        <w:rPr>
          <w:rFonts w:ascii="Times New Roman" w:hAnsi="Times New Roman" w:cs="Times New Roman"/>
        </w:rPr>
        <w:t xml:space="preserve"> and </w:t>
      </w:r>
      <w:r w:rsidR="00486B52" w:rsidRPr="00486B52">
        <w:rPr>
          <w:rFonts w:ascii="Times New Roman" w:hAnsi="Times New Roman" w:cs="Times New Roman"/>
        </w:rPr>
        <w:t xml:space="preserve">compassion; perhaps a communication simulation </w:t>
      </w:r>
      <w:r w:rsidR="00486B52">
        <w:rPr>
          <w:rFonts w:ascii="Times New Roman" w:hAnsi="Times New Roman" w:cs="Times New Roman"/>
        </w:rPr>
        <w:t xml:space="preserve">centering on the bereaved (i.e., bereaved-centered communication) could be helpful during funeral director education. </w:t>
      </w:r>
      <w:r w:rsidRPr="00F72D54">
        <w:rPr>
          <w:rFonts w:ascii="Times New Roman" w:hAnsi="Times New Roman" w:cs="Times New Roman"/>
        </w:rPr>
        <w:t xml:space="preserve">Clients should be aware of the profitable nature of funeral services and allow funeral professionals to earn reasonable profits. </w:t>
      </w:r>
      <w:r w:rsidR="00486B52">
        <w:rPr>
          <w:rFonts w:ascii="Times New Roman" w:hAnsi="Times New Roman" w:cs="Times New Roman"/>
        </w:rPr>
        <w:t xml:space="preserve">In specific, clients should be more interested in doing funeral pre-planning, absorbing information about funeral services, and participating in community events related to funeral planning. </w:t>
      </w:r>
      <w:r w:rsidRPr="00F72D54">
        <w:rPr>
          <w:rFonts w:ascii="Times New Roman" w:hAnsi="Times New Roman" w:cs="Times New Roman"/>
        </w:rPr>
        <w:t xml:space="preserve">Governmental agencies should provide support for funeral homes to promise the social welfare nature of funeral services and design limited regulations for funeral homes to encourage the commodity nature of funeral services. </w:t>
      </w:r>
      <w:r w:rsidR="00486B52">
        <w:rPr>
          <w:rFonts w:ascii="Times New Roman" w:hAnsi="Times New Roman" w:cs="Times New Roman"/>
        </w:rPr>
        <w:t xml:space="preserve">Specifically, governmental agencies should supervise and follow the market change in the funeral industry and adapt to the funeral industry’s regulations to advanced technology. </w:t>
      </w:r>
    </w:p>
    <w:p w14:paraId="7AD3D855" w14:textId="77777777" w:rsidR="00256B3D" w:rsidRPr="00F72D54" w:rsidRDefault="00256B3D" w:rsidP="00256B3D">
      <w:pPr>
        <w:spacing w:line="480" w:lineRule="auto"/>
        <w:rPr>
          <w:rFonts w:ascii="Times New Roman" w:hAnsi="Times New Roman" w:cs="Times New Roman"/>
          <w:b/>
          <w:bCs/>
        </w:rPr>
      </w:pPr>
      <w:r w:rsidRPr="00F72D54">
        <w:rPr>
          <w:rFonts w:ascii="Times New Roman" w:hAnsi="Times New Roman" w:cs="Times New Roman"/>
          <w:b/>
          <w:bCs/>
        </w:rPr>
        <w:t>Limitations</w:t>
      </w:r>
    </w:p>
    <w:p w14:paraId="29DC20A0" w14:textId="79A62F36" w:rsidR="00256B3D" w:rsidRDefault="00256B3D" w:rsidP="0010221D">
      <w:pPr>
        <w:spacing w:line="480" w:lineRule="auto"/>
        <w:ind w:firstLine="720"/>
        <w:rPr>
          <w:rFonts w:ascii="Times New Roman" w:hAnsi="Times New Roman" w:cs="Times New Roman"/>
        </w:rPr>
      </w:pPr>
      <w:r w:rsidRPr="00F72D54">
        <w:rPr>
          <w:rFonts w:ascii="Times New Roman" w:hAnsi="Times New Roman" w:cs="Times New Roman"/>
        </w:rPr>
        <w:t xml:space="preserve">This dissertation has at least three limitations. First, funeral planning is an interactive process between funeral professionals and clients, and interviews hardly document the full picture of conversations. Observations will help capture the conversation of funeral planning. Second, the dissertation discusses the commerce-care dialectic, but literature reviews regarding commodification, decommodification, the constitutive approach, and critical organization studies are short and thin. </w:t>
      </w:r>
      <w:r>
        <w:rPr>
          <w:rFonts w:ascii="Times New Roman" w:hAnsi="Times New Roman" w:cs="Times New Roman"/>
        </w:rPr>
        <w:t xml:space="preserve">In the future, </w:t>
      </w:r>
      <w:r w:rsidRPr="00F72D54">
        <w:rPr>
          <w:rFonts w:ascii="Times New Roman" w:hAnsi="Times New Roman" w:cs="Times New Roman"/>
        </w:rPr>
        <w:t xml:space="preserve">the author ought to dive into these thick and sophisticated literature groups. Third, the dissertation proposes the </w:t>
      </w:r>
      <w:r w:rsidRPr="00F72D54">
        <w:rPr>
          <w:rFonts w:ascii="Times New Roman" w:hAnsi="Times New Roman" w:cs="Times New Roman"/>
          <w:i/>
          <w:iCs/>
        </w:rPr>
        <w:t>commerce-care dialectic perspective</w:t>
      </w:r>
      <w:r w:rsidRPr="00F72D54">
        <w:rPr>
          <w:rFonts w:ascii="Times New Roman" w:hAnsi="Times New Roman" w:cs="Times New Roman"/>
        </w:rPr>
        <w:t xml:space="preserve">, </w:t>
      </w:r>
      <w:r w:rsidRPr="00F72D54">
        <w:rPr>
          <w:rFonts w:ascii="Times New Roman" w:hAnsi="Times New Roman" w:cs="Times New Roman"/>
        </w:rPr>
        <w:lastRenderedPageBreak/>
        <w:t xml:space="preserve">which seems like a </w:t>
      </w:r>
      <w:r w:rsidR="0010221D">
        <w:rPr>
          <w:rFonts w:ascii="Times New Roman" w:hAnsi="Times New Roman" w:cs="Times New Roman"/>
        </w:rPr>
        <w:t>heuristic concept</w:t>
      </w:r>
      <w:r w:rsidRPr="00F72D54">
        <w:rPr>
          <w:rFonts w:ascii="Times New Roman" w:hAnsi="Times New Roman" w:cs="Times New Roman"/>
        </w:rPr>
        <w:t xml:space="preserve">. </w:t>
      </w:r>
      <w:r w:rsidR="0010221D">
        <w:rPr>
          <w:rFonts w:ascii="Times New Roman" w:hAnsi="Times New Roman" w:cs="Times New Roman"/>
        </w:rPr>
        <w:t>However, t</w:t>
      </w:r>
      <w:r w:rsidR="0010221D" w:rsidRPr="00F72D54">
        <w:rPr>
          <w:rFonts w:ascii="Times New Roman" w:hAnsi="Times New Roman" w:cs="Times New Roman"/>
        </w:rPr>
        <w:t xml:space="preserve">he </w:t>
      </w:r>
      <w:r w:rsidR="0010221D" w:rsidRPr="00F72D54">
        <w:rPr>
          <w:rFonts w:ascii="Times New Roman" w:hAnsi="Times New Roman" w:cs="Times New Roman"/>
          <w:i/>
          <w:iCs/>
        </w:rPr>
        <w:t>commerce-care dialectic perspective</w:t>
      </w:r>
      <w:r w:rsidR="0010221D">
        <w:rPr>
          <w:rFonts w:ascii="Times New Roman" w:hAnsi="Times New Roman" w:cs="Times New Roman"/>
        </w:rPr>
        <w:t xml:space="preserve"> requires further validation across other occupational interaction types to understand the concept’s degree of transferability. </w:t>
      </w:r>
      <w:r w:rsidR="0010221D" w:rsidRPr="00F72D54">
        <w:rPr>
          <w:rFonts w:ascii="Times New Roman" w:hAnsi="Times New Roman" w:cs="Times New Roman"/>
        </w:rPr>
        <w:t xml:space="preserve">The author may need to take decades to make it </w:t>
      </w:r>
      <w:r w:rsidR="0010221D">
        <w:rPr>
          <w:rFonts w:ascii="Times New Roman" w:hAnsi="Times New Roman" w:cs="Times New Roman"/>
        </w:rPr>
        <w:t>a valid concept.</w:t>
      </w:r>
    </w:p>
    <w:p w14:paraId="7CDC681F" w14:textId="77777777" w:rsidR="00256B3D" w:rsidRPr="00F72D54" w:rsidRDefault="00256B3D" w:rsidP="00256B3D">
      <w:pPr>
        <w:spacing w:line="480" w:lineRule="auto"/>
        <w:rPr>
          <w:rFonts w:ascii="Times New Roman" w:hAnsi="Times New Roman" w:cs="Times New Roman"/>
        </w:rPr>
      </w:pPr>
      <w:r w:rsidRPr="00F72D54">
        <w:rPr>
          <w:rFonts w:ascii="Times New Roman" w:hAnsi="Times New Roman" w:cs="Times New Roman"/>
          <w:b/>
          <w:bCs/>
        </w:rPr>
        <w:t>Conclusion</w:t>
      </w:r>
    </w:p>
    <w:p w14:paraId="2E9370D6" w14:textId="32EA63C3" w:rsidR="00256B3D" w:rsidRPr="00F72D54" w:rsidRDefault="00256B3D" w:rsidP="00256B3D">
      <w:pPr>
        <w:spacing w:line="480" w:lineRule="auto"/>
        <w:ind w:firstLine="720"/>
        <w:rPr>
          <w:rFonts w:ascii="Times New Roman" w:hAnsi="Times New Roman" w:cs="Times New Roman"/>
        </w:rPr>
      </w:pPr>
      <w:r w:rsidRPr="00F72D54">
        <w:rPr>
          <w:rFonts w:ascii="Times New Roman" w:hAnsi="Times New Roman" w:cs="Times New Roman"/>
        </w:rPr>
        <w:t xml:space="preserve">This dissertation, grounded in relational dialectics theory 2.0, aims to illustrate what meanings emerge from the commerce-care dialectic when engaging in funeral planning. This dissertation </w:t>
      </w:r>
      <w:r>
        <w:rPr>
          <w:rFonts w:ascii="Times New Roman" w:hAnsi="Times New Roman" w:cs="Times New Roman"/>
        </w:rPr>
        <w:t xml:space="preserve">contributes to RDT by </w:t>
      </w:r>
      <w:r w:rsidRPr="00F72D54">
        <w:rPr>
          <w:rFonts w:ascii="Times New Roman" w:hAnsi="Times New Roman" w:cs="Times New Roman"/>
        </w:rPr>
        <w:t>align</w:t>
      </w:r>
      <w:r>
        <w:rPr>
          <w:rFonts w:ascii="Times New Roman" w:hAnsi="Times New Roman" w:cs="Times New Roman"/>
        </w:rPr>
        <w:t xml:space="preserve">ing </w:t>
      </w:r>
      <w:r w:rsidRPr="00F72D54">
        <w:rPr>
          <w:rFonts w:ascii="Times New Roman" w:hAnsi="Times New Roman" w:cs="Times New Roman"/>
        </w:rPr>
        <w:t xml:space="preserve">the discursive synchronic markers, including negating, countering, ambiguating (a new marker proposed), and entertaining, with four features of utterance chains. The alignment contributes to providing an additional guideline to make researchers confident in identifying discursive synchronic interplay other than having the guideline of the three discursive markers. Additionally, the dissertation provides empirical evidence for </w:t>
      </w:r>
      <w:r>
        <w:rPr>
          <w:rFonts w:ascii="Times New Roman" w:hAnsi="Times New Roman" w:cs="Times New Roman"/>
        </w:rPr>
        <w:t xml:space="preserve">Mumby’s theorizing on (1) </w:t>
      </w:r>
      <w:r w:rsidRPr="00F72D54">
        <w:rPr>
          <w:rFonts w:ascii="Times New Roman" w:hAnsi="Times New Roman" w:cs="Times New Roman"/>
        </w:rPr>
        <w:t xml:space="preserve">the mutual constitutive of </w:t>
      </w:r>
      <w:r>
        <w:rPr>
          <w:rFonts w:ascii="Times New Roman" w:hAnsi="Times New Roman" w:cs="Times New Roman"/>
        </w:rPr>
        <w:t>control and resistance</w:t>
      </w:r>
      <w:r w:rsidRPr="00F72D54">
        <w:rPr>
          <w:rFonts w:ascii="Times New Roman" w:hAnsi="Times New Roman" w:cs="Times New Roman"/>
        </w:rPr>
        <w:t xml:space="preserve"> by identifying the</w:t>
      </w:r>
      <w:r>
        <w:rPr>
          <w:rFonts w:ascii="Times New Roman" w:hAnsi="Times New Roman" w:cs="Times New Roman"/>
        </w:rPr>
        <w:t xml:space="preserve"> hybridization of the</w:t>
      </w:r>
      <w:r w:rsidRPr="00F72D54">
        <w:rPr>
          <w:rFonts w:ascii="Times New Roman" w:hAnsi="Times New Roman" w:cs="Times New Roman"/>
        </w:rPr>
        <w:t xml:space="preserve"> </w:t>
      </w:r>
      <w:r w:rsidRPr="00F72D54">
        <w:rPr>
          <w:rFonts w:ascii="Times New Roman" w:hAnsi="Times New Roman" w:cs="Times New Roman"/>
          <w:i/>
          <w:iCs/>
        </w:rPr>
        <w:t>discourse of commerce</w:t>
      </w:r>
      <w:r w:rsidRPr="00F72D54">
        <w:rPr>
          <w:rFonts w:ascii="Times New Roman" w:hAnsi="Times New Roman" w:cs="Times New Roman"/>
        </w:rPr>
        <w:t xml:space="preserve"> and the </w:t>
      </w:r>
      <w:r w:rsidRPr="00F72D54">
        <w:rPr>
          <w:rFonts w:ascii="Times New Roman" w:hAnsi="Times New Roman" w:cs="Times New Roman"/>
          <w:i/>
          <w:iCs/>
        </w:rPr>
        <w:t>discourse of care</w:t>
      </w:r>
      <w:r w:rsidRPr="00F72D54">
        <w:rPr>
          <w:rFonts w:ascii="Times New Roman" w:hAnsi="Times New Roman" w:cs="Times New Roman"/>
        </w:rPr>
        <w:t xml:space="preserve"> </w:t>
      </w:r>
      <w:r>
        <w:rPr>
          <w:rFonts w:ascii="Times New Roman" w:hAnsi="Times New Roman" w:cs="Times New Roman"/>
        </w:rPr>
        <w:t xml:space="preserve">as </w:t>
      </w:r>
      <w:r w:rsidRPr="00F72D54">
        <w:rPr>
          <w:rFonts w:ascii="Times New Roman" w:hAnsi="Times New Roman" w:cs="Times New Roman"/>
        </w:rPr>
        <w:t>the double nature</w:t>
      </w:r>
      <w:r>
        <w:rPr>
          <w:rFonts w:ascii="Times New Roman" w:hAnsi="Times New Roman" w:cs="Times New Roman"/>
        </w:rPr>
        <w:t xml:space="preserve"> (i.e., commerce and care)</w:t>
      </w:r>
      <w:r w:rsidRPr="00F72D54">
        <w:rPr>
          <w:rFonts w:ascii="Times New Roman" w:hAnsi="Times New Roman" w:cs="Times New Roman"/>
        </w:rPr>
        <w:t xml:space="preserve"> of funeral services</w:t>
      </w:r>
      <w:r>
        <w:rPr>
          <w:rFonts w:ascii="Times New Roman" w:hAnsi="Times New Roman" w:cs="Times New Roman"/>
        </w:rPr>
        <w:t xml:space="preserve"> and (2) the control-resistance dialectic transformation as </w:t>
      </w:r>
      <w:r w:rsidRPr="00F72D54">
        <w:rPr>
          <w:rFonts w:ascii="Times New Roman" w:hAnsi="Times New Roman" w:cs="Times New Roman"/>
        </w:rPr>
        <w:t>a routine social production of daily organizational life</w:t>
      </w:r>
      <w:r>
        <w:rPr>
          <w:rFonts w:ascii="Times New Roman" w:hAnsi="Times New Roman" w:cs="Times New Roman"/>
        </w:rPr>
        <w:t xml:space="preserve"> by </w:t>
      </w:r>
      <w:r w:rsidRPr="00F72D54">
        <w:rPr>
          <w:rFonts w:ascii="Times New Roman" w:hAnsi="Times New Roman" w:cs="Times New Roman"/>
        </w:rPr>
        <w:t xml:space="preserve">proposing the </w:t>
      </w:r>
      <w:r w:rsidRPr="00F72D54">
        <w:rPr>
          <w:rFonts w:ascii="Times New Roman" w:hAnsi="Times New Roman" w:cs="Times New Roman"/>
          <w:i/>
          <w:iCs/>
        </w:rPr>
        <w:t xml:space="preserve">discourse of </w:t>
      </w:r>
      <w:r>
        <w:rPr>
          <w:rFonts w:ascii="Times New Roman" w:hAnsi="Times New Roman" w:cs="Times New Roman"/>
          <w:i/>
          <w:iCs/>
        </w:rPr>
        <w:t>mundanity</w:t>
      </w:r>
      <w:r>
        <w:rPr>
          <w:rFonts w:ascii="Times New Roman" w:hAnsi="Times New Roman" w:cs="Times New Roman"/>
        </w:rPr>
        <w:t>, which is “</w:t>
      </w:r>
      <w:r w:rsidRPr="00F72D54">
        <w:rPr>
          <w:rFonts w:ascii="Times New Roman" w:hAnsi="Times New Roman" w:cs="Times New Roman"/>
          <w:i/>
          <w:iCs/>
        </w:rPr>
        <w:t>a system of meaning in which</w:t>
      </w:r>
      <w:r w:rsidRPr="00F72D54">
        <w:rPr>
          <w:rFonts w:ascii="Times New Roman" w:hAnsi="Times New Roman" w:cs="Times New Roman"/>
        </w:rPr>
        <w:t xml:space="preserve"> </w:t>
      </w:r>
      <w:r w:rsidRPr="00F72D54">
        <w:rPr>
          <w:rFonts w:ascii="Times New Roman" w:hAnsi="Times New Roman" w:cs="Times New Roman"/>
          <w:i/>
          <w:iCs/>
        </w:rPr>
        <w:t xml:space="preserve">the gravity of life and death is made to be experienced as ordinary and </w:t>
      </w:r>
      <w:r w:rsidR="00C716D6">
        <w:rPr>
          <w:rFonts w:ascii="Times New Roman" w:hAnsi="Times New Roman" w:cs="Times New Roman"/>
          <w:i/>
          <w:iCs/>
        </w:rPr>
        <w:t>beautiful</w:t>
      </w:r>
      <w:r w:rsidRPr="00F72D54">
        <w:rPr>
          <w:rFonts w:ascii="Times New Roman" w:hAnsi="Times New Roman" w:cs="Times New Roman"/>
        </w:rPr>
        <w:t xml:space="preserve">.” Moreover, the dissertation proposes a perspective of acknowledging human life, which is the complex interpenetration and constitutive process of the costed life and/or the sacred life, labeled as the </w:t>
      </w:r>
      <w:r w:rsidRPr="00F72D54">
        <w:rPr>
          <w:rFonts w:ascii="Times New Roman" w:hAnsi="Times New Roman" w:cs="Times New Roman"/>
          <w:i/>
          <w:iCs/>
        </w:rPr>
        <w:t>commerce-care dialectic perspective</w:t>
      </w:r>
      <w:r w:rsidRPr="00F72D54">
        <w:rPr>
          <w:rFonts w:ascii="Times New Roman" w:hAnsi="Times New Roman" w:cs="Times New Roman"/>
        </w:rPr>
        <w:t>, defined as:</w:t>
      </w:r>
    </w:p>
    <w:p w14:paraId="695C9A15" w14:textId="77777777" w:rsidR="00256B3D" w:rsidRPr="00F72D54" w:rsidRDefault="00256B3D" w:rsidP="00256B3D">
      <w:pPr>
        <w:spacing w:line="480" w:lineRule="auto"/>
        <w:ind w:left="720"/>
        <w:rPr>
          <w:rFonts w:ascii="Times New Roman" w:hAnsi="Times New Roman" w:cs="Times New Roman"/>
          <w:i/>
          <w:iCs/>
        </w:rPr>
      </w:pPr>
      <w:r w:rsidRPr="00F72D54">
        <w:rPr>
          <w:rFonts w:ascii="Times New Roman" w:hAnsi="Times New Roman" w:cs="Times New Roman"/>
          <w:i/>
          <w:iCs/>
        </w:rPr>
        <w:t xml:space="preserve">Humans make meanings of unresolvable life events or struggles, which have two core attributes of money and humanity, and transform those struggles into </w:t>
      </w:r>
      <w:r>
        <w:rPr>
          <w:rFonts w:ascii="Times New Roman" w:hAnsi="Times New Roman" w:cs="Times New Roman"/>
          <w:i/>
          <w:iCs/>
        </w:rPr>
        <w:t>mundane</w:t>
      </w:r>
      <w:r w:rsidRPr="00F72D54">
        <w:rPr>
          <w:rFonts w:ascii="Times New Roman" w:hAnsi="Times New Roman" w:cs="Times New Roman"/>
          <w:i/>
          <w:iCs/>
        </w:rPr>
        <w:t xml:space="preserve"> aesthetic moments by enact</w:t>
      </w:r>
      <w:r>
        <w:rPr>
          <w:rFonts w:ascii="Times New Roman" w:hAnsi="Times New Roman" w:cs="Times New Roman"/>
          <w:i/>
          <w:iCs/>
        </w:rPr>
        <w:t>ing</w:t>
      </w:r>
      <w:r w:rsidRPr="00F72D54">
        <w:rPr>
          <w:rFonts w:ascii="Times New Roman" w:hAnsi="Times New Roman" w:cs="Times New Roman"/>
          <w:i/>
          <w:iCs/>
        </w:rPr>
        <w:t xml:space="preserve"> behaviors and actions. </w:t>
      </w:r>
    </w:p>
    <w:p w14:paraId="6CEFE2D0" w14:textId="7EA79019" w:rsidR="002326A0" w:rsidRDefault="00A510A0" w:rsidP="00256B3D">
      <w:pPr>
        <w:spacing w:line="480" w:lineRule="auto"/>
        <w:rPr>
          <w:rFonts w:ascii="Times New Roman" w:hAnsi="Times New Roman" w:cs="Times New Roman"/>
        </w:rPr>
      </w:pPr>
      <w:r w:rsidRPr="00A510A0">
        <w:rPr>
          <w:rFonts w:ascii="Times New Roman" w:hAnsi="Times New Roman" w:cs="Times New Roman"/>
        </w:rPr>
        <w:lastRenderedPageBreak/>
        <w:t>This commerce-care dialectic perspective requires further validation across other occupational interaction types to understand the concept’s degree of transferability.</w:t>
      </w:r>
      <w:r>
        <w:rPr>
          <w:rFonts w:ascii="Times New Roman" w:hAnsi="Times New Roman" w:cs="Times New Roman"/>
        </w:rPr>
        <w:t xml:space="preserve"> </w:t>
      </w:r>
      <w:r w:rsidR="00256B3D" w:rsidRPr="00F72D54">
        <w:rPr>
          <w:rFonts w:ascii="Times New Roman" w:hAnsi="Times New Roman" w:cs="Times New Roman"/>
        </w:rPr>
        <w:t>Lastly, the dissertation offers practical implications for facilitating future funeral planning for funeral professionals, clients, and governmental agencies.</w:t>
      </w:r>
    </w:p>
    <w:p w14:paraId="7D501640" w14:textId="0472892B" w:rsidR="00BE0B63" w:rsidRDefault="00BE0B63" w:rsidP="00256B3D">
      <w:pPr>
        <w:spacing w:line="480" w:lineRule="auto"/>
        <w:rPr>
          <w:rFonts w:ascii="Times New Roman" w:hAnsi="Times New Roman" w:cs="Times New Roman"/>
        </w:rPr>
      </w:pPr>
    </w:p>
    <w:p w14:paraId="3904EA19" w14:textId="0C9592C2" w:rsidR="00BE0B63" w:rsidRDefault="00BE0B63" w:rsidP="00256B3D">
      <w:pPr>
        <w:spacing w:line="480" w:lineRule="auto"/>
        <w:rPr>
          <w:rFonts w:ascii="Times New Roman" w:hAnsi="Times New Roman" w:cs="Times New Roman"/>
        </w:rPr>
      </w:pPr>
    </w:p>
    <w:p w14:paraId="612BCF80" w14:textId="68C45616" w:rsidR="00BE0B63" w:rsidRDefault="00BE0B63" w:rsidP="00256B3D">
      <w:pPr>
        <w:spacing w:line="480" w:lineRule="auto"/>
        <w:rPr>
          <w:rFonts w:ascii="Times New Roman" w:hAnsi="Times New Roman" w:cs="Times New Roman"/>
        </w:rPr>
      </w:pPr>
    </w:p>
    <w:p w14:paraId="4F277C1B" w14:textId="38D10A26" w:rsidR="00BE0B63" w:rsidRDefault="00BE0B63" w:rsidP="00256B3D">
      <w:pPr>
        <w:spacing w:line="480" w:lineRule="auto"/>
        <w:rPr>
          <w:rFonts w:ascii="Times New Roman" w:hAnsi="Times New Roman" w:cs="Times New Roman"/>
        </w:rPr>
      </w:pPr>
    </w:p>
    <w:p w14:paraId="467F34B0" w14:textId="19151876" w:rsidR="00BE0B63" w:rsidRDefault="00BE0B63" w:rsidP="00256B3D">
      <w:pPr>
        <w:spacing w:line="480" w:lineRule="auto"/>
        <w:rPr>
          <w:rFonts w:ascii="Times New Roman" w:hAnsi="Times New Roman" w:cs="Times New Roman"/>
        </w:rPr>
      </w:pPr>
    </w:p>
    <w:p w14:paraId="59581625" w14:textId="23567AE3" w:rsidR="00BE0B63" w:rsidRDefault="00BE0B63" w:rsidP="00256B3D">
      <w:pPr>
        <w:spacing w:line="480" w:lineRule="auto"/>
        <w:rPr>
          <w:rFonts w:ascii="Times New Roman" w:hAnsi="Times New Roman" w:cs="Times New Roman"/>
        </w:rPr>
      </w:pPr>
    </w:p>
    <w:p w14:paraId="47B50A17" w14:textId="0750F3F8" w:rsidR="00BE0B63" w:rsidRDefault="00BE0B63" w:rsidP="00256B3D">
      <w:pPr>
        <w:spacing w:line="480" w:lineRule="auto"/>
        <w:rPr>
          <w:rFonts w:ascii="Times New Roman" w:hAnsi="Times New Roman" w:cs="Times New Roman"/>
        </w:rPr>
      </w:pPr>
    </w:p>
    <w:p w14:paraId="47AC1BE1" w14:textId="30B655B7" w:rsidR="00BE0B63" w:rsidRDefault="00BE0B63" w:rsidP="00256B3D">
      <w:pPr>
        <w:spacing w:line="480" w:lineRule="auto"/>
        <w:rPr>
          <w:rFonts w:ascii="Times New Roman" w:hAnsi="Times New Roman" w:cs="Times New Roman"/>
        </w:rPr>
      </w:pPr>
    </w:p>
    <w:p w14:paraId="5E031230" w14:textId="36DDAAEF" w:rsidR="00BE0B63" w:rsidRDefault="00BE0B63" w:rsidP="00256B3D">
      <w:pPr>
        <w:spacing w:line="480" w:lineRule="auto"/>
        <w:rPr>
          <w:rFonts w:ascii="Times New Roman" w:hAnsi="Times New Roman" w:cs="Times New Roman"/>
        </w:rPr>
      </w:pPr>
    </w:p>
    <w:p w14:paraId="70F35116" w14:textId="417AB706" w:rsidR="00BE0B63" w:rsidRDefault="00BE0B63" w:rsidP="00256B3D">
      <w:pPr>
        <w:spacing w:line="480" w:lineRule="auto"/>
        <w:rPr>
          <w:rFonts w:ascii="Times New Roman" w:hAnsi="Times New Roman" w:cs="Times New Roman"/>
        </w:rPr>
      </w:pPr>
    </w:p>
    <w:p w14:paraId="1BCC28BD" w14:textId="0243A00C" w:rsidR="00BE0B63" w:rsidRDefault="00BE0B63" w:rsidP="00256B3D">
      <w:pPr>
        <w:spacing w:line="480" w:lineRule="auto"/>
        <w:rPr>
          <w:rFonts w:ascii="Times New Roman" w:hAnsi="Times New Roman" w:cs="Times New Roman"/>
        </w:rPr>
      </w:pPr>
    </w:p>
    <w:p w14:paraId="775FA77A" w14:textId="2BA8D93A" w:rsidR="00BE0B63" w:rsidRDefault="00BE0B63" w:rsidP="00256B3D">
      <w:pPr>
        <w:spacing w:line="480" w:lineRule="auto"/>
        <w:rPr>
          <w:rFonts w:ascii="Times New Roman" w:hAnsi="Times New Roman" w:cs="Times New Roman"/>
        </w:rPr>
      </w:pPr>
    </w:p>
    <w:p w14:paraId="07A251D4" w14:textId="7929D7A0" w:rsidR="00BE0B63" w:rsidRDefault="00BE0B63" w:rsidP="00256B3D">
      <w:pPr>
        <w:spacing w:line="480" w:lineRule="auto"/>
        <w:rPr>
          <w:rFonts w:ascii="Times New Roman" w:hAnsi="Times New Roman" w:cs="Times New Roman"/>
        </w:rPr>
      </w:pPr>
    </w:p>
    <w:p w14:paraId="55421C5F" w14:textId="64473D1B" w:rsidR="00BE0B63" w:rsidRDefault="00BE0B63" w:rsidP="00256B3D">
      <w:pPr>
        <w:spacing w:line="480" w:lineRule="auto"/>
        <w:rPr>
          <w:rFonts w:ascii="Times New Roman" w:hAnsi="Times New Roman" w:cs="Times New Roman"/>
        </w:rPr>
      </w:pPr>
    </w:p>
    <w:p w14:paraId="1C00116C" w14:textId="49A92331" w:rsidR="00BE0B63" w:rsidRDefault="00BE0B63" w:rsidP="00256B3D">
      <w:pPr>
        <w:spacing w:line="480" w:lineRule="auto"/>
        <w:rPr>
          <w:rFonts w:ascii="Times New Roman" w:hAnsi="Times New Roman" w:cs="Times New Roman"/>
        </w:rPr>
      </w:pPr>
    </w:p>
    <w:p w14:paraId="78B7E929" w14:textId="4278CC58" w:rsidR="00BE0B63" w:rsidRDefault="00BE0B63" w:rsidP="00256B3D">
      <w:pPr>
        <w:spacing w:line="480" w:lineRule="auto"/>
        <w:rPr>
          <w:rFonts w:ascii="Times New Roman" w:hAnsi="Times New Roman" w:cs="Times New Roman"/>
        </w:rPr>
      </w:pPr>
    </w:p>
    <w:p w14:paraId="2F442EF3" w14:textId="65C9F817" w:rsidR="00BE0B63" w:rsidRDefault="00BE0B63" w:rsidP="00256B3D">
      <w:pPr>
        <w:spacing w:line="480" w:lineRule="auto"/>
        <w:rPr>
          <w:rFonts w:ascii="Times New Roman" w:hAnsi="Times New Roman" w:cs="Times New Roman"/>
        </w:rPr>
      </w:pPr>
    </w:p>
    <w:p w14:paraId="103F8611" w14:textId="7006E961" w:rsidR="00BE0B63" w:rsidRDefault="00BE0B63" w:rsidP="00256B3D">
      <w:pPr>
        <w:spacing w:line="480" w:lineRule="auto"/>
        <w:rPr>
          <w:rFonts w:ascii="Times New Roman" w:hAnsi="Times New Roman" w:cs="Times New Roman"/>
        </w:rPr>
      </w:pPr>
    </w:p>
    <w:p w14:paraId="543418B6" w14:textId="77777777" w:rsidR="00BE0B63" w:rsidRPr="00256B3D" w:rsidRDefault="00BE0B63" w:rsidP="00256B3D">
      <w:pPr>
        <w:spacing w:line="480" w:lineRule="auto"/>
        <w:rPr>
          <w:rFonts w:ascii="Times New Roman" w:hAnsi="Times New Roman" w:cs="Times New Roman"/>
        </w:rPr>
      </w:pPr>
    </w:p>
    <w:p w14:paraId="715429A6" w14:textId="4E0B9133" w:rsidR="000152EC" w:rsidRPr="000152EC" w:rsidRDefault="000152EC" w:rsidP="00C611ED">
      <w:pPr>
        <w:shd w:val="clear" w:color="auto" w:fill="FFFFFF"/>
        <w:spacing w:line="480" w:lineRule="auto"/>
        <w:jc w:val="center"/>
        <w:textAlignment w:val="baseline"/>
        <w:rPr>
          <w:rFonts w:ascii="Times New Roman" w:eastAsia="Times New Roman" w:hAnsi="Times New Roman" w:cs="Times New Roman"/>
          <w:b/>
          <w:bCs/>
          <w:color w:val="000000"/>
        </w:rPr>
      </w:pPr>
      <w:r w:rsidRPr="000152EC">
        <w:rPr>
          <w:rFonts w:ascii="Times New Roman" w:eastAsia="Times New Roman" w:hAnsi="Times New Roman" w:cs="Times New Roman"/>
          <w:b/>
          <w:bCs/>
          <w:color w:val="000000"/>
        </w:rPr>
        <w:lastRenderedPageBreak/>
        <w:t>References</w:t>
      </w:r>
    </w:p>
    <w:p w14:paraId="36134DFC" w14:textId="786BE579" w:rsidR="00EA1876" w:rsidRPr="00EA1876" w:rsidRDefault="000152EC" w:rsidP="00EA1876">
      <w:pPr>
        <w:pStyle w:val="EndNoteBibliography"/>
        <w:ind w:left="720" w:hanging="720"/>
        <w:rPr>
          <w:noProof/>
        </w:rPr>
      </w:pPr>
      <w:r>
        <w:rPr>
          <w:rFonts w:eastAsia="Times New Roman"/>
          <w:color w:val="000000"/>
        </w:rPr>
        <w:fldChar w:fldCharType="begin"/>
      </w:r>
      <w:r>
        <w:rPr>
          <w:rFonts w:eastAsia="Times New Roman"/>
          <w:color w:val="000000"/>
        </w:rPr>
        <w:instrText xml:space="preserve"> ADDIN EN.REFLIST </w:instrText>
      </w:r>
      <w:r>
        <w:rPr>
          <w:rFonts w:eastAsia="Times New Roman"/>
          <w:color w:val="000000"/>
        </w:rPr>
        <w:fldChar w:fldCharType="separate"/>
      </w:r>
      <w:r w:rsidR="00EA1876" w:rsidRPr="00EA1876">
        <w:rPr>
          <w:noProof/>
        </w:rPr>
        <w:t xml:space="preserve">Adamczyk, A., &amp; Liao, Y.-C. (2019). Examining public opinion about LGBTQ-related issues in the United States and across multiple nations. </w:t>
      </w:r>
      <w:r w:rsidR="00EA1876" w:rsidRPr="00EA1876">
        <w:rPr>
          <w:i/>
          <w:noProof/>
        </w:rPr>
        <w:t>Annual review of sociology, 45</w:t>
      </w:r>
      <w:r w:rsidR="00EA1876" w:rsidRPr="00EA1876">
        <w:rPr>
          <w:noProof/>
        </w:rPr>
        <w:t xml:space="preserve">(1), 401-423. </w:t>
      </w:r>
      <w:hyperlink r:id="rId11" w:history="1">
        <w:r w:rsidR="00EA1876" w:rsidRPr="00EA1876">
          <w:rPr>
            <w:rStyle w:val="Hyperlink"/>
            <w:noProof/>
          </w:rPr>
          <w:t>https://doi.org/10.1146/annurev-soc-073018-022332</w:t>
        </w:r>
      </w:hyperlink>
      <w:r w:rsidR="00EA1876" w:rsidRPr="00EA1876">
        <w:rPr>
          <w:noProof/>
        </w:rPr>
        <w:t xml:space="preserve"> </w:t>
      </w:r>
    </w:p>
    <w:p w14:paraId="5AE2C216" w14:textId="6660B547" w:rsidR="00EA1876" w:rsidRPr="00EA1876" w:rsidRDefault="00EA1876" w:rsidP="00EA1876">
      <w:pPr>
        <w:pStyle w:val="EndNoteBibliography"/>
        <w:ind w:left="720" w:hanging="720"/>
        <w:rPr>
          <w:noProof/>
        </w:rPr>
      </w:pPr>
      <w:r w:rsidRPr="00EA1876">
        <w:rPr>
          <w:noProof/>
        </w:rPr>
        <w:t xml:space="preserve">Altheide, D. L. (2007). The mass media and terrorism. </w:t>
      </w:r>
      <w:r w:rsidRPr="00EA1876">
        <w:rPr>
          <w:i/>
          <w:noProof/>
        </w:rPr>
        <w:t>Discourse &amp; Communication, 1</w:t>
      </w:r>
      <w:r w:rsidRPr="00EA1876">
        <w:rPr>
          <w:noProof/>
        </w:rPr>
        <w:t xml:space="preserve">(3), 287-308. </w:t>
      </w:r>
      <w:hyperlink r:id="rId12" w:history="1">
        <w:r w:rsidRPr="00EA1876">
          <w:rPr>
            <w:rStyle w:val="Hyperlink"/>
            <w:noProof/>
          </w:rPr>
          <w:t>https://doi.org/10.1177/1750481307079207</w:t>
        </w:r>
      </w:hyperlink>
      <w:r w:rsidRPr="00EA1876">
        <w:rPr>
          <w:noProof/>
        </w:rPr>
        <w:t xml:space="preserve"> </w:t>
      </w:r>
    </w:p>
    <w:p w14:paraId="32282B7E" w14:textId="799E23EF" w:rsidR="00EA1876" w:rsidRPr="00EA1876" w:rsidRDefault="00EA1876" w:rsidP="00EA1876">
      <w:pPr>
        <w:pStyle w:val="EndNoteBibliography"/>
        <w:ind w:left="720" w:hanging="720"/>
        <w:rPr>
          <w:noProof/>
        </w:rPr>
      </w:pPr>
      <w:r w:rsidRPr="00EA1876">
        <w:rPr>
          <w:noProof/>
        </w:rPr>
        <w:t xml:space="preserve">Alvarez, C. F., Scharp, K. M., &amp; Friz, A. M. (2023). “I am a binary trans man and I love being pregnant”: Making meaning of pregnancy in seahorse dad narratives. </w:t>
      </w:r>
      <w:r w:rsidRPr="00EA1876">
        <w:rPr>
          <w:i/>
          <w:noProof/>
        </w:rPr>
        <w:t>Journal of Social and Personal relationships, 40</w:t>
      </w:r>
      <w:r w:rsidRPr="00EA1876">
        <w:rPr>
          <w:noProof/>
        </w:rPr>
        <w:t xml:space="preserve">(9), 3028-3050. </w:t>
      </w:r>
      <w:hyperlink r:id="rId13" w:history="1">
        <w:r w:rsidRPr="00EA1876">
          <w:rPr>
            <w:rStyle w:val="Hyperlink"/>
            <w:noProof/>
          </w:rPr>
          <w:t>https://doi.org/10.1177/02654075231165700</w:t>
        </w:r>
      </w:hyperlink>
      <w:r w:rsidRPr="00EA1876">
        <w:rPr>
          <w:noProof/>
        </w:rPr>
        <w:t xml:space="preserve"> </w:t>
      </w:r>
    </w:p>
    <w:p w14:paraId="775A12F9" w14:textId="6E027037" w:rsidR="00EA1876" w:rsidRPr="00EA1876" w:rsidRDefault="00EA1876" w:rsidP="00EA1876">
      <w:pPr>
        <w:pStyle w:val="EndNoteBibliography"/>
        <w:ind w:left="720" w:hanging="720"/>
        <w:rPr>
          <w:noProof/>
        </w:rPr>
      </w:pPr>
      <w:r w:rsidRPr="00EA1876">
        <w:rPr>
          <w:noProof/>
        </w:rPr>
        <w:t xml:space="preserve">Amati, R., &amp; Hannawa, A. F. (2014). Relational dialectics theory: disentangling physician-perceived tensions of end-of-life communication. </w:t>
      </w:r>
      <w:r w:rsidRPr="00EA1876">
        <w:rPr>
          <w:i/>
          <w:noProof/>
        </w:rPr>
        <w:t>Health Communication, 29</w:t>
      </w:r>
      <w:r w:rsidRPr="00EA1876">
        <w:rPr>
          <w:noProof/>
        </w:rPr>
        <w:t xml:space="preserve">(10), 962-973. </w:t>
      </w:r>
      <w:hyperlink r:id="rId14" w:history="1">
        <w:r w:rsidRPr="00EA1876">
          <w:rPr>
            <w:rStyle w:val="Hyperlink"/>
            <w:noProof/>
          </w:rPr>
          <w:t>https://doi.org/10.1080/10410236.2013.815533</w:t>
        </w:r>
      </w:hyperlink>
      <w:r w:rsidRPr="00EA1876">
        <w:rPr>
          <w:noProof/>
        </w:rPr>
        <w:t xml:space="preserve"> </w:t>
      </w:r>
    </w:p>
    <w:p w14:paraId="563F5285" w14:textId="1773BAB1" w:rsidR="00EA1876" w:rsidRPr="00EA1876" w:rsidRDefault="00EA1876" w:rsidP="00EA1876">
      <w:pPr>
        <w:pStyle w:val="EndNoteBibliography"/>
        <w:ind w:left="720" w:hanging="720"/>
        <w:rPr>
          <w:noProof/>
        </w:rPr>
      </w:pPr>
      <w:r w:rsidRPr="00EA1876">
        <w:rPr>
          <w:noProof/>
        </w:rPr>
        <w:t xml:space="preserve">Apker, J., Ptacek, J., Beach, C., &amp; Wears, R. (2016). Exploring role dialectics in inter-service admission handoffs: a qualitative analysis of physician communication. </w:t>
      </w:r>
      <w:r w:rsidRPr="00EA1876">
        <w:rPr>
          <w:i/>
          <w:noProof/>
        </w:rPr>
        <w:t>Journal of Applied Communication Research, 44</w:t>
      </w:r>
      <w:r w:rsidRPr="00EA1876">
        <w:rPr>
          <w:noProof/>
        </w:rPr>
        <w:t xml:space="preserve">(4), 399-414. </w:t>
      </w:r>
      <w:hyperlink r:id="rId15" w:history="1">
        <w:r w:rsidRPr="00EA1876">
          <w:rPr>
            <w:rStyle w:val="Hyperlink"/>
            <w:noProof/>
          </w:rPr>
          <w:t>https://doi.org/10.1080/00909882.2016.1225164</w:t>
        </w:r>
      </w:hyperlink>
      <w:r w:rsidRPr="00EA1876">
        <w:rPr>
          <w:noProof/>
        </w:rPr>
        <w:t xml:space="preserve"> </w:t>
      </w:r>
    </w:p>
    <w:p w14:paraId="50668BBB" w14:textId="30D3ACA8" w:rsidR="00EA1876" w:rsidRPr="00EA1876" w:rsidRDefault="00EA1876" w:rsidP="00EA1876">
      <w:pPr>
        <w:pStyle w:val="EndNoteBibliography"/>
        <w:ind w:left="720" w:hanging="720"/>
        <w:rPr>
          <w:noProof/>
        </w:rPr>
      </w:pPr>
      <w:r w:rsidRPr="00EA1876">
        <w:rPr>
          <w:noProof/>
        </w:rPr>
        <w:t xml:space="preserve">Aries, P. (1974). The reversal of death: changes in attitudes toward death in western societies. </w:t>
      </w:r>
      <w:r w:rsidRPr="00EA1876">
        <w:rPr>
          <w:i/>
          <w:noProof/>
        </w:rPr>
        <w:t>American Quarterly, 26</w:t>
      </w:r>
      <w:r w:rsidRPr="00EA1876">
        <w:rPr>
          <w:noProof/>
        </w:rPr>
        <w:t xml:space="preserve">(5), 536-560. </w:t>
      </w:r>
      <w:hyperlink r:id="rId16" w:history="1">
        <w:r w:rsidRPr="00EA1876">
          <w:rPr>
            <w:rStyle w:val="Hyperlink"/>
            <w:noProof/>
          </w:rPr>
          <w:t>https://doi.org/10.2307/2711889</w:t>
        </w:r>
      </w:hyperlink>
      <w:r w:rsidRPr="00EA1876">
        <w:rPr>
          <w:noProof/>
        </w:rPr>
        <w:t xml:space="preserve"> </w:t>
      </w:r>
    </w:p>
    <w:p w14:paraId="130371D5" w14:textId="77777777" w:rsidR="00EA1876" w:rsidRPr="00EA1876" w:rsidRDefault="00EA1876" w:rsidP="00EA1876">
      <w:pPr>
        <w:pStyle w:val="EndNoteBibliography"/>
        <w:ind w:left="720" w:hanging="720"/>
        <w:rPr>
          <w:noProof/>
        </w:rPr>
      </w:pPr>
      <w:r w:rsidRPr="00EA1876">
        <w:rPr>
          <w:noProof/>
        </w:rPr>
        <w:t xml:space="preserve">Ariès, P. (1981). </w:t>
      </w:r>
      <w:r w:rsidRPr="00EA1876">
        <w:rPr>
          <w:i/>
          <w:noProof/>
        </w:rPr>
        <w:t>The hour of our death</w:t>
      </w:r>
      <w:r w:rsidRPr="00EA1876">
        <w:rPr>
          <w:noProof/>
        </w:rPr>
        <w:t xml:space="preserve"> (H. Weaver, Trans.; First American edition ed.). Knopf : Distributed by Random House. </w:t>
      </w:r>
    </w:p>
    <w:p w14:paraId="0861CDC3" w14:textId="4E4F217D" w:rsidR="00EA1876" w:rsidRPr="00EA1876" w:rsidRDefault="00EA1876" w:rsidP="00EA1876">
      <w:pPr>
        <w:pStyle w:val="EndNoteBibliography"/>
        <w:ind w:left="720" w:hanging="720"/>
        <w:rPr>
          <w:noProof/>
        </w:rPr>
      </w:pPr>
      <w:r w:rsidRPr="00EA1876">
        <w:rPr>
          <w:noProof/>
        </w:rPr>
        <w:lastRenderedPageBreak/>
        <w:t xml:space="preserve">Armour, R. A., &amp; Williams, J. C. (1981). Image making and advertising in the funeral industry. </w:t>
      </w:r>
      <w:r w:rsidRPr="00EA1876">
        <w:rPr>
          <w:i/>
          <w:noProof/>
        </w:rPr>
        <w:t>Journal of popular culture, 14</w:t>
      </w:r>
      <w:r w:rsidRPr="00EA1876">
        <w:rPr>
          <w:noProof/>
        </w:rPr>
        <w:t xml:space="preserve">(4), 701-710. </w:t>
      </w:r>
      <w:hyperlink r:id="rId17" w:history="1">
        <w:r w:rsidRPr="00EA1876">
          <w:rPr>
            <w:rStyle w:val="Hyperlink"/>
            <w:noProof/>
          </w:rPr>
          <w:t>https://doi.org/10.1111/j.0022-3840.1981.00701.x</w:t>
        </w:r>
      </w:hyperlink>
      <w:r w:rsidRPr="00EA1876">
        <w:rPr>
          <w:noProof/>
        </w:rPr>
        <w:t xml:space="preserve"> </w:t>
      </w:r>
    </w:p>
    <w:p w14:paraId="7261C01B" w14:textId="77777777" w:rsidR="00EA1876" w:rsidRPr="00EA1876" w:rsidRDefault="00EA1876" w:rsidP="00EA1876">
      <w:pPr>
        <w:pStyle w:val="EndNoteBibliography"/>
        <w:ind w:left="720" w:hanging="720"/>
        <w:rPr>
          <w:noProof/>
        </w:rPr>
      </w:pPr>
      <w:r w:rsidRPr="00EA1876">
        <w:rPr>
          <w:noProof/>
        </w:rPr>
        <w:t xml:space="preserve">Assmann, J. (1989). Death and initiation in the funerary religion of ancient Egypt. In W. K. Simpson (Ed.), </w:t>
      </w:r>
      <w:r w:rsidRPr="00EA1876">
        <w:rPr>
          <w:i/>
          <w:noProof/>
        </w:rPr>
        <w:t>Religion and Philosophy in Ancient Egypt (Yale Egyptological Studies)</w:t>
      </w:r>
      <w:r w:rsidRPr="00EA1876">
        <w:rPr>
          <w:noProof/>
        </w:rPr>
        <w:t xml:space="preserve"> (pp. 135-159). Yale Egyptological Seminar. </w:t>
      </w:r>
    </w:p>
    <w:p w14:paraId="2D870EE1" w14:textId="2A5AD616" w:rsidR="00EA1876" w:rsidRPr="00EA1876" w:rsidRDefault="00EA1876" w:rsidP="00EA1876">
      <w:pPr>
        <w:pStyle w:val="EndNoteBibliography"/>
        <w:ind w:left="720" w:hanging="720"/>
        <w:rPr>
          <w:noProof/>
        </w:rPr>
      </w:pPr>
      <w:r w:rsidRPr="00EA1876">
        <w:rPr>
          <w:noProof/>
        </w:rPr>
        <w:t xml:space="preserve">Bailey, T. (2010). When commerce meets care: Emotion management in UK funeral directing. </w:t>
      </w:r>
      <w:r w:rsidRPr="00EA1876">
        <w:rPr>
          <w:i/>
          <w:noProof/>
        </w:rPr>
        <w:t>Mortality, 15</w:t>
      </w:r>
      <w:r w:rsidRPr="00EA1876">
        <w:rPr>
          <w:noProof/>
        </w:rPr>
        <w:t xml:space="preserve">(3), 205-222. </w:t>
      </w:r>
      <w:hyperlink r:id="rId18" w:history="1">
        <w:r w:rsidRPr="00EA1876">
          <w:rPr>
            <w:rStyle w:val="Hyperlink"/>
            <w:noProof/>
          </w:rPr>
          <w:t>https://doi.org/10.1080/13576275.2010.496613</w:t>
        </w:r>
      </w:hyperlink>
      <w:r w:rsidRPr="00EA1876">
        <w:rPr>
          <w:noProof/>
        </w:rPr>
        <w:t xml:space="preserve"> </w:t>
      </w:r>
    </w:p>
    <w:p w14:paraId="5813E2FC" w14:textId="77777777" w:rsidR="00EA1876" w:rsidRPr="00EA1876" w:rsidRDefault="00EA1876" w:rsidP="00EA1876">
      <w:pPr>
        <w:pStyle w:val="EndNoteBibliography"/>
        <w:ind w:left="720" w:hanging="720"/>
        <w:rPr>
          <w:noProof/>
        </w:rPr>
      </w:pPr>
      <w:r w:rsidRPr="00EA1876">
        <w:rPr>
          <w:noProof/>
        </w:rPr>
        <w:t xml:space="preserve">Bakhtin, M. M. (1981a). </w:t>
      </w:r>
      <w:r w:rsidRPr="00EA1876">
        <w:rPr>
          <w:i/>
          <w:noProof/>
        </w:rPr>
        <w:t>The dialogic imagination: Four essays</w:t>
      </w:r>
      <w:r w:rsidRPr="00EA1876">
        <w:rPr>
          <w:noProof/>
        </w:rPr>
        <w:t xml:space="preserve"> (C. Emerson &amp; M. Holquist, Trans.). University of Texas Press. </w:t>
      </w:r>
    </w:p>
    <w:p w14:paraId="779E7075" w14:textId="77777777" w:rsidR="00EA1876" w:rsidRPr="00EA1876" w:rsidRDefault="00EA1876" w:rsidP="00EA1876">
      <w:pPr>
        <w:pStyle w:val="EndNoteBibliography"/>
        <w:ind w:left="720" w:hanging="720"/>
        <w:rPr>
          <w:noProof/>
        </w:rPr>
      </w:pPr>
      <w:r w:rsidRPr="00EA1876">
        <w:rPr>
          <w:noProof/>
        </w:rPr>
        <w:t xml:space="preserve">Bakhtin, M. M. (1981b). Discourse in the novel. In J. Rivkin, &amp; Ryan, M. (Ed.), </w:t>
      </w:r>
      <w:r w:rsidRPr="00EA1876">
        <w:rPr>
          <w:i/>
          <w:noProof/>
        </w:rPr>
        <w:t>Literary theory: An anthology</w:t>
      </w:r>
      <w:r w:rsidRPr="00EA1876">
        <w:rPr>
          <w:noProof/>
        </w:rPr>
        <w:t xml:space="preserve"> (pp. 674-685). Wiley-Blackwell. </w:t>
      </w:r>
    </w:p>
    <w:p w14:paraId="24032691" w14:textId="77777777" w:rsidR="00EA1876" w:rsidRPr="00EA1876" w:rsidRDefault="00EA1876" w:rsidP="00EA1876">
      <w:pPr>
        <w:pStyle w:val="EndNoteBibliography"/>
        <w:ind w:left="720" w:hanging="720"/>
        <w:rPr>
          <w:noProof/>
        </w:rPr>
      </w:pPr>
      <w:r w:rsidRPr="00EA1876">
        <w:rPr>
          <w:noProof/>
        </w:rPr>
        <w:t xml:space="preserve">Bakhtin, M. M. (1984). </w:t>
      </w:r>
      <w:r w:rsidRPr="00EA1876">
        <w:rPr>
          <w:i/>
          <w:noProof/>
        </w:rPr>
        <w:t>Problems of Dostoevsky’s Poetics</w:t>
      </w:r>
      <w:r w:rsidRPr="00EA1876">
        <w:rPr>
          <w:noProof/>
        </w:rPr>
        <w:t xml:space="preserve"> (C. Emerson, Ed. &amp; Trans.). University of Minnesota Press. </w:t>
      </w:r>
    </w:p>
    <w:p w14:paraId="0732ED0D" w14:textId="77777777" w:rsidR="00EA1876" w:rsidRPr="00EA1876" w:rsidRDefault="00EA1876" w:rsidP="00EA1876">
      <w:pPr>
        <w:pStyle w:val="EndNoteBibliography"/>
        <w:ind w:left="720" w:hanging="720"/>
        <w:rPr>
          <w:noProof/>
        </w:rPr>
      </w:pPr>
      <w:r w:rsidRPr="00EA1876">
        <w:rPr>
          <w:noProof/>
        </w:rPr>
        <w:t xml:space="preserve">Bakhtin, M. M. (1986). </w:t>
      </w:r>
      <w:r w:rsidRPr="00EA1876">
        <w:rPr>
          <w:i/>
          <w:noProof/>
        </w:rPr>
        <w:t>Speech genres and other late essays</w:t>
      </w:r>
      <w:r w:rsidRPr="00EA1876">
        <w:rPr>
          <w:noProof/>
        </w:rPr>
        <w:t xml:space="preserve"> (V. W. McGee, Trans.). University of Texas Press. </w:t>
      </w:r>
    </w:p>
    <w:p w14:paraId="5FAD50A1" w14:textId="77777777" w:rsidR="00EA1876" w:rsidRPr="00EA1876" w:rsidRDefault="00EA1876" w:rsidP="00EA1876">
      <w:pPr>
        <w:pStyle w:val="EndNoteBibliography"/>
        <w:ind w:left="720" w:hanging="720"/>
        <w:rPr>
          <w:noProof/>
        </w:rPr>
      </w:pPr>
      <w:r w:rsidRPr="00EA1876">
        <w:rPr>
          <w:noProof/>
        </w:rPr>
        <w:t xml:space="preserve">Bakhtin, M. M. (1990). </w:t>
      </w:r>
      <w:r w:rsidRPr="00EA1876">
        <w:rPr>
          <w:i/>
          <w:noProof/>
        </w:rPr>
        <w:t>Art and answerability: Early philosophical essays</w:t>
      </w:r>
      <w:r w:rsidRPr="00EA1876">
        <w:rPr>
          <w:noProof/>
        </w:rPr>
        <w:t xml:space="preserve"> (V. Liapunov, Trans.). University of Texas Press. </w:t>
      </w:r>
    </w:p>
    <w:p w14:paraId="7A76145F" w14:textId="08BDBC0A" w:rsidR="00EA1876" w:rsidRPr="00EA1876" w:rsidRDefault="00EA1876" w:rsidP="00EA1876">
      <w:pPr>
        <w:pStyle w:val="EndNoteBibliography"/>
        <w:ind w:left="720" w:hanging="720"/>
        <w:rPr>
          <w:noProof/>
        </w:rPr>
      </w:pPr>
      <w:r w:rsidRPr="00EA1876">
        <w:rPr>
          <w:noProof/>
        </w:rPr>
        <w:t xml:space="preserve">Banas, J. A., Dunbar, N., Rodriguez, D., &amp; Liu, S.-J. (2011). A Review of Humor in Educational Settings: Four Decades of Research. </w:t>
      </w:r>
      <w:r w:rsidRPr="00EA1876">
        <w:rPr>
          <w:i/>
          <w:noProof/>
        </w:rPr>
        <w:t>Communication Education, 60</w:t>
      </w:r>
      <w:r w:rsidRPr="00EA1876">
        <w:rPr>
          <w:noProof/>
        </w:rPr>
        <w:t xml:space="preserve">(1), 115-144. </w:t>
      </w:r>
      <w:hyperlink r:id="rId19" w:history="1">
        <w:r w:rsidRPr="00EA1876">
          <w:rPr>
            <w:rStyle w:val="Hyperlink"/>
            <w:noProof/>
          </w:rPr>
          <w:t>https://doi.org/10.1080/03634523.2010.496867</w:t>
        </w:r>
      </w:hyperlink>
      <w:r w:rsidRPr="00EA1876">
        <w:rPr>
          <w:noProof/>
        </w:rPr>
        <w:t xml:space="preserve"> </w:t>
      </w:r>
    </w:p>
    <w:p w14:paraId="40012C1F" w14:textId="059838C7" w:rsidR="00EA1876" w:rsidRPr="00EA1876" w:rsidRDefault="00EA1876" w:rsidP="00EA1876">
      <w:pPr>
        <w:pStyle w:val="EndNoteBibliography"/>
        <w:ind w:left="720" w:hanging="720"/>
        <w:rPr>
          <w:noProof/>
        </w:rPr>
      </w:pPr>
      <w:r w:rsidRPr="00EA1876">
        <w:rPr>
          <w:noProof/>
        </w:rPr>
        <w:lastRenderedPageBreak/>
        <w:t xml:space="preserve">Barker, J. R., &amp; Cheney, G. (1994). The concept and the practices of discipline in contemporary organizational life. </w:t>
      </w:r>
      <w:r w:rsidRPr="00EA1876">
        <w:rPr>
          <w:i/>
          <w:noProof/>
        </w:rPr>
        <w:t>Communication Monographs, 61</w:t>
      </w:r>
      <w:r w:rsidRPr="00EA1876">
        <w:rPr>
          <w:noProof/>
        </w:rPr>
        <w:t xml:space="preserve">(1), 19-43. </w:t>
      </w:r>
      <w:hyperlink r:id="rId20" w:history="1">
        <w:r w:rsidRPr="00EA1876">
          <w:rPr>
            <w:rStyle w:val="Hyperlink"/>
            <w:noProof/>
          </w:rPr>
          <w:t>https://doi.org/10.1080/03637759409376321</w:t>
        </w:r>
      </w:hyperlink>
      <w:r w:rsidRPr="00EA1876">
        <w:rPr>
          <w:noProof/>
        </w:rPr>
        <w:t xml:space="preserve"> </w:t>
      </w:r>
    </w:p>
    <w:p w14:paraId="22A11CF7" w14:textId="5CF07423" w:rsidR="00EA1876" w:rsidRPr="00EA1876" w:rsidRDefault="00EA1876" w:rsidP="00EA1876">
      <w:pPr>
        <w:pStyle w:val="EndNoteBibliography"/>
        <w:ind w:left="720" w:hanging="720"/>
        <w:rPr>
          <w:noProof/>
        </w:rPr>
      </w:pPr>
      <w:r w:rsidRPr="00EA1876">
        <w:rPr>
          <w:noProof/>
        </w:rPr>
        <w:t xml:space="preserve">Barley, S. R. (1983). The codes of the dead - the semiotics of funeral work. </w:t>
      </w:r>
      <w:r w:rsidRPr="00EA1876">
        <w:rPr>
          <w:i/>
          <w:noProof/>
        </w:rPr>
        <w:t>Urban Life, 12</w:t>
      </w:r>
      <w:r w:rsidRPr="00EA1876">
        <w:rPr>
          <w:noProof/>
        </w:rPr>
        <w:t xml:space="preserve">(1), 3-31. </w:t>
      </w:r>
      <w:hyperlink r:id="rId21" w:history="1">
        <w:r w:rsidRPr="00EA1876">
          <w:rPr>
            <w:rStyle w:val="Hyperlink"/>
            <w:noProof/>
          </w:rPr>
          <w:t>https://doi.org/10.1177/0098303983012001001</w:t>
        </w:r>
      </w:hyperlink>
      <w:r w:rsidRPr="00EA1876">
        <w:rPr>
          <w:noProof/>
        </w:rPr>
        <w:t xml:space="preserve"> </w:t>
      </w:r>
    </w:p>
    <w:p w14:paraId="463286CE" w14:textId="5DE3F3A6" w:rsidR="00EA1876" w:rsidRPr="00EA1876" w:rsidRDefault="00EA1876" w:rsidP="00EA1876">
      <w:pPr>
        <w:pStyle w:val="EndNoteBibliography"/>
        <w:ind w:left="720" w:hanging="720"/>
        <w:rPr>
          <w:noProof/>
        </w:rPr>
      </w:pPr>
      <w:r w:rsidRPr="00EA1876">
        <w:rPr>
          <w:noProof/>
        </w:rPr>
        <w:t xml:space="preserve">Baxster, J. (2011). Survival or success? A critical exploration of the use of ‘double-voiced discourse’ by women business leaders in the UK. </w:t>
      </w:r>
      <w:r w:rsidRPr="00EA1876">
        <w:rPr>
          <w:i/>
          <w:noProof/>
        </w:rPr>
        <w:t>Discourse &amp; Communication, 5</w:t>
      </w:r>
      <w:r w:rsidRPr="00EA1876">
        <w:rPr>
          <w:noProof/>
        </w:rPr>
        <w:t xml:space="preserve">(3), 231-245. </w:t>
      </w:r>
      <w:hyperlink r:id="rId22" w:history="1">
        <w:r w:rsidRPr="00EA1876">
          <w:rPr>
            <w:rStyle w:val="Hyperlink"/>
            <w:noProof/>
          </w:rPr>
          <w:t>https://doi.org/10.1177/1750481311405590</w:t>
        </w:r>
      </w:hyperlink>
      <w:r w:rsidRPr="00EA1876">
        <w:rPr>
          <w:noProof/>
        </w:rPr>
        <w:t xml:space="preserve"> </w:t>
      </w:r>
    </w:p>
    <w:p w14:paraId="4456443B" w14:textId="100ECA45" w:rsidR="00EA1876" w:rsidRPr="00EA1876" w:rsidRDefault="00EA1876" w:rsidP="00EA1876">
      <w:pPr>
        <w:pStyle w:val="EndNoteBibliography"/>
        <w:ind w:left="720" w:hanging="720"/>
        <w:rPr>
          <w:noProof/>
        </w:rPr>
      </w:pPr>
      <w:r w:rsidRPr="00EA1876">
        <w:rPr>
          <w:noProof/>
        </w:rPr>
        <w:t xml:space="preserve">Baxter, L. A. (1990). Dialectical contradictions in relationship development. </w:t>
      </w:r>
      <w:r w:rsidRPr="00EA1876">
        <w:rPr>
          <w:i/>
          <w:noProof/>
        </w:rPr>
        <w:t>Journal of Social and Personal relationships, 7</w:t>
      </w:r>
      <w:r w:rsidRPr="00EA1876">
        <w:rPr>
          <w:noProof/>
        </w:rPr>
        <w:t xml:space="preserve">(1), 69-88. </w:t>
      </w:r>
      <w:hyperlink r:id="rId23" w:history="1">
        <w:r w:rsidRPr="00EA1876">
          <w:rPr>
            <w:rStyle w:val="Hyperlink"/>
            <w:noProof/>
          </w:rPr>
          <w:t>https://doi.org/10.1177/0265407590071004</w:t>
        </w:r>
      </w:hyperlink>
      <w:r w:rsidRPr="00EA1876">
        <w:rPr>
          <w:noProof/>
        </w:rPr>
        <w:t xml:space="preserve"> </w:t>
      </w:r>
    </w:p>
    <w:p w14:paraId="3E05C1EA" w14:textId="77777777" w:rsidR="00EA1876" w:rsidRPr="00EA1876" w:rsidRDefault="00EA1876" w:rsidP="00EA1876">
      <w:pPr>
        <w:pStyle w:val="EndNoteBibliography"/>
        <w:ind w:left="720" w:hanging="720"/>
        <w:rPr>
          <w:noProof/>
        </w:rPr>
      </w:pPr>
      <w:r w:rsidRPr="00EA1876">
        <w:rPr>
          <w:noProof/>
        </w:rPr>
        <w:t xml:space="preserve">Baxter, L. A. (2011). </w:t>
      </w:r>
      <w:r w:rsidRPr="00EA1876">
        <w:rPr>
          <w:i/>
          <w:noProof/>
        </w:rPr>
        <w:t>Voicing relationships: a dialogic perspective</w:t>
      </w:r>
      <w:r w:rsidRPr="00EA1876">
        <w:rPr>
          <w:noProof/>
        </w:rPr>
        <w:t xml:space="preserve">. SAGE Publications, Inc. </w:t>
      </w:r>
    </w:p>
    <w:p w14:paraId="4C1E5FD4" w14:textId="7AA52236" w:rsidR="00EA1876" w:rsidRPr="00EA1876" w:rsidRDefault="00EA1876" w:rsidP="00EA1876">
      <w:pPr>
        <w:pStyle w:val="EndNoteBibliography"/>
        <w:ind w:left="720" w:hanging="720"/>
        <w:rPr>
          <w:noProof/>
        </w:rPr>
      </w:pPr>
      <w:r w:rsidRPr="00EA1876">
        <w:rPr>
          <w:noProof/>
        </w:rPr>
        <w:t xml:space="preserve">Baxter, L. A., &amp; Braithwaite, D. O. (2002). Performing marriage: Marriage renewal rituals as cultural performance. </w:t>
      </w:r>
      <w:r w:rsidRPr="00EA1876">
        <w:rPr>
          <w:i/>
          <w:noProof/>
        </w:rPr>
        <w:t>Southern Communication Journal, 67</w:t>
      </w:r>
      <w:r w:rsidRPr="00EA1876">
        <w:rPr>
          <w:noProof/>
        </w:rPr>
        <w:t xml:space="preserve">(2), 94-109. </w:t>
      </w:r>
      <w:hyperlink r:id="rId24" w:history="1">
        <w:r w:rsidRPr="00EA1876">
          <w:rPr>
            <w:rStyle w:val="Hyperlink"/>
            <w:noProof/>
          </w:rPr>
          <w:t>https://doi.org/10.1080/10417940209373223</w:t>
        </w:r>
      </w:hyperlink>
      <w:r w:rsidRPr="00EA1876">
        <w:rPr>
          <w:noProof/>
        </w:rPr>
        <w:t xml:space="preserve"> </w:t>
      </w:r>
    </w:p>
    <w:p w14:paraId="2DD21DB4" w14:textId="77777777" w:rsidR="00EA1876" w:rsidRPr="00EA1876" w:rsidRDefault="00EA1876" w:rsidP="00EA1876">
      <w:pPr>
        <w:pStyle w:val="EndNoteBibliography"/>
        <w:ind w:left="720" w:hanging="720"/>
        <w:rPr>
          <w:noProof/>
        </w:rPr>
      </w:pPr>
      <w:r w:rsidRPr="00EA1876">
        <w:rPr>
          <w:noProof/>
        </w:rPr>
        <w:t xml:space="preserve">Baxter, L. A., &amp; Braithwaite, D. O. (2006). Family Rituals. In L. H. Turner, &amp; West, R. (Ed.), </w:t>
      </w:r>
      <w:r w:rsidRPr="00EA1876">
        <w:rPr>
          <w:i/>
          <w:noProof/>
        </w:rPr>
        <w:t>The family communication sourcebook.</w:t>
      </w:r>
      <w:r w:rsidRPr="00EA1876">
        <w:rPr>
          <w:noProof/>
        </w:rPr>
        <w:t xml:space="preserve"> (pp. 259-280). Sage Publications, Inc. </w:t>
      </w:r>
    </w:p>
    <w:p w14:paraId="562EAF16" w14:textId="77777777" w:rsidR="00EA1876" w:rsidRPr="00EA1876" w:rsidRDefault="00EA1876" w:rsidP="00EA1876">
      <w:pPr>
        <w:pStyle w:val="EndNoteBibliography"/>
        <w:ind w:left="720" w:hanging="720"/>
        <w:rPr>
          <w:noProof/>
        </w:rPr>
      </w:pPr>
      <w:r w:rsidRPr="00EA1876">
        <w:rPr>
          <w:noProof/>
        </w:rPr>
        <w:t xml:space="preserve">Baxter, L. A., &amp; Braithwaite, D. O. (2010). Relational dialectics theory, applied. In S. W. Smith &amp; S. R. Wilson (Eds.), </w:t>
      </w:r>
      <w:r w:rsidRPr="00EA1876">
        <w:rPr>
          <w:i/>
          <w:noProof/>
        </w:rPr>
        <w:t>New directions in interpersonal communication research</w:t>
      </w:r>
      <w:r w:rsidRPr="00EA1876">
        <w:rPr>
          <w:noProof/>
        </w:rPr>
        <w:t xml:space="preserve">. SAGE Publications, Inc. </w:t>
      </w:r>
    </w:p>
    <w:p w14:paraId="2D06340B" w14:textId="6E18799E" w:rsidR="00EA1876" w:rsidRPr="00EA1876" w:rsidRDefault="00EA1876" w:rsidP="00EA1876">
      <w:pPr>
        <w:pStyle w:val="EndNoteBibliography"/>
        <w:ind w:left="720" w:hanging="720"/>
        <w:rPr>
          <w:noProof/>
        </w:rPr>
      </w:pPr>
      <w:r w:rsidRPr="00EA1876">
        <w:rPr>
          <w:noProof/>
        </w:rPr>
        <w:t xml:space="preserve">Baxter, L. A., Braithwaite, D. O., Golish, T. D., &amp; Olson, L. N. (2002). Contradictions of interaction for wives of elderly husbands with adult dementia. </w:t>
      </w:r>
      <w:r w:rsidRPr="00EA1876">
        <w:rPr>
          <w:i/>
          <w:noProof/>
        </w:rPr>
        <w:t>Journal of Applied Communication Research, 30</w:t>
      </w:r>
      <w:r w:rsidRPr="00EA1876">
        <w:rPr>
          <w:noProof/>
        </w:rPr>
        <w:t xml:space="preserve">(1), 1-26. </w:t>
      </w:r>
      <w:hyperlink r:id="rId25" w:history="1">
        <w:r w:rsidRPr="00EA1876">
          <w:rPr>
            <w:rStyle w:val="Hyperlink"/>
            <w:noProof/>
          </w:rPr>
          <w:t>https://doi.org/10.1080/00909880216576</w:t>
        </w:r>
      </w:hyperlink>
      <w:r w:rsidRPr="00EA1876">
        <w:rPr>
          <w:noProof/>
        </w:rPr>
        <w:t xml:space="preserve"> </w:t>
      </w:r>
    </w:p>
    <w:p w14:paraId="02E5A376" w14:textId="1244056A" w:rsidR="00EA1876" w:rsidRPr="00EA1876" w:rsidRDefault="00EA1876" w:rsidP="00EA1876">
      <w:pPr>
        <w:pStyle w:val="EndNoteBibliography"/>
        <w:ind w:left="720" w:hanging="720"/>
        <w:rPr>
          <w:noProof/>
        </w:rPr>
      </w:pPr>
      <w:r w:rsidRPr="00EA1876">
        <w:rPr>
          <w:noProof/>
        </w:rPr>
        <w:lastRenderedPageBreak/>
        <w:t xml:space="preserve">Baxter, L. A., &amp; Bullis, C. (1986). Turning points in developing romantic relationships. </w:t>
      </w:r>
      <w:r w:rsidRPr="00EA1876">
        <w:rPr>
          <w:i/>
          <w:noProof/>
        </w:rPr>
        <w:t>Human Communication Research, 12</w:t>
      </w:r>
      <w:r w:rsidRPr="00EA1876">
        <w:rPr>
          <w:noProof/>
        </w:rPr>
        <w:t xml:space="preserve">(4), 469-493. </w:t>
      </w:r>
      <w:hyperlink r:id="rId26" w:history="1">
        <w:r w:rsidRPr="00EA1876">
          <w:rPr>
            <w:rStyle w:val="Hyperlink"/>
            <w:noProof/>
          </w:rPr>
          <w:t>https://doi.org/j.1468-2958.1986.tb00088.x</w:t>
        </w:r>
      </w:hyperlink>
      <w:r w:rsidRPr="00EA1876">
        <w:rPr>
          <w:noProof/>
        </w:rPr>
        <w:t xml:space="preserve"> </w:t>
      </w:r>
    </w:p>
    <w:p w14:paraId="2B7038BA" w14:textId="27B43A99" w:rsidR="00EA1876" w:rsidRPr="00EA1876" w:rsidRDefault="00EA1876" w:rsidP="00EA1876">
      <w:pPr>
        <w:pStyle w:val="EndNoteBibliography"/>
        <w:ind w:left="720" w:hanging="720"/>
        <w:rPr>
          <w:noProof/>
        </w:rPr>
      </w:pPr>
      <w:r w:rsidRPr="00EA1876">
        <w:rPr>
          <w:noProof/>
        </w:rPr>
        <w:t xml:space="preserve">Baxter, L. A., &amp; Erbert, L. A. (1999). Perceptions of dialectical contradictions in turning points of development in heterosexual romantic relationships. </w:t>
      </w:r>
      <w:r w:rsidRPr="00EA1876">
        <w:rPr>
          <w:i/>
          <w:noProof/>
        </w:rPr>
        <w:t>Journal of Social and Personal relationships, 16</w:t>
      </w:r>
      <w:r w:rsidRPr="00EA1876">
        <w:rPr>
          <w:noProof/>
        </w:rPr>
        <w:t xml:space="preserve">(5), 547-569. </w:t>
      </w:r>
      <w:hyperlink r:id="rId27" w:history="1">
        <w:r w:rsidRPr="00EA1876">
          <w:rPr>
            <w:rStyle w:val="Hyperlink"/>
            <w:noProof/>
          </w:rPr>
          <w:t>https://doi.org/10.1177/0265407599165001</w:t>
        </w:r>
      </w:hyperlink>
      <w:r w:rsidRPr="00EA1876">
        <w:rPr>
          <w:noProof/>
        </w:rPr>
        <w:t xml:space="preserve"> </w:t>
      </w:r>
    </w:p>
    <w:p w14:paraId="17D7FD55" w14:textId="02E58188" w:rsidR="00EA1876" w:rsidRPr="00EA1876" w:rsidRDefault="00EA1876" w:rsidP="00EA1876">
      <w:pPr>
        <w:pStyle w:val="EndNoteBibliography"/>
        <w:ind w:left="720" w:hanging="720"/>
        <w:rPr>
          <w:noProof/>
        </w:rPr>
      </w:pPr>
      <w:r w:rsidRPr="00EA1876">
        <w:rPr>
          <w:noProof/>
        </w:rPr>
        <w:t xml:space="preserve">Baxter, L. A., Henauw, C., Huisman, D., Livesay, C. B., Norwood, K., Su, H., Wolf, B., &amp; Young, B. (2009). Lay conceptions of “family”: A replication and extension. </w:t>
      </w:r>
      <w:r w:rsidRPr="00EA1876">
        <w:rPr>
          <w:i/>
          <w:noProof/>
        </w:rPr>
        <w:t>Journal of Family Communication, 9</w:t>
      </w:r>
      <w:r w:rsidRPr="00EA1876">
        <w:rPr>
          <w:noProof/>
        </w:rPr>
        <w:t xml:space="preserve">(3), 170-189. </w:t>
      </w:r>
      <w:hyperlink r:id="rId28" w:history="1">
        <w:r w:rsidRPr="00EA1876">
          <w:rPr>
            <w:rStyle w:val="Hyperlink"/>
            <w:noProof/>
          </w:rPr>
          <w:t>https://doi.org/10.1080/15267430902963342</w:t>
        </w:r>
      </w:hyperlink>
      <w:r w:rsidRPr="00EA1876">
        <w:rPr>
          <w:noProof/>
        </w:rPr>
        <w:t xml:space="preserve"> </w:t>
      </w:r>
    </w:p>
    <w:p w14:paraId="0E13CF5C" w14:textId="323426A1" w:rsidR="00EA1876" w:rsidRPr="00EA1876" w:rsidRDefault="00EA1876" w:rsidP="00EA1876">
      <w:pPr>
        <w:pStyle w:val="EndNoteBibliography"/>
        <w:ind w:left="720" w:hanging="720"/>
        <w:rPr>
          <w:noProof/>
        </w:rPr>
      </w:pPr>
      <w:r w:rsidRPr="00EA1876">
        <w:rPr>
          <w:noProof/>
        </w:rPr>
        <w:t xml:space="preserve">Baxter, L. A., Mazanec, M., Nicholson, J., Pittman, G., Smith, K., &amp; West, L. (1997). Everyday loyalties and betrayals in personal relationships. </w:t>
      </w:r>
      <w:r w:rsidRPr="00EA1876">
        <w:rPr>
          <w:i/>
          <w:noProof/>
        </w:rPr>
        <w:t>Journal of Social and Personal relationships, 14</w:t>
      </w:r>
      <w:r w:rsidRPr="00EA1876">
        <w:rPr>
          <w:noProof/>
        </w:rPr>
        <w:t xml:space="preserve">(5), 655-678. </w:t>
      </w:r>
      <w:hyperlink r:id="rId29" w:history="1">
        <w:r w:rsidRPr="00EA1876">
          <w:rPr>
            <w:rStyle w:val="Hyperlink"/>
            <w:noProof/>
          </w:rPr>
          <w:t>https://doi.org/10.1177/0265407597145005</w:t>
        </w:r>
      </w:hyperlink>
      <w:r w:rsidRPr="00EA1876">
        <w:rPr>
          <w:noProof/>
        </w:rPr>
        <w:t xml:space="preserve"> </w:t>
      </w:r>
    </w:p>
    <w:p w14:paraId="0373DB41" w14:textId="77777777" w:rsidR="00EA1876" w:rsidRPr="00EA1876" w:rsidRDefault="00EA1876" w:rsidP="00EA1876">
      <w:pPr>
        <w:pStyle w:val="EndNoteBibliography"/>
        <w:ind w:left="720" w:hanging="720"/>
        <w:rPr>
          <w:noProof/>
        </w:rPr>
      </w:pPr>
      <w:r w:rsidRPr="00EA1876">
        <w:rPr>
          <w:noProof/>
        </w:rPr>
        <w:t xml:space="preserve">Baxter, L. A., &amp; Montgomery, B. M. (1996). </w:t>
      </w:r>
      <w:r w:rsidRPr="00EA1876">
        <w:rPr>
          <w:i/>
          <w:noProof/>
        </w:rPr>
        <w:t>Relating: Dialogues and dialectics</w:t>
      </w:r>
      <w:r w:rsidRPr="00EA1876">
        <w:rPr>
          <w:noProof/>
        </w:rPr>
        <w:t xml:space="preserve">. Guilford Press. </w:t>
      </w:r>
    </w:p>
    <w:p w14:paraId="6985FA90" w14:textId="42179C04" w:rsidR="00EA1876" w:rsidRPr="00EA1876" w:rsidRDefault="00EA1876" w:rsidP="00EA1876">
      <w:pPr>
        <w:pStyle w:val="EndNoteBibliography"/>
        <w:ind w:left="720" w:hanging="720"/>
        <w:rPr>
          <w:noProof/>
        </w:rPr>
      </w:pPr>
      <w:r w:rsidRPr="00EA1876">
        <w:rPr>
          <w:noProof/>
        </w:rPr>
        <w:t xml:space="preserve">Baxter, L. A., Scharp, K. M., &amp; Thomas, L. J. (2021). Relational dialectics theory. </w:t>
      </w:r>
      <w:r w:rsidRPr="00EA1876">
        <w:rPr>
          <w:i/>
          <w:noProof/>
        </w:rPr>
        <w:t>Journal of Family Theory &amp; Review, 13</w:t>
      </w:r>
      <w:r w:rsidRPr="00EA1876">
        <w:rPr>
          <w:noProof/>
        </w:rPr>
        <w:t xml:space="preserve">(1), 7-20. </w:t>
      </w:r>
      <w:hyperlink r:id="rId30" w:history="1">
        <w:r w:rsidRPr="00EA1876">
          <w:rPr>
            <w:rStyle w:val="Hyperlink"/>
            <w:noProof/>
          </w:rPr>
          <w:t>https://doi.org/10.1111/jftr.12405</w:t>
        </w:r>
      </w:hyperlink>
      <w:r w:rsidRPr="00EA1876">
        <w:rPr>
          <w:noProof/>
        </w:rPr>
        <w:t xml:space="preserve"> </w:t>
      </w:r>
    </w:p>
    <w:p w14:paraId="5561D4AA" w14:textId="31741A5F" w:rsidR="00EA1876" w:rsidRPr="00EA1876" w:rsidRDefault="00EA1876" w:rsidP="00EA1876">
      <w:pPr>
        <w:pStyle w:val="EndNoteBibliography"/>
        <w:ind w:left="720" w:hanging="720"/>
        <w:rPr>
          <w:noProof/>
        </w:rPr>
      </w:pPr>
      <w:r w:rsidRPr="00EA1876">
        <w:rPr>
          <w:noProof/>
        </w:rPr>
        <w:t xml:space="preserve">Beard, V. R., &amp; Burger, W. C. (2017). Change and innovation in the funeral industry: A typology of motivations. </w:t>
      </w:r>
      <w:r w:rsidRPr="00EA1876">
        <w:rPr>
          <w:i/>
          <w:noProof/>
        </w:rPr>
        <w:t>OMEGA-Journal of Death and Dying, 75</w:t>
      </w:r>
      <w:r w:rsidRPr="00EA1876">
        <w:rPr>
          <w:noProof/>
        </w:rPr>
        <w:t xml:space="preserve">(1), 47-68. </w:t>
      </w:r>
      <w:hyperlink r:id="rId31" w:history="1">
        <w:r w:rsidRPr="00EA1876">
          <w:rPr>
            <w:rStyle w:val="Hyperlink"/>
            <w:noProof/>
          </w:rPr>
          <w:t>https://doi.org/10.1177/0030222815612605</w:t>
        </w:r>
      </w:hyperlink>
      <w:r w:rsidRPr="00EA1876">
        <w:rPr>
          <w:noProof/>
        </w:rPr>
        <w:t xml:space="preserve"> </w:t>
      </w:r>
    </w:p>
    <w:p w14:paraId="700E6ABC" w14:textId="33648B80" w:rsidR="00EA1876" w:rsidRPr="00EA1876" w:rsidRDefault="00EA1876" w:rsidP="00EA1876">
      <w:pPr>
        <w:pStyle w:val="EndNoteBibliography"/>
        <w:ind w:left="720" w:hanging="720"/>
        <w:rPr>
          <w:noProof/>
        </w:rPr>
      </w:pPr>
      <w:r w:rsidRPr="00EA1876">
        <w:rPr>
          <w:noProof/>
        </w:rPr>
        <w:t xml:space="preserve">Beard, V. R., &amp; Burger, W. C. (2020). Selling in a dying business: An analysis of trends during a period of major market transition in the funeral industry. </w:t>
      </w:r>
      <w:r w:rsidRPr="00EA1876">
        <w:rPr>
          <w:i/>
          <w:noProof/>
        </w:rPr>
        <w:t>OMEGA-Journal of Death and Dying, 80</w:t>
      </w:r>
      <w:r w:rsidRPr="00EA1876">
        <w:rPr>
          <w:noProof/>
        </w:rPr>
        <w:t xml:space="preserve">(4), 544-567. </w:t>
      </w:r>
      <w:hyperlink r:id="rId32" w:history="1">
        <w:r w:rsidRPr="00EA1876">
          <w:rPr>
            <w:rStyle w:val="Hyperlink"/>
            <w:noProof/>
          </w:rPr>
          <w:t>https://doi.org/10.1177/0030222817745430</w:t>
        </w:r>
      </w:hyperlink>
      <w:r w:rsidRPr="00EA1876">
        <w:rPr>
          <w:noProof/>
        </w:rPr>
        <w:t xml:space="preserve"> </w:t>
      </w:r>
    </w:p>
    <w:p w14:paraId="4E9E7AF2" w14:textId="10ECA78F" w:rsidR="00EA1876" w:rsidRPr="00EA1876" w:rsidRDefault="00EA1876" w:rsidP="00EA1876">
      <w:pPr>
        <w:pStyle w:val="EndNoteBibliography"/>
        <w:ind w:left="720" w:hanging="720"/>
        <w:rPr>
          <w:noProof/>
        </w:rPr>
      </w:pPr>
      <w:r w:rsidRPr="00EA1876">
        <w:rPr>
          <w:noProof/>
        </w:rPr>
        <w:t xml:space="preserve">Beaunoyer, E., Guitton, A., &amp; Guitton, M. J. (2022). Online presence of the funeral Industry: The example of the Quebec federation of funeral cooperatives. </w:t>
      </w:r>
      <w:r w:rsidRPr="00EA1876">
        <w:rPr>
          <w:i/>
          <w:noProof/>
        </w:rPr>
        <w:t>OMEGA - Journal of Death and Dying, 0</w:t>
      </w:r>
      <w:r w:rsidRPr="00EA1876">
        <w:rPr>
          <w:noProof/>
        </w:rPr>
        <w:t xml:space="preserve">(0). </w:t>
      </w:r>
      <w:hyperlink r:id="rId33" w:history="1">
        <w:r w:rsidRPr="00EA1876">
          <w:rPr>
            <w:rStyle w:val="Hyperlink"/>
            <w:noProof/>
          </w:rPr>
          <w:t>https://doi.org/10.1177/00302228221111936</w:t>
        </w:r>
      </w:hyperlink>
      <w:r w:rsidRPr="00EA1876">
        <w:rPr>
          <w:noProof/>
        </w:rPr>
        <w:t xml:space="preserve"> </w:t>
      </w:r>
    </w:p>
    <w:p w14:paraId="07BDA60E" w14:textId="41B57EA4" w:rsidR="00EA1876" w:rsidRPr="00EA1876" w:rsidRDefault="00EA1876" w:rsidP="00EA1876">
      <w:pPr>
        <w:pStyle w:val="EndNoteBibliography"/>
        <w:ind w:left="720" w:hanging="720"/>
        <w:rPr>
          <w:noProof/>
        </w:rPr>
      </w:pPr>
      <w:r w:rsidRPr="00EA1876">
        <w:rPr>
          <w:noProof/>
        </w:rPr>
        <w:lastRenderedPageBreak/>
        <w:t xml:space="preserve">Beaunoyer, E., &amp; Guitton, M. J. (2021). Cyberthanathology: Death and beyond in the digital age. </w:t>
      </w:r>
      <w:r w:rsidRPr="00EA1876">
        <w:rPr>
          <w:i/>
          <w:noProof/>
        </w:rPr>
        <w:t>Computers in Human Behavior, 122</w:t>
      </w:r>
      <w:r w:rsidRPr="00EA1876">
        <w:rPr>
          <w:noProof/>
        </w:rPr>
        <w:t xml:space="preserve">, 106849. </w:t>
      </w:r>
      <w:hyperlink r:id="rId34" w:history="1">
        <w:r w:rsidRPr="00EA1876">
          <w:rPr>
            <w:rStyle w:val="Hyperlink"/>
            <w:noProof/>
          </w:rPr>
          <w:t>https://doi.org/https://doi.org/10.1016/j.chb.2021.106849</w:t>
        </w:r>
      </w:hyperlink>
      <w:r w:rsidRPr="00EA1876">
        <w:rPr>
          <w:noProof/>
        </w:rPr>
        <w:t xml:space="preserve"> </w:t>
      </w:r>
    </w:p>
    <w:p w14:paraId="219DD7EB" w14:textId="40C3BED5" w:rsidR="00EA1876" w:rsidRPr="00EA1876" w:rsidRDefault="00EA1876" w:rsidP="00EA1876">
      <w:pPr>
        <w:pStyle w:val="EndNoteBibliography"/>
        <w:ind w:left="720" w:hanging="720"/>
        <w:rPr>
          <w:noProof/>
        </w:rPr>
      </w:pPr>
      <w:r w:rsidRPr="00EA1876">
        <w:rPr>
          <w:noProof/>
        </w:rPr>
        <w:t xml:space="preserve">Beck-Sagué, C. M., Jarvis, W. R., Fruehling, J. A., Ott, C. E., Higgins, M. T., &amp; Bates, F. L. (1991). Universal precautions and mortuary practitioners: Influence on practices and risk of occupationally acquired infection. </w:t>
      </w:r>
      <w:r w:rsidRPr="00EA1876">
        <w:rPr>
          <w:i/>
          <w:noProof/>
        </w:rPr>
        <w:t>Journal of Occupational and Environmental Medicine, 33</w:t>
      </w:r>
      <w:r w:rsidRPr="00EA1876">
        <w:rPr>
          <w:noProof/>
        </w:rPr>
        <w:t xml:space="preserve">(8), 874-878. </w:t>
      </w:r>
      <w:hyperlink r:id="rId35" w:history="1">
        <w:r w:rsidRPr="00EA1876">
          <w:rPr>
            <w:rStyle w:val="Hyperlink"/>
            <w:noProof/>
          </w:rPr>
          <w:t>https://doi.org/10.1097/00043764-199108000-00012</w:t>
        </w:r>
      </w:hyperlink>
      <w:r w:rsidRPr="00EA1876">
        <w:rPr>
          <w:noProof/>
        </w:rPr>
        <w:t xml:space="preserve"> </w:t>
      </w:r>
    </w:p>
    <w:p w14:paraId="6F55F7DA" w14:textId="77777777" w:rsidR="00EA1876" w:rsidRPr="00EA1876" w:rsidRDefault="00EA1876" w:rsidP="00EA1876">
      <w:pPr>
        <w:pStyle w:val="EndNoteBibliography"/>
        <w:ind w:left="720" w:hanging="720"/>
        <w:rPr>
          <w:noProof/>
        </w:rPr>
      </w:pPr>
      <w:r w:rsidRPr="00EA1876">
        <w:rPr>
          <w:noProof/>
        </w:rPr>
        <w:t xml:space="preserve">Becker, E. (1973). </w:t>
      </w:r>
      <w:r w:rsidRPr="00EA1876">
        <w:rPr>
          <w:i/>
          <w:noProof/>
        </w:rPr>
        <w:t>The denial of death</w:t>
      </w:r>
      <w:r w:rsidRPr="00EA1876">
        <w:rPr>
          <w:noProof/>
        </w:rPr>
        <w:t xml:space="preserve">. Free Press. </w:t>
      </w:r>
    </w:p>
    <w:p w14:paraId="069FEF40" w14:textId="77777777" w:rsidR="00EA1876" w:rsidRPr="00EA1876" w:rsidRDefault="00EA1876" w:rsidP="00EA1876">
      <w:pPr>
        <w:pStyle w:val="EndNoteBibliography"/>
        <w:ind w:left="720" w:hanging="720"/>
        <w:rPr>
          <w:noProof/>
        </w:rPr>
      </w:pPr>
      <w:r w:rsidRPr="00EA1876">
        <w:rPr>
          <w:noProof/>
        </w:rPr>
        <w:t xml:space="preserve">Bellah, R. N., Madsen, R., Sullivan, W. M., Swidler, A., &amp; Tipton, S. M. (1985). </w:t>
      </w:r>
      <w:r w:rsidRPr="00EA1876">
        <w:rPr>
          <w:i/>
          <w:noProof/>
        </w:rPr>
        <w:t>Habits of the heart, with a new preface: individualism and commitment in American life</w:t>
      </w:r>
      <w:r w:rsidRPr="00EA1876">
        <w:rPr>
          <w:noProof/>
        </w:rPr>
        <w:t xml:space="preserve">. Univ of California Press. </w:t>
      </w:r>
    </w:p>
    <w:p w14:paraId="00BADD6D" w14:textId="69E1E4FB" w:rsidR="00EA1876" w:rsidRPr="00EA1876" w:rsidRDefault="00EA1876" w:rsidP="00EA1876">
      <w:pPr>
        <w:pStyle w:val="EndNoteBibliography"/>
        <w:ind w:left="720" w:hanging="720"/>
        <w:rPr>
          <w:noProof/>
        </w:rPr>
      </w:pPr>
      <w:r w:rsidRPr="00EA1876">
        <w:rPr>
          <w:noProof/>
        </w:rPr>
        <w:t xml:space="preserve">Berger, C. R., &amp; Calabrese, R. J. (1975). Some explorations in initial interaction and beyond: Toward a developmental theory of interpersonal communication. </w:t>
      </w:r>
      <w:r w:rsidRPr="00EA1876">
        <w:rPr>
          <w:i/>
          <w:noProof/>
        </w:rPr>
        <w:t>Human Communication Research, 1</w:t>
      </w:r>
      <w:r w:rsidRPr="00EA1876">
        <w:rPr>
          <w:noProof/>
        </w:rPr>
        <w:t xml:space="preserve">(2), 99-112. </w:t>
      </w:r>
      <w:hyperlink r:id="rId36" w:history="1">
        <w:r w:rsidRPr="00EA1876">
          <w:rPr>
            <w:rStyle w:val="Hyperlink"/>
            <w:noProof/>
          </w:rPr>
          <w:t>https://doi.org/10.1111/j.1468-2958.1975.tb00258.x</w:t>
        </w:r>
      </w:hyperlink>
      <w:r w:rsidRPr="00EA1876">
        <w:rPr>
          <w:noProof/>
        </w:rPr>
        <w:t xml:space="preserve"> </w:t>
      </w:r>
    </w:p>
    <w:p w14:paraId="7094A8BE" w14:textId="4C961551" w:rsidR="00EA1876" w:rsidRPr="00EA1876" w:rsidRDefault="00EA1876" w:rsidP="00EA1876">
      <w:pPr>
        <w:pStyle w:val="EndNoteBibliography"/>
        <w:ind w:left="720" w:hanging="720"/>
        <w:rPr>
          <w:noProof/>
        </w:rPr>
      </w:pPr>
      <w:r w:rsidRPr="00EA1876">
        <w:rPr>
          <w:noProof/>
        </w:rPr>
        <w:t xml:space="preserve">Bi, D., &amp; Hammonds, K. A. (2021). Listening to funeral directors in rural Oklahoma funeral homes: Social construction of roles, goals, and strategies. </w:t>
      </w:r>
      <w:r w:rsidRPr="00EA1876">
        <w:rPr>
          <w:i/>
          <w:noProof/>
        </w:rPr>
        <w:t>Southern Communication Journal, 86</w:t>
      </w:r>
      <w:r w:rsidRPr="00EA1876">
        <w:rPr>
          <w:noProof/>
        </w:rPr>
        <w:t xml:space="preserve">(4), 375-386. </w:t>
      </w:r>
      <w:hyperlink r:id="rId37" w:history="1">
        <w:r w:rsidRPr="00EA1876">
          <w:rPr>
            <w:rStyle w:val="Hyperlink"/>
            <w:noProof/>
          </w:rPr>
          <w:t>https://doi.org/10.1080/1041794X.2021.1941222</w:t>
        </w:r>
      </w:hyperlink>
      <w:r w:rsidRPr="00EA1876">
        <w:rPr>
          <w:noProof/>
        </w:rPr>
        <w:t xml:space="preserve"> </w:t>
      </w:r>
    </w:p>
    <w:p w14:paraId="0955E00C" w14:textId="692D74D0" w:rsidR="00EA1876" w:rsidRPr="00EA1876" w:rsidRDefault="00EA1876" w:rsidP="00EA1876">
      <w:pPr>
        <w:pStyle w:val="EndNoteBibliography"/>
        <w:ind w:left="720" w:hanging="720"/>
        <w:rPr>
          <w:noProof/>
        </w:rPr>
      </w:pPr>
      <w:r w:rsidRPr="00EA1876">
        <w:rPr>
          <w:noProof/>
        </w:rPr>
        <w:t xml:space="preserve">Bi, D., &amp; Ploeger-Lyons, N. A. (2022). (Un)wanted and (Un)sought services: Exploring the funeral industry positivity and rural funeral directors’ destigmatization. </w:t>
      </w:r>
      <w:r w:rsidRPr="00EA1876">
        <w:rPr>
          <w:i/>
          <w:noProof/>
        </w:rPr>
        <w:t>Communication Studies, 73</w:t>
      </w:r>
      <w:r w:rsidRPr="00EA1876">
        <w:rPr>
          <w:noProof/>
        </w:rPr>
        <w:t xml:space="preserve">(5-6), 511-526. </w:t>
      </w:r>
      <w:hyperlink r:id="rId38" w:history="1">
        <w:r w:rsidRPr="00EA1876">
          <w:rPr>
            <w:rStyle w:val="Hyperlink"/>
            <w:noProof/>
          </w:rPr>
          <w:t>https://doi.org/10.1080/10510974.2022.2149583</w:t>
        </w:r>
      </w:hyperlink>
      <w:r w:rsidRPr="00EA1876">
        <w:rPr>
          <w:noProof/>
        </w:rPr>
        <w:t xml:space="preserve"> </w:t>
      </w:r>
    </w:p>
    <w:p w14:paraId="744281F1" w14:textId="77777777" w:rsidR="00EA1876" w:rsidRPr="00EA1876" w:rsidRDefault="00EA1876" w:rsidP="00EA1876">
      <w:pPr>
        <w:pStyle w:val="EndNoteBibliography"/>
        <w:ind w:left="720" w:hanging="720"/>
        <w:rPr>
          <w:noProof/>
        </w:rPr>
      </w:pPr>
      <w:r w:rsidRPr="00EA1876">
        <w:rPr>
          <w:noProof/>
        </w:rPr>
        <w:t xml:space="preserve">Blackwood, A. W. (1942). </w:t>
      </w:r>
      <w:r w:rsidRPr="00EA1876">
        <w:rPr>
          <w:i/>
          <w:noProof/>
        </w:rPr>
        <w:t>The funeral, a source book for ministers</w:t>
      </w:r>
      <w:r w:rsidRPr="00EA1876">
        <w:rPr>
          <w:noProof/>
        </w:rPr>
        <w:t xml:space="preserve">. Westminster Press. </w:t>
      </w:r>
    </w:p>
    <w:p w14:paraId="448A4456" w14:textId="25A071D5" w:rsidR="00EA1876" w:rsidRPr="00EA1876" w:rsidRDefault="00EA1876" w:rsidP="00EA1876">
      <w:pPr>
        <w:pStyle w:val="EndNoteBibliography"/>
        <w:ind w:left="720" w:hanging="720"/>
        <w:rPr>
          <w:noProof/>
        </w:rPr>
      </w:pPr>
      <w:r w:rsidRPr="00EA1876">
        <w:rPr>
          <w:noProof/>
        </w:rPr>
        <w:lastRenderedPageBreak/>
        <w:t xml:space="preserve">Blake, R. R., &amp; Mouton, J. S. (1981). Management by Grid® Principles or Situationalism: Which? </w:t>
      </w:r>
      <w:r w:rsidRPr="00EA1876">
        <w:rPr>
          <w:i/>
          <w:noProof/>
        </w:rPr>
        <w:t>Group &amp; Organization Studies, 6</w:t>
      </w:r>
      <w:r w:rsidRPr="00EA1876">
        <w:rPr>
          <w:noProof/>
        </w:rPr>
        <w:t xml:space="preserve">(4), 439-455. </w:t>
      </w:r>
      <w:hyperlink r:id="rId39" w:history="1">
        <w:r w:rsidRPr="00EA1876">
          <w:rPr>
            <w:rStyle w:val="Hyperlink"/>
            <w:noProof/>
          </w:rPr>
          <w:t>https://doi.org/10.1177/105960118100600404</w:t>
        </w:r>
      </w:hyperlink>
      <w:r w:rsidRPr="00EA1876">
        <w:rPr>
          <w:noProof/>
        </w:rPr>
        <w:t xml:space="preserve"> </w:t>
      </w:r>
    </w:p>
    <w:p w14:paraId="669CBFE7" w14:textId="137728DA" w:rsidR="00EA1876" w:rsidRPr="00EA1876" w:rsidRDefault="00EA1876" w:rsidP="00EA1876">
      <w:pPr>
        <w:pStyle w:val="EndNoteBibliography"/>
        <w:ind w:left="720" w:hanging="720"/>
        <w:rPr>
          <w:noProof/>
        </w:rPr>
      </w:pPr>
      <w:r w:rsidRPr="00EA1876">
        <w:rPr>
          <w:noProof/>
        </w:rPr>
        <w:t xml:space="preserve">Blauner, R. (1966). Death and Social Structure†. </w:t>
      </w:r>
      <w:r w:rsidRPr="00EA1876">
        <w:rPr>
          <w:i/>
          <w:noProof/>
        </w:rPr>
        <w:t>Psychiatry, 29</w:t>
      </w:r>
      <w:r w:rsidRPr="00EA1876">
        <w:rPr>
          <w:noProof/>
        </w:rPr>
        <w:t xml:space="preserve">(4), 378-394. </w:t>
      </w:r>
      <w:hyperlink r:id="rId40" w:history="1">
        <w:r w:rsidRPr="00EA1876">
          <w:rPr>
            <w:rStyle w:val="Hyperlink"/>
            <w:noProof/>
          </w:rPr>
          <w:t>https://doi.org/10.1080/00332747.1966.11023480</w:t>
        </w:r>
      </w:hyperlink>
      <w:r w:rsidRPr="00EA1876">
        <w:rPr>
          <w:noProof/>
        </w:rPr>
        <w:t xml:space="preserve"> </w:t>
      </w:r>
    </w:p>
    <w:p w14:paraId="57D8AE63" w14:textId="77777777" w:rsidR="00EA1876" w:rsidRPr="00EA1876" w:rsidRDefault="00EA1876" w:rsidP="00EA1876">
      <w:pPr>
        <w:pStyle w:val="EndNoteBibliography"/>
        <w:ind w:left="720" w:hanging="720"/>
        <w:rPr>
          <w:noProof/>
        </w:rPr>
      </w:pPr>
      <w:r w:rsidRPr="00EA1876">
        <w:rPr>
          <w:noProof/>
        </w:rPr>
        <w:t xml:space="preserve">Blumer, H. (1969). </w:t>
      </w:r>
      <w:r w:rsidRPr="00EA1876">
        <w:rPr>
          <w:i/>
          <w:noProof/>
        </w:rPr>
        <w:t>Symbolic interactionism: Perspective and method</w:t>
      </w:r>
      <w:r w:rsidRPr="00EA1876">
        <w:rPr>
          <w:noProof/>
        </w:rPr>
        <w:t xml:space="preserve">. Univ of California Press. </w:t>
      </w:r>
    </w:p>
    <w:p w14:paraId="55F5A88C" w14:textId="5073BFDB" w:rsidR="00EA1876" w:rsidRPr="00EA1876" w:rsidRDefault="00EA1876" w:rsidP="00EA1876">
      <w:pPr>
        <w:pStyle w:val="EndNoteBibliography"/>
        <w:ind w:left="720" w:hanging="720"/>
        <w:rPr>
          <w:noProof/>
        </w:rPr>
      </w:pPr>
      <w:r w:rsidRPr="00EA1876">
        <w:rPr>
          <w:noProof/>
        </w:rPr>
        <w:t xml:space="preserve">Boateng, A., &amp; Anngela-Cole, L. (2016). Funeral practices in Ghana and the United States: A cultural comparison. </w:t>
      </w:r>
      <w:r w:rsidRPr="00EA1876">
        <w:rPr>
          <w:i/>
          <w:noProof/>
        </w:rPr>
        <w:t>International Journal of Social Science Studies, 4</w:t>
      </w:r>
      <w:r w:rsidRPr="00EA1876">
        <w:rPr>
          <w:noProof/>
        </w:rPr>
        <w:t xml:space="preserve">(1), 36-48. </w:t>
      </w:r>
      <w:hyperlink r:id="rId41" w:history="1">
        <w:r w:rsidRPr="00EA1876">
          <w:rPr>
            <w:rStyle w:val="Hyperlink"/>
            <w:noProof/>
          </w:rPr>
          <w:t>https://doi.org/10.11114/ijsss.v4i1.1221</w:t>
        </w:r>
      </w:hyperlink>
      <w:r w:rsidRPr="00EA1876">
        <w:rPr>
          <w:noProof/>
        </w:rPr>
        <w:t xml:space="preserve"> </w:t>
      </w:r>
    </w:p>
    <w:p w14:paraId="4D0E2C18" w14:textId="0C3A62E1" w:rsidR="00EA1876" w:rsidRPr="00EA1876" w:rsidRDefault="00EA1876" w:rsidP="00EA1876">
      <w:pPr>
        <w:pStyle w:val="EndNoteBibliography"/>
        <w:ind w:left="720" w:hanging="720"/>
        <w:rPr>
          <w:noProof/>
        </w:rPr>
      </w:pPr>
      <w:r w:rsidRPr="00EA1876">
        <w:rPr>
          <w:noProof/>
        </w:rPr>
        <w:t xml:space="preserve">Bonanno, G. A., Papa, A., &amp; O'Neill, K. (2001). Loss and human resilience. </w:t>
      </w:r>
      <w:r w:rsidRPr="00EA1876">
        <w:rPr>
          <w:i/>
          <w:noProof/>
        </w:rPr>
        <w:t>Applied and Preventive Psychology, 10</w:t>
      </w:r>
      <w:r w:rsidRPr="00EA1876">
        <w:rPr>
          <w:noProof/>
        </w:rPr>
        <w:t xml:space="preserve">(3), 193-206. </w:t>
      </w:r>
      <w:hyperlink r:id="rId42" w:history="1">
        <w:r w:rsidRPr="00EA1876">
          <w:rPr>
            <w:rStyle w:val="Hyperlink"/>
            <w:noProof/>
          </w:rPr>
          <w:t>https://doi.org/https://doi.org/10.1016/S0962-1849(01)80014-7</w:t>
        </w:r>
      </w:hyperlink>
      <w:r w:rsidRPr="00EA1876">
        <w:rPr>
          <w:noProof/>
        </w:rPr>
        <w:t xml:space="preserve"> </w:t>
      </w:r>
    </w:p>
    <w:p w14:paraId="2A5CF777" w14:textId="59848E49" w:rsidR="00EA1876" w:rsidRPr="00EA1876" w:rsidRDefault="00EA1876" w:rsidP="00EA1876">
      <w:pPr>
        <w:pStyle w:val="EndNoteBibliography"/>
        <w:ind w:left="720" w:hanging="720"/>
        <w:rPr>
          <w:noProof/>
        </w:rPr>
      </w:pPr>
      <w:r w:rsidRPr="00EA1876">
        <w:rPr>
          <w:noProof/>
        </w:rPr>
        <w:t xml:space="preserve">Bonanno, G. A., Wortman, C. B., Lehman, D. R., Tweed, R. G., Haring, M., Sonnega, J., Carr, D., &amp; Nesse, R. M. (2002). Resilience to loss and chronic grief: A prospective study from preloss to 18-months postloss. </w:t>
      </w:r>
      <w:r w:rsidRPr="00EA1876">
        <w:rPr>
          <w:i/>
          <w:noProof/>
        </w:rPr>
        <w:t>Journal of personality and social psychology, 83</w:t>
      </w:r>
      <w:r w:rsidRPr="00EA1876">
        <w:rPr>
          <w:noProof/>
        </w:rPr>
        <w:t xml:space="preserve">(5), 1150-1164. </w:t>
      </w:r>
      <w:hyperlink r:id="rId43" w:history="1">
        <w:r w:rsidRPr="00EA1876">
          <w:rPr>
            <w:rStyle w:val="Hyperlink"/>
            <w:noProof/>
          </w:rPr>
          <w:t>https://doi.org/10.1037/0022-3514.83.5.1150</w:t>
        </w:r>
      </w:hyperlink>
      <w:r w:rsidRPr="00EA1876">
        <w:rPr>
          <w:noProof/>
        </w:rPr>
        <w:t xml:space="preserve"> </w:t>
      </w:r>
    </w:p>
    <w:p w14:paraId="2D403084" w14:textId="4A6F050B" w:rsidR="00EA1876" w:rsidRPr="00EA1876" w:rsidRDefault="00EA1876" w:rsidP="00EA1876">
      <w:pPr>
        <w:pStyle w:val="EndNoteBibliography"/>
        <w:ind w:left="720" w:hanging="720"/>
        <w:rPr>
          <w:noProof/>
        </w:rPr>
      </w:pPr>
      <w:r w:rsidRPr="00EA1876">
        <w:rPr>
          <w:noProof/>
        </w:rPr>
        <w:t xml:space="preserve">Bonanno, G. A., Wortman, C. B., &amp; Nesse, R. M. (2004). Prospective patterns of resilience and maladjustment during widowhood. </w:t>
      </w:r>
      <w:r w:rsidRPr="00EA1876">
        <w:rPr>
          <w:i/>
          <w:noProof/>
        </w:rPr>
        <w:t>Psychology and aging, 19</w:t>
      </w:r>
      <w:r w:rsidRPr="00EA1876">
        <w:rPr>
          <w:noProof/>
        </w:rPr>
        <w:t xml:space="preserve">(2), 260-271. </w:t>
      </w:r>
      <w:hyperlink r:id="rId44" w:history="1">
        <w:r w:rsidRPr="00EA1876">
          <w:rPr>
            <w:rStyle w:val="Hyperlink"/>
            <w:noProof/>
          </w:rPr>
          <w:t>https://doi.org/10.1037/0882-7974.19.2.260</w:t>
        </w:r>
      </w:hyperlink>
      <w:r w:rsidRPr="00EA1876">
        <w:rPr>
          <w:noProof/>
        </w:rPr>
        <w:t xml:space="preserve"> </w:t>
      </w:r>
    </w:p>
    <w:p w14:paraId="42732EC9" w14:textId="69D6FC16" w:rsidR="00EA1876" w:rsidRPr="00EA1876" w:rsidRDefault="00EA1876" w:rsidP="00EA1876">
      <w:pPr>
        <w:pStyle w:val="EndNoteBibliography"/>
        <w:ind w:left="720" w:hanging="720"/>
        <w:rPr>
          <w:noProof/>
        </w:rPr>
      </w:pPr>
      <w:r w:rsidRPr="00EA1876">
        <w:rPr>
          <w:noProof/>
        </w:rPr>
        <w:t xml:space="preserve">Booth-Butterfield, M., Booth-Butterfield, S., &amp; Wanzer, M. (2007). Funny students cope better: Patterns of humor enactment and coping effectiveness. </w:t>
      </w:r>
      <w:r w:rsidRPr="00EA1876">
        <w:rPr>
          <w:i/>
          <w:noProof/>
        </w:rPr>
        <w:t>Communication Quarterly, 55</w:t>
      </w:r>
      <w:r w:rsidRPr="00EA1876">
        <w:rPr>
          <w:noProof/>
        </w:rPr>
        <w:t xml:space="preserve">(3), 299-315. </w:t>
      </w:r>
      <w:hyperlink r:id="rId45" w:history="1">
        <w:r w:rsidRPr="00EA1876">
          <w:rPr>
            <w:rStyle w:val="Hyperlink"/>
            <w:noProof/>
          </w:rPr>
          <w:t>https://doi.org/10.1080/01463370701490232</w:t>
        </w:r>
      </w:hyperlink>
      <w:r w:rsidRPr="00EA1876">
        <w:rPr>
          <w:noProof/>
        </w:rPr>
        <w:t xml:space="preserve"> </w:t>
      </w:r>
    </w:p>
    <w:p w14:paraId="3457AB36" w14:textId="77777777" w:rsidR="00EA1876" w:rsidRPr="00EA1876" w:rsidRDefault="00EA1876" w:rsidP="00EA1876">
      <w:pPr>
        <w:pStyle w:val="EndNoteBibliography"/>
        <w:ind w:left="720" w:hanging="720"/>
        <w:rPr>
          <w:noProof/>
        </w:rPr>
      </w:pPr>
      <w:r w:rsidRPr="00EA1876">
        <w:rPr>
          <w:noProof/>
        </w:rPr>
        <w:lastRenderedPageBreak/>
        <w:t xml:space="preserve">Boss, P. (1999). </w:t>
      </w:r>
      <w:r w:rsidRPr="00EA1876">
        <w:rPr>
          <w:i/>
          <w:noProof/>
        </w:rPr>
        <w:t>Ambiguous Loss: Learning to live with unresolved grief</w:t>
      </w:r>
      <w:r w:rsidRPr="00EA1876">
        <w:rPr>
          <w:noProof/>
        </w:rPr>
        <w:t xml:space="preserve">. Harvard University Press. </w:t>
      </w:r>
    </w:p>
    <w:p w14:paraId="754C21E5" w14:textId="0040A439" w:rsidR="00EA1876" w:rsidRPr="00EA1876" w:rsidRDefault="00EA1876" w:rsidP="00EA1876">
      <w:pPr>
        <w:pStyle w:val="EndNoteBibliography"/>
        <w:ind w:left="720" w:hanging="720"/>
        <w:rPr>
          <w:noProof/>
        </w:rPr>
      </w:pPr>
      <w:r w:rsidRPr="00EA1876">
        <w:rPr>
          <w:noProof/>
        </w:rPr>
        <w:t xml:space="preserve">Boss, P. (2010). The trauma and complicated grief of ambiguous loss. </w:t>
      </w:r>
      <w:r w:rsidRPr="00EA1876">
        <w:rPr>
          <w:i/>
          <w:noProof/>
        </w:rPr>
        <w:t>Pastoral Psychology, 59</w:t>
      </w:r>
      <w:r w:rsidRPr="00EA1876">
        <w:rPr>
          <w:noProof/>
        </w:rPr>
        <w:t xml:space="preserve">(2), 137-145. </w:t>
      </w:r>
      <w:hyperlink r:id="rId46" w:history="1">
        <w:r w:rsidRPr="00EA1876">
          <w:rPr>
            <w:rStyle w:val="Hyperlink"/>
            <w:noProof/>
          </w:rPr>
          <w:t>https://doi.org/10.1007/s11089-009-0264-0</w:t>
        </w:r>
      </w:hyperlink>
      <w:r w:rsidRPr="00EA1876">
        <w:rPr>
          <w:noProof/>
        </w:rPr>
        <w:t xml:space="preserve"> </w:t>
      </w:r>
    </w:p>
    <w:p w14:paraId="43A988B4" w14:textId="77777777" w:rsidR="00EA1876" w:rsidRPr="00EA1876" w:rsidRDefault="00EA1876" w:rsidP="00EA1876">
      <w:pPr>
        <w:pStyle w:val="EndNoteBibliography"/>
        <w:ind w:left="720" w:hanging="720"/>
        <w:rPr>
          <w:noProof/>
        </w:rPr>
      </w:pPr>
      <w:r w:rsidRPr="00EA1876">
        <w:rPr>
          <w:noProof/>
        </w:rPr>
        <w:t xml:space="preserve">Bowman, L. (1975). </w:t>
      </w:r>
      <w:r w:rsidRPr="00EA1876">
        <w:rPr>
          <w:i/>
          <w:noProof/>
        </w:rPr>
        <w:t>American funeral: A study in guilt, extravagance, and sublimity</w:t>
      </w:r>
      <w:r w:rsidRPr="00EA1876">
        <w:rPr>
          <w:noProof/>
        </w:rPr>
        <w:t xml:space="preserve">. Greenwood Westport, Conn. </w:t>
      </w:r>
    </w:p>
    <w:p w14:paraId="24490DC3" w14:textId="77777777" w:rsidR="00EA1876" w:rsidRPr="00EA1876" w:rsidRDefault="00EA1876" w:rsidP="00EA1876">
      <w:pPr>
        <w:pStyle w:val="EndNoteBibliography"/>
        <w:ind w:left="720" w:hanging="720"/>
        <w:rPr>
          <w:noProof/>
        </w:rPr>
      </w:pPr>
      <w:r w:rsidRPr="00EA1876">
        <w:rPr>
          <w:noProof/>
        </w:rPr>
        <w:t xml:space="preserve">Boyatzis, R. E. (1998). </w:t>
      </w:r>
      <w:r w:rsidRPr="00EA1876">
        <w:rPr>
          <w:i/>
          <w:noProof/>
        </w:rPr>
        <w:t>Transforming qualitative information: Thematic analysis and code development</w:t>
      </w:r>
      <w:r w:rsidRPr="00EA1876">
        <w:rPr>
          <w:noProof/>
        </w:rPr>
        <w:t xml:space="preserve">. Sage Publications, Inc. </w:t>
      </w:r>
    </w:p>
    <w:p w14:paraId="04CAB464" w14:textId="4C516879" w:rsidR="00EA1876" w:rsidRPr="00EA1876" w:rsidRDefault="00EA1876" w:rsidP="00EA1876">
      <w:pPr>
        <w:pStyle w:val="EndNoteBibliography"/>
        <w:ind w:left="720" w:hanging="720"/>
        <w:rPr>
          <w:noProof/>
        </w:rPr>
      </w:pPr>
      <w:r w:rsidRPr="00EA1876">
        <w:rPr>
          <w:noProof/>
        </w:rPr>
        <w:t xml:space="preserve">Braithwaite, D. O., &amp; Baxter, L. A. (1995). `I do' Again: The relational dialectics of renewing marriage vows. </w:t>
      </w:r>
      <w:r w:rsidRPr="00EA1876">
        <w:rPr>
          <w:i/>
          <w:noProof/>
        </w:rPr>
        <w:t>Journal of Social and Personal relationships, 12</w:t>
      </w:r>
      <w:r w:rsidRPr="00EA1876">
        <w:rPr>
          <w:noProof/>
        </w:rPr>
        <w:t xml:space="preserve">(2), 177-198. </w:t>
      </w:r>
      <w:hyperlink r:id="rId47" w:history="1">
        <w:r w:rsidRPr="00EA1876">
          <w:rPr>
            <w:rStyle w:val="Hyperlink"/>
            <w:noProof/>
          </w:rPr>
          <w:t>https://doi.org/10.1177/0265407595122002</w:t>
        </w:r>
      </w:hyperlink>
      <w:r w:rsidRPr="00EA1876">
        <w:rPr>
          <w:noProof/>
        </w:rPr>
        <w:t xml:space="preserve"> </w:t>
      </w:r>
    </w:p>
    <w:p w14:paraId="4428482B" w14:textId="64D9514B" w:rsidR="00EA1876" w:rsidRPr="00EA1876" w:rsidRDefault="00EA1876" w:rsidP="00EA1876">
      <w:pPr>
        <w:pStyle w:val="EndNoteBibliography"/>
        <w:ind w:left="720" w:hanging="720"/>
        <w:rPr>
          <w:noProof/>
        </w:rPr>
      </w:pPr>
      <w:r w:rsidRPr="00EA1876">
        <w:rPr>
          <w:noProof/>
        </w:rPr>
        <w:t xml:space="preserve">Braithwaite, D. O., Baxter, L. A., &amp; Harper, A. M. (1998). The role of rituals in the management of the dialectical tension of “old” and “new” in blended families. </w:t>
      </w:r>
      <w:r w:rsidRPr="00EA1876">
        <w:rPr>
          <w:i/>
          <w:noProof/>
        </w:rPr>
        <w:t>Communication Studies, 49</w:t>
      </w:r>
      <w:r w:rsidRPr="00EA1876">
        <w:rPr>
          <w:noProof/>
        </w:rPr>
        <w:t xml:space="preserve">(2), 101-120. </w:t>
      </w:r>
      <w:hyperlink r:id="rId48" w:history="1">
        <w:r w:rsidRPr="00EA1876">
          <w:rPr>
            <w:rStyle w:val="Hyperlink"/>
            <w:noProof/>
          </w:rPr>
          <w:t>https://doi.org/10.1080/10510979809368523</w:t>
        </w:r>
      </w:hyperlink>
      <w:r w:rsidRPr="00EA1876">
        <w:rPr>
          <w:noProof/>
        </w:rPr>
        <w:t xml:space="preserve"> </w:t>
      </w:r>
    </w:p>
    <w:p w14:paraId="7CF2B7BA" w14:textId="5BF8A9AE" w:rsidR="00EA1876" w:rsidRPr="00EA1876" w:rsidRDefault="00EA1876" w:rsidP="00EA1876">
      <w:pPr>
        <w:pStyle w:val="EndNoteBibliography"/>
        <w:ind w:left="720" w:hanging="720"/>
        <w:rPr>
          <w:noProof/>
        </w:rPr>
      </w:pPr>
      <w:r w:rsidRPr="00EA1876">
        <w:rPr>
          <w:noProof/>
        </w:rPr>
        <w:t xml:space="preserve">Brashers, D. E. (2001). Communication and uncertainty management. </w:t>
      </w:r>
      <w:r w:rsidRPr="00EA1876">
        <w:rPr>
          <w:i/>
          <w:noProof/>
        </w:rPr>
        <w:t>Journal of communication, 51</w:t>
      </w:r>
      <w:r w:rsidRPr="00EA1876">
        <w:rPr>
          <w:noProof/>
        </w:rPr>
        <w:t xml:space="preserve">(3), 477-497. </w:t>
      </w:r>
      <w:hyperlink r:id="rId49" w:history="1">
        <w:r w:rsidRPr="00EA1876">
          <w:rPr>
            <w:rStyle w:val="Hyperlink"/>
            <w:noProof/>
          </w:rPr>
          <w:t>https://doi.org/10.1111/j.1460-2466.2001.tb02892.x</w:t>
        </w:r>
      </w:hyperlink>
      <w:r w:rsidRPr="00EA1876">
        <w:rPr>
          <w:noProof/>
        </w:rPr>
        <w:t xml:space="preserve"> </w:t>
      </w:r>
    </w:p>
    <w:p w14:paraId="5DDE7A48" w14:textId="7FAB759B" w:rsidR="00EA1876" w:rsidRPr="00EA1876" w:rsidRDefault="00EA1876" w:rsidP="00EA1876">
      <w:pPr>
        <w:pStyle w:val="EndNoteBibliography"/>
        <w:ind w:left="720" w:hanging="720"/>
        <w:rPr>
          <w:noProof/>
        </w:rPr>
      </w:pPr>
      <w:r w:rsidRPr="00EA1876">
        <w:rPr>
          <w:noProof/>
        </w:rPr>
        <w:t xml:space="preserve">Braun, V., &amp; Clarke, V. (2006). Using thematic analysis in psychology. </w:t>
      </w:r>
      <w:r w:rsidRPr="00EA1876">
        <w:rPr>
          <w:i/>
          <w:noProof/>
        </w:rPr>
        <w:t>Qualitative research in psychology, 3</w:t>
      </w:r>
      <w:r w:rsidRPr="00EA1876">
        <w:rPr>
          <w:noProof/>
        </w:rPr>
        <w:t xml:space="preserve">(2), 77-101. </w:t>
      </w:r>
      <w:hyperlink r:id="rId50" w:history="1">
        <w:r w:rsidRPr="00EA1876">
          <w:rPr>
            <w:rStyle w:val="Hyperlink"/>
            <w:noProof/>
          </w:rPr>
          <w:t>https://doi.org/10.1191/1478088706qp063oa</w:t>
        </w:r>
      </w:hyperlink>
      <w:r w:rsidRPr="00EA1876">
        <w:rPr>
          <w:noProof/>
        </w:rPr>
        <w:t xml:space="preserve"> </w:t>
      </w:r>
    </w:p>
    <w:p w14:paraId="5B5A684A" w14:textId="7460EA12" w:rsidR="00EA1876" w:rsidRPr="00EA1876" w:rsidRDefault="00EA1876" w:rsidP="00EA1876">
      <w:pPr>
        <w:pStyle w:val="EndNoteBibliography"/>
        <w:ind w:left="720" w:hanging="720"/>
        <w:rPr>
          <w:noProof/>
        </w:rPr>
      </w:pPr>
      <w:r w:rsidRPr="00EA1876">
        <w:rPr>
          <w:noProof/>
        </w:rPr>
        <w:t xml:space="preserve">Bregman, L. (2017). The Death Awareness Movement. In C. Moreman (Ed.), </w:t>
      </w:r>
      <w:r w:rsidRPr="00EA1876">
        <w:rPr>
          <w:i/>
          <w:noProof/>
        </w:rPr>
        <w:t>The Routledge companion to death and dying</w:t>
      </w:r>
      <w:r w:rsidRPr="00EA1876">
        <w:rPr>
          <w:noProof/>
        </w:rPr>
        <w:t xml:space="preserve">. Routledge. </w:t>
      </w:r>
      <w:hyperlink r:id="rId51" w:history="1">
        <w:r w:rsidRPr="00EA1876">
          <w:rPr>
            <w:rStyle w:val="Hyperlink"/>
            <w:noProof/>
          </w:rPr>
          <w:t>https://doi.org/10.4324/9781315723747.ch38</w:t>
        </w:r>
      </w:hyperlink>
      <w:r w:rsidRPr="00EA1876">
        <w:rPr>
          <w:noProof/>
        </w:rPr>
        <w:t xml:space="preserve"> </w:t>
      </w:r>
    </w:p>
    <w:p w14:paraId="1501E9E4" w14:textId="4ED6944C" w:rsidR="00EA1876" w:rsidRPr="00EA1876" w:rsidRDefault="00EA1876" w:rsidP="00EA1876">
      <w:pPr>
        <w:pStyle w:val="EndNoteBibliography"/>
        <w:ind w:left="720" w:hanging="720"/>
        <w:rPr>
          <w:noProof/>
        </w:rPr>
      </w:pPr>
      <w:r w:rsidRPr="00EA1876">
        <w:rPr>
          <w:noProof/>
        </w:rPr>
        <w:t xml:space="preserve">Brookmeyer, R. (1991). Reconstruction and future trends of the AIDS epidemic in the United States. </w:t>
      </w:r>
      <w:r w:rsidRPr="00EA1876">
        <w:rPr>
          <w:i/>
          <w:noProof/>
        </w:rPr>
        <w:t>Science, 253</w:t>
      </w:r>
      <w:r w:rsidRPr="00EA1876">
        <w:rPr>
          <w:noProof/>
        </w:rPr>
        <w:t xml:space="preserve">(5015), 37-42. </w:t>
      </w:r>
      <w:hyperlink r:id="rId52" w:history="1">
        <w:r w:rsidRPr="00EA1876">
          <w:rPr>
            <w:rStyle w:val="Hyperlink"/>
            <w:noProof/>
          </w:rPr>
          <w:t>https://doi.org/doi:10.1126/science.2063206</w:t>
        </w:r>
      </w:hyperlink>
      <w:r w:rsidRPr="00EA1876">
        <w:rPr>
          <w:noProof/>
        </w:rPr>
        <w:t xml:space="preserve"> </w:t>
      </w:r>
    </w:p>
    <w:p w14:paraId="326C4CE9" w14:textId="40207190" w:rsidR="00EA1876" w:rsidRPr="00EA1876" w:rsidRDefault="00EA1876" w:rsidP="00EA1876">
      <w:pPr>
        <w:pStyle w:val="EndNoteBibliography"/>
        <w:ind w:left="720" w:hanging="720"/>
        <w:rPr>
          <w:noProof/>
        </w:rPr>
      </w:pPr>
      <w:r w:rsidRPr="00EA1876">
        <w:rPr>
          <w:noProof/>
        </w:rPr>
        <w:lastRenderedPageBreak/>
        <w:t xml:space="preserve">Bruess, C. J. S., &amp; Pearson, J. C. (1997). Interpersonal rituals in marriage and adult friendship. </w:t>
      </w:r>
      <w:r w:rsidRPr="00EA1876">
        <w:rPr>
          <w:i/>
          <w:noProof/>
        </w:rPr>
        <w:t>Communication Monographs, 64</w:t>
      </w:r>
      <w:r w:rsidRPr="00EA1876">
        <w:rPr>
          <w:noProof/>
        </w:rPr>
        <w:t xml:space="preserve">(1), 25-46. </w:t>
      </w:r>
      <w:hyperlink r:id="rId53" w:history="1">
        <w:r w:rsidRPr="00EA1876">
          <w:rPr>
            <w:rStyle w:val="Hyperlink"/>
            <w:noProof/>
          </w:rPr>
          <w:t>https://doi.org/10.1080/03637759709376403</w:t>
        </w:r>
      </w:hyperlink>
      <w:r w:rsidRPr="00EA1876">
        <w:rPr>
          <w:noProof/>
        </w:rPr>
        <w:t xml:space="preserve"> </w:t>
      </w:r>
    </w:p>
    <w:p w14:paraId="79E8C447" w14:textId="5672194E" w:rsidR="00EA1876" w:rsidRPr="00EA1876" w:rsidRDefault="00EA1876" w:rsidP="00EA1876">
      <w:pPr>
        <w:pStyle w:val="EndNoteBibliography"/>
        <w:ind w:left="720" w:hanging="720"/>
        <w:rPr>
          <w:noProof/>
        </w:rPr>
      </w:pPr>
      <w:r w:rsidRPr="00EA1876">
        <w:rPr>
          <w:noProof/>
        </w:rPr>
        <w:t xml:space="preserve">Bruess, C. J. S., &amp; Pearson, J. C. (2002). The function of mundane ritualizing in adult friendship and marriage. </w:t>
      </w:r>
      <w:r w:rsidRPr="00EA1876">
        <w:rPr>
          <w:i/>
          <w:noProof/>
        </w:rPr>
        <w:t>Communication Research Reports, 19</w:t>
      </w:r>
      <w:r w:rsidRPr="00EA1876">
        <w:rPr>
          <w:noProof/>
        </w:rPr>
        <w:t xml:space="preserve">(4), 314-326. </w:t>
      </w:r>
      <w:hyperlink r:id="rId54" w:history="1">
        <w:r w:rsidRPr="00EA1876">
          <w:rPr>
            <w:rStyle w:val="Hyperlink"/>
            <w:noProof/>
          </w:rPr>
          <w:t>https://doi.org/10.1080/08824090209384860</w:t>
        </w:r>
      </w:hyperlink>
      <w:r w:rsidRPr="00EA1876">
        <w:rPr>
          <w:noProof/>
        </w:rPr>
        <w:t xml:space="preserve"> </w:t>
      </w:r>
    </w:p>
    <w:p w14:paraId="035BABDD" w14:textId="1D1C8BCA" w:rsidR="00EA1876" w:rsidRPr="00EA1876" w:rsidRDefault="00EA1876" w:rsidP="00EA1876">
      <w:pPr>
        <w:pStyle w:val="EndNoteBibliography"/>
        <w:ind w:left="720" w:hanging="720"/>
        <w:rPr>
          <w:noProof/>
        </w:rPr>
      </w:pPr>
      <w:r w:rsidRPr="00EA1876">
        <w:rPr>
          <w:noProof/>
        </w:rPr>
        <w:t xml:space="preserve">Burkhalter, S., Gastil, J., &amp; Kelshaw, T. (2002). A conceptual definition and theoretical model of public deliberation in small face—to—face groups. </w:t>
      </w:r>
      <w:r w:rsidRPr="00EA1876">
        <w:rPr>
          <w:i/>
          <w:noProof/>
        </w:rPr>
        <w:t>Communication Theory, 12</w:t>
      </w:r>
      <w:r w:rsidRPr="00EA1876">
        <w:rPr>
          <w:noProof/>
        </w:rPr>
        <w:t xml:space="preserve">(4), 398-422. </w:t>
      </w:r>
      <w:hyperlink r:id="rId55" w:history="1">
        <w:r w:rsidRPr="00EA1876">
          <w:rPr>
            <w:rStyle w:val="Hyperlink"/>
            <w:noProof/>
          </w:rPr>
          <w:t>https://doi.org/10.1111/j.1468-2885.2002.tb00276.x</w:t>
        </w:r>
      </w:hyperlink>
      <w:r w:rsidRPr="00EA1876">
        <w:rPr>
          <w:noProof/>
        </w:rPr>
        <w:t xml:space="preserve"> </w:t>
      </w:r>
    </w:p>
    <w:p w14:paraId="06F8CF5C" w14:textId="77759A87" w:rsidR="00EA1876" w:rsidRPr="00EA1876" w:rsidRDefault="00EA1876" w:rsidP="00EA1876">
      <w:pPr>
        <w:pStyle w:val="EndNoteBibliography"/>
        <w:ind w:left="720" w:hanging="720"/>
        <w:rPr>
          <w:noProof/>
        </w:rPr>
      </w:pPr>
      <w:r w:rsidRPr="00EA1876">
        <w:rPr>
          <w:noProof/>
        </w:rPr>
        <w:t xml:space="preserve">Burrell, G. (1988). Modernism, post modernism and organizational analysis 2: The contribution of Michel Foucault. </w:t>
      </w:r>
      <w:r w:rsidRPr="00EA1876">
        <w:rPr>
          <w:i/>
          <w:noProof/>
        </w:rPr>
        <w:t>Organization Studies, 9</w:t>
      </w:r>
      <w:r w:rsidRPr="00EA1876">
        <w:rPr>
          <w:noProof/>
        </w:rPr>
        <w:t xml:space="preserve">(2), 221-235. </w:t>
      </w:r>
      <w:hyperlink r:id="rId56" w:history="1">
        <w:r w:rsidRPr="00EA1876">
          <w:rPr>
            <w:rStyle w:val="Hyperlink"/>
            <w:noProof/>
          </w:rPr>
          <w:t>https://doi.org/10.1177/017084068800900205</w:t>
        </w:r>
      </w:hyperlink>
      <w:r w:rsidRPr="00EA1876">
        <w:rPr>
          <w:noProof/>
        </w:rPr>
        <w:t xml:space="preserve"> </w:t>
      </w:r>
    </w:p>
    <w:p w14:paraId="7CF3C144" w14:textId="6BAF7AA6" w:rsidR="00EA1876" w:rsidRPr="00EA1876" w:rsidRDefault="00EA1876" w:rsidP="00EA1876">
      <w:pPr>
        <w:pStyle w:val="EndNoteBibliography"/>
        <w:ind w:left="720" w:hanging="720"/>
        <w:rPr>
          <w:noProof/>
        </w:rPr>
      </w:pPr>
      <w:r w:rsidRPr="00EA1876">
        <w:rPr>
          <w:noProof/>
        </w:rPr>
        <w:t xml:space="preserve">Cahill, S. E. (1999a). The boundaries of professionalization: The case of North American funeral direction. </w:t>
      </w:r>
      <w:r w:rsidRPr="00EA1876">
        <w:rPr>
          <w:i/>
          <w:noProof/>
        </w:rPr>
        <w:t>Symbolic interaction, 22</w:t>
      </w:r>
      <w:r w:rsidRPr="00EA1876">
        <w:rPr>
          <w:noProof/>
        </w:rPr>
        <w:t xml:space="preserve">(2), 105-119. </w:t>
      </w:r>
      <w:hyperlink r:id="rId57" w:history="1">
        <w:r w:rsidRPr="00EA1876">
          <w:rPr>
            <w:rStyle w:val="Hyperlink"/>
            <w:noProof/>
          </w:rPr>
          <w:t>https://doi.org/10.1525/si.1999.22.2.105</w:t>
        </w:r>
      </w:hyperlink>
      <w:r w:rsidRPr="00EA1876">
        <w:rPr>
          <w:noProof/>
        </w:rPr>
        <w:t xml:space="preserve"> </w:t>
      </w:r>
    </w:p>
    <w:p w14:paraId="64D563D2" w14:textId="20E80452" w:rsidR="00EA1876" w:rsidRPr="00EA1876" w:rsidRDefault="00EA1876" w:rsidP="00EA1876">
      <w:pPr>
        <w:pStyle w:val="EndNoteBibliography"/>
        <w:ind w:left="720" w:hanging="720"/>
        <w:rPr>
          <w:noProof/>
        </w:rPr>
      </w:pPr>
      <w:r w:rsidRPr="00EA1876">
        <w:rPr>
          <w:noProof/>
        </w:rPr>
        <w:t xml:space="preserve">Cahill, S. E. (1999b). Emotional capital and professional socialization: The case of mortuary science students (and me). </w:t>
      </w:r>
      <w:r w:rsidRPr="00EA1876">
        <w:rPr>
          <w:i/>
          <w:noProof/>
        </w:rPr>
        <w:t>Social psychology quarterly</w:t>
      </w:r>
      <w:r w:rsidRPr="00EA1876">
        <w:rPr>
          <w:noProof/>
        </w:rPr>
        <w:t xml:space="preserve">, 101-116. </w:t>
      </w:r>
      <w:hyperlink r:id="rId58" w:history="1">
        <w:r w:rsidRPr="00EA1876">
          <w:rPr>
            <w:rStyle w:val="Hyperlink"/>
            <w:noProof/>
          </w:rPr>
          <w:t>https://doi.org/10.2307/2695852</w:t>
        </w:r>
      </w:hyperlink>
      <w:r w:rsidRPr="00EA1876">
        <w:rPr>
          <w:noProof/>
        </w:rPr>
        <w:t xml:space="preserve"> </w:t>
      </w:r>
    </w:p>
    <w:p w14:paraId="4B34BFCA" w14:textId="77777777" w:rsidR="00EA1876" w:rsidRPr="00EA1876" w:rsidRDefault="00EA1876" w:rsidP="00EA1876">
      <w:pPr>
        <w:pStyle w:val="EndNoteBibliography"/>
        <w:ind w:left="720" w:hanging="720"/>
        <w:rPr>
          <w:noProof/>
        </w:rPr>
      </w:pPr>
      <w:r w:rsidRPr="00EA1876">
        <w:rPr>
          <w:noProof/>
        </w:rPr>
        <w:t xml:space="preserve">Campbell, C. G. (2021). </w:t>
      </w:r>
      <w:r w:rsidRPr="00EA1876">
        <w:rPr>
          <w:i/>
          <w:noProof/>
        </w:rPr>
        <w:t>Funeral planning communication: A new conceptual framework in communication studies</w:t>
      </w:r>
      <w:r w:rsidRPr="00EA1876">
        <w:rPr>
          <w:noProof/>
        </w:rPr>
        <w:t xml:space="preserve"> (Publication Number 28714603) [M.A., University of Colorado at Boulder]. ProQuest Dissertations &amp; Theses Global. Ann Arbor. </w:t>
      </w:r>
    </w:p>
    <w:p w14:paraId="6210D07C" w14:textId="77777777" w:rsidR="00EA1876" w:rsidRPr="00EA1876" w:rsidRDefault="00EA1876" w:rsidP="00EA1876">
      <w:pPr>
        <w:pStyle w:val="EndNoteBibliography"/>
        <w:ind w:left="720" w:hanging="720"/>
        <w:rPr>
          <w:noProof/>
        </w:rPr>
      </w:pPr>
      <w:r w:rsidRPr="00EA1876">
        <w:rPr>
          <w:noProof/>
        </w:rPr>
        <w:t xml:space="preserve">Canine, J. D. (1996). </w:t>
      </w:r>
      <w:r w:rsidRPr="00EA1876">
        <w:rPr>
          <w:i/>
          <w:noProof/>
        </w:rPr>
        <w:t>The psychological aspects of death and death</w:t>
      </w:r>
      <w:r w:rsidRPr="00EA1876">
        <w:rPr>
          <w:noProof/>
        </w:rPr>
        <w:t xml:space="preserve">. Appleton &amp; Lange. </w:t>
      </w:r>
    </w:p>
    <w:p w14:paraId="47E80D59" w14:textId="518F8E03" w:rsidR="00EA1876" w:rsidRPr="00EA1876" w:rsidRDefault="00EA1876" w:rsidP="00EA1876">
      <w:pPr>
        <w:pStyle w:val="EndNoteBibliography"/>
        <w:ind w:left="720" w:hanging="720"/>
        <w:rPr>
          <w:noProof/>
        </w:rPr>
      </w:pPr>
      <w:r w:rsidRPr="00EA1876">
        <w:rPr>
          <w:noProof/>
        </w:rPr>
        <w:t xml:space="preserve">Carbaugh, D. (2007). Cultural discourse analysis: Communication practices and intercultural encounters. </w:t>
      </w:r>
      <w:r w:rsidRPr="00EA1876">
        <w:rPr>
          <w:i/>
          <w:noProof/>
        </w:rPr>
        <w:t>Journal of Intercultural Communication Research, 36</w:t>
      </w:r>
      <w:r w:rsidRPr="00EA1876">
        <w:rPr>
          <w:noProof/>
        </w:rPr>
        <w:t xml:space="preserve">(3), 167-182. </w:t>
      </w:r>
      <w:hyperlink r:id="rId59" w:history="1">
        <w:r w:rsidRPr="00EA1876">
          <w:rPr>
            <w:rStyle w:val="Hyperlink"/>
            <w:noProof/>
          </w:rPr>
          <w:t>https://doi.org/10.1080/17475750701737090</w:t>
        </w:r>
      </w:hyperlink>
      <w:r w:rsidRPr="00EA1876">
        <w:rPr>
          <w:noProof/>
        </w:rPr>
        <w:t xml:space="preserve"> </w:t>
      </w:r>
    </w:p>
    <w:p w14:paraId="3DE15D8D" w14:textId="63F906DB" w:rsidR="00EA1876" w:rsidRPr="00EA1876" w:rsidRDefault="00EA1876" w:rsidP="00EA1876">
      <w:pPr>
        <w:pStyle w:val="EndNoteBibliography"/>
        <w:ind w:left="720" w:hanging="720"/>
        <w:rPr>
          <w:noProof/>
        </w:rPr>
      </w:pPr>
      <w:r w:rsidRPr="00EA1876">
        <w:rPr>
          <w:noProof/>
        </w:rPr>
        <w:lastRenderedPageBreak/>
        <w:t xml:space="preserve">Carpentier, N., &amp; Van Brussel, L. (2012). On the contingency of death: a discourse-theoretical perspective on the construction of death. </w:t>
      </w:r>
      <w:r w:rsidRPr="00EA1876">
        <w:rPr>
          <w:i/>
          <w:noProof/>
        </w:rPr>
        <w:t>Critical Discourse Studies, 9</w:t>
      </w:r>
      <w:r w:rsidRPr="00EA1876">
        <w:rPr>
          <w:noProof/>
        </w:rPr>
        <w:t xml:space="preserve">(2), 99-115. </w:t>
      </w:r>
      <w:hyperlink r:id="rId60" w:history="1">
        <w:r w:rsidRPr="00EA1876">
          <w:rPr>
            <w:rStyle w:val="Hyperlink"/>
            <w:noProof/>
          </w:rPr>
          <w:t>https://doi.org/10.1080/17405904.2012.656372</w:t>
        </w:r>
      </w:hyperlink>
      <w:r w:rsidRPr="00EA1876">
        <w:rPr>
          <w:noProof/>
        </w:rPr>
        <w:t xml:space="preserve"> </w:t>
      </w:r>
    </w:p>
    <w:p w14:paraId="616FAE03" w14:textId="16BAC17A" w:rsidR="00EA1876" w:rsidRPr="00EA1876" w:rsidRDefault="00EA1876" w:rsidP="00EA1876">
      <w:pPr>
        <w:pStyle w:val="EndNoteBibliography"/>
        <w:ind w:left="720" w:hanging="720"/>
        <w:rPr>
          <w:noProof/>
        </w:rPr>
      </w:pPr>
      <w:r w:rsidRPr="00EA1876">
        <w:rPr>
          <w:noProof/>
        </w:rPr>
        <w:t xml:space="preserve">Carr, K., &amp; Wang, T. R. (2012). “Forgiveness isn't a simple process: It's a vast undertaking”: Negotiating and communicating forgiveness in nonvoluntary family relationships. </w:t>
      </w:r>
      <w:r w:rsidRPr="00EA1876">
        <w:rPr>
          <w:i/>
          <w:noProof/>
        </w:rPr>
        <w:t>Journal of Family Communication, 12</w:t>
      </w:r>
      <w:r w:rsidRPr="00EA1876">
        <w:rPr>
          <w:noProof/>
        </w:rPr>
        <w:t xml:space="preserve">(1), 40-56. </w:t>
      </w:r>
      <w:hyperlink r:id="rId61" w:history="1">
        <w:r w:rsidRPr="00EA1876">
          <w:rPr>
            <w:rStyle w:val="Hyperlink"/>
            <w:noProof/>
          </w:rPr>
          <w:t>https://doi.org/10.1080/15267431.2011.629970</w:t>
        </w:r>
      </w:hyperlink>
      <w:r w:rsidRPr="00EA1876">
        <w:rPr>
          <w:noProof/>
        </w:rPr>
        <w:t xml:space="preserve"> </w:t>
      </w:r>
    </w:p>
    <w:p w14:paraId="49D49D9A" w14:textId="5C02F0DF" w:rsidR="00EA1876" w:rsidRPr="00EA1876" w:rsidRDefault="00EA1876" w:rsidP="00EA1876">
      <w:pPr>
        <w:pStyle w:val="EndNoteBibliography"/>
        <w:ind w:left="720" w:hanging="720"/>
        <w:rPr>
          <w:noProof/>
        </w:rPr>
      </w:pPr>
      <w:r w:rsidRPr="00EA1876">
        <w:rPr>
          <w:noProof/>
        </w:rPr>
        <w:t xml:space="preserve">Clark, C. D. (2005). Tricks of festival: Children, enculturation, and American Halloween. </w:t>
      </w:r>
      <w:r w:rsidRPr="00EA1876">
        <w:rPr>
          <w:i/>
          <w:noProof/>
        </w:rPr>
        <w:t>Ethos, 33</w:t>
      </w:r>
      <w:r w:rsidRPr="00EA1876">
        <w:rPr>
          <w:noProof/>
        </w:rPr>
        <w:t xml:space="preserve">(2), 180-205. </w:t>
      </w:r>
      <w:hyperlink r:id="rId62" w:history="1">
        <w:r w:rsidRPr="00EA1876">
          <w:rPr>
            <w:rStyle w:val="Hyperlink"/>
            <w:noProof/>
          </w:rPr>
          <w:t>https://doi.org/10.1525/eth.2005.33.2.180</w:t>
        </w:r>
      </w:hyperlink>
      <w:r w:rsidRPr="00EA1876">
        <w:rPr>
          <w:noProof/>
        </w:rPr>
        <w:t xml:space="preserve"> </w:t>
      </w:r>
    </w:p>
    <w:p w14:paraId="64C93DEE" w14:textId="350B6CD7" w:rsidR="00EA1876" w:rsidRPr="00EA1876" w:rsidRDefault="00EA1876" w:rsidP="00EA1876">
      <w:pPr>
        <w:pStyle w:val="EndNoteBibliography"/>
        <w:ind w:left="720" w:hanging="720"/>
        <w:rPr>
          <w:noProof/>
        </w:rPr>
      </w:pPr>
      <w:r w:rsidRPr="00EA1876">
        <w:rPr>
          <w:noProof/>
        </w:rPr>
        <w:t xml:space="preserve">Coetzee, C., Van Heerden, C., &amp; Maree, T. (2014). The marketing of an unsought service through an unobtrusive medium: A content analysis of the websites of members of the National Funeral Directors Association of South Africa. </w:t>
      </w:r>
      <w:r w:rsidRPr="00EA1876">
        <w:rPr>
          <w:i/>
          <w:noProof/>
        </w:rPr>
        <w:t>Communicare: Journal for Communication Sciences in Southern Africa, 33</w:t>
      </w:r>
      <w:r w:rsidRPr="00EA1876">
        <w:rPr>
          <w:noProof/>
        </w:rPr>
        <w:t xml:space="preserve">(1), 35-56. </w:t>
      </w:r>
      <w:hyperlink r:id="rId63" w:history="1">
        <w:r w:rsidRPr="00EA1876">
          <w:rPr>
            <w:rStyle w:val="Hyperlink"/>
            <w:noProof/>
          </w:rPr>
          <w:t>https://doi.org/10.10520/EJC156801</w:t>
        </w:r>
      </w:hyperlink>
      <w:r w:rsidRPr="00EA1876">
        <w:rPr>
          <w:noProof/>
        </w:rPr>
        <w:t xml:space="preserve"> </w:t>
      </w:r>
    </w:p>
    <w:p w14:paraId="44560AFE" w14:textId="11DD2314" w:rsidR="00EA1876" w:rsidRPr="00EA1876" w:rsidRDefault="00EA1876" w:rsidP="00EA1876">
      <w:pPr>
        <w:pStyle w:val="EndNoteBibliography"/>
        <w:ind w:left="720" w:hanging="720"/>
        <w:rPr>
          <w:noProof/>
        </w:rPr>
      </w:pPr>
      <w:r w:rsidRPr="00EA1876">
        <w:rPr>
          <w:noProof/>
        </w:rPr>
        <w:t xml:space="preserve">Conrad, J. B., &amp; Coohey, C. (2023). The constructed meaning of suicide: A relational dialectics theory analysis of online suicide chats. </w:t>
      </w:r>
      <w:r w:rsidRPr="00EA1876">
        <w:rPr>
          <w:i/>
          <w:noProof/>
        </w:rPr>
        <w:t>Journal of Communication Inquiry, 47</w:t>
      </w:r>
      <w:r w:rsidRPr="00EA1876">
        <w:rPr>
          <w:noProof/>
        </w:rPr>
        <w:t xml:space="preserve">(2), 168-186. </w:t>
      </w:r>
      <w:hyperlink r:id="rId64" w:history="1">
        <w:r w:rsidRPr="00EA1876">
          <w:rPr>
            <w:rStyle w:val="Hyperlink"/>
            <w:noProof/>
          </w:rPr>
          <w:t>https://doi.org/10.1177/01968599221128533</w:t>
        </w:r>
      </w:hyperlink>
      <w:r w:rsidRPr="00EA1876">
        <w:rPr>
          <w:noProof/>
        </w:rPr>
        <w:t xml:space="preserve"> </w:t>
      </w:r>
    </w:p>
    <w:p w14:paraId="1910A993" w14:textId="20B1CA1A" w:rsidR="00EA1876" w:rsidRPr="00EA1876" w:rsidRDefault="00EA1876" w:rsidP="00EA1876">
      <w:pPr>
        <w:pStyle w:val="EndNoteBibliography"/>
        <w:ind w:left="720" w:hanging="720"/>
        <w:rPr>
          <w:noProof/>
        </w:rPr>
      </w:pPr>
      <w:r w:rsidRPr="00EA1876">
        <w:rPr>
          <w:noProof/>
        </w:rPr>
        <w:t xml:space="preserve">Corr, C. A., &amp; Doka, K. J. (2001). Master concepts in the field of death, dying, and bereavement: Coping versus adaptive strategies. </w:t>
      </w:r>
      <w:r w:rsidRPr="00EA1876">
        <w:rPr>
          <w:i/>
          <w:noProof/>
        </w:rPr>
        <w:t>OMEGA-Journal of Death and Dying, 43</w:t>
      </w:r>
      <w:r w:rsidRPr="00EA1876">
        <w:rPr>
          <w:noProof/>
        </w:rPr>
        <w:t xml:space="preserve">(3), 183-199. </w:t>
      </w:r>
      <w:hyperlink r:id="rId65" w:history="1">
        <w:r w:rsidRPr="00EA1876">
          <w:rPr>
            <w:rStyle w:val="Hyperlink"/>
            <w:noProof/>
          </w:rPr>
          <w:t>https://doi.org/10.2190/2T3W-MEL5-L4WL-VGG</w:t>
        </w:r>
      </w:hyperlink>
      <w:r w:rsidRPr="00EA1876">
        <w:rPr>
          <w:noProof/>
        </w:rPr>
        <w:t xml:space="preserve"> </w:t>
      </w:r>
    </w:p>
    <w:p w14:paraId="3795612F" w14:textId="45874CF1" w:rsidR="00EA1876" w:rsidRPr="00EA1876" w:rsidRDefault="00EA1876" w:rsidP="00EA1876">
      <w:pPr>
        <w:pStyle w:val="EndNoteBibliography"/>
        <w:ind w:left="720" w:hanging="720"/>
        <w:rPr>
          <w:noProof/>
        </w:rPr>
      </w:pPr>
      <w:r w:rsidRPr="00EA1876">
        <w:rPr>
          <w:noProof/>
        </w:rPr>
        <w:t xml:space="preserve">Coweii, D. D. (1986). Funerals, family, and forefathers: A view of Italian-American funeral practices. </w:t>
      </w:r>
      <w:r w:rsidRPr="00EA1876">
        <w:rPr>
          <w:i/>
          <w:noProof/>
        </w:rPr>
        <w:t>OMEGA - Journal of Death and Dying, 16</w:t>
      </w:r>
      <w:r w:rsidRPr="00EA1876">
        <w:rPr>
          <w:noProof/>
        </w:rPr>
        <w:t xml:space="preserve">(1), 69-85. </w:t>
      </w:r>
      <w:hyperlink r:id="rId66" w:history="1">
        <w:r w:rsidRPr="00EA1876">
          <w:rPr>
            <w:rStyle w:val="Hyperlink"/>
            <w:noProof/>
          </w:rPr>
          <w:t>https://doi.org/10.2190/ryld-33xc-t9gp-9ju7</w:t>
        </w:r>
      </w:hyperlink>
      <w:r w:rsidRPr="00EA1876">
        <w:rPr>
          <w:noProof/>
        </w:rPr>
        <w:t xml:space="preserve"> </w:t>
      </w:r>
    </w:p>
    <w:p w14:paraId="31729C52" w14:textId="536D1D4E" w:rsidR="00EA1876" w:rsidRPr="00EA1876" w:rsidRDefault="00EA1876" w:rsidP="00EA1876">
      <w:pPr>
        <w:pStyle w:val="EndNoteBibliography"/>
        <w:ind w:left="720" w:hanging="720"/>
        <w:rPr>
          <w:noProof/>
        </w:rPr>
      </w:pPr>
      <w:r w:rsidRPr="00EA1876">
        <w:rPr>
          <w:noProof/>
        </w:rPr>
        <w:lastRenderedPageBreak/>
        <w:t xml:space="preserve">Cremation Association of North America. (n.d.). </w:t>
      </w:r>
      <w:r w:rsidRPr="00EA1876">
        <w:rPr>
          <w:i/>
          <w:noProof/>
        </w:rPr>
        <w:t>History of Cremation</w:t>
      </w:r>
      <w:r w:rsidRPr="00EA1876">
        <w:rPr>
          <w:noProof/>
        </w:rPr>
        <w:t xml:space="preserve">. </w:t>
      </w:r>
      <w:hyperlink r:id="rId67" w:history="1">
        <w:r w:rsidRPr="00EA1876">
          <w:rPr>
            <w:rStyle w:val="Hyperlink"/>
            <w:noProof/>
          </w:rPr>
          <w:t>https://www.cremationassociation.org/page/HistoryOfCremation</w:t>
        </w:r>
      </w:hyperlink>
    </w:p>
    <w:p w14:paraId="01C90456" w14:textId="5B1AB5F1" w:rsidR="00EA1876" w:rsidRPr="00EA1876" w:rsidRDefault="00EA1876" w:rsidP="00EA1876">
      <w:pPr>
        <w:pStyle w:val="EndNoteBibliography"/>
        <w:ind w:left="720" w:hanging="720"/>
        <w:rPr>
          <w:noProof/>
        </w:rPr>
      </w:pPr>
      <w:r w:rsidRPr="00EA1876">
        <w:rPr>
          <w:noProof/>
        </w:rPr>
        <w:t xml:space="preserve">Cremation.com. (n.d.). </w:t>
      </w:r>
      <w:r w:rsidRPr="00EA1876">
        <w:rPr>
          <w:i/>
          <w:noProof/>
        </w:rPr>
        <w:t>Glossary of Funeral Terms</w:t>
      </w:r>
      <w:r w:rsidRPr="00EA1876">
        <w:rPr>
          <w:noProof/>
        </w:rPr>
        <w:t xml:space="preserve">. Cremation.com. </w:t>
      </w:r>
      <w:hyperlink r:id="rId68" w:history="1">
        <w:r w:rsidRPr="00EA1876">
          <w:rPr>
            <w:rStyle w:val="Hyperlink"/>
            <w:noProof/>
          </w:rPr>
          <w:t>https://www.cremation.com/consumer-resources/glossary-of-funeral-terms</w:t>
        </w:r>
      </w:hyperlink>
    </w:p>
    <w:p w14:paraId="6ADE3C7E" w14:textId="77777777" w:rsidR="00EA1876" w:rsidRPr="00EA1876" w:rsidRDefault="00EA1876" w:rsidP="00EA1876">
      <w:pPr>
        <w:pStyle w:val="EndNoteBibliography"/>
        <w:ind w:left="720" w:hanging="720"/>
        <w:rPr>
          <w:noProof/>
        </w:rPr>
      </w:pPr>
      <w:r w:rsidRPr="00EA1876">
        <w:rPr>
          <w:noProof/>
        </w:rPr>
        <w:t xml:space="preserve">Creswell, J. W. (2007). Five qualitative approaches to inquiry. In J. W. Creswell, &amp; Poth, C. N. (Ed.), </w:t>
      </w:r>
      <w:r w:rsidRPr="00EA1876">
        <w:rPr>
          <w:i/>
          <w:noProof/>
        </w:rPr>
        <w:t>Qualitative inquiry and research design: Choosing among five approaches, 2nd ed.</w:t>
      </w:r>
      <w:r w:rsidRPr="00EA1876">
        <w:rPr>
          <w:noProof/>
        </w:rPr>
        <w:t xml:space="preserve"> (pp. 53-80). Sage Publications, Inc. </w:t>
      </w:r>
    </w:p>
    <w:p w14:paraId="7DE4ACFF" w14:textId="79C2C633" w:rsidR="00EA1876" w:rsidRPr="00EA1876" w:rsidRDefault="00EA1876" w:rsidP="00EA1876">
      <w:pPr>
        <w:pStyle w:val="EndNoteBibliography"/>
        <w:ind w:left="720" w:hanging="720"/>
        <w:rPr>
          <w:noProof/>
        </w:rPr>
      </w:pPr>
      <w:r w:rsidRPr="00EA1876">
        <w:rPr>
          <w:noProof/>
        </w:rPr>
        <w:t xml:space="preserve">Currier, J. M., Neimeyer, R. A., &amp; Berman, J. S. (2008). The effectiveness of psychotherapeutic interventions for bereaved persons: A comprehensive quantitative review. </w:t>
      </w:r>
      <w:r w:rsidRPr="00EA1876">
        <w:rPr>
          <w:i/>
          <w:noProof/>
        </w:rPr>
        <w:t>Psychological bulletin, 134</w:t>
      </w:r>
      <w:r w:rsidRPr="00EA1876">
        <w:rPr>
          <w:noProof/>
        </w:rPr>
        <w:t xml:space="preserve">(5), 648-661. </w:t>
      </w:r>
      <w:hyperlink r:id="rId69" w:history="1">
        <w:r w:rsidRPr="00EA1876">
          <w:rPr>
            <w:rStyle w:val="Hyperlink"/>
            <w:noProof/>
          </w:rPr>
          <w:t>https://doi.org/10.1037/0033-2909.134.5.648</w:t>
        </w:r>
      </w:hyperlink>
      <w:r w:rsidRPr="00EA1876">
        <w:rPr>
          <w:noProof/>
        </w:rPr>
        <w:t xml:space="preserve"> </w:t>
      </w:r>
    </w:p>
    <w:p w14:paraId="7815E65C" w14:textId="65CD4F63" w:rsidR="00EA1876" w:rsidRPr="00EA1876" w:rsidRDefault="00EA1876" w:rsidP="00EA1876">
      <w:pPr>
        <w:pStyle w:val="EndNoteBibliography"/>
        <w:ind w:left="720" w:hanging="720"/>
        <w:rPr>
          <w:noProof/>
        </w:rPr>
      </w:pPr>
      <w:r w:rsidRPr="00EA1876">
        <w:rPr>
          <w:noProof/>
        </w:rPr>
        <w:t xml:space="preserve">Dahmen, N. S. (2018). Visually reporting mass shootings: U.S. newspaper photographic coverage of three mass school shootings. </w:t>
      </w:r>
      <w:r w:rsidRPr="00EA1876">
        <w:rPr>
          <w:i/>
          <w:noProof/>
        </w:rPr>
        <w:t>American Behavioral Scientist, 62</w:t>
      </w:r>
      <w:r w:rsidRPr="00EA1876">
        <w:rPr>
          <w:noProof/>
        </w:rPr>
        <w:t xml:space="preserve">(2), 163-180. </w:t>
      </w:r>
      <w:hyperlink r:id="rId70" w:history="1">
        <w:r w:rsidRPr="00EA1876">
          <w:rPr>
            <w:rStyle w:val="Hyperlink"/>
            <w:noProof/>
          </w:rPr>
          <w:t>https://doi.org/10.1177/0002764218756921</w:t>
        </w:r>
      </w:hyperlink>
      <w:r w:rsidRPr="00EA1876">
        <w:rPr>
          <w:noProof/>
        </w:rPr>
        <w:t xml:space="preserve"> </w:t>
      </w:r>
    </w:p>
    <w:p w14:paraId="790945A6" w14:textId="76991DD7" w:rsidR="00EA1876" w:rsidRPr="00EA1876" w:rsidRDefault="00EA1876" w:rsidP="00EA1876">
      <w:pPr>
        <w:pStyle w:val="EndNoteBibliography"/>
        <w:ind w:left="720" w:hanging="720"/>
        <w:rPr>
          <w:noProof/>
        </w:rPr>
      </w:pPr>
      <w:r w:rsidRPr="00EA1876">
        <w:rPr>
          <w:noProof/>
        </w:rPr>
        <w:t xml:space="preserve">Dainton, M., &amp; Aylor, B. (2002). Patterns of communication channel use in the maintenance of long‐distance relationships. </w:t>
      </w:r>
      <w:r w:rsidRPr="00EA1876">
        <w:rPr>
          <w:i/>
          <w:noProof/>
        </w:rPr>
        <w:t>Communication Research Reports, 19</w:t>
      </w:r>
      <w:r w:rsidRPr="00EA1876">
        <w:rPr>
          <w:noProof/>
        </w:rPr>
        <w:t xml:space="preserve">(2), 118-129. </w:t>
      </w:r>
      <w:hyperlink r:id="rId71" w:history="1">
        <w:r w:rsidRPr="00EA1876">
          <w:rPr>
            <w:rStyle w:val="Hyperlink"/>
            <w:noProof/>
          </w:rPr>
          <w:t>https://doi.org/10.1080/08824090209384839</w:t>
        </w:r>
      </w:hyperlink>
      <w:r w:rsidRPr="00EA1876">
        <w:rPr>
          <w:noProof/>
        </w:rPr>
        <w:t xml:space="preserve"> </w:t>
      </w:r>
    </w:p>
    <w:p w14:paraId="698D988A" w14:textId="3DA58CB7" w:rsidR="00EA1876" w:rsidRPr="00EA1876" w:rsidRDefault="00EA1876" w:rsidP="00EA1876">
      <w:pPr>
        <w:pStyle w:val="EndNoteBibliography"/>
        <w:ind w:left="720" w:hanging="720"/>
        <w:rPr>
          <w:noProof/>
        </w:rPr>
      </w:pPr>
      <w:r w:rsidRPr="00EA1876">
        <w:rPr>
          <w:noProof/>
        </w:rPr>
        <w:t xml:space="preserve">Day, A. M. (2013). Balancing the business of family: Family business daughters' tensions between motherhood and work. </w:t>
      </w:r>
      <w:r w:rsidRPr="00EA1876">
        <w:rPr>
          <w:i/>
          <w:noProof/>
        </w:rPr>
        <w:t>Atlantic Journal of Communication, 21</w:t>
      </w:r>
      <w:r w:rsidRPr="00EA1876">
        <w:rPr>
          <w:noProof/>
        </w:rPr>
        <w:t xml:space="preserve">(3), 125-148. </w:t>
      </w:r>
      <w:hyperlink r:id="rId72" w:history="1">
        <w:r w:rsidRPr="00EA1876">
          <w:rPr>
            <w:rStyle w:val="Hyperlink"/>
            <w:noProof/>
          </w:rPr>
          <w:t>https://doi.org/10.1080/15456870.2013.773483</w:t>
        </w:r>
      </w:hyperlink>
      <w:r w:rsidRPr="00EA1876">
        <w:rPr>
          <w:noProof/>
        </w:rPr>
        <w:t xml:space="preserve"> </w:t>
      </w:r>
    </w:p>
    <w:p w14:paraId="304C8E5B" w14:textId="77777777" w:rsidR="00EA1876" w:rsidRPr="00EA1876" w:rsidRDefault="00EA1876" w:rsidP="00EA1876">
      <w:pPr>
        <w:pStyle w:val="EndNoteBibliography"/>
        <w:ind w:left="720" w:hanging="720"/>
        <w:rPr>
          <w:noProof/>
        </w:rPr>
      </w:pPr>
      <w:r w:rsidRPr="00EA1876">
        <w:rPr>
          <w:noProof/>
        </w:rPr>
        <w:t xml:space="preserve">Deetz, S. (1992). </w:t>
      </w:r>
      <w:r w:rsidRPr="00EA1876">
        <w:rPr>
          <w:i/>
          <w:noProof/>
        </w:rPr>
        <w:t>Democracy in an age of corporate colonization: Developments in communication and the politics of everyday life</w:t>
      </w:r>
      <w:r w:rsidRPr="00EA1876">
        <w:rPr>
          <w:noProof/>
        </w:rPr>
        <w:t xml:space="preserve">. SUNY press. </w:t>
      </w:r>
    </w:p>
    <w:p w14:paraId="454771CE" w14:textId="77777777" w:rsidR="00EA1876" w:rsidRPr="00EA1876" w:rsidRDefault="00EA1876" w:rsidP="00EA1876">
      <w:pPr>
        <w:pStyle w:val="EndNoteBibliography"/>
        <w:ind w:left="720" w:hanging="720"/>
        <w:rPr>
          <w:noProof/>
        </w:rPr>
      </w:pPr>
      <w:r w:rsidRPr="00EA1876">
        <w:rPr>
          <w:noProof/>
        </w:rPr>
        <w:lastRenderedPageBreak/>
        <w:t xml:space="preserve">Deetz, S. (2001). Conceptual foundations. In F. M. Jablin &amp; L. L. Putnam (Eds.), </w:t>
      </w:r>
      <w:r w:rsidRPr="00EA1876">
        <w:rPr>
          <w:i/>
          <w:noProof/>
        </w:rPr>
        <w:t>The new handbook of organizational communication: Advances in theory, research and methods</w:t>
      </w:r>
      <w:r w:rsidRPr="00EA1876">
        <w:rPr>
          <w:noProof/>
        </w:rPr>
        <w:t xml:space="preserve">. Sage. </w:t>
      </w:r>
    </w:p>
    <w:p w14:paraId="45058788" w14:textId="6D71D264" w:rsidR="00EA1876" w:rsidRPr="00EA1876" w:rsidRDefault="00EA1876" w:rsidP="00EA1876">
      <w:pPr>
        <w:pStyle w:val="EndNoteBibliography"/>
        <w:ind w:left="720" w:hanging="720"/>
        <w:rPr>
          <w:noProof/>
        </w:rPr>
      </w:pPr>
      <w:r w:rsidRPr="00EA1876">
        <w:rPr>
          <w:noProof/>
        </w:rPr>
        <w:t xml:space="preserve">Deetz, S., &amp; Mumby, D. K. (1990). Power, discourse, and the workplace: Reclaiming the critical tradition. </w:t>
      </w:r>
      <w:r w:rsidRPr="00EA1876">
        <w:rPr>
          <w:i/>
          <w:noProof/>
        </w:rPr>
        <w:t>Annals of the International Communication Association, 13</w:t>
      </w:r>
      <w:r w:rsidRPr="00EA1876">
        <w:rPr>
          <w:noProof/>
        </w:rPr>
        <w:t xml:space="preserve">(1), 18-47. </w:t>
      </w:r>
      <w:hyperlink r:id="rId73" w:history="1">
        <w:r w:rsidRPr="00EA1876">
          <w:rPr>
            <w:rStyle w:val="Hyperlink"/>
            <w:noProof/>
          </w:rPr>
          <w:t>https://doi.org/10.1080/23808985.1990.11678743</w:t>
        </w:r>
      </w:hyperlink>
      <w:r w:rsidRPr="00EA1876">
        <w:rPr>
          <w:noProof/>
        </w:rPr>
        <w:t xml:space="preserve"> </w:t>
      </w:r>
    </w:p>
    <w:p w14:paraId="1849226E" w14:textId="5886FEB3" w:rsidR="00EA1876" w:rsidRPr="00EA1876" w:rsidRDefault="00EA1876" w:rsidP="00EA1876">
      <w:pPr>
        <w:pStyle w:val="EndNoteBibliography"/>
        <w:ind w:left="720" w:hanging="720"/>
        <w:rPr>
          <w:noProof/>
        </w:rPr>
      </w:pPr>
      <w:r w:rsidRPr="00EA1876">
        <w:rPr>
          <w:noProof/>
        </w:rPr>
        <w:t xml:space="preserve">Dickinson, G. E. (2012). Diversity in death: Body disposition and memorialization. </w:t>
      </w:r>
      <w:r w:rsidRPr="00EA1876">
        <w:rPr>
          <w:i/>
          <w:noProof/>
        </w:rPr>
        <w:t>Illness, Crisis &amp; Loss, 20</w:t>
      </w:r>
      <w:r w:rsidRPr="00EA1876">
        <w:rPr>
          <w:noProof/>
        </w:rPr>
        <w:t xml:space="preserve">(2), 141-158. </w:t>
      </w:r>
      <w:hyperlink r:id="rId74" w:history="1">
        <w:r w:rsidRPr="00EA1876">
          <w:rPr>
            <w:rStyle w:val="Hyperlink"/>
            <w:noProof/>
          </w:rPr>
          <w:t>https://doi.org/10.2190/IL.20.2.d</w:t>
        </w:r>
      </w:hyperlink>
      <w:r w:rsidRPr="00EA1876">
        <w:rPr>
          <w:noProof/>
        </w:rPr>
        <w:t xml:space="preserve"> </w:t>
      </w:r>
    </w:p>
    <w:p w14:paraId="325D9B40" w14:textId="739D8E1B" w:rsidR="00EA1876" w:rsidRPr="00EA1876" w:rsidRDefault="00EA1876" w:rsidP="00EA1876">
      <w:pPr>
        <w:pStyle w:val="EndNoteBibliography"/>
        <w:ind w:left="720" w:hanging="720"/>
        <w:rPr>
          <w:noProof/>
        </w:rPr>
      </w:pPr>
      <w:r w:rsidRPr="00EA1876">
        <w:rPr>
          <w:noProof/>
        </w:rPr>
        <w:t xml:space="preserve">Dindia, K., &amp; Canary, D. J. (1993). Definitions and theoretical perspectives on maintaining relationships. </w:t>
      </w:r>
      <w:r w:rsidRPr="00EA1876">
        <w:rPr>
          <w:i/>
          <w:noProof/>
        </w:rPr>
        <w:t>Journal of Social and Personal relationships, 10</w:t>
      </w:r>
      <w:r w:rsidRPr="00EA1876">
        <w:rPr>
          <w:noProof/>
        </w:rPr>
        <w:t xml:space="preserve">(2), 163-173. </w:t>
      </w:r>
      <w:hyperlink r:id="rId75" w:history="1">
        <w:r w:rsidRPr="00EA1876">
          <w:rPr>
            <w:rStyle w:val="Hyperlink"/>
            <w:noProof/>
          </w:rPr>
          <w:t>https://doi.org/10.1177/026540759301000201</w:t>
        </w:r>
      </w:hyperlink>
      <w:r w:rsidRPr="00EA1876">
        <w:rPr>
          <w:noProof/>
        </w:rPr>
        <w:t xml:space="preserve"> </w:t>
      </w:r>
    </w:p>
    <w:p w14:paraId="0F02B109" w14:textId="77777777" w:rsidR="00EA1876" w:rsidRPr="00EA1876" w:rsidRDefault="00EA1876" w:rsidP="00EA1876">
      <w:pPr>
        <w:pStyle w:val="EndNoteBibliography"/>
        <w:ind w:left="720" w:hanging="720"/>
        <w:rPr>
          <w:noProof/>
        </w:rPr>
      </w:pPr>
      <w:r w:rsidRPr="00EA1876">
        <w:rPr>
          <w:noProof/>
        </w:rPr>
        <w:t xml:space="preserve">Dowd, Q. L. (1921). </w:t>
      </w:r>
      <w:r w:rsidRPr="00EA1876">
        <w:rPr>
          <w:i/>
          <w:noProof/>
        </w:rPr>
        <w:t>Funeral management and costs: a world-survey of burial and cremation</w:t>
      </w:r>
      <w:r w:rsidRPr="00EA1876">
        <w:rPr>
          <w:noProof/>
        </w:rPr>
        <w:t xml:space="preserve">. University of Chicago Press. </w:t>
      </w:r>
    </w:p>
    <w:p w14:paraId="515E9E10" w14:textId="77777777" w:rsidR="00EA1876" w:rsidRPr="00EA1876" w:rsidRDefault="00EA1876" w:rsidP="00EA1876">
      <w:pPr>
        <w:pStyle w:val="EndNoteBibliography"/>
        <w:ind w:left="720" w:hanging="720"/>
        <w:rPr>
          <w:noProof/>
        </w:rPr>
      </w:pPr>
      <w:r w:rsidRPr="00EA1876">
        <w:rPr>
          <w:noProof/>
        </w:rPr>
        <w:t xml:space="preserve">Dumlao, R. J., &amp; Janke, E. M. (2012). Using relational dialectics to address differences in community-campus partnerships. </w:t>
      </w:r>
      <w:r w:rsidRPr="00EA1876">
        <w:rPr>
          <w:i/>
          <w:noProof/>
        </w:rPr>
        <w:t>Journal of Higher Education Outreach and Engagement, 16</w:t>
      </w:r>
      <w:r w:rsidRPr="00EA1876">
        <w:rPr>
          <w:noProof/>
        </w:rPr>
        <w:t xml:space="preserve">(2), 151-175. </w:t>
      </w:r>
    </w:p>
    <w:p w14:paraId="3B84F70E" w14:textId="428F398D" w:rsidR="00EA1876" w:rsidRPr="00EA1876" w:rsidRDefault="00EA1876" w:rsidP="00EA1876">
      <w:pPr>
        <w:pStyle w:val="EndNoteBibliography"/>
        <w:ind w:left="720" w:hanging="720"/>
        <w:rPr>
          <w:noProof/>
        </w:rPr>
      </w:pPr>
      <w:r w:rsidRPr="00EA1876">
        <w:rPr>
          <w:noProof/>
        </w:rPr>
        <w:t xml:space="preserve">Dutta, D. (2017). Cultural barriers and familial resources for negotiation of engineering careers among young women: Relational dialectics theory in an Asian perspective. </w:t>
      </w:r>
      <w:r w:rsidRPr="00EA1876">
        <w:rPr>
          <w:i/>
          <w:noProof/>
        </w:rPr>
        <w:t>Journal of Family Communication, 17</w:t>
      </w:r>
      <w:r w:rsidRPr="00EA1876">
        <w:rPr>
          <w:noProof/>
        </w:rPr>
        <w:t xml:space="preserve">(4), 338-355. </w:t>
      </w:r>
      <w:hyperlink r:id="rId76" w:history="1">
        <w:r w:rsidRPr="00EA1876">
          <w:rPr>
            <w:rStyle w:val="Hyperlink"/>
            <w:noProof/>
          </w:rPr>
          <w:t>https://doi.org/10.1080/15267431.2017.1363045</w:t>
        </w:r>
      </w:hyperlink>
      <w:r w:rsidRPr="00EA1876">
        <w:rPr>
          <w:noProof/>
        </w:rPr>
        <w:t xml:space="preserve"> </w:t>
      </w:r>
    </w:p>
    <w:p w14:paraId="3963EB49" w14:textId="47311CDC" w:rsidR="00EA1876" w:rsidRPr="00EA1876" w:rsidRDefault="00EA1876" w:rsidP="00EA1876">
      <w:pPr>
        <w:pStyle w:val="EndNoteBibliography"/>
        <w:ind w:left="720" w:hanging="720"/>
        <w:rPr>
          <w:noProof/>
        </w:rPr>
      </w:pPr>
      <w:r w:rsidRPr="00EA1876">
        <w:rPr>
          <w:noProof/>
        </w:rPr>
        <w:t xml:space="preserve">Easterlin, R. A. (1995). Industrial revolution and mortality revolution: Two of a kind? </w:t>
      </w:r>
      <w:r w:rsidRPr="00EA1876">
        <w:rPr>
          <w:i/>
          <w:noProof/>
        </w:rPr>
        <w:t>Journal of Evolutionary Economics, 5</w:t>
      </w:r>
      <w:r w:rsidRPr="00EA1876">
        <w:rPr>
          <w:noProof/>
        </w:rPr>
        <w:t xml:space="preserve">(4), 393-408. </w:t>
      </w:r>
      <w:hyperlink r:id="rId77" w:history="1">
        <w:r w:rsidRPr="00EA1876">
          <w:rPr>
            <w:rStyle w:val="Hyperlink"/>
            <w:noProof/>
          </w:rPr>
          <w:t>https://doi.org/10.1007/BF01194368</w:t>
        </w:r>
      </w:hyperlink>
      <w:r w:rsidRPr="00EA1876">
        <w:rPr>
          <w:noProof/>
        </w:rPr>
        <w:t xml:space="preserve"> </w:t>
      </w:r>
    </w:p>
    <w:p w14:paraId="20074A20" w14:textId="4F19A436" w:rsidR="00EA1876" w:rsidRPr="00EA1876" w:rsidRDefault="00EA1876" w:rsidP="00EA1876">
      <w:pPr>
        <w:pStyle w:val="EndNoteBibliography"/>
        <w:ind w:left="720" w:hanging="720"/>
        <w:rPr>
          <w:noProof/>
        </w:rPr>
      </w:pPr>
      <w:r w:rsidRPr="00EA1876">
        <w:rPr>
          <w:noProof/>
        </w:rPr>
        <w:lastRenderedPageBreak/>
        <w:t xml:space="preserve">Eisenberg, E. M. (1984). Ambiguity as strategy in organizational communication. </w:t>
      </w:r>
      <w:r w:rsidRPr="00EA1876">
        <w:rPr>
          <w:i/>
          <w:noProof/>
        </w:rPr>
        <w:t>Communication Monographs, 51</w:t>
      </w:r>
      <w:r w:rsidRPr="00EA1876">
        <w:rPr>
          <w:noProof/>
        </w:rPr>
        <w:t xml:space="preserve">(3), 227-242. </w:t>
      </w:r>
      <w:hyperlink r:id="rId78" w:history="1">
        <w:r w:rsidRPr="00EA1876">
          <w:rPr>
            <w:rStyle w:val="Hyperlink"/>
            <w:noProof/>
          </w:rPr>
          <w:t>https://doi.org/10.1080/03637758409390197</w:t>
        </w:r>
      </w:hyperlink>
      <w:r w:rsidRPr="00EA1876">
        <w:rPr>
          <w:noProof/>
        </w:rPr>
        <w:t xml:space="preserve"> </w:t>
      </w:r>
    </w:p>
    <w:p w14:paraId="3C8EABE2" w14:textId="4E319C09" w:rsidR="00EA1876" w:rsidRPr="00EA1876" w:rsidRDefault="00EA1876" w:rsidP="00EA1876">
      <w:pPr>
        <w:pStyle w:val="EndNoteBibliography"/>
        <w:ind w:left="720" w:hanging="720"/>
        <w:rPr>
          <w:noProof/>
        </w:rPr>
      </w:pPr>
      <w:r w:rsidRPr="00EA1876">
        <w:rPr>
          <w:noProof/>
        </w:rPr>
        <w:t xml:space="preserve">Eisenbruch, M. (1984). Cross-cultural aspects of bereavement. II: Ethnic and cultural variations in the development of bereavement practices. </w:t>
      </w:r>
      <w:r w:rsidRPr="00EA1876">
        <w:rPr>
          <w:i/>
          <w:noProof/>
        </w:rPr>
        <w:t>Culture, Medicine and Psychiatry, 8</w:t>
      </w:r>
      <w:r w:rsidRPr="00EA1876">
        <w:rPr>
          <w:noProof/>
        </w:rPr>
        <w:t xml:space="preserve">(4), 315-347. </w:t>
      </w:r>
      <w:hyperlink r:id="rId79" w:history="1">
        <w:r w:rsidRPr="00EA1876">
          <w:rPr>
            <w:rStyle w:val="Hyperlink"/>
            <w:noProof/>
          </w:rPr>
          <w:t>https://doi.org/10.1007/BF00114661</w:t>
        </w:r>
      </w:hyperlink>
      <w:r w:rsidRPr="00EA1876">
        <w:rPr>
          <w:noProof/>
        </w:rPr>
        <w:t xml:space="preserve"> </w:t>
      </w:r>
    </w:p>
    <w:p w14:paraId="228E6DF2" w14:textId="62E1AB71" w:rsidR="00EA1876" w:rsidRPr="00EA1876" w:rsidRDefault="00EA1876" w:rsidP="00EA1876">
      <w:pPr>
        <w:pStyle w:val="EndNoteBibliography"/>
        <w:ind w:left="720" w:hanging="720"/>
        <w:rPr>
          <w:noProof/>
        </w:rPr>
      </w:pPr>
      <w:r w:rsidRPr="00EA1876">
        <w:rPr>
          <w:noProof/>
        </w:rPr>
        <w:t xml:space="preserve">Ellis, D. G., Hamilton, M., &amp; Aho, L. (1983). Some issues in conversation coherence. </w:t>
      </w:r>
      <w:r w:rsidRPr="00EA1876">
        <w:rPr>
          <w:i/>
          <w:noProof/>
        </w:rPr>
        <w:t>Human Communication Research, 9</w:t>
      </w:r>
      <w:r w:rsidRPr="00EA1876">
        <w:rPr>
          <w:noProof/>
        </w:rPr>
        <w:t xml:space="preserve">(3), 267-282. </w:t>
      </w:r>
      <w:hyperlink r:id="rId80" w:history="1">
        <w:r w:rsidRPr="00EA1876">
          <w:rPr>
            <w:rStyle w:val="Hyperlink"/>
            <w:noProof/>
          </w:rPr>
          <w:t>https://doi.org/10.1111/j.1468-2958.1983.tb00699.x</w:t>
        </w:r>
      </w:hyperlink>
      <w:r w:rsidRPr="00EA1876">
        <w:rPr>
          <w:noProof/>
        </w:rPr>
        <w:t xml:space="preserve"> </w:t>
      </w:r>
    </w:p>
    <w:p w14:paraId="5FD89016" w14:textId="77777777" w:rsidR="00EA1876" w:rsidRPr="00EA1876" w:rsidRDefault="00EA1876" w:rsidP="00EA1876">
      <w:pPr>
        <w:pStyle w:val="EndNoteBibliography"/>
        <w:ind w:left="720" w:hanging="720"/>
        <w:rPr>
          <w:noProof/>
        </w:rPr>
      </w:pPr>
      <w:r w:rsidRPr="00EA1876">
        <w:rPr>
          <w:noProof/>
        </w:rPr>
        <w:t xml:space="preserve">Emerson, C. (2000). </w:t>
      </w:r>
      <w:r w:rsidRPr="00EA1876">
        <w:rPr>
          <w:i/>
          <w:noProof/>
        </w:rPr>
        <w:t>The first hundred years of Mikhail Bakhtin</w:t>
      </w:r>
      <w:r w:rsidRPr="00EA1876">
        <w:rPr>
          <w:noProof/>
        </w:rPr>
        <w:t xml:space="preserve">. Princeton University Press. </w:t>
      </w:r>
    </w:p>
    <w:p w14:paraId="62491455" w14:textId="77777777" w:rsidR="00EA1876" w:rsidRPr="00EA1876" w:rsidRDefault="00EA1876" w:rsidP="00EA1876">
      <w:pPr>
        <w:pStyle w:val="EndNoteBibliography"/>
        <w:ind w:left="720" w:hanging="720"/>
        <w:rPr>
          <w:noProof/>
        </w:rPr>
      </w:pPr>
      <w:r w:rsidRPr="00EA1876">
        <w:rPr>
          <w:noProof/>
        </w:rPr>
        <w:t xml:space="preserve">Esping-Andersen, G. (1990). </w:t>
      </w:r>
      <w:r w:rsidRPr="00EA1876">
        <w:rPr>
          <w:i/>
          <w:noProof/>
        </w:rPr>
        <w:t>The three worlds of welfare capitalism</w:t>
      </w:r>
      <w:r w:rsidRPr="00EA1876">
        <w:rPr>
          <w:noProof/>
        </w:rPr>
        <w:t xml:space="preserve">. Princeton University Press. </w:t>
      </w:r>
    </w:p>
    <w:p w14:paraId="27208118" w14:textId="77777777" w:rsidR="00EA1876" w:rsidRPr="00EA1876" w:rsidRDefault="00EA1876" w:rsidP="00EA1876">
      <w:pPr>
        <w:pStyle w:val="EndNoteBibliography"/>
        <w:ind w:left="720" w:hanging="720"/>
        <w:rPr>
          <w:noProof/>
        </w:rPr>
      </w:pPr>
      <w:r w:rsidRPr="00EA1876">
        <w:rPr>
          <w:noProof/>
        </w:rPr>
        <w:t xml:space="preserve">Fahlander, F., &amp; Oestigaard, T. (2008). The materiality of death: Bodies, burials, beliefs. In F. Fahlander &amp; T. Oestigaard (Eds.), </w:t>
      </w:r>
      <w:r w:rsidRPr="00EA1876">
        <w:rPr>
          <w:i/>
          <w:noProof/>
        </w:rPr>
        <w:t>The Materiality of Death: Bodies, Burials, Beliefs</w:t>
      </w:r>
      <w:r w:rsidRPr="00EA1876">
        <w:rPr>
          <w:noProof/>
        </w:rPr>
        <w:t xml:space="preserve"> (pp. 1-16). Archeaopress. </w:t>
      </w:r>
    </w:p>
    <w:p w14:paraId="55267103" w14:textId="6A53C261" w:rsidR="00EA1876" w:rsidRPr="00EA1876" w:rsidRDefault="00EA1876" w:rsidP="00EA1876">
      <w:pPr>
        <w:pStyle w:val="EndNoteBibliography"/>
        <w:ind w:left="720" w:hanging="720"/>
        <w:rPr>
          <w:noProof/>
        </w:rPr>
      </w:pPr>
      <w:r w:rsidRPr="00EA1876">
        <w:rPr>
          <w:noProof/>
        </w:rPr>
        <w:t xml:space="preserve">Fairhurst, G. T., &amp; Putnam, L. (2004). Organizations as discursive constructions. </w:t>
      </w:r>
      <w:r w:rsidRPr="00EA1876">
        <w:rPr>
          <w:i/>
          <w:noProof/>
        </w:rPr>
        <w:t>Communication Theory, 14</w:t>
      </w:r>
      <w:r w:rsidRPr="00EA1876">
        <w:rPr>
          <w:noProof/>
        </w:rPr>
        <w:t xml:space="preserve">(1), 5-26. </w:t>
      </w:r>
      <w:hyperlink r:id="rId81" w:history="1">
        <w:r w:rsidRPr="00EA1876">
          <w:rPr>
            <w:rStyle w:val="Hyperlink"/>
            <w:noProof/>
          </w:rPr>
          <w:t>https://doi.org/10.1111/j.1468-2885.2004.tb00301.x</w:t>
        </w:r>
      </w:hyperlink>
      <w:r w:rsidRPr="00EA1876">
        <w:rPr>
          <w:noProof/>
        </w:rPr>
        <w:t xml:space="preserve"> </w:t>
      </w:r>
    </w:p>
    <w:p w14:paraId="086717BC" w14:textId="55B5ECF5" w:rsidR="00EA1876" w:rsidRPr="00EA1876" w:rsidRDefault="00EA1876" w:rsidP="00EA1876">
      <w:pPr>
        <w:pStyle w:val="EndNoteBibliography"/>
        <w:ind w:left="720" w:hanging="720"/>
        <w:rPr>
          <w:noProof/>
        </w:rPr>
      </w:pPr>
      <w:r w:rsidRPr="00EA1876">
        <w:rPr>
          <w:noProof/>
        </w:rPr>
        <w:t xml:space="preserve">Farrell, L. C., DiTunnariello, N., &amp; Pearson, J. C. (2014). Exploring relational cultures: Rituals, privacy disclosure, and relational satisfaction. </w:t>
      </w:r>
      <w:r w:rsidRPr="00EA1876">
        <w:rPr>
          <w:i/>
          <w:noProof/>
        </w:rPr>
        <w:t>Communication Studies, 65</w:t>
      </w:r>
      <w:r w:rsidRPr="00EA1876">
        <w:rPr>
          <w:noProof/>
        </w:rPr>
        <w:t xml:space="preserve">(3), 314-329. </w:t>
      </w:r>
      <w:hyperlink r:id="rId82" w:history="1">
        <w:r w:rsidRPr="00EA1876">
          <w:rPr>
            <w:rStyle w:val="Hyperlink"/>
            <w:noProof/>
          </w:rPr>
          <w:t>https://doi.org/10.1080/10510974.2013.778892</w:t>
        </w:r>
      </w:hyperlink>
      <w:r w:rsidRPr="00EA1876">
        <w:rPr>
          <w:noProof/>
        </w:rPr>
        <w:t xml:space="preserve"> </w:t>
      </w:r>
    </w:p>
    <w:p w14:paraId="4E09185B" w14:textId="77777777" w:rsidR="00EA1876" w:rsidRPr="00EA1876" w:rsidRDefault="00EA1876" w:rsidP="00EA1876">
      <w:pPr>
        <w:pStyle w:val="EndNoteBibliography"/>
        <w:ind w:left="720" w:hanging="720"/>
        <w:rPr>
          <w:noProof/>
        </w:rPr>
      </w:pPr>
      <w:r w:rsidRPr="00EA1876">
        <w:rPr>
          <w:noProof/>
        </w:rPr>
        <w:t xml:space="preserve">Federal Trade Commission. (1975). </w:t>
      </w:r>
      <w:r w:rsidRPr="00EA1876">
        <w:rPr>
          <w:i/>
          <w:noProof/>
        </w:rPr>
        <w:t>Funeral industry practices: proposed trade regulation rule and staff memorandum</w:t>
      </w:r>
      <w:r w:rsidRPr="00EA1876">
        <w:rPr>
          <w:noProof/>
        </w:rPr>
        <w:t xml:space="preserve">. District of Columbia: Division of Special Projects, Bureau of Consumer Protection. </w:t>
      </w:r>
    </w:p>
    <w:p w14:paraId="16B39574" w14:textId="77777777" w:rsidR="00EA1876" w:rsidRPr="00EA1876" w:rsidRDefault="00EA1876" w:rsidP="00EA1876">
      <w:pPr>
        <w:pStyle w:val="EndNoteBibliography"/>
        <w:ind w:left="720" w:hanging="720"/>
        <w:rPr>
          <w:noProof/>
        </w:rPr>
      </w:pPr>
      <w:r w:rsidRPr="00EA1876">
        <w:rPr>
          <w:noProof/>
        </w:rPr>
        <w:lastRenderedPageBreak/>
        <w:t xml:space="preserve">Federal Trade Commission. (1978). </w:t>
      </w:r>
      <w:r w:rsidRPr="00EA1876">
        <w:rPr>
          <w:i/>
          <w:noProof/>
        </w:rPr>
        <w:t>Funeral Industry Practices: Final Staff Report to the Federal Trade Commission and Proposed Trade Regulation Rule (16 CFR Part 453)</w:t>
      </w:r>
      <w:r w:rsidRPr="00EA1876">
        <w:rPr>
          <w:noProof/>
        </w:rPr>
        <w:t xml:space="preserve">. District of Columbia: Bureau of Consumer Protection. </w:t>
      </w:r>
    </w:p>
    <w:p w14:paraId="6E6BA9D0" w14:textId="77777777" w:rsidR="00EA1876" w:rsidRPr="00EA1876" w:rsidRDefault="00EA1876" w:rsidP="00EA1876">
      <w:pPr>
        <w:pStyle w:val="EndNoteBibliography"/>
        <w:ind w:left="720" w:hanging="720"/>
        <w:rPr>
          <w:noProof/>
        </w:rPr>
      </w:pPr>
      <w:r w:rsidRPr="00EA1876">
        <w:rPr>
          <w:noProof/>
        </w:rPr>
        <w:t xml:space="preserve">Federal Trade Commission. (1982). </w:t>
      </w:r>
      <w:r w:rsidRPr="00EA1876">
        <w:rPr>
          <w:i/>
          <w:noProof/>
        </w:rPr>
        <w:t>Final Report: Baseline and Follow-up Studies for Evaluating the Effect of Federal Trade Commission’s Funeral Home Industry Trade Regulation Rule</w:t>
      </w:r>
      <w:r w:rsidRPr="00EA1876">
        <w:rPr>
          <w:noProof/>
        </w:rPr>
        <w:t xml:space="preserve">. Washington, DC: Bureau of Consumer Protection. </w:t>
      </w:r>
    </w:p>
    <w:p w14:paraId="43B349C9" w14:textId="7DA612BA" w:rsidR="00EA1876" w:rsidRPr="00EA1876" w:rsidRDefault="00EA1876" w:rsidP="00EA1876">
      <w:pPr>
        <w:pStyle w:val="EndNoteBibliography"/>
        <w:ind w:left="720" w:hanging="720"/>
        <w:rPr>
          <w:noProof/>
        </w:rPr>
      </w:pPr>
      <w:r w:rsidRPr="00EA1876">
        <w:rPr>
          <w:noProof/>
        </w:rPr>
        <w:t xml:space="preserve">Federal Trade Commission. (2013). </w:t>
      </w:r>
      <w:r w:rsidRPr="00EA1876">
        <w:rPr>
          <w:i/>
          <w:noProof/>
        </w:rPr>
        <w:t>FTC Puts Conditions on Service Corporation International’s Proposed $1.4 Billion Acquisition of Rival Funeral and Cemetery Services Provider</w:t>
      </w:r>
      <w:r w:rsidRPr="00EA1876">
        <w:rPr>
          <w:noProof/>
        </w:rPr>
        <w:t xml:space="preserve">. Federal Trade Commission. </w:t>
      </w:r>
      <w:hyperlink r:id="rId83" w:history="1">
        <w:r w:rsidRPr="00EA1876">
          <w:rPr>
            <w:rStyle w:val="Hyperlink"/>
            <w:noProof/>
          </w:rPr>
          <w:t>https://www.ftc.gov/news-events/news/press-releases/2013/12/ftc-puts-conditions-service-corporation-internationals-proposed-14-billion-acquisition-rival-funeral</w:t>
        </w:r>
      </w:hyperlink>
    </w:p>
    <w:p w14:paraId="6EC692BC" w14:textId="7884478D" w:rsidR="00EA1876" w:rsidRPr="00EA1876" w:rsidRDefault="00EA1876" w:rsidP="00EA1876">
      <w:pPr>
        <w:pStyle w:val="EndNoteBibliography"/>
        <w:ind w:left="720" w:hanging="720"/>
        <w:rPr>
          <w:noProof/>
        </w:rPr>
      </w:pPr>
      <w:r w:rsidRPr="00EA1876">
        <w:rPr>
          <w:noProof/>
        </w:rPr>
        <w:t xml:space="preserve">Federal Trade Commission. (2023). </w:t>
      </w:r>
      <w:r w:rsidRPr="00EA1876">
        <w:rPr>
          <w:i/>
          <w:noProof/>
        </w:rPr>
        <w:t>Complying with the Funeral Rule</w:t>
      </w:r>
      <w:r w:rsidRPr="00EA1876">
        <w:rPr>
          <w:noProof/>
        </w:rPr>
        <w:t xml:space="preserve">. Retrieved Sep. 16 from </w:t>
      </w:r>
      <w:hyperlink r:id="rId84" w:history="1">
        <w:r w:rsidRPr="00EA1876">
          <w:rPr>
            <w:rStyle w:val="Hyperlink"/>
            <w:noProof/>
          </w:rPr>
          <w:t>https://www.ftc.gov/business-guidance/resources/complying-funeral-rule</w:t>
        </w:r>
      </w:hyperlink>
    </w:p>
    <w:p w14:paraId="13DD25E1" w14:textId="4DA31CA3" w:rsidR="00EA1876" w:rsidRPr="00EA1876" w:rsidRDefault="00EA1876" w:rsidP="00EA1876">
      <w:pPr>
        <w:pStyle w:val="EndNoteBibliography"/>
        <w:ind w:left="720" w:hanging="720"/>
        <w:rPr>
          <w:noProof/>
        </w:rPr>
      </w:pPr>
      <w:r w:rsidRPr="00EA1876">
        <w:rPr>
          <w:noProof/>
        </w:rPr>
        <w:t xml:space="preserve">Federal Trade Commission. (n.d.). </w:t>
      </w:r>
      <w:r w:rsidRPr="00EA1876">
        <w:rPr>
          <w:i/>
          <w:noProof/>
        </w:rPr>
        <w:t>Our History</w:t>
      </w:r>
      <w:r w:rsidRPr="00EA1876">
        <w:rPr>
          <w:noProof/>
        </w:rPr>
        <w:t xml:space="preserve">. Retrieved Sep. 16 from </w:t>
      </w:r>
      <w:hyperlink r:id="rId85" w:history="1">
        <w:r w:rsidRPr="00EA1876">
          <w:rPr>
            <w:rStyle w:val="Hyperlink"/>
            <w:noProof/>
          </w:rPr>
          <w:t>https://www.ftc.gov/about-ftc/history</w:t>
        </w:r>
      </w:hyperlink>
    </w:p>
    <w:p w14:paraId="580406EA" w14:textId="338A852D" w:rsidR="00EA1876" w:rsidRPr="00EA1876" w:rsidRDefault="00EA1876" w:rsidP="00EA1876">
      <w:pPr>
        <w:pStyle w:val="EndNoteBibliography"/>
        <w:ind w:left="720" w:hanging="720"/>
        <w:rPr>
          <w:noProof/>
        </w:rPr>
      </w:pPr>
      <w:r w:rsidRPr="00EA1876">
        <w:rPr>
          <w:noProof/>
        </w:rPr>
        <w:t xml:space="preserve">Feeney, J. A., &amp; Fitzgerald, J. (2022). Autonomy–connection tensions, stress, and attachment: The case of COVID-19. </w:t>
      </w:r>
      <w:r w:rsidRPr="00EA1876">
        <w:rPr>
          <w:i/>
          <w:noProof/>
        </w:rPr>
        <w:t>Current Opinion in Psychology, 43</w:t>
      </w:r>
      <w:r w:rsidRPr="00EA1876">
        <w:rPr>
          <w:noProof/>
        </w:rPr>
        <w:t xml:space="preserve">, 18-23. </w:t>
      </w:r>
      <w:hyperlink r:id="rId86" w:history="1">
        <w:r w:rsidRPr="00EA1876">
          <w:rPr>
            <w:rStyle w:val="Hyperlink"/>
            <w:noProof/>
          </w:rPr>
          <w:t>https://doi.org/https://doi.org/10.1016/j.copsyc.2021.05.004</w:t>
        </w:r>
      </w:hyperlink>
      <w:r w:rsidRPr="00EA1876">
        <w:rPr>
          <w:noProof/>
        </w:rPr>
        <w:t xml:space="preserve"> </w:t>
      </w:r>
    </w:p>
    <w:p w14:paraId="28F5EB54" w14:textId="77777777" w:rsidR="00EA1876" w:rsidRPr="00EA1876" w:rsidRDefault="00EA1876" w:rsidP="00EA1876">
      <w:pPr>
        <w:pStyle w:val="EndNoteBibliography"/>
        <w:ind w:left="720" w:hanging="720"/>
        <w:rPr>
          <w:noProof/>
        </w:rPr>
      </w:pPr>
      <w:r w:rsidRPr="00EA1876">
        <w:rPr>
          <w:noProof/>
        </w:rPr>
        <w:t xml:space="preserve">Feifel, H. (1959). </w:t>
      </w:r>
      <w:r w:rsidRPr="00EA1876">
        <w:rPr>
          <w:i/>
          <w:noProof/>
        </w:rPr>
        <w:t>The meaning of death</w:t>
      </w:r>
      <w:r w:rsidRPr="00EA1876">
        <w:rPr>
          <w:noProof/>
        </w:rPr>
        <w:t xml:space="preserve">. Blakiston Division, McGraw-Hill. </w:t>
      </w:r>
    </w:p>
    <w:p w14:paraId="4896BB39" w14:textId="770882B4" w:rsidR="00EA1876" w:rsidRPr="00EA1876" w:rsidRDefault="00EA1876" w:rsidP="00EA1876">
      <w:pPr>
        <w:pStyle w:val="EndNoteBibliography"/>
        <w:ind w:left="720" w:hanging="720"/>
        <w:rPr>
          <w:noProof/>
        </w:rPr>
      </w:pPr>
      <w:r w:rsidRPr="00EA1876">
        <w:rPr>
          <w:noProof/>
        </w:rPr>
        <w:t xml:space="preserve">Feifel, H. (1974). Psychology and the death‐awareness movement. </w:t>
      </w:r>
      <w:r w:rsidRPr="00EA1876">
        <w:rPr>
          <w:i/>
          <w:noProof/>
        </w:rPr>
        <w:t>Journal of Clinical Child Psychology, 3</w:t>
      </w:r>
      <w:r w:rsidRPr="00EA1876">
        <w:rPr>
          <w:noProof/>
        </w:rPr>
        <w:t xml:space="preserve">(2), 6-7. </w:t>
      </w:r>
      <w:hyperlink r:id="rId87" w:history="1">
        <w:r w:rsidRPr="00EA1876">
          <w:rPr>
            <w:rStyle w:val="Hyperlink"/>
            <w:noProof/>
          </w:rPr>
          <w:t>https://doi.org/10.1080/15374417409532560</w:t>
        </w:r>
      </w:hyperlink>
      <w:r w:rsidRPr="00EA1876">
        <w:rPr>
          <w:noProof/>
        </w:rPr>
        <w:t xml:space="preserve"> </w:t>
      </w:r>
    </w:p>
    <w:p w14:paraId="2216E94B" w14:textId="447D33C5" w:rsidR="00EA1876" w:rsidRPr="00EA1876" w:rsidRDefault="00EA1876" w:rsidP="00EA1876">
      <w:pPr>
        <w:pStyle w:val="EndNoteBibliography"/>
        <w:ind w:left="720" w:hanging="720"/>
        <w:rPr>
          <w:noProof/>
        </w:rPr>
      </w:pPr>
      <w:r w:rsidRPr="00EA1876">
        <w:rPr>
          <w:noProof/>
        </w:rPr>
        <w:t xml:space="preserve">Festinger, L. (1954). A theory of social comparison processes. </w:t>
      </w:r>
      <w:r w:rsidRPr="00EA1876">
        <w:rPr>
          <w:i/>
          <w:noProof/>
        </w:rPr>
        <w:t>Human relations, 7</w:t>
      </w:r>
      <w:r w:rsidRPr="00EA1876">
        <w:rPr>
          <w:noProof/>
        </w:rPr>
        <w:t xml:space="preserve">(2), 117-140. </w:t>
      </w:r>
      <w:hyperlink r:id="rId88" w:history="1">
        <w:r w:rsidRPr="00EA1876">
          <w:rPr>
            <w:rStyle w:val="Hyperlink"/>
            <w:noProof/>
          </w:rPr>
          <w:t>https://doi.org/10.1177/001872675400700202</w:t>
        </w:r>
      </w:hyperlink>
      <w:r w:rsidRPr="00EA1876">
        <w:rPr>
          <w:noProof/>
        </w:rPr>
        <w:t xml:space="preserve"> </w:t>
      </w:r>
    </w:p>
    <w:p w14:paraId="07E98FF3" w14:textId="33BD5222" w:rsidR="00EA1876" w:rsidRPr="00EA1876" w:rsidRDefault="00EA1876" w:rsidP="00EA1876">
      <w:pPr>
        <w:pStyle w:val="EndNoteBibliography"/>
        <w:ind w:left="720" w:hanging="720"/>
        <w:rPr>
          <w:noProof/>
        </w:rPr>
      </w:pPr>
      <w:r w:rsidRPr="00EA1876">
        <w:rPr>
          <w:noProof/>
        </w:rPr>
        <w:lastRenderedPageBreak/>
        <w:t xml:space="preserve">Floersch, J., &amp; Longhofer, J. (1997). The imagined death: Looking to the past for relief from the present. </w:t>
      </w:r>
      <w:r w:rsidRPr="00EA1876">
        <w:rPr>
          <w:i/>
          <w:noProof/>
        </w:rPr>
        <w:t>OMEGA-Journal of Death and Dying, 35</w:t>
      </w:r>
      <w:r w:rsidRPr="00EA1876">
        <w:rPr>
          <w:noProof/>
        </w:rPr>
        <w:t xml:space="preserve">(3), 243-260. </w:t>
      </w:r>
      <w:hyperlink r:id="rId89" w:history="1">
        <w:r w:rsidRPr="00EA1876">
          <w:rPr>
            <w:rStyle w:val="Hyperlink"/>
            <w:noProof/>
          </w:rPr>
          <w:t>https://doi.org/10.2190/5HDB-9MWY-WKDJ-L9PX</w:t>
        </w:r>
      </w:hyperlink>
      <w:r w:rsidRPr="00EA1876">
        <w:rPr>
          <w:noProof/>
        </w:rPr>
        <w:t xml:space="preserve"> </w:t>
      </w:r>
    </w:p>
    <w:p w14:paraId="0461B171" w14:textId="526798AD" w:rsidR="00EA1876" w:rsidRPr="00EA1876" w:rsidRDefault="00EA1876" w:rsidP="00EA1876">
      <w:pPr>
        <w:pStyle w:val="EndNoteBibliography"/>
        <w:ind w:left="720" w:hanging="720"/>
        <w:rPr>
          <w:noProof/>
        </w:rPr>
      </w:pPr>
      <w:r w:rsidRPr="00EA1876">
        <w:rPr>
          <w:noProof/>
        </w:rPr>
        <w:t xml:space="preserve">Fonseca, L. M., &amp; Testoni, I. (2012). The emergence of thanatology and current practice in death education. </w:t>
      </w:r>
      <w:r w:rsidRPr="00EA1876">
        <w:rPr>
          <w:i/>
          <w:noProof/>
        </w:rPr>
        <w:t>OMEGA - Journal of Death and Dying, 64</w:t>
      </w:r>
      <w:r w:rsidRPr="00EA1876">
        <w:rPr>
          <w:noProof/>
        </w:rPr>
        <w:t xml:space="preserve">(2), 157-169. </w:t>
      </w:r>
      <w:hyperlink r:id="rId90" w:history="1">
        <w:r w:rsidRPr="00EA1876">
          <w:rPr>
            <w:rStyle w:val="Hyperlink"/>
            <w:noProof/>
          </w:rPr>
          <w:t>https://doi.org/10.2190/OM.64.2.d</w:t>
        </w:r>
      </w:hyperlink>
      <w:r w:rsidRPr="00EA1876">
        <w:rPr>
          <w:noProof/>
        </w:rPr>
        <w:t xml:space="preserve"> </w:t>
      </w:r>
    </w:p>
    <w:p w14:paraId="0EEA73FA" w14:textId="51F11A1E" w:rsidR="00EA1876" w:rsidRPr="00EA1876" w:rsidRDefault="00EA1876" w:rsidP="00EA1876">
      <w:pPr>
        <w:pStyle w:val="EndNoteBibliography"/>
        <w:ind w:left="720" w:hanging="720"/>
        <w:rPr>
          <w:noProof/>
        </w:rPr>
      </w:pPr>
      <w:r w:rsidRPr="00EA1876">
        <w:rPr>
          <w:noProof/>
        </w:rPr>
        <w:t xml:space="preserve">Foreman, J. (1973). Theory and the ideal type of the professional: The case of the funeral director. </w:t>
      </w:r>
      <w:r w:rsidRPr="00EA1876">
        <w:rPr>
          <w:i/>
          <w:noProof/>
        </w:rPr>
        <w:t>OMEGA - Journal of Death and Dying, 4</w:t>
      </w:r>
      <w:r w:rsidRPr="00EA1876">
        <w:rPr>
          <w:noProof/>
        </w:rPr>
        <w:t xml:space="preserve">(3), 221-228. </w:t>
      </w:r>
      <w:hyperlink r:id="rId91" w:history="1">
        <w:r w:rsidRPr="00EA1876">
          <w:rPr>
            <w:rStyle w:val="Hyperlink"/>
            <w:noProof/>
          </w:rPr>
          <w:t>https://doi.org/10.2190/7n5f-x6qr-y8xq-pyda</w:t>
        </w:r>
      </w:hyperlink>
      <w:r w:rsidRPr="00EA1876">
        <w:rPr>
          <w:noProof/>
        </w:rPr>
        <w:t xml:space="preserve"> </w:t>
      </w:r>
    </w:p>
    <w:p w14:paraId="0774CEB3" w14:textId="77777777" w:rsidR="00EA1876" w:rsidRPr="00EA1876" w:rsidRDefault="00EA1876" w:rsidP="00EA1876">
      <w:pPr>
        <w:pStyle w:val="EndNoteBibliography"/>
        <w:ind w:left="720" w:hanging="720"/>
        <w:rPr>
          <w:noProof/>
        </w:rPr>
      </w:pPr>
      <w:r w:rsidRPr="00EA1876">
        <w:rPr>
          <w:noProof/>
        </w:rPr>
        <w:t xml:space="preserve">Foucault, M. (1972). </w:t>
      </w:r>
      <w:r w:rsidRPr="00EA1876">
        <w:rPr>
          <w:i/>
          <w:noProof/>
        </w:rPr>
        <w:t>The archaeology of knowledge and the discourse on language</w:t>
      </w:r>
      <w:r w:rsidRPr="00EA1876">
        <w:rPr>
          <w:noProof/>
        </w:rPr>
        <w:t xml:space="preserve"> (A. M. Sheridan, Trans.). Pantheon Books. </w:t>
      </w:r>
    </w:p>
    <w:p w14:paraId="3BFD1E52" w14:textId="77777777" w:rsidR="00EA1876" w:rsidRPr="00EA1876" w:rsidRDefault="00EA1876" w:rsidP="00EA1876">
      <w:pPr>
        <w:pStyle w:val="EndNoteBibliography"/>
        <w:ind w:left="720" w:hanging="720"/>
        <w:rPr>
          <w:noProof/>
        </w:rPr>
      </w:pPr>
      <w:r w:rsidRPr="00EA1876">
        <w:rPr>
          <w:noProof/>
        </w:rPr>
        <w:t xml:space="preserve">Foucault, M. (1977). </w:t>
      </w:r>
      <w:r w:rsidRPr="00EA1876">
        <w:rPr>
          <w:i/>
          <w:noProof/>
        </w:rPr>
        <w:t>Discipline &amp; Punish: The birth of the prison</w:t>
      </w:r>
      <w:r w:rsidRPr="00EA1876">
        <w:rPr>
          <w:noProof/>
        </w:rPr>
        <w:t xml:space="preserve"> (A. Sheridan, Trans.). Vintage Books. </w:t>
      </w:r>
    </w:p>
    <w:p w14:paraId="0A8349D8" w14:textId="77777777" w:rsidR="00EA1876" w:rsidRPr="00EA1876" w:rsidRDefault="00EA1876" w:rsidP="00EA1876">
      <w:pPr>
        <w:pStyle w:val="EndNoteBibliography"/>
        <w:ind w:left="720" w:hanging="720"/>
        <w:rPr>
          <w:noProof/>
        </w:rPr>
      </w:pPr>
      <w:r w:rsidRPr="00EA1876">
        <w:rPr>
          <w:noProof/>
        </w:rPr>
        <w:t xml:space="preserve">Foucault, M. (1980). </w:t>
      </w:r>
      <w:r w:rsidRPr="00EA1876">
        <w:rPr>
          <w:i/>
          <w:noProof/>
        </w:rPr>
        <w:t>The History of Sexuality</w:t>
      </w:r>
      <w:r w:rsidRPr="00EA1876">
        <w:rPr>
          <w:noProof/>
        </w:rPr>
        <w:t xml:space="preserve"> (R. Hurley, Trans.). Pantheon Books. </w:t>
      </w:r>
    </w:p>
    <w:p w14:paraId="222A030A" w14:textId="77777777" w:rsidR="00EA1876" w:rsidRPr="00EA1876" w:rsidRDefault="00EA1876" w:rsidP="00EA1876">
      <w:pPr>
        <w:pStyle w:val="EndNoteBibliography"/>
        <w:ind w:left="720" w:hanging="720"/>
        <w:rPr>
          <w:noProof/>
        </w:rPr>
      </w:pPr>
      <w:r w:rsidRPr="00EA1876">
        <w:rPr>
          <w:noProof/>
        </w:rPr>
        <w:t xml:space="preserve">Fulton, R. (1965). The sacred and the secular: Attitudes of the American public toward death, funerals, and funeral directors. In R. Fulton (Ed.), </w:t>
      </w:r>
      <w:r w:rsidRPr="00EA1876">
        <w:rPr>
          <w:i/>
          <w:noProof/>
        </w:rPr>
        <w:t>Death and identity</w:t>
      </w:r>
      <w:r w:rsidRPr="00EA1876">
        <w:rPr>
          <w:noProof/>
        </w:rPr>
        <w:t xml:space="preserve"> (pp. 89-105). Wiley. </w:t>
      </w:r>
    </w:p>
    <w:p w14:paraId="20DEF040" w14:textId="069E73E4" w:rsidR="00EA1876" w:rsidRPr="00EA1876" w:rsidRDefault="00EA1876" w:rsidP="00EA1876">
      <w:pPr>
        <w:pStyle w:val="EndNoteBibliography"/>
        <w:ind w:left="720" w:hanging="720"/>
        <w:rPr>
          <w:noProof/>
        </w:rPr>
      </w:pPr>
      <w:r w:rsidRPr="00EA1876">
        <w:rPr>
          <w:noProof/>
        </w:rPr>
        <w:t xml:space="preserve">Fulton, R., &amp; Owen, G. (1988). Death and society in twentieth century America. </w:t>
      </w:r>
      <w:r w:rsidRPr="00EA1876">
        <w:rPr>
          <w:i/>
          <w:noProof/>
        </w:rPr>
        <w:t>OMEGA - Journal of Death and Dying, 18</w:t>
      </w:r>
      <w:r w:rsidRPr="00EA1876">
        <w:rPr>
          <w:noProof/>
        </w:rPr>
        <w:t xml:space="preserve">(4), 379-395. </w:t>
      </w:r>
      <w:hyperlink r:id="rId92" w:history="1">
        <w:r w:rsidRPr="00EA1876">
          <w:rPr>
            <w:rStyle w:val="Hyperlink"/>
            <w:noProof/>
          </w:rPr>
          <w:t>https://doi.org/10.2190/6kym-f9eb-vy1j-fqwe</w:t>
        </w:r>
      </w:hyperlink>
      <w:r w:rsidRPr="00EA1876">
        <w:rPr>
          <w:noProof/>
        </w:rPr>
        <w:t xml:space="preserve"> </w:t>
      </w:r>
    </w:p>
    <w:p w14:paraId="5701922E" w14:textId="07B6AA0E" w:rsidR="00EA1876" w:rsidRPr="00EA1876" w:rsidRDefault="00EA1876" w:rsidP="00EA1876">
      <w:pPr>
        <w:pStyle w:val="EndNoteBibliography"/>
        <w:ind w:left="720" w:hanging="720"/>
        <w:rPr>
          <w:noProof/>
        </w:rPr>
      </w:pPr>
      <w:r w:rsidRPr="00EA1876">
        <w:rPr>
          <w:noProof/>
        </w:rPr>
        <w:t xml:space="preserve">Gaddie, R. K. (n.d.,). </w:t>
      </w:r>
      <w:r w:rsidRPr="00EA1876">
        <w:rPr>
          <w:i/>
          <w:noProof/>
        </w:rPr>
        <w:t>The Encyclopedia of Oklahoma History and Culture</w:t>
      </w:r>
      <w:r w:rsidRPr="00EA1876">
        <w:rPr>
          <w:noProof/>
        </w:rPr>
        <w:t xml:space="preserve">. Oklahoma Historical Society. </w:t>
      </w:r>
      <w:hyperlink r:id="rId93" w:anchor=":~:text=Since%20the%201960s%20the%20GOP,compared%20to%20the%20state%20Democrats" w:history="1">
        <w:r w:rsidRPr="00EA1876">
          <w:rPr>
            <w:rStyle w:val="Hyperlink"/>
            <w:noProof/>
          </w:rPr>
          <w:t>https://www.okhistory.org/publications/enc/entry?entry=RE030#:~:text=Since%20the%201960s%20the%20GOP,compared%20to%20the%20state%20Democrats</w:t>
        </w:r>
      </w:hyperlink>
      <w:r w:rsidRPr="00EA1876">
        <w:rPr>
          <w:noProof/>
        </w:rPr>
        <w:t>.</w:t>
      </w:r>
    </w:p>
    <w:p w14:paraId="6F0DB3DC" w14:textId="3928720B" w:rsidR="00EA1876" w:rsidRPr="00EA1876" w:rsidRDefault="00EA1876" w:rsidP="00EA1876">
      <w:pPr>
        <w:pStyle w:val="EndNoteBibliography"/>
        <w:ind w:left="720" w:hanging="720"/>
        <w:rPr>
          <w:noProof/>
        </w:rPr>
      </w:pPr>
      <w:r w:rsidRPr="00EA1876">
        <w:rPr>
          <w:noProof/>
        </w:rPr>
        <w:t xml:space="preserve">Gal, S. (2005). Language ideologies compared. </w:t>
      </w:r>
      <w:r w:rsidRPr="00EA1876">
        <w:rPr>
          <w:i/>
          <w:noProof/>
        </w:rPr>
        <w:t>Journal of Linguistic Anthropology, 15</w:t>
      </w:r>
      <w:r w:rsidRPr="00EA1876">
        <w:rPr>
          <w:noProof/>
        </w:rPr>
        <w:t xml:space="preserve">(1), 23-37. </w:t>
      </w:r>
      <w:hyperlink r:id="rId94" w:history="1">
        <w:r w:rsidRPr="00EA1876">
          <w:rPr>
            <w:rStyle w:val="Hyperlink"/>
            <w:noProof/>
          </w:rPr>
          <w:t>https://doi.org/https://doi.org/10.1525/jlin.2005.15.1.23</w:t>
        </w:r>
      </w:hyperlink>
      <w:r w:rsidRPr="00EA1876">
        <w:rPr>
          <w:noProof/>
        </w:rPr>
        <w:t xml:space="preserve"> </w:t>
      </w:r>
    </w:p>
    <w:p w14:paraId="633A1429" w14:textId="5EC8BF22" w:rsidR="00EA1876" w:rsidRPr="00EA1876" w:rsidRDefault="00EA1876" w:rsidP="00EA1876">
      <w:pPr>
        <w:pStyle w:val="EndNoteBibliography"/>
        <w:ind w:left="720" w:hanging="720"/>
        <w:rPr>
          <w:noProof/>
        </w:rPr>
      </w:pPr>
      <w:r w:rsidRPr="00EA1876">
        <w:rPr>
          <w:noProof/>
        </w:rPr>
        <w:t xml:space="preserve">Galinsky, A. D., Gruenfeld, D. H., &amp; Magee, J. C. (2003). From power to action. </w:t>
      </w:r>
      <w:r w:rsidRPr="00EA1876">
        <w:rPr>
          <w:i/>
          <w:noProof/>
        </w:rPr>
        <w:t>Journal of personality and social psychology, 85</w:t>
      </w:r>
      <w:r w:rsidRPr="00EA1876">
        <w:rPr>
          <w:noProof/>
        </w:rPr>
        <w:t xml:space="preserve">(3), 453-466. </w:t>
      </w:r>
      <w:hyperlink r:id="rId95" w:history="1">
        <w:r w:rsidRPr="00EA1876">
          <w:rPr>
            <w:rStyle w:val="Hyperlink"/>
            <w:noProof/>
          </w:rPr>
          <w:t>https://doi.org/10.1037/0022-3514.85.3.453</w:t>
        </w:r>
      </w:hyperlink>
      <w:r w:rsidRPr="00EA1876">
        <w:rPr>
          <w:noProof/>
        </w:rPr>
        <w:t xml:space="preserve"> </w:t>
      </w:r>
    </w:p>
    <w:p w14:paraId="7C11EA92" w14:textId="77777777" w:rsidR="00EA1876" w:rsidRPr="00EA1876" w:rsidRDefault="00EA1876" w:rsidP="00EA1876">
      <w:pPr>
        <w:pStyle w:val="EndNoteBibliography"/>
        <w:ind w:left="720" w:hanging="720"/>
        <w:rPr>
          <w:noProof/>
        </w:rPr>
      </w:pPr>
      <w:r w:rsidRPr="00EA1876">
        <w:rPr>
          <w:noProof/>
        </w:rPr>
        <w:t xml:space="preserve">Gastil, J. (2008). </w:t>
      </w:r>
      <w:r w:rsidRPr="00EA1876">
        <w:rPr>
          <w:i/>
          <w:noProof/>
        </w:rPr>
        <w:t>Political communication and deliberation</w:t>
      </w:r>
      <w:r w:rsidRPr="00EA1876">
        <w:rPr>
          <w:noProof/>
        </w:rPr>
        <w:t xml:space="preserve">. Sage. </w:t>
      </w:r>
    </w:p>
    <w:p w14:paraId="66CFB8B3" w14:textId="77777777" w:rsidR="00EA1876" w:rsidRPr="00EA1876" w:rsidRDefault="00EA1876" w:rsidP="00EA1876">
      <w:pPr>
        <w:pStyle w:val="EndNoteBibliography"/>
        <w:ind w:left="720" w:hanging="720"/>
        <w:rPr>
          <w:noProof/>
        </w:rPr>
      </w:pPr>
      <w:r w:rsidRPr="00EA1876">
        <w:rPr>
          <w:noProof/>
        </w:rPr>
        <w:t xml:space="preserve">Gebhart, J. C. (1928). </w:t>
      </w:r>
      <w:r w:rsidRPr="00EA1876">
        <w:rPr>
          <w:i/>
          <w:noProof/>
        </w:rPr>
        <w:t>Funeral Costs: What They Average. Are They Too High? Can They be Reduced?</w:t>
      </w:r>
      <w:r w:rsidRPr="00EA1876">
        <w:rPr>
          <w:noProof/>
        </w:rPr>
        <w:t xml:space="preserve"> GP Putnam's sons. </w:t>
      </w:r>
    </w:p>
    <w:p w14:paraId="38B5C2D2" w14:textId="77777777" w:rsidR="00EA1876" w:rsidRPr="00EA1876" w:rsidRDefault="00EA1876" w:rsidP="00EA1876">
      <w:pPr>
        <w:pStyle w:val="EndNoteBibliography"/>
        <w:ind w:left="720" w:hanging="720"/>
        <w:rPr>
          <w:noProof/>
        </w:rPr>
      </w:pPr>
      <w:r w:rsidRPr="00EA1876">
        <w:rPr>
          <w:noProof/>
        </w:rPr>
        <w:t xml:space="preserve">General Accounting Office. (1991). </w:t>
      </w:r>
      <w:r w:rsidRPr="00EA1876">
        <w:rPr>
          <w:i/>
          <w:noProof/>
        </w:rPr>
        <w:t>Occupational Safety and Health, OSHA Action Needed to Improve Compliance with Hazard Communication Standard</w:t>
      </w:r>
      <w:r w:rsidRPr="00EA1876">
        <w:rPr>
          <w:noProof/>
        </w:rPr>
        <w:t xml:space="preserve">. US General Accounting Office. </w:t>
      </w:r>
    </w:p>
    <w:p w14:paraId="66E3E557" w14:textId="77777777" w:rsidR="00EA1876" w:rsidRPr="00EA1876" w:rsidRDefault="00EA1876" w:rsidP="00EA1876">
      <w:pPr>
        <w:pStyle w:val="EndNoteBibliography"/>
        <w:ind w:left="720" w:hanging="720"/>
        <w:rPr>
          <w:noProof/>
        </w:rPr>
      </w:pPr>
      <w:r w:rsidRPr="00EA1876">
        <w:rPr>
          <w:noProof/>
        </w:rPr>
        <w:t xml:space="preserve">Gerth, H., &amp; Mills, C. W. (1958). </w:t>
      </w:r>
      <w:r w:rsidRPr="00EA1876">
        <w:rPr>
          <w:i/>
          <w:noProof/>
        </w:rPr>
        <w:t>From Max Weber : essays in sociology</w:t>
      </w:r>
      <w:r w:rsidRPr="00EA1876">
        <w:rPr>
          <w:noProof/>
        </w:rPr>
        <w:t xml:space="preserve">. Oxford University Press. </w:t>
      </w:r>
    </w:p>
    <w:p w14:paraId="320301E3" w14:textId="3677AD16" w:rsidR="00EA1876" w:rsidRPr="00EA1876" w:rsidRDefault="00EA1876" w:rsidP="00EA1876">
      <w:pPr>
        <w:pStyle w:val="EndNoteBibliography"/>
        <w:ind w:left="720" w:hanging="720"/>
        <w:rPr>
          <w:noProof/>
        </w:rPr>
      </w:pPr>
      <w:r w:rsidRPr="00EA1876">
        <w:rPr>
          <w:noProof/>
        </w:rPr>
        <w:t xml:space="preserve">Gervais, M., &amp; Wilson, D. S. (2005). The evolution and functions of laughter and humor: A synthetic approach. </w:t>
      </w:r>
      <w:r w:rsidRPr="00EA1876">
        <w:rPr>
          <w:i/>
          <w:noProof/>
        </w:rPr>
        <w:t>The Quarterly Review of Biology, 80</w:t>
      </w:r>
      <w:r w:rsidRPr="00EA1876">
        <w:rPr>
          <w:noProof/>
        </w:rPr>
        <w:t xml:space="preserve">(4), 395-430. </w:t>
      </w:r>
      <w:hyperlink r:id="rId96" w:history="1">
        <w:r w:rsidRPr="00EA1876">
          <w:rPr>
            <w:rStyle w:val="Hyperlink"/>
            <w:noProof/>
          </w:rPr>
          <w:t>https://doi.org/10.1086/498281</w:t>
        </w:r>
      </w:hyperlink>
      <w:r w:rsidRPr="00EA1876">
        <w:rPr>
          <w:noProof/>
        </w:rPr>
        <w:t xml:space="preserve"> </w:t>
      </w:r>
    </w:p>
    <w:p w14:paraId="2C5686E6" w14:textId="77777777" w:rsidR="00EA1876" w:rsidRPr="00EA1876" w:rsidRDefault="00EA1876" w:rsidP="00EA1876">
      <w:pPr>
        <w:pStyle w:val="EndNoteBibliography"/>
        <w:ind w:left="720" w:hanging="720"/>
        <w:rPr>
          <w:noProof/>
        </w:rPr>
      </w:pPr>
      <w:r w:rsidRPr="00EA1876">
        <w:rPr>
          <w:noProof/>
        </w:rPr>
        <w:t xml:space="preserve">Giddens, A. (1972). </w:t>
      </w:r>
      <w:r w:rsidRPr="00EA1876">
        <w:rPr>
          <w:i/>
          <w:noProof/>
        </w:rPr>
        <w:t>Emile Durkheim: selected writings</w:t>
      </w:r>
      <w:r w:rsidRPr="00EA1876">
        <w:rPr>
          <w:noProof/>
        </w:rPr>
        <w:t xml:space="preserve">. Cambridge University Press. </w:t>
      </w:r>
    </w:p>
    <w:p w14:paraId="2A8ECA1E" w14:textId="77777777" w:rsidR="00EA1876" w:rsidRPr="00EA1876" w:rsidRDefault="00EA1876" w:rsidP="00EA1876">
      <w:pPr>
        <w:pStyle w:val="EndNoteBibliography"/>
        <w:ind w:left="720" w:hanging="720"/>
        <w:rPr>
          <w:noProof/>
        </w:rPr>
      </w:pPr>
      <w:r w:rsidRPr="00EA1876">
        <w:rPr>
          <w:noProof/>
        </w:rPr>
        <w:t xml:space="preserve">Glaser, B. G., &amp; Strauss, A. L. (1965). </w:t>
      </w:r>
      <w:r w:rsidRPr="00EA1876">
        <w:rPr>
          <w:i/>
          <w:noProof/>
        </w:rPr>
        <w:t>Awareness of dying</w:t>
      </w:r>
      <w:r w:rsidRPr="00EA1876">
        <w:rPr>
          <w:noProof/>
        </w:rPr>
        <w:t xml:space="preserve">. Aldine. </w:t>
      </w:r>
    </w:p>
    <w:p w14:paraId="1C3D76A7" w14:textId="7780898B" w:rsidR="00EA1876" w:rsidRPr="00EA1876" w:rsidRDefault="00EA1876" w:rsidP="00EA1876">
      <w:pPr>
        <w:pStyle w:val="EndNoteBibliography"/>
        <w:ind w:left="720" w:hanging="720"/>
        <w:rPr>
          <w:noProof/>
        </w:rPr>
      </w:pPr>
      <w:r w:rsidRPr="00EA1876">
        <w:rPr>
          <w:noProof/>
        </w:rPr>
        <w:t xml:space="preserve">Glass, A. P., Chen, L.-K., Hwang, E., Ono, Y., &amp; Nahapetyan, L. (2010). A cross-cultural comparison of hospice development in Japan, South Korea, and Taiwan. </w:t>
      </w:r>
      <w:r w:rsidRPr="00EA1876">
        <w:rPr>
          <w:i/>
          <w:noProof/>
        </w:rPr>
        <w:t>Journal of Cross-Cultural Gerontology, 25</w:t>
      </w:r>
      <w:r w:rsidRPr="00EA1876">
        <w:rPr>
          <w:noProof/>
        </w:rPr>
        <w:t xml:space="preserve">(1), 1-19. </w:t>
      </w:r>
      <w:hyperlink r:id="rId97" w:history="1">
        <w:r w:rsidRPr="00EA1876">
          <w:rPr>
            <w:rStyle w:val="Hyperlink"/>
            <w:noProof/>
          </w:rPr>
          <w:t>https://doi.org/10.1007/s10823-009-9108-8</w:t>
        </w:r>
      </w:hyperlink>
      <w:r w:rsidRPr="00EA1876">
        <w:rPr>
          <w:noProof/>
        </w:rPr>
        <w:t xml:space="preserve"> </w:t>
      </w:r>
    </w:p>
    <w:p w14:paraId="040959D8" w14:textId="77777777" w:rsidR="00EA1876" w:rsidRPr="00EA1876" w:rsidRDefault="00EA1876" w:rsidP="00EA1876">
      <w:pPr>
        <w:pStyle w:val="EndNoteBibliography"/>
        <w:ind w:left="720" w:hanging="720"/>
        <w:rPr>
          <w:noProof/>
        </w:rPr>
      </w:pPr>
      <w:r w:rsidRPr="00EA1876">
        <w:rPr>
          <w:noProof/>
        </w:rPr>
        <w:lastRenderedPageBreak/>
        <w:t xml:space="preserve">Golden, J. L., Berquist, G. F., Coleman, W. E., &amp; Sproule, M. J. (2003). </w:t>
      </w:r>
      <w:r w:rsidRPr="00EA1876">
        <w:rPr>
          <w:i/>
          <w:noProof/>
        </w:rPr>
        <w:t>The rhetoric of western thought: from the Mediteranean world to the global setting</w:t>
      </w:r>
      <w:r w:rsidRPr="00EA1876">
        <w:rPr>
          <w:noProof/>
        </w:rPr>
        <w:t xml:space="preserve"> (2nd ed.). Kendall Hunt. </w:t>
      </w:r>
    </w:p>
    <w:p w14:paraId="25D4300F" w14:textId="349EC94D" w:rsidR="00EA1876" w:rsidRPr="00EA1876" w:rsidRDefault="00EA1876" w:rsidP="00EA1876">
      <w:pPr>
        <w:pStyle w:val="EndNoteBibliography"/>
        <w:ind w:left="720" w:hanging="720"/>
        <w:rPr>
          <w:noProof/>
        </w:rPr>
      </w:pPr>
      <w:r w:rsidRPr="00EA1876">
        <w:rPr>
          <w:noProof/>
        </w:rPr>
        <w:t xml:space="preserve">Goldsmith, D. (1990). A dialectic perspective on the expression of autonomy and connection in romantic relationships. </w:t>
      </w:r>
      <w:r w:rsidRPr="00EA1876">
        <w:rPr>
          <w:i/>
          <w:noProof/>
        </w:rPr>
        <w:t>Western Journal of Speech Communication, 54</w:t>
      </w:r>
      <w:r w:rsidRPr="00EA1876">
        <w:rPr>
          <w:noProof/>
        </w:rPr>
        <w:t xml:space="preserve">(4), 537-556. </w:t>
      </w:r>
      <w:hyperlink r:id="rId98" w:history="1">
        <w:r w:rsidRPr="00EA1876">
          <w:rPr>
            <w:rStyle w:val="Hyperlink"/>
            <w:noProof/>
          </w:rPr>
          <w:t>https://doi.org/10.1080/10570319009374359</w:t>
        </w:r>
      </w:hyperlink>
      <w:r w:rsidRPr="00EA1876">
        <w:rPr>
          <w:noProof/>
        </w:rPr>
        <w:t xml:space="preserve"> </w:t>
      </w:r>
    </w:p>
    <w:p w14:paraId="48C12AE0" w14:textId="5F7E438A" w:rsidR="00EA1876" w:rsidRPr="00EA1876" w:rsidRDefault="00EA1876" w:rsidP="00EA1876">
      <w:pPr>
        <w:pStyle w:val="EndNoteBibliography"/>
        <w:ind w:left="720" w:hanging="720"/>
        <w:rPr>
          <w:noProof/>
        </w:rPr>
      </w:pPr>
      <w:r w:rsidRPr="00EA1876">
        <w:rPr>
          <w:noProof/>
        </w:rPr>
        <w:t xml:space="preserve">Goren, A. A. (1994). Sacred and secular: The place of public funerals in the immigrant life of American Jews. </w:t>
      </w:r>
      <w:r w:rsidRPr="00EA1876">
        <w:rPr>
          <w:i/>
          <w:noProof/>
        </w:rPr>
        <w:t>Hîstôry¯a yêhûdît = Jewish history, 8</w:t>
      </w:r>
      <w:r w:rsidRPr="00EA1876">
        <w:rPr>
          <w:noProof/>
        </w:rPr>
        <w:t xml:space="preserve">(1), 269-305. </w:t>
      </w:r>
      <w:hyperlink r:id="rId99" w:history="1">
        <w:r w:rsidRPr="00EA1876">
          <w:rPr>
            <w:rStyle w:val="Hyperlink"/>
            <w:noProof/>
          </w:rPr>
          <w:t>https://doi.org/10.1007/BF01915918</w:t>
        </w:r>
      </w:hyperlink>
      <w:r w:rsidRPr="00EA1876">
        <w:rPr>
          <w:noProof/>
        </w:rPr>
        <w:t xml:space="preserve"> </w:t>
      </w:r>
    </w:p>
    <w:p w14:paraId="24CA8F8E" w14:textId="77777777" w:rsidR="00EA1876" w:rsidRPr="00EA1876" w:rsidRDefault="00EA1876" w:rsidP="00EA1876">
      <w:pPr>
        <w:pStyle w:val="EndNoteBibliography"/>
        <w:ind w:left="720" w:hanging="720"/>
        <w:rPr>
          <w:noProof/>
        </w:rPr>
      </w:pPr>
      <w:r w:rsidRPr="00EA1876">
        <w:rPr>
          <w:noProof/>
        </w:rPr>
        <w:t xml:space="preserve">Gudykunst, W. B., &amp; Kim, Y. Y. (2003). </w:t>
      </w:r>
      <w:r w:rsidRPr="00EA1876">
        <w:rPr>
          <w:i/>
          <w:noProof/>
        </w:rPr>
        <w:t>Communicating with strangers: an approach to intercultural communication</w:t>
      </w:r>
      <w:r w:rsidRPr="00EA1876">
        <w:rPr>
          <w:noProof/>
        </w:rPr>
        <w:t xml:space="preserve"> (4th ed.). McGraw-Hill. </w:t>
      </w:r>
    </w:p>
    <w:p w14:paraId="3AE39FD2" w14:textId="22F34075" w:rsidR="00EA1876" w:rsidRPr="00EA1876" w:rsidRDefault="00EA1876" w:rsidP="00EA1876">
      <w:pPr>
        <w:pStyle w:val="EndNoteBibliography"/>
        <w:ind w:left="720" w:hanging="720"/>
        <w:rPr>
          <w:noProof/>
        </w:rPr>
      </w:pPr>
      <w:r w:rsidRPr="00EA1876">
        <w:rPr>
          <w:noProof/>
        </w:rPr>
        <w:t xml:space="preserve">Günthner, S., &amp; Knoblauch, H. (1995). Culturally patterned speaking practices-the analysis of communicative genres. </w:t>
      </w:r>
      <w:r w:rsidRPr="00EA1876">
        <w:rPr>
          <w:i/>
          <w:noProof/>
        </w:rPr>
        <w:t>Pragmatics, 5</w:t>
      </w:r>
      <w:r w:rsidRPr="00EA1876">
        <w:rPr>
          <w:noProof/>
        </w:rPr>
        <w:t xml:space="preserve">(1), 1-32. </w:t>
      </w:r>
      <w:hyperlink r:id="rId100" w:history="1">
        <w:r w:rsidRPr="00EA1876">
          <w:rPr>
            <w:rStyle w:val="Hyperlink"/>
            <w:noProof/>
          </w:rPr>
          <w:t>https://doi.org/10.1075/prag.5.1.03gun</w:t>
        </w:r>
      </w:hyperlink>
      <w:r w:rsidRPr="00EA1876">
        <w:rPr>
          <w:noProof/>
        </w:rPr>
        <w:t xml:space="preserve"> </w:t>
      </w:r>
    </w:p>
    <w:p w14:paraId="7755D176" w14:textId="707D394B" w:rsidR="00EA1876" w:rsidRPr="00EA1876" w:rsidRDefault="00EA1876" w:rsidP="00EA1876">
      <w:pPr>
        <w:pStyle w:val="EndNoteBibliography"/>
        <w:ind w:left="720" w:hanging="720"/>
        <w:rPr>
          <w:noProof/>
        </w:rPr>
      </w:pPr>
      <w:r w:rsidRPr="00EA1876">
        <w:rPr>
          <w:noProof/>
        </w:rPr>
        <w:t xml:space="preserve">Habenstein, R. (1963). Conflicting organizational patterns in funeral directing. </w:t>
      </w:r>
      <w:r w:rsidRPr="00EA1876">
        <w:rPr>
          <w:i/>
          <w:noProof/>
        </w:rPr>
        <w:t>Human Organization, 22</w:t>
      </w:r>
      <w:r w:rsidRPr="00EA1876">
        <w:rPr>
          <w:noProof/>
        </w:rPr>
        <w:t xml:space="preserve">(2), 126-132. </w:t>
      </w:r>
      <w:hyperlink r:id="rId101" w:history="1">
        <w:r w:rsidRPr="00EA1876">
          <w:rPr>
            <w:rStyle w:val="Hyperlink"/>
            <w:noProof/>
          </w:rPr>
          <w:t>https://doi.org/10.17730/humo.22.2.t602u17535701hh3</w:t>
        </w:r>
      </w:hyperlink>
      <w:r w:rsidRPr="00EA1876">
        <w:rPr>
          <w:noProof/>
        </w:rPr>
        <w:t xml:space="preserve"> </w:t>
      </w:r>
    </w:p>
    <w:p w14:paraId="407F4BDA" w14:textId="77777777" w:rsidR="00EA1876" w:rsidRPr="00EA1876" w:rsidRDefault="00EA1876" w:rsidP="00EA1876">
      <w:pPr>
        <w:pStyle w:val="EndNoteBibliography"/>
        <w:ind w:left="720" w:hanging="720"/>
        <w:rPr>
          <w:noProof/>
        </w:rPr>
      </w:pPr>
      <w:r w:rsidRPr="00EA1876">
        <w:rPr>
          <w:noProof/>
        </w:rPr>
        <w:t xml:space="preserve">Habenstein, R., &amp; Lamers, W. (1955). </w:t>
      </w:r>
      <w:r w:rsidRPr="00EA1876">
        <w:rPr>
          <w:i/>
          <w:noProof/>
        </w:rPr>
        <w:t>The history of American funeral directing</w:t>
      </w:r>
      <w:r w:rsidRPr="00EA1876">
        <w:rPr>
          <w:noProof/>
        </w:rPr>
        <w:t xml:space="preserve"> (1st ed.). Bulfin Printers. </w:t>
      </w:r>
    </w:p>
    <w:p w14:paraId="4D5BF953" w14:textId="77777777" w:rsidR="00EA1876" w:rsidRPr="00EA1876" w:rsidRDefault="00EA1876" w:rsidP="00EA1876">
      <w:pPr>
        <w:pStyle w:val="EndNoteBibliography"/>
        <w:ind w:left="720" w:hanging="720"/>
        <w:rPr>
          <w:noProof/>
        </w:rPr>
      </w:pPr>
      <w:r w:rsidRPr="00EA1876">
        <w:rPr>
          <w:noProof/>
        </w:rPr>
        <w:t xml:space="preserve">Habenstein, R. W., &amp; Lamers, W. M. (2021). </w:t>
      </w:r>
      <w:r w:rsidRPr="00EA1876">
        <w:rPr>
          <w:i/>
          <w:noProof/>
        </w:rPr>
        <w:t>The history of American funeral directing</w:t>
      </w:r>
      <w:r w:rsidRPr="00EA1876">
        <w:rPr>
          <w:noProof/>
        </w:rPr>
        <w:t xml:space="preserve"> (10th ed.). NFDA Publishing Company. </w:t>
      </w:r>
    </w:p>
    <w:p w14:paraId="5DF22D8D" w14:textId="7DB02EB3" w:rsidR="00EA1876" w:rsidRPr="00EA1876" w:rsidRDefault="00EA1876" w:rsidP="00EA1876">
      <w:pPr>
        <w:pStyle w:val="EndNoteBibliography"/>
        <w:ind w:left="720" w:hanging="720"/>
        <w:rPr>
          <w:noProof/>
        </w:rPr>
      </w:pPr>
      <w:r w:rsidRPr="00EA1876">
        <w:rPr>
          <w:noProof/>
        </w:rPr>
        <w:t xml:space="preserve">Hample, D., &amp; Allen, S. (2012). Serial arguments in organizations. </w:t>
      </w:r>
      <w:r w:rsidRPr="00EA1876">
        <w:rPr>
          <w:i/>
          <w:noProof/>
        </w:rPr>
        <w:t>Journal of Argumentation in Context, 1</w:t>
      </w:r>
      <w:r w:rsidRPr="00EA1876">
        <w:rPr>
          <w:noProof/>
        </w:rPr>
        <w:t xml:space="preserve">(3), 312-330. </w:t>
      </w:r>
      <w:hyperlink r:id="rId102" w:history="1">
        <w:r w:rsidRPr="00EA1876">
          <w:rPr>
            <w:rStyle w:val="Hyperlink"/>
            <w:noProof/>
          </w:rPr>
          <w:t>https://doi.org/https://doi.org/10.1075/jaic.1.3.03ham</w:t>
        </w:r>
      </w:hyperlink>
      <w:r w:rsidRPr="00EA1876">
        <w:rPr>
          <w:noProof/>
        </w:rPr>
        <w:t xml:space="preserve"> </w:t>
      </w:r>
    </w:p>
    <w:p w14:paraId="24580C5B" w14:textId="5486B4BF" w:rsidR="00EA1876" w:rsidRPr="00EA1876" w:rsidRDefault="00EA1876" w:rsidP="00EA1876">
      <w:pPr>
        <w:pStyle w:val="EndNoteBibliography"/>
        <w:ind w:left="720" w:hanging="720"/>
        <w:rPr>
          <w:noProof/>
        </w:rPr>
      </w:pPr>
      <w:r w:rsidRPr="00EA1876">
        <w:rPr>
          <w:noProof/>
        </w:rPr>
        <w:t xml:space="preserve">Han, G.-S. (2016). Funeral capitalism: Commodification and digital marketing of funeral services in contemporary Korea. </w:t>
      </w:r>
      <w:r w:rsidRPr="00EA1876">
        <w:rPr>
          <w:i/>
          <w:noProof/>
        </w:rPr>
        <w:t>Korean Studies, 40</w:t>
      </w:r>
      <w:r w:rsidRPr="00EA1876">
        <w:rPr>
          <w:noProof/>
        </w:rPr>
        <w:t xml:space="preserve">(0), 58-77. </w:t>
      </w:r>
      <w:hyperlink r:id="rId103" w:history="1">
        <w:r w:rsidRPr="00EA1876">
          <w:rPr>
            <w:rStyle w:val="Hyperlink"/>
            <w:noProof/>
          </w:rPr>
          <w:t>https://doi.org/10.1353/ks.2016.0002</w:t>
        </w:r>
      </w:hyperlink>
      <w:r w:rsidRPr="00EA1876">
        <w:rPr>
          <w:noProof/>
        </w:rPr>
        <w:t xml:space="preserve"> </w:t>
      </w:r>
    </w:p>
    <w:p w14:paraId="5CDE07A3" w14:textId="77777777" w:rsidR="00EA1876" w:rsidRPr="00EA1876" w:rsidRDefault="00EA1876" w:rsidP="00EA1876">
      <w:pPr>
        <w:pStyle w:val="EndNoteBibliography"/>
        <w:ind w:left="720" w:hanging="720"/>
        <w:rPr>
          <w:noProof/>
        </w:rPr>
      </w:pPr>
      <w:r w:rsidRPr="00EA1876">
        <w:rPr>
          <w:noProof/>
        </w:rPr>
        <w:lastRenderedPageBreak/>
        <w:t xml:space="preserve">Hanusch, F. (2010). </w:t>
      </w:r>
      <w:r w:rsidRPr="00EA1876">
        <w:rPr>
          <w:i/>
          <w:noProof/>
        </w:rPr>
        <w:t>Representing death in the news: Journalism, media and mortality</w:t>
      </w:r>
      <w:r w:rsidRPr="00EA1876">
        <w:rPr>
          <w:noProof/>
        </w:rPr>
        <w:t xml:space="preserve">. Springer. </w:t>
      </w:r>
    </w:p>
    <w:p w14:paraId="4EAE0FE1" w14:textId="23B9FF07" w:rsidR="00EA1876" w:rsidRPr="00EA1876" w:rsidRDefault="00EA1876" w:rsidP="00EA1876">
      <w:pPr>
        <w:pStyle w:val="EndNoteBibliography"/>
        <w:ind w:left="720" w:hanging="720"/>
        <w:rPr>
          <w:noProof/>
        </w:rPr>
      </w:pPr>
      <w:r w:rsidRPr="00EA1876">
        <w:rPr>
          <w:noProof/>
        </w:rPr>
        <w:t xml:space="preserve">Harrigan, M. M., Benz, I., Hauck, C., LaRocca, E., Renders, R., &amp; Roney, S. (2021). The dialectical experience of the fear of missing out for U.S. American iGen emerging adult college students. </w:t>
      </w:r>
      <w:r w:rsidRPr="00EA1876">
        <w:rPr>
          <w:i/>
          <w:noProof/>
        </w:rPr>
        <w:t>Journal of Applied Communication Research, 49</w:t>
      </w:r>
      <w:r w:rsidRPr="00EA1876">
        <w:rPr>
          <w:noProof/>
        </w:rPr>
        <w:t xml:space="preserve">(4), 424-440. </w:t>
      </w:r>
      <w:hyperlink r:id="rId104" w:history="1">
        <w:r w:rsidRPr="00EA1876">
          <w:rPr>
            <w:rStyle w:val="Hyperlink"/>
            <w:noProof/>
          </w:rPr>
          <w:t>https://doi.org/10.1080/00909882.2021.1898656</w:t>
        </w:r>
      </w:hyperlink>
      <w:r w:rsidRPr="00EA1876">
        <w:rPr>
          <w:noProof/>
        </w:rPr>
        <w:t xml:space="preserve"> </w:t>
      </w:r>
    </w:p>
    <w:p w14:paraId="44F7541D" w14:textId="67539C76" w:rsidR="00EA1876" w:rsidRPr="00EA1876" w:rsidRDefault="00EA1876" w:rsidP="00EA1876">
      <w:pPr>
        <w:pStyle w:val="EndNoteBibliography"/>
        <w:ind w:left="720" w:hanging="720"/>
        <w:rPr>
          <w:noProof/>
        </w:rPr>
      </w:pPr>
      <w:r w:rsidRPr="00EA1876">
        <w:rPr>
          <w:noProof/>
        </w:rPr>
        <w:t xml:space="preserve">Hauser, G. A. (1998). Vernacular dialogue and the rhetoricality of public opinion. </w:t>
      </w:r>
      <w:r w:rsidRPr="00EA1876">
        <w:rPr>
          <w:i/>
          <w:noProof/>
        </w:rPr>
        <w:t>Communication Monographs, 65</w:t>
      </w:r>
      <w:r w:rsidRPr="00EA1876">
        <w:rPr>
          <w:noProof/>
        </w:rPr>
        <w:t xml:space="preserve">(2), 83-107. </w:t>
      </w:r>
      <w:hyperlink r:id="rId105" w:history="1">
        <w:r w:rsidRPr="00EA1876">
          <w:rPr>
            <w:rStyle w:val="Hyperlink"/>
            <w:noProof/>
          </w:rPr>
          <w:t>https://doi.org/10.1080/03637759809376439</w:t>
        </w:r>
      </w:hyperlink>
      <w:r w:rsidRPr="00EA1876">
        <w:rPr>
          <w:noProof/>
        </w:rPr>
        <w:t xml:space="preserve"> </w:t>
      </w:r>
    </w:p>
    <w:p w14:paraId="661893C8" w14:textId="63424810" w:rsidR="00EA1876" w:rsidRPr="00EA1876" w:rsidRDefault="00EA1876" w:rsidP="00EA1876">
      <w:pPr>
        <w:pStyle w:val="EndNoteBibliography"/>
        <w:ind w:left="720" w:hanging="720"/>
        <w:rPr>
          <w:noProof/>
        </w:rPr>
      </w:pPr>
      <w:r w:rsidRPr="00EA1876">
        <w:rPr>
          <w:noProof/>
        </w:rPr>
        <w:t xml:space="preserve">Heffernan, K. (2002). Inner-City Exhibition and the Genre Film: Distributing "Night of the Living Dead" (1968). </w:t>
      </w:r>
      <w:r w:rsidRPr="00EA1876">
        <w:rPr>
          <w:i/>
          <w:noProof/>
        </w:rPr>
        <w:t>Cinema Journal, 41</w:t>
      </w:r>
      <w:r w:rsidRPr="00EA1876">
        <w:rPr>
          <w:noProof/>
        </w:rPr>
        <w:t xml:space="preserve">(3), 59-77. </w:t>
      </w:r>
      <w:hyperlink r:id="rId106" w:history="1">
        <w:r w:rsidRPr="00EA1876">
          <w:rPr>
            <w:rStyle w:val="Hyperlink"/>
            <w:noProof/>
          </w:rPr>
          <w:t>http://www.jstor.org/stable/1225699</w:t>
        </w:r>
      </w:hyperlink>
      <w:r w:rsidRPr="00EA1876">
        <w:rPr>
          <w:noProof/>
        </w:rPr>
        <w:t xml:space="preserve"> </w:t>
      </w:r>
    </w:p>
    <w:p w14:paraId="0BD39D3F" w14:textId="77777777" w:rsidR="00EA1876" w:rsidRPr="00EA1876" w:rsidRDefault="00EA1876" w:rsidP="00EA1876">
      <w:pPr>
        <w:pStyle w:val="EndNoteBibliography"/>
        <w:ind w:left="720" w:hanging="720"/>
        <w:rPr>
          <w:noProof/>
        </w:rPr>
      </w:pPr>
      <w:r w:rsidRPr="00EA1876">
        <w:rPr>
          <w:noProof/>
        </w:rPr>
        <w:t xml:space="preserve">Hertz, R. (1960). A Contribution to the Study of the Collective Representation of Death (R. Needham &amp; C. Needham, Trans.). In R. Needham &amp; C. Needham (Eds.), </w:t>
      </w:r>
      <w:r w:rsidRPr="00EA1876">
        <w:rPr>
          <w:i/>
          <w:noProof/>
        </w:rPr>
        <w:t>Death and the Right Hand</w:t>
      </w:r>
      <w:r w:rsidRPr="00EA1876">
        <w:rPr>
          <w:noProof/>
        </w:rPr>
        <w:t xml:space="preserve"> (pp. 27-86). Aberdeen: Cohen &amp; West. </w:t>
      </w:r>
    </w:p>
    <w:p w14:paraId="58942A0B" w14:textId="77777777" w:rsidR="00EA1876" w:rsidRPr="00EA1876" w:rsidRDefault="00EA1876" w:rsidP="00EA1876">
      <w:pPr>
        <w:pStyle w:val="EndNoteBibliography"/>
        <w:ind w:left="720" w:hanging="720"/>
        <w:rPr>
          <w:noProof/>
        </w:rPr>
      </w:pPr>
      <w:r w:rsidRPr="00EA1876">
        <w:rPr>
          <w:noProof/>
        </w:rPr>
        <w:t xml:space="preserve">Hewes, D., &amp; Planalp, S. (1987). The individual's place in communication science. In C. R. Berger, &amp; Chaffee, S. H. (Ed.), </w:t>
      </w:r>
      <w:r w:rsidRPr="00EA1876">
        <w:rPr>
          <w:i/>
          <w:noProof/>
        </w:rPr>
        <w:t>Handbook of communication science</w:t>
      </w:r>
      <w:r w:rsidRPr="00EA1876">
        <w:rPr>
          <w:noProof/>
        </w:rPr>
        <w:t xml:space="preserve"> (pp. 146-183). Sage. </w:t>
      </w:r>
    </w:p>
    <w:p w14:paraId="3DB0DDA2" w14:textId="5EF3A081" w:rsidR="00EA1876" w:rsidRPr="00EA1876" w:rsidRDefault="00EA1876" w:rsidP="00EA1876">
      <w:pPr>
        <w:pStyle w:val="EndNoteBibliography"/>
        <w:ind w:left="720" w:hanging="720"/>
        <w:rPr>
          <w:noProof/>
        </w:rPr>
      </w:pPr>
      <w:r w:rsidRPr="00EA1876">
        <w:rPr>
          <w:noProof/>
        </w:rPr>
        <w:t xml:space="preserve">Hintz, E. A., &amp; Brown, C. L. (2020). Childfree and “bingoed”: A relational dialectics theory analysis of meaning creation in online narratives about voluntary childlessness. </w:t>
      </w:r>
      <w:r w:rsidRPr="00EA1876">
        <w:rPr>
          <w:i/>
          <w:noProof/>
        </w:rPr>
        <w:t>Communication Monographs, 87</w:t>
      </w:r>
      <w:r w:rsidRPr="00EA1876">
        <w:rPr>
          <w:noProof/>
        </w:rPr>
        <w:t xml:space="preserve">(2), 244-266. </w:t>
      </w:r>
      <w:hyperlink r:id="rId107" w:history="1">
        <w:r w:rsidRPr="00EA1876">
          <w:rPr>
            <w:rStyle w:val="Hyperlink"/>
            <w:noProof/>
          </w:rPr>
          <w:t>https://doi.org/10.1080/03637751.2019.1697891</w:t>
        </w:r>
      </w:hyperlink>
      <w:r w:rsidRPr="00EA1876">
        <w:rPr>
          <w:noProof/>
        </w:rPr>
        <w:t xml:space="preserve"> </w:t>
      </w:r>
    </w:p>
    <w:p w14:paraId="2B49C179" w14:textId="17955BAB" w:rsidR="00EA1876" w:rsidRPr="00EA1876" w:rsidRDefault="00EA1876" w:rsidP="00EA1876">
      <w:pPr>
        <w:pStyle w:val="EndNoteBibliography"/>
        <w:ind w:left="720" w:hanging="720"/>
        <w:rPr>
          <w:noProof/>
        </w:rPr>
      </w:pPr>
      <w:r w:rsidRPr="00EA1876">
        <w:rPr>
          <w:noProof/>
        </w:rPr>
        <w:t xml:space="preserve">Hintz, E. A., &amp; Scharp, K. M. (2023). “I hate all the children, especially mine”: Applying relational dialectics theory to examine the experiences of formerly childfree regretful parents. </w:t>
      </w:r>
      <w:r w:rsidRPr="00EA1876">
        <w:rPr>
          <w:i/>
          <w:noProof/>
        </w:rPr>
        <w:t>Journal of Social and Personal relationships, 40</w:t>
      </w:r>
      <w:r w:rsidRPr="00EA1876">
        <w:rPr>
          <w:noProof/>
        </w:rPr>
        <w:t xml:space="preserve">(11), 3781-3799. </w:t>
      </w:r>
      <w:hyperlink r:id="rId108" w:history="1">
        <w:r w:rsidRPr="00EA1876">
          <w:rPr>
            <w:rStyle w:val="Hyperlink"/>
            <w:noProof/>
          </w:rPr>
          <w:t>https://doi.org/10.1177/02654075231194363</w:t>
        </w:r>
      </w:hyperlink>
      <w:r w:rsidRPr="00EA1876">
        <w:rPr>
          <w:noProof/>
        </w:rPr>
        <w:t xml:space="preserve"> </w:t>
      </w:r>
    </w:p>
    <w:p w14:paraId="46DB3E20" w14:textId="3F82301E" w:rsidR="00EA1876" w:rsidRPr="00EA1876" w:rsidRDefault="00EA1876" w:rsidP="00EA1876">
      <w:pPr>
        <w:pStyle w:val="EndNoteBibliography"/>
        <w:ind w:left="720" w:hanging="720"/>
        <w:rPr>
          <w:noProof/>
        </w:rPr>
      </w:pPr>
      <w:r w:rsidRPr="00EA1876">
        <w:rPr>
          <w:noProof/>
        </w:rPr>
        <w:lastRenderedPageBreak/>
        <w:t xml:space="preserve">Hoey, L. M., Ieropoli, S. C., White, V. M., &amp; Jefford, M. (2008, 2008/03/01/). Systematic review of peer-support programs for people with cancer. </w:t>
      </w:r>
      <w:r w:rsidRPr="00EA1876">
        <w:rPr>
          <w:i/>
          <w:noProof/>
        </w:rPr>
        <w:t>Patient education and counseling, 70</w:t>
      </w:r>
      <w:r w:rsidRPr="00EA1876">
        <w:rPr>
          <w:noProof/>
        </w:rPr>
        <w:t xml:space="preserve">(3), 315-337. </w:t>
      </w:r>
      <w:hyperlink r:id="rId109" w:history="1">
        <w:r w:rsidRPr="00EA1876">
          <w:rPr>
            <w:rStyle w:val="Hyperlink"/>
            <w:noProof/>
          </w:rPr>
          <w:t>https://doi.org/https://doi.org/10.1016/j.pec.2007.11.016</w:t>
        </w:r>
      </w:hyperlink>
      <w:r w:rsidRPr="00EA1876">
        <w:rPr>
          <w:noProof/>
        </w:rPr>
        <w:t xml:space="preserve"> </w:t>
      </w:r>
    </w:p>
    <w:p w14:paraId="50BE3C97" w14:textId="77777777" w:rsidR="00EA1876" w:rsidRPr="00EA1876" w:rsidRDefault="00EA1876" w:rsidP="00EA1876">
      <w:pPr>
        <w:pStyle w:val="EndNoteBibliography"/>
        <w:ind w:left="720" w:hanging="720"/>
        <w:rPr>
          <w:noProof/>
        </w:rPr>
      </w:pPr>
      <w:r w:rsidRPr="00EA1876">
        <w:rPr>
          <w:noProof/>
        </w:rPr>
        <w:t xml:space="preserve">Holquist, M. (2003). </w:t>
      </w:r>
      <w:r w:rsidRPr="00EA1876">
        <w:rPr>
          <w:i/>
          <w:noProof/>
        </w:rPr>
        <w:t>Dialogism: Bakhtin and his world</w:t>
      </w:r>
      <w:r w:rsidRPr="00EA1876">
        <w:rPr>
          <w:noProof/>
        </w:rPr>
        <w:t xml:space="preserve">. Routledge. </w:t>
      </w:r>
    </w:p>
    <w:p w14:paraId="016C3E6C" w14:textId="37A4F96C" w:rsidR="00EA1876" w:rsidRPr="00EA1876" w:rsidRDefault="00EA1876" w:rsidP="00EA1876">
      <w:pPr>
        <w:pStyle w:val="EndNoteBibliography"/>
        <w:ind w:left="720" w:hanging="720"/>
        <w:rPr>
          <w:noProof/>
        </w:rPr>
      </w:pPr>
      <w:r w:rsidRPr="00EA1876">
        <w:rPr>
          <w:noProof/>
        </w:rPr>
        <w:t xml:space="preserve">Hoppe‐Nagao, A., &amp; Ting‐Toomey, S. (2002). Relational dialectics and management strategies in marital couples. </w:t>
      </w:r>
      <w:r w:rsidRPr="00EA1876">
        <w:rPr>
          <w:i/>
          <w:noProof/>
        </w:rPr>
        <w:t>Southern Communication Journal, 67</w:t>
      </w:r>
      <w:r w:rsidRPr="00EA1876">
        <w:rPr>
          <w:noProof/>
        </w:rPr>
        <w:t xml:space="preserve">(2), 142-159. </w:t>
      </w:r>
      <w:hyperlink r:id="rId110" w:history="1">
        <w:r w:rsidRPr="00EA1876">
          <w:rPr>
            <w:rStyle w:val="Hyperlink"/>
            <w:noProof/>
          </w:rPr>
          <w:t>https://doi.org/10.1080/10417940209373226</w:t>
        </w:r>
      </w:hyperlink>
      <w:r w:rsidRPr="00EA1876">
        <w:rPr>
          <w:noProof/>
        </w:rPr>
        <w:t xml:space="preserve"> </w:t>
      </w:r>
    </w:p>
    <w:p w14:paraId="058D2523" w14:textId="77777777" w:rsidR="00EA1876" w:rsidRPr="00EA1876" w:rsidRDefault="00EA1876" w:rsidP="00EA1876">
      <w:pPr>
        <w:pStyle w:val="EndNoteBibliography"/>
        <w:ind w:left="720" w:hanging="720"/>
        <w:rPr>
          <w:noProof/>
        </w:rPr>
      </w:pPr>
      <w:r w:rsidRPr="00EA1876">
        <w:rPr>
          <w:noProof/>
        </w:rPr>
        <w:t xml:space="preserve">Howarth, G. (1996). </w:t>
      </w:r>
      <w:r w:rsidRPr="00EA1876">
        <w:rPr>
          <w:i/>
          <w:noProof/>
        </w:rPr>
        <w:t>Last rites : the work of the modern funeral director</w:t>
      </w:r>
      <w:r w:rsidRPr="00EA1876">
        <w:rPr>
          <w:noProof/>
        </w:rPr>
        <w:t xml:space="preserve">. Baywood Pub. Co. </w:t>
      </w:r>
    </w:p>
    <w:p w14:paraId="4528363A" w14:textId="3C218313" w:rsidR="00EA1876" w:rsidRPr="00EA1876" w:rsidRDefault="00EA1876" w:rsidP="00EA1876">
      <w:pPr>
        <w:pStyle w:val="EndNoteBibliography"/>
        <w:ind w:left="720" w:hanging="720"/>
        <w:rPr>
          <w:noProof/>
        </w:rPr>
      </w:pPr>
      <w:r w:rsidRPr="00EA1876">
        <w:rPr>
          <w:noProof/>
        </w:rPr>
        <w:t xml:space="preserve">Høybye, M. T., Johansen, C., &amp; Tjørnhøj-Thomsen, T. (2005). Online interaction. Effects of storytelling in an internet breast cancer support group. </w:t>
      </w:r>
      <w:r w:rsidRPr="00EA1876">
        <w:rPr>
          <w:i/>
          <w:noProof/>
        </w:rPr>
        <w:t>Psycho-Oncology, 14</w:t>
      </w:r>
      <w:r w:rsidRPr="00EA1876">
        <w:rPr>
          <w:noProof/>
        </w:rPr>
        <w:t xml:space="preserve">(3), 211-220. </w:t>
      </w:r>
      <w:hyperlink r:id="rId111" w:history="1">
        <w:r w:rsidRPr="00EA1876">
          <w:rPr>
            <w:rStyle w:val="Hyperlink"/>
            <w:noProof/>
          </w:rPr>
          <w:t>https://doi.org/https://doi.org/10.1002/pon.837</w:t>
        </w:r>
      </w:hyperlink>
      <w:r w:rsidRPr="00EA1876">
        <w:rPr>
          <w:noProof/>
        </w:rPr>
        <w:t xml:space="preserve"> </w:t>
      </w:r>
    </w:p>
    <w:p w14:paraId="32F000B8" w14:textId="75CE3694" w:rsidR="00EA1876" w:rsidRPr="00EA1876" w:rsidRDefault="00EA1876" w:rsidP="00EA1876">
      <w:pPr>
        <w:pStyle w:val="EndNoteBibliography"/>
        <w:ind w:left="720" w:hanging="720"/>
        <w:rPr>
          <w:noProof/>
        </w:rPr>
      </w:pPr>
      <w:r w:rsidRPr="00EA1876">
        <w:rPr>
          <w:noProof/>
        </w:rPr>
        <w:t xml:space="preserve">Hutchby, I. (2019). Conversation Analysis. In S. D. P. Atkinson, A. Cernat, J.W. Sakshaug, &amp; R.A. Williams (Ed.), </w:t>
      </w:r>
      <w:r w:rsidRPr="00EA1876">
        <w:rPr>
          <w:i/>
          <w:noProof/>
        </w:rPr>
        <w:t>SAGE Research Methods Foundations</w:t>
      </w:r>
      <w:r w:rsidRPr="00EA1876">
        <w:rPr>
          <w:noProof/>
        </w:rPr>
        <w:t xml:space="preserve"> (pp. 1-21). SAGE Publications Ltd. </w:t>
      </w:r>
      <w:hyperlink r:id="rId112" w:history="1">
        <w:r w:rsidRPr="00EA1876">
          <w:rPr>
            <w:rStyle w:val="Hyperlink"/>
            <w:noProof/>
          </w:rPr>
          <w:t>https://doi.org/10.4135/9781526421036789623</w:t>
        </w:r>
      </w:hyperlink>
      <w:r w:rsidRPr="00EA1876">
        <w:rPr>
          <w:noProof/>
        </w:rPr>
        <w:t xml:space="preserve"> </w:t>
      </w:r>
    </w:p>
    <w:p w14:paraId="24FFB5ED" w14:textId="77777777" w:rsidR="00EA1876" w:rsidRPr="00EA1876" w:rsidRDefault="00EA1876" w:rsidP="00EA1876">
      <w:pPr>
        <w:pStyle w:val="EndNoteBibliography"/>
        <w:ind w:left="720" w:hanging="720"/>
        <w:rPr>
          <w:noProof/>
        </w:rPr>
      </w:pPr>
      <w:r w:rsidRPr="00EA1876">
        <w:rPr>
          <w:noProof/>
        </w:rPr>
        <w:t xml:space="preserve">Hutchby, I., &amp; Wooffitt, R. (2008). </w:t>
      </w:r>
      <w:r w:rsidRPr="00EA1876">
        <w:rPr>
          <w:i/>
          <w:noProof/>
        </w:rPr>
        <w:t>Conversation analysis</w:t>
      </w:r>
      <w:r w:rsidRPr="00EA1876">
        <w:rPr>
          <w:noProof/>
        </w:rPr>
        <w:t xml:space="preserve">. Polity. </w:t>
      </w:r>
    </w:p>
    <w:p w14:paraId="050307E5" w14:textId="49BA08A2" w:rsidR="00EA1876" w:rsidRPr="00EA1876" w:rsidRDefault="00EA1876" w:rsidP="00EA1876">
      <w:pPr>
        <w:pStyle w:val="EndNoteBibliography"/>
        <w:ind w:left="720" w:hanging="720"/>
        <w:rPr>
          <w:noProof/>
        </w:rPr>
      </w:pPr>
      <w:r w:rsidRPr="00EA1876">
        <w:rPr>
          <w:noProof/>
        </w:rPr>
        <w:t xml:space="preserve">Hyland, L., &amp; Morse, J. M. (1995). Orchestrating Comfort - the Role of funeral directors. </w:t>
      </w:r>
      <w:r w:rsidRPr="00EA1876">
        <w:rPr>
          <w:i/>
          <w:noProof/>
        </w:rPr>
        <w:t>Death Studies, 19</w:t>
      </w:r>
      <w:r w:rsidRPr="00EA1876">
        <w:rPr>
          <w:noProof/>
        </w:rPr>
        <w:t xml:space="preserve">(5), 453-474. </w:t>
      </w:r>
      <w:hyperlink r:id="rId113" w:history="1">
        <w:r w:rsidRPr="00EA1876">
          <w:rPr>
            <w:rStyle w:val="Hyperlink"/>
            <w:noProof/>
          </w:rPr>
          <w:t>https://doi.org/10.1080/07481189508253393</w:t>
        </w:r>
      </w:hyperlink>
      <w:r w:rsidRPr="00EA1876">
        <w:rPr>
          <w:noProof/>
        </w:rPr>
        <w:t xml:space="preserve"> </w:t>
      </w:r>
    </w:p>
    <w:p w14:paraId="24E92D17" w14:textId="50AFBCCF" w:rsidR="00EA1876" w:rsidRPr="00EA1876" w:rsidRDefault="00EA1876" w:rsidP="00EA1876">
      <w:pPr>
        <w:pStyle w:val="EndNoteBibliography"/>
        <w:ind w:left="720" w:hanging="720"/>
        <w:rPr>
          <w:noProof/>
        </w:rPr>
      </w:pPr>
      <w:r w:rsidRPr="00EA1876">
        <w:rPr>
          <w:noProof/>
        </w:rPr>
        <w:t xml:space="preserve">Iqbal, Z. (2011). McDonaldization, Islamic teachings, and funerary practices in Kuwait. </w:t>
      </w:r>
      <w:r w:rsidRPr="00EA1876">
        <w:rPr>
          <w:i/>
          <w:noProof/>
        </w:rPr>
        <w:t>OMEGA - Journal of Death and Dying, 63</w:t>
      </w:r>
      <w:r w:rsidRPr="00EA1876">
        <w:rPr>
          <w:noProof/>
        </w:rPr>
        <w:t xml:space="preserve">(1), 95-112. </w:t>
      </w:r>
      <w:hyperlink r:id="rId114" w:history="1">
        <w:r w:rsidRPr="00EA1876">
          <w:rPr>
            <w:rStyle w:val="Hyperlink"/>
            <w:noProof/>
          </w:rPr>
          <w:t>https://doi.org/10.2190/OM.63.1.e</w:t>
        </w:r>
      </w:hyperlink>
      <w:r w:rsidRPr="00EA1876">
        <w:rPr>
          <w:noProof/>
        </w:rPr>
        <w:t xml:space="preserve"> </w:t>
      </w:r>
    </w:p>
    <w:p w14:paraId="0D285CC6" w14:textId="77777777" w:rsidR="00EA1876" w:rsidRPr="00EA1876" w:rsidRDefault="00EA1876" w:rsidP="00EA1876">
      <w:pPr>
        <w:pStyle w:val="EndNoteBibliography"/>
        <w:ind w:left="720" w:hanging="720"/>
        <w:rPr>
          <w:noProof/>
        </w:rPr>
      </w:pPr>
      <w:r w:rsidRPr="00EA1876">
        <w:rPr>
          <w:noProof/>
        </w:rPr>
        <w:t xml:space="preserve">Irion, P. E. (1954). </w:t>
      </w:r>
      <w:r w:rsidRPr="00EA1876">
        <w:rPr>
          <w:i/>
          <w:noProof/>
        </w:rPr>
        <w:t>The funeral and the mourners; pastoral care of the bereaved</w:t>
      </w:r>
      <w:r w:rsidRPr="00EA1876">
        <w:rPr>
          <w:noProof/>
        </w:rPr>
        <w:t xml:space="preserve">. Abingdon Press Nashville. </w:t>
      </w:r>
    </w:p>
    <w:p w14:paraId="7DBF92D0" w14:textId="77777777" w:rsidR="00EA1876" w:rsidRPr="00EA1876" w:rsidRDefault="00EA1876" w:rsidP="00EA1876">
      <w:pPr>
        <w:pStyle w:val="EndNoteBibliography"/>
        <w:ind w:left="720" w:hanging="720"/>
        <w:rPr>
          <w:noProof/>
        </w:rPr>
      </w:pPr>
      <w:r w:rsidRPr="00EA1876">
        <w:rPr>
          <w:noProof/>
        </w:rPr>
        <w:t xml:space="preserve">Jackson, E. N. (1957). </w:t>
      </w:r>
      <w:r w:rsidRPr="00EA1876">
        <w:rPr>
          <w:i/>
          <w:noProof/>
        </w:rPr>
        <w:t>Understanding grief : its roots, dynamics, and treatment</w:t>
      </w:r>
      <w:r w:rsidRPr="00EA1876">
        <w:rPr>
          <w:noProof/>
        </w:rPr>
        <w:t xml:space="preserve">. Abingdon Press New York. </w:t>
      </w:r>
    </w:p>
    <w:p w14:paraId="1ECEA8EB" w14:textId="77777777" w:rsidR="00EA1876" w:rsidRPr="00EA1876" w:rsidRDefault="00EA1876" w:rsidP="00EA1876">
      <w:pPr>
        <w:pStyle w:val="EndNoteBibliography"/>
        <w:ind w:left="720" w:hanging="720"/>
        <w:rPr>
          <w:noProof/>
        </w:rPr>
      </w:pPr>
      <w:r w:rsidRPr="00EA1876">
        <w:rPr>
          <w:noProof/>
        </w:rPr>
        <w:lastRenderedPageBreak/>
        <w:t xml:space="preserve">Jackson, P. E. (1950). </w:t>
      </w:r>
      <w:r w:rsidRPr="00EA1876">
        <w:rPr>
          <w:i/>
          <w:noProof/>
        </w:rPr>
        <w:t>The law of cadavers and of burial and burial places</w:t>
      </w:r>
      <w:r w:rsidRPr="00EA1876">
        <w:rPr>
          <w:noProof/>
        </w:rPr>
        <w:t xml:space="preserve">. Prentice-Hall. </w:t>
      </w:r>
    </w:p>
    <w:p w14:paraId="1675C7E2" w14:textId="77777777" w:rsidR="00EA1876" w:rsidRPr="00EA1876" w:rsidRDefault="00EA1876" w:rsidP="00EA1876">
      <w:pPr>
        <w:pStyle w:val="EndNoteBibliography"/>
        <w:ind w:left="720" w:hanging="720"/>
        <w:rPr>
          <w:noProof/>
        </w:rPr>
      </w:pPr>
      <w:r w:rsidRPr="00EA1876">
        <w:rPr>
          <w:noProof/>
        </w:rPr>
        <w:t xml:space="preserve">Jacobs, T. A., &amp; Wilkes, M. S. (1988). Cremation patterns for patients dying of AIDS in New York City. </w:t>
      </w:r>
      <w:r w:rsidRPr="00EA1876">
        <w:rPr>
          <w:i/>
          <w:noProof/>
        </w:rPr>
        <w:t>New York State Journal of Medicine, 88</w:t>
      </w:r>
      <w:r w:rsidRPr="00EA1876">
        <w:rPr>
          <w:noProof/>
        </w:rPr>
        <w:t xml:space="preserve">(12), 628-632. </w:t>
      </w:r>
    </w:p>
    <w:p w14:paraId="78059CBF" w14:textId="59268322" w:rsidR="00EA1876" w:rsidRPr="00EA1876" w:rsidRDefault="00EA1876" w:rsidP="00EA1876">
      <w:pPr>
        <w:pStyle w:val="EndNoteBibliography"/>
        <w:ind w:left="720" w:hanging="720"/>
        <w:rPr>
          <w:noProof/>
        </w:rPr>
      </w:pPr>
      <w:r w:rsidRPr="00EA1876">
        <w:rPr>
          <w:noProof/>
        </w:rPr>
        <w:t xml:space="preserve">James, J. (2004). What is a funeral for? </w:t>
      </w:r>
      <w:r w:rsidRPr="00EA1876">
        <w:rPr>
          <w:i/>
          <w:noProof/>
        </w:rPr>
        <w:t>Rural Theology, 2</w:t>
      </w:r>
      <w:r w:rsidRPr="00EA1876">
        <w:rPr>
          <w:noProof/>
        </w:rPr>
        <w:t xml:space="preserve">(1), 15-27. </w:t>
      </w:r>
      <w:hyperlink r:id="rId115" w:history="1">
        <w:r w:rsidRPr="00EA1876">
          <w:rPr>
            <w:rStyle w:val="Hyperlink"/>
            <w:noProof/>
          </w:rPr>
          <w:t>https://doi.org/10.1179/rut.2.1.16mwl6nj0up5kp36</w:t>
        </w:r>
      </w:hyperlink>
      <w:r w:rsidRPr="00EA1876">
        <w:rPr>
          <w:noProof/>
        </w:rPr>
        <w:t xml:space="preserve"> </w:t>
      </w:r>
    </w:p>
    <w:p w14:paraId="4E6E6379" w14:textId="1D08F914" w:rsidR="00EA1876" w:rsidRPr="00EA1876" w:rsidRDefault="00EA1876" w:rsidP="00EA1876">
      <w:pPr>
        <w:pStyle w:val="EndNoteBibliography"/>
        <w:ind w:left="720" w:hanging="720"/>
        <w:rPr>
          <w:noProof/>
        </w:rPr>
      </w:pPr>
      <w:r w:rsidRPr="00EA1876">
        <w:rPr>
          <w:noProof/>
        </w:rPr>
        <w:t xml:space="preserve">James, K., Hawley, B., McCoy, C. R., &amp; Lindley, L. C. (2022). Challenges and opportunities of providing pediatric funeral services: A national survey of funeral professionals. </w:t>
      </w:r>
      <w:r w:rsidRPr="00EA1876">
        <w:rPr>
          <w:i/>
          <w:noProof/>
        </w:rPr>
        <w:t>American Journal of Hospice and Palliative Medicine®, 39</w:t>
      </w:r>
      <w:r w:rsidRPr="00EA1876">
        <w:rPr>
          <w:noProof/>
        </w:rPr>
        <w:t xml:space="preserve">(3), 289-294. </w:t>
      </w:r>
      <w:hyperlink r:id="rId116" w:history="1">
        <w:r w:rsidRPr="00EA1876">
          <w:rPr>
            <w:rStyle w:val="Hyperlink"/>
            <w:noProof/>
          </w:rPr>
          <w:t>https://doi.org/10.1177/10499091211019298</w:t>
        </w:r>
      </w:hyperlink>
      <w:r w:rsidRPr="00EA1876">
        <w:rPr>
          <w:noProof/>
        </w:rPr>
        <w:t xml:space="preserve"> </w:t>
      </w:r>
    </w:p>
    <w:p w14:paraId="63924D74" w14:textId="77777777" w:rsidR="00EA1876" w:rsidRPr="00EA1876" w:rsidRDefault="00EA1876" w:rsidP="00EA1876">
      <w:pPr>
        <w:pStyle w:val="EndNoteBibliography"/>
        <w:ind w:left="720" w:hanging="720"/>
        <w:rPr>
          <w:noProof/>
        </w:rPr>
      </w:pPr>
      <w:r w:rsidRPr="00EA1876">
        <w:rPr>
          <w:noProof/>
        </w:rPr>
        <w:t xml:space="preserve">Jung, C. G. (1959). The soul and death. In H. Feifel (Ed.), </w:t>
      </w:r>
      <w:r w:rsidRPr="00EA1876">
        <w:rPr>
          <w:i/>
          <w:noProof/>
        </w:rPr>
        <w:t>The meaning of death</w:t>
      </w:r>
      <w:r w:rsidRPr="00EA1876">
        <w:rPr>
          <w:noProof/>
        </w:rPr>
        <w:t xml:space="preserve"> (pp. 3-15). New York, McGraw-Hill. </w:t>
      </w:r>
    </w:p>
    <w:p w14:paraId="19C65A66" w14:textId="3FD3A59C" w:rsidR="00EA1876" w:rsidRPr="00EA1876" w:rsidRDefault="00EA1876" w:rsidP="00EA1876">
      <w:pPr>
        <w:pStyle w:val="EndNoteBibliography"/>
        <w:ind w:left="720" w:hanging="720"/>
        <w:rPr>
          <w:noProof/>
        </w:rPr>
      </w:pPr>
      <w:r w:rsidRPr="00EA1876">
        <w:rPr>
          <w:noProof/>
        </w:rPr>
        <w:t xml:space="preserve">Kastenbaum, R. (1993). Reconstructing death in postmodern society. </w:t>
      </w:r>
      <w:r w:rsidRPr="00EA1876">
        <w:rPr>
          <w:i/>
          <w:noProof/>
        </w:rPr>
        <w:t>OMEGA - Journal of Death and Dying, 27</w:t>
      </w:r>
      <w:r w:rsidRPr="00EA1876">
        <w:rPr>
          <w:noProof/>
        </w:rPr>
        <w:t xml:space="preserve">(1), 75-89. </w:t>
      </w:r>
      <w:hyperlink r:id="rId117" w:history="1">
        <w:r w:rsidRPr="00EA1876">
          <w:rPr>
            <w:rStyle w:val="Hyperlink"/>
            <w:noProof/>
          </w:rPr>
          <w:t>https://doi.org/10.2190/p4xj-egne-e157-g3qn</w:t>
        </w:r>
      </w:hyperlink>
      <w:r w:rsidRPr="00EA1876">
        <w:rPr>
          <w:noProof/>
        </w:rPr>
        <w:t xml:space="preserve"> </w:t>
      </w:r>
    </w:p>
    <w:p w14:paraId="5D1B7B49" w14:textId="77777777" w:rsidR="00EA1876" w:rsidRPr="00EA1876" w:rsidRDefault="00EA1876" w:rsidP="00EA1876">
      <w:pPr>
        <w:pStyle w:val="EndNoteBibliography"/>
        <w:ind w:left="720" w:hanging="720"/>
        <w:rPr>
          <w:noProof/>
        </w:rPr>
      </w:pPr>
      <w:r w:rsidRPr="00EA1876">
        <w:rPr>
          <w:noProof/>
        </w:rPr>
        <w:t xml:space="preserve">Kauffman, J. (2001). Denial. In G. Howarth &amp; O. Leaman (Eds.), </w:t>
      </w:r>
      <w:r w:rsidRPr="00EA1876">
        <w:rPr>
          <w:i/>
          <w:noProof/>
        </w:rPr>
        <w:t>Encyclopedia of death and dying / edited by Glennys Howarth and Oliver Leaman</w:t>
      </w:r>
      <w:r w:rsidRPr="00EA1876">
        <w:rPr>
          <w:noProof/>
        </w:rPr>
        <w:t xml:space="preserve">. London ; New York : Routledge. </w:t>
      </w:r>
    </w:p>
    <w:p w14:paraId="1109BB17" w14:textId="604EAB5D" w:rsidR="00EA1876" w:rsidRPr="00EA1876" w:rsidRDefault="00EA1876" w:rsidP="00EA1876">
      <w:pPr>
        <w:pStyle w:val="EndNoteBibliography"/>
        <w:ind w:left="720" w:hanging="720"/>
        <w:rPr>
          <w:noProof/>
        </w:rPr>
      </w:pPr>
      <w:r w:rsidRPr="00EA1876">
        <w:rPr>
          <w:noProof/>
        </w:rPr>
        <w:t xml:space="preserve">Keely, C. B. (1971). Effects of the immigration act of 1965 on selected population characteristics of immigrants to the United States. </w:t>
      </w:r>
      <w:r w:rsidRPr="00EA1876">
        <w:rPr>
          <w:i/>
          <w:noProof/>
        </w:rPr>
        <w:t>Demography, 8</w:t>
      </w:r>
      <w:r w:rsidRPr="00EA1876">
        <w:rPr>
          <w:noProof/>
        </w:rPr>
        <w:t xml:space="preserve">(2), 157-169. </w:t>
      </w:r>
      <w:hyperlink r:id="rId118" w:history="1">
        <w:r w:rsidRPr="00EA1876">
          <w:rPr>
            <w:rStyle w:val="Hyperlink"/>
            <w:noProof/>
          </w:rPr>
          <w:t>https://doi.org/10.2307/2060606</w:t>
        </w:r>
      </w:hyperlink>
      <w:r w:rsidRPr="00EA1876">
        <w:rPr>
          <w:noProof/>
        </w:rPr>
        <w:t xml:space="preserve"> </w:t>
      </w:r>
    </w:p>
    <w:p w14:paraId="18175555" w14:textId="7E33ED06" w:rsidR="00EA1876" w:rsidRPr="00EA1876" w:rsidRDefault="00EA1876" w:rsidP="00EA1876">
      <w:pPr>
        <w:pStyle w:val="EndNoteBibliography"/>
        <w:ind w:left="720" w:hanging="720"/>
        <w:rPr>
          <w:noProof/>
        </w:rPr>
      </w:pPr>
      <w:r w:rsidRPr="00EA1876">
        <w:rPr>
          <w:noProof/>
        </w:rPr>
        <w:t xml:space="preserve">Kehl, K. A. (2006). Moving toward peace: an analysis of the concept of a good death. </w:t>
      </w:r>
      <w:r w:rsidRPr="00EA1876">
        <w:rPr>
          <w:i/>
          <w:noProof/>
        </w:rPr>
        <w:t>American Journal of Hospice and Palliative Medicine®, 23</w:t>
      </w:r>
      <w:r w:rsidRPr="00EA1876">
        <w:rPr>
          <w:noProof/>
        </w:rPr>
        <w:t xml:space="preserve">(4), 277-286. </w:t>
      </w:r>
      <w:hyperlink r:id="rId119" w:history="1">
        <w:r w:rsidRPr="00EA1876">
          <w:rPr>
            <w:rStyle w:val="Hyperlink"/>
            <w:noProof/>
          </w:rPr>
          <w:t>https://doi.org/10.1177/1049909106290380</w:t>
        </w:r>
      </w:hyperlink>
      <w:r w:rsidRPr="00EA1876">
        <w:rPr>
          <w:noProof/>
        </w:rPr>
        <w:t xml:space="preserve"> </w:t>
      </w:r>
    </w:p>
    <w:p w14:paraId="3AF42462" w14:textId="2FAF5D46" w:rsidR="00EA1876" w:rsidRPr="00EA1876" w:rsidRDefault="00EA1876" w:rsidP="00EA1876">
      <w:pPr>
        <w:pStyle w:val="EndNoteBibliography"/>
        <w:ind w:left="720" w:hanging="720"/>
        <w:rPr>
          <w:noProof/>
        </w:rPr>
      </w:pPr>
      <w:r w:rsidRPr="00EA1876">
        <w:rPr>
          <w:noProof/>
        </w:rPr>
        <w:lastRenderedPageBreak/>
        <w:t xml:space="preserve">Kemp, E., &amp; Kopp, S. W. (2010). Have you made plans for that big day? Predicting intentions to engage in funeral planning. </w:t>
      </w:r>
      <w:r w:rsidRPr="00EA1876">
        <w:rPr>
          <w:i/>
          <w:noProof/>
        </w:rPr>
        <w:t>Journal of Marketing Theory and Practice, 18</w:t>
      </w:r>
      <w:r w:rsidRPr="00EA1876">
        <w:rPr>
          <w:noProof/>
        </w:rPr>
        <w:t xml:space="preserve">(1), 81-90. </w:t>
      </w:r>
      <w:hyperlink r:id="rId120" w:history="1">
        <w:r w:rsidRPr="00EA1876">
          <w:rPr>
            <w:rStyle w:val="Hyperlink"/>
            <w:noProof/>
          </w:rPr>
          <w:t>https://doi.org/10.2753/MTP1069-6679180106</w:t>
        </w:r>
      </w:hyperlink>
      <w:r w:rsidRPr="00EA1876">
        <w:rPr>
          <w:noProof/>
        </w:rPr>
        <w:t xml:space="preserve"> </w:t>
      </w:r>
    </w:p>
    <w:p w14:paraId="6F374408" w14:textId="67A3565C" w:rsidR="00EA1876" w:rsidRPr="00EA1876" w:rsidRDefault="00EA1876" w:rsidP="00EA1876">
      <w:pPr>
        <w:pStyle w:val="EndNoteBibliography"/>
        <w:ind w:left="720" w:hanging="720"/>
        <w:rPr>
          <w:noProof/>
        </w:rPr>
      </w:pPr>
      <w:r w:rsidRPr="00EA1876">
        <w:rPr>
          <w:noProof/>
        </w:rPr>
        <w:t xml:space="preserve">Kemp, E., &amp; Kopp, S. W. (2011). Resistance and risk: Examining the effects of message cues in encouraging end-of-life planning. </w:t>
      </w:r>
      <w:r w:rsidRPr="00EA1876">
        <w:rPr>
          <w:i/>
          <w:noProof/>
        </w:rPr>
        <w:t>Journal of Public Policy &amp; Marketing, 30</w:t>
      </w:r>
      <w:r w:rsidRPr="00EA1876">
        <w:rPr>
          <w:noProof/>
        </w:rPr>
        <w:t xml:space="preserve">(1), 100-109. </w:t>
      </w:r>
      <w:hyperlink r:id="rId121" w:history="1">
        <w:r w:rsidRPr="00EA1876">
          <w:rPr>
            <w:rStyle w:val="Hyperlink"/>
            <w:noProof/>
          </w:rPr>
          <w:t>https://doi.org/10.1509/jppm.30.1.100</w:t>
        </w:r>
      </w:hyperlink>
      <w:r w:rsidRPr="00EA1876">
        <w:rPr>
          <w:noProof/>
        </w:rPr>
        <w:t xml:space="preserve"> </w:t>
      </w:r>
    </w:p>
    <w:p w14:paraId="4ED9330F" w14:textId="77777777" w:rsidR="00EA1876" w:rsidRPr="00EA1876" w:rsidRDefault="00EA1876" w:rsidP="00EA1876">
      <w:pPr>
        <w:pStyle w:val="EndNoteBibliography"/>
        <w:ind w:left="720" w:hanging="720"/>
        <w:rPr>
          <w:noProof/>
        </w:rPr>
      </w:pPr>
      <w:r w:rsidRPr="00EA1876">
        <w:rPr>
          <w:noProof/>
        </w:rPr>
        <w:t xml:space="preserve">Klicker, R. L. (2009). </w:t>
      </w:r>
      <w:r w:rsidRPr="00EA1876">
        <w:rPr>
          <w:i/>
          <w:noProof/>
        </w:rPr>
        <w:t>Funeral directing and funeral service management</w:t>
      </w:r>
      <w:r w:rsidRPr="00EA1876">
        <w:rPr>
          <w:noProof/>
        </w:rPr>
        <w:t xml:space="preserve">. Thanos Institute. </w:t>
      </w:r>
    </w:p>
    <w:p w14:paraId="675986CF" w14:textId="4CCE829D" w:rsidR="00EA1876" w:rsidRPr="00EA1876" w:rsidRDefault="00EA1876" w:rsidP="00EA1876">
      <w:pPr>
        <w:pStyle w:val="EndNoteBibliography"/>
        <w:ind w:left="720" w:hanging="720"/>
        <w:rPr>
          <w:noProof/>
        </w:rPr>
      </w:pPr>
      <w:r w:rsidRPr="00EA1876">
        <w:rPr>
          <w:noProof/>
        </w:rPr>
        <w:t xml:space="preserve">Kline, S. L., Stafford, L., &amp; Miklosovic, J. C. (1996). Women's surnames: Decisions, interpretations and associations with relational qualities. </w:t>
      </w:r>
      <w:r w:rsidRPr="00EA1876">
        <w:rPr>
          <w:i/>
          <w:noProof/>
        </w:rPr>
        <w:t>Journal of Social and Personal relationships, 13</w:t>
      </w:r>
      <w:r w:rsidRPr="00EA1876">
        <w:rPr>
          <w:noProof/>
        </w:rPr>
        <w:t xml:space="preserve">(4), 593-617. </w:t>
      </w:r>
      <w:hyperlink r:id="rId122" w:history="1">
        <w:r w:rsidRPr="00EA1876">
          <w:rPr>
            <w:rStyle w:val="Hyperlink"/>
            <w:noProof/>
          </w:rPr>
          <w:t>https://doi.org/10.1177/0265407596134007</w:t>
        </w:r>
      </w:hyperlink>
      <w:r w:rsidRPr="00EA1876">
        <w:rPr>
          <w:noProof/>
        </w:rPr>
        <w:t xml:space="preserve"> </w:t>
      </w:r>
    </w:p>
    <w:p w14:paraId="66F424D2" w14:textId="3B577CFD" w:rsidR="00EA1876" w:rsidRPr="00EA1876" w:rsidRDefault="00EA1876" w:rsidP="00EA1876">
      <w:pPr>
        <w:pStyle w:val="EndNoteBibliography"/>
        <w:ind w:left="720" w:hanging="720"/>
        <w:rPr>
          <w:noProof/>
        </w:rPr>
      </w:pPr>
      <w:r w:rsidRPr="00EA1876">
        <w:rPr>
          <w:noProof/>
        </w:rPr>
        <w:t xml:space="preserve">Knee, C. R. (1998). Implicit theories of relationships: Assessment and prediction of romantic relationship initiation, coping, and longevity. </w:t>
      </w:r>
      <w:r w:rsidRPr="00EA1876">
        <w:rPr>
          <w:i/>
          <w:noProof/>
        </w:rPr>
        <w:t>Journal of personality and social psychology, 74</w:t>
      </w:r>
      <w:r w:rsidRPr="00EA1876">
        <w:rPr>
          <w:noProof/>
        </w:rPr>
        <w:t xml:space="preserve">(2), 360-370. </w:t>
      </w:r>
      <w:hyperlink r:id="rId123" w:history="1">
        <w:r w:rsidRPr="00EA1876">
          <w:rPr>
            <w:rStyle w:val="Hyperlink"/>
            <w:noProof/>
          </w:rPr>
          <w:t>https://doi.org/https://doi.org/10.1037/0022-3514.74.2.360</w:t>
        </w:r>
      </w:hyperlink>
      <w:r w:rsidRPr="00EA1876">
        <w:rPr>
          <w:noProof/>
        </w:rPr>
        <w:t xml:space="preserve"> </w:t>
      </w:r>
    </w:p>
    <w:p w14:paraId="03673A71" w14:textId="77777777" w:rsidR="00EA1876" w:rsidRPr="00EA1876" w:rsidRDefault="00EA1876" w:rsidP="00EA1876">
      <w:pPr>
        <w:pStyle w:val="EndNoteBibliography"/>
        <w:ind w:left="720" w:hanging="720"/>
        <w:rPr>
          <w:noProof/>
        </w:rPr>
      </w:pPr>
      <w:r w:rsidRPr="00EA1876">
        <w:rPr>
          <w:noProof/>
        </w:rPr>
        <w:t xml:space="preserve">Koczanowicz, L. (2000). Freedom and communication: The concept of human self in Mead and Bakhtin. </w:t>
      </w:r>
      <w:r w:rsidRPr="00EA1876">
        <w:rPr>
          <w:i/>
          <w:noProof/>
        </w:rPr>
        <w:t>Dialogism: An International Journal of Bakhtin Studies, 4</w:t>
      </w:r>
      <w:r w:rsidRPr="00EA1876">
        <w:rPr>
          <w:noProof/>
        </w:rPr>
        <w:t xml:space="preserve">, 54-66. </w:t>
      </w:r>
    </w:p>
    <w:p w14:paraId="31EB3134" w14:textId="20B6BB5D" w:rsidR="00EA1876" w:rsidRPr="00EA1876" w:rsidRDefault="00EA1876" w:rsidP="00EA1876">
      <w:pPr>
        <w:pStyle w:val="EndNoteBibliography"/>
        <w:ind w:left="720" w:hanging="720"/>
        <w:rPr>
          <w:noProof/>
        </w:rPr>
      </w:pPr>
      <w:r w:rsidRPr="00EA1876">
        <w:rPr>
          <w:noProof/>
        </w:rPr>
        <w:t xml:space="preserve">Kopp, S. W., &amp; Kemp, E. (2007a). Consumer awareness of the legal obligations of funeral providers. </w:t>
      </w:r>
      <w:r w:rsidRPr="00EA1876">
        <w:rPr>
          <w:i/>
          <w:noProof/>
        </w:rPr>
        <w:t>Journal of Consumer Affairs, 41</w:t>
      </w:r>
      <w:r w:rsidRPr="00EA1876">
        <w:rPr>
          <w:noProof/>
        </w:rPr>
        <w:t xml:space="preserve">(2), 326-340. </w:t>
      </w:r>
      <w:hyperlink r:id="rId124" w:history="1">
        <w:r w:rsidRPr="00EA1876">
          <w:rPr>
            <w:rStyle w:val="Hyperlink"/>
            <w:noProof/>
          </w:rPr>
          <w:t>https://doi.org/10.1111/j.1745-6606.2007.00083.x</w:t>
        </w:r>
      </w:hyperlink>
      <w:r w:rsidRPr="00EA1876">
        <w:rPr>
          <w:noProof/>
        </w:rPr>
        <w:t xml:space="preserve"> </w:t>
      </w:r>
    </w:p>
    <w:p w14:paraId="107B2B48" w14:textId="0BA4C36E" w:rsidR="00EA1876" w:rsidRPr="00EA1876" w:rsidRDefault="00EA1876" w:rsidP="00EA1876">
      <w:pPr>
        <w:pStyle w:val="EndNoteBibliography"/>
        <w:ind w:left="720" w:hanging="720"/>
        <w:rPr>
          <w:noProof/>
        </w:rPr>
      </w:pPr>
      <w:r w:rsidRPr="00EA1876">
        <w:rPr>
          <w:noProof/>
        </w:rPr>
        <w:t xml:space="preserve">Kopp, S. W., &amp; Kemp, E. (2007b). The death care industry: A review of regulatory and consumer issues. </w:t>
      </w:r>
      <w:r w:rsidRPr="00EA1876">
        <w:rPr>
          <w:i/>
          <w:noProof/>
        </w:rPr>
        <w:t>Journal of Consumer Affairs, 41</w:t>
      </w:r>
      <w:r w:rsidRPr="00EA1876">
        <w:rPr>
          <w:noProof/>
        </w:rPr>
        <w:t xml:space="preserve">(1), 150-173. </w:t>
      </w:r>
      <w:hyperlink r:id="rId125" w:history="1">
        <w:r w:rsidRPr="00EA1876">
          <w:rPr>
            <w:rStyle w:val="Hyperlink"/>
            <w:noProof/>
          </w:rPr>
          <w:t>https://doi.org/10.1111/j.1745-6606.2006.00072.x</w:t>
        </w:r>
      </w:hyperlink>
      <w:r w:rsidRPr="00EA1876">
        <w:rPr>
          <w:noProof/>
        </w:rPr>
        <w:t xml:space="preserve"> </w:t>
      </w:r>
    </w:p>
    <w:p w14:paraId="16B8F6FF" w14:textId="06602849" w:rsidR="00EA1876" w:rsidRPr="00EA1876" w:rsidRDefault="00EA1876" w:rsidP="00EA1876">
      <w:pPr>
        <w:pStyle w:val="EndNoteBibliography"/>
        <w:ind w:left="720" w:hanging="720"/>
        <w:rPr>
          <w:noProof/>
        </w:rPr>
      </w:pPr>
      <w:r w:rsidRPr="00EA1876">
        <w:rPr>
          <w:noProof/>
        </w:rPr>
        <w:t xml:space="preserve">Korai, B., Ouellet, C., &amp; Cloutier, J. (2022). What are these strange things called emotions? An analysis of service interactions in the funeral industry: Issues, implications, and future </w:t>
      </w:r>
      <w:r w:rsidRPr="00EA1876">
        <w:rPr>
          <w:noProof/>
        </w:rPr>
        <w:lastRenderedPageBreak/>
        <w:t xml:space="preserve">research directions. </w:t>
      </w:r>
      <w:r w:rsidRPr="00EA1876">
        <w:rPr>
          <w:i/>
          <w:noProof/>
        </w:rPr>
        <w:t>Services Marketing Quarterly, 43</w:t>
      </w:r>
      <w:r w:rsidRPr="00EA1876">
        <w:rPr>
          <w:noProof/>
        </w:rPr>
        <w:t xml:space="preserve">(2), 1-23. </w:t>
      </w:r>
      <w:hyperlink r:id="rId126" w:history="1">
        <w:r w:rsidRPr="00EA1876">
          <w:rPr>
            <w:rStyle w:val="Hyperlink"/>
            <w:noProof/>
          </w:rPr>
          <w:t>https://doi.org/10.1080/15332969.2021.1987611</w:t>
        </w:r>
      </w:hyperlink>
      <w:r w:rsidRPr="00EA1876">
        <w:rPr>
          <w:noProof/>
        </w:rPr>
        <w:t xml:space="preserve"> </w:t>
      </w:r>
    </w:p>
    <w:p w14:paraId="37992037" w14:textId="0E9C4D62" w:rsidR="00EA1876" w:rsidRPr="00EA1876" w:rsidRDefault="00EA1876" w:rsidP="00EA1876">
      <w:pPr>
        <w:pStyle w:val="EndNoteBibliography"/>
        <w:ind w:left="720" w:hanging="720"/>
        <w:rPr>
          <w:noProof/>
        </w:rPr>
      </w:pPr>
      <w:r w:rsidRPr="00EA1876">
        <w:rPr>
          <w:noProof/>
        </w:rPr>
        <w:t xml:space="preserve">Korai, B., &amp; Souiden, N. (2017). Rethinking functionality and emotions in the service consumption process: the case of funeral services. </w:t>
      </w:r>
      <w:r w:rsidRPr="00EA1876">
        <w:rPr>
          <w:i/>
          <w:noProof/>
        </w:rPr>
        <w:t>Journal of Services Marketing, 31</w:t>
      </w:r>
      <w:r w:rsidRPr="00EA1876">
        <w:rPr>
          <w:noProof/>
        </w:rPr>
        <w:t xml:space="preserve">(3). </w:t>
      </w:r>
      <w:hyperlink r:id="rId127" w:history="1">
        <w:r w:rsidRPr="00EA1876">
          <w:rPr>
            <w:rStyle w:val="Hyperlink"/>
            <w:noProof/>
          </w:rPr>
          <w:t>https://doi.org/10.1108/JSM-03-2015-0132</w:t>
        </w:r>
      </w:hyperlink>
      <w:r w:rsidRPr="00EA1876">
        <w:rPr>
          <w:noProof/>
        </w:rPr>
        <w:t xml:space="preserve"> </w:t>
      </w:r>
    </w:p>
    <w:p w14:paraId="3034616B" w14:textId="705B5847" w:rsidR="00EA1876" w:rsidRPr="00EA1876" w:rsidRDefault="00EA1876" w:rsidP="00EA1876">
      <w:pPr>
        <w:pStyle w:val="EndNoteBibliography"/>
        <w:ind w:left="720" w:hanging="720"/>
        <w:rPr>
          <w:noProof/>
        </w:rPr>
      </w:pPr>
      <w:r w:rsidRPr="00EA1876">
        <w:rPr>
          <w:noProof/>
        </w:rPr>
        <w:t xml:space="preserve">Krebs, E., &amp; Schoenbauer, K. V. (2020). Hysterics and Heresy: Using dialogism to explore the problematics of endometriosis diagnosis. </w:t>
      </w:r>
      <w:r w:rsidRPr="00EA1876">
        <w:rPr>
          <w:i/>
          <w:noProof/>
        </w:rPr>
        <w:t>Health Communication, 35</w:t>
      </w:r>
      <w:r w:rsidRPr="00EA1876">
        <w:rPr>
          <w:noProof/>
        </w:rPr>
        <w:t xml:space="preserve">(8), 1013-1022. </w:t>
      </w:r>
      <w:hyperlink r:id="rId128" w:history="1">
        <w:r w:rsidRPr="00EA1876">
          <w:rPr>
            <w:rStyle w:val="Hyperlink"/>
            <w:noProof/>
          </w:rPr>
          <w:t>https://doi.org/10.1080/10410236.2019.1606136</w:t>
        </w:r>
      </w:hyperlink>
      <w:r w:rsidRPr="00EA1876">
        <w:rPr>
          <w:noProof/>
        </w:rPr>
        <w:t xml:space="preserve"> </w:t>
      </w:r>
    </w:p>
    <w:p w14:paraId="214B822A" w14:textId="77777777" w:rsidR="00EA1876" w:rsidRPr="00EA1876" w:rsidRDefault="00EA1876" w:rsidP="00EA1876">
      <w:pPr>
        <w:pStyle w:val="EndNoteBibliography"/>
        <w:ind w:left="720" w:hanging="720"/>
        <w:rPr>
          <w:noProof/>
        </w:rPr>
      </w:pPr>
      <w:r w:rsidRPr="00EA1876">
        <w:rPr>
          <w:noProof/>
        </w:rPr>
        <w:t xml:space="preserve">Krieger, W. M. (1951). </w:t>
      </w:r>
      <w:r w:rsidRPr="00EA1876">
        <w:rPr>
          <w:i/>
          <w:noProof/>
        </w:rPr>
        <w:t>Successful Funeral Service Management</w:t>
      </w:r>
      <w:r w:rsidRPr="00EA1876">
        <w:rPr>
          <w:noProof/>
        </w:rPr>
        <w:t xml:space="preserve">. Prentice-Hall. </w:t>
      </w:r>
    </w:p>
    <w:p w14:paraId="2FCA7841" w14:textId="77777777" w:rsidR="00EA1876" w:rsidRPr="00EA1876" w:rsidRDefault="00EA1876" w:rsidP="00EA1876">
      <w:pPr>
        <w:pStyle w:val="EndNoteBibliography"/>
        <w:ind w:left="720" w:hanging="720"/>
        <w:rPr>
          <w:noProof/>
        </w:rPr>
      </w:pPr>
      <w:r w:rsidRPr="00EA1876">
        <w:rPr>
          <w:noProof/>
        </w:rPr>
        <w:t xml:space="preserve">Kubasak, M. W. (1990). </w:t>
      </w:r>
      <w:r w:rsidRPr="00EA1876">
        <w:rPr>
          <w:i/>
          <w:noProof/>
        </w:rPr>
        <w:t>Cremation and the funeral director: Successfully meeting the challenge</w:t>
      </w:r>
      <w:r w:rsidRPr="00EA1876">
        <w:rPr>
          <w:noProof/>
        </w:rPr>
        <w:t xml:space="preserve">. Avalon Press. </w:t>
      </w:r>
    </w:p>
    <w:p w14:paraId="51033837" w14:textId="77777777" w:rsidR="00EA1876" w:rsidRPr="00EA1876" w:rsidRDefault="00EA1876" w:rsidP="00EA1876">
      <w:pPr>
        <w:pStyle w:val="EndNoteBibliography"/>
        <w:ind w:left="720" w:hanging="720"/>
        <w:rPr>
          <w:noProof/>
        </w:rPr>
      </w:pPr>
      <w:r w:rsidRPr="00EA1876">
        <w:rPr>
          <w:noProof/>
        </w:rPr>
        <w:t xml:space="preserve">Kübler-Ross, E. (1969). </w:t>
      </w:r>
      <w:r w:rsidRPr="00EA1876">
        <w:rPr>
          <w:i/>
          <w:noProof/>
        </w:rPr>
        <w:t>On death and dying</w:t>
      </w:r>
      <w:r w:rsidRPr="00EA1876">
        <w:rPr>
          <w:noProof/>
        </w:rPr>
        <w:t xml:space="preserve">. New York Macmillan. </w:t>
      </w:r>
    </w:p>
    <w:p w14:paraId="57411B68" w14:textId="17ACF4D9" w:rsidR="00EA1876" w:rsidRPr="00EA1876" w:rsidRDefault="00EA1876" w:rsidP="00EA1876">
      <w:pPr>
        <w:pStyle w:val="EndNoteBibliography"/>
        <w:ind w:left="720" w:hanging="720"/>
        <w:rPr>
          <w:noProof/>
        </w:rPr>
      </w:pPr>
      <w:r w:rsidRPr="00EA1876">
        <w:rPr>
          <w:noProof/>
        </w:rPr>
        <w:t xml:space="preserve">Laderman, G. (2000). The Disney Way of Death. </w:t>
      </w:r>
      <w:r w:rsidRPr="00EA1876">
        <w:rPr>
          <w:i/>
          <w:noProof/>
        </w:rPr>
        <w:t>Journal of the American Academy of Religion, 68</w:t>
      </w:r>
      <w:r w:rsidRPr="00EA1876">
        <w:rPr>
          <w:noProof/>
        </w:rPr>
        <w:t xml:space="preserve">(1), 27-46. </w:t>
      </w:r>
      <w:hyperlink r:id="rId129" w:history="1">
        <w:r w:rsidRPr="00EA1876">
          <w:rPr>
            <w:rStyle w:val="Hyperlink"/>
            <w:noProof/>
          </w:rPr>
          <w:t>http://www.jstor.org/stable/1465709</w:t>
        </w:r>
      </w:hyperlink>
      <w:r w:rsidRPr="00EA1876">
        <w:rPr>
          <w:noProof/>
        </w:rPr>
        <w:t xml:space="preserve"> </w:t>
      </w:r>
    </w:p>
    <w:p w14:paraId="09072F93" w14:textId="77777777" w:rsidR="00EA1876" w:rsidRPr="00EA1876" w:rsidRDefault="00EA1876" w:rsidP="00EA1876">
      <w:pPr>
        <w:pStyle w:val="EndNoteBibliography"/>
        <w:ind w:left="720" w:hanging="720"/>
        <w:rPr>
          <w:noProof/>
        </w:rPr>
      </w:pPr>
      <w:r w:rsidRPr="00EA1876">
        <w:rPr>
          <w:noProof/>
        </w:rPr>
        <w:t xml:space="preserve">Laderman, G. (2003). </w:t>
      </w:r>
      <w:r w:rsidRPr="00EA1876">
        <w:rPr>
          <w:i/>
          <w:noProof/>
        </w:rPr>
        <w:t>Rest in peace: A cultural history of death and the funeral home in twentieth-century America</w:t>
      </w:r>
      <w:r w:rsidRPr="00EA1876">
        <w:rPr>
          <w:noProof/>
        </w:rPr>
        <w:t xml:space="preserve">. Oxford University Press. </w:t>
      </w:r>
    </w:p>
    <w:p w14:paraId="470742C9" w14:textId="7B398715" w:rsidR="00EA1876" w:rsidRPr="00EA1876" w:rsidRDefault="00EA1876" w:rsidP="00EA1876">
      <w:pPr>
        <w:pStyle w:val="EndNoteBibliography"/>
        <w:ind w:left="720" w:hanging="720"/>
        <w:rPr>
          <w:noProof/>
        </w:rPr>
      </w:pPr>
      <w:r w:rsidRPr="00EA1876">
        <w:rPr>
          <w:noProof/>
        </w:rPr>
        <w:t xml:space="preserve">Lang, A. (2020). The good death and the institutionalisation of dying: An interpretive analysis of the Austrian discourse. </w:t>
      </w:r>
      <w:r w:rsidRPr="00EA1876">
        <w:rPr>
          <w:i/>
          <w:noProof/>
        </w:rPr>
        <w:t>Social Science &amp; Medicine, 245</w:t>
      </w:r>
      <w:r w:rsidRPr="00EA1876">
        <w:rPr>
          <w:noProof/>
        </w:rPr>
        <w:t xml:space="preserve">, 112671. </w:t>
      </w:r>
      <w:hyperlink r:id="rId130" w:history="1">
        <w:r w:rsidRPr="00EA1876">
          <w:rPr>
            <w:rStyle w:val="Hyperlink"/>
            <w:noProof/>
          </w:rPr>
          <w:t>https://doi.org/10.1016/j.socscimed.2019.112671</w:t>
        </w:r>
      </w:hyperlink>
      <w:r w:rsidRPr="00EA1876">
        <w:rPr>
          <w:noProof/>
        </w:rPr>
        <w:t xml:space="preserve"> </w:t>
      </w:r>
    </w:p>
    <w:p w14:paraId="38239DD0" w14:textId="74FB4802" w:rsidR="00EA1876" w:rsidRPr="00EA1876" w:rsidRDefault="00EA1876" w:rsidP="00EA1876">
      <w:pPr>
        <w:pStyle w:val="EndNoteBibliography"/>
        <w:ind w:left="720" w:hanging="720"/>
        <w:rPr>
          <w:noProof/>
        </w:rPr>
      </w:pPr>
      <w:r w:rsidRPr="00EA1876">
        <w:rPr>
          <w:noProof/>
        </w:rPr>
        <w:t xml:space="preserve">Lensing, V. (2001). Grief support: The role of fuenral service [Article]. </w:t>
      </w:r>
      <w:r w:rsidRPr="00EA1876">
        <w:rPr>
          <w:i/>
          <w:noProof/>
        </w:rPr>
        <w:t>Journal of Loss &amp; Trauma, 6</w:t>
      </w:r>
      <w:r w:rsidRPr="00EA1876">
        <w:rPr>
          <w:noProof/>
        </w:rPr>
        <w:t xml:space="preserve">(1), 45-63. </w:t>
      </w:r>
      <w:hyperlink r:id="rId131" w:history="1">
        <w:r w:rsidRPr="00EA1876">
          <w:rPr>
            <w:rStyle w:val="Hyperlink"/>
            <w:noProof/>
          </w:rPr>
          <w:t>https://doi.org/10.1080/108114401753197468</w:t>
        </w:r>
      </w:hyperlink>
      <w:r w:rsidRPr="00EA1876">
        <w:rPr>
          <w:noProof/>
        </w:rPr>
        <w:t xml:space="preserve"> </w:t>
      </w:r>
    </w:p>
    <w:p w14:paraId="16DE0C0D" w14:textId="77777777" w:rsidR="00EA1876" w:rsidRPr="00EA1876" w:rsidRDefault="00EA1876" w:rsidP="00EA1876">
      <w:pPr>
        <w:pStyle w:val="EndNoteBibliography"/>
        <w:ind w:left="720" w:hanging="720"/>
        <w:rPr>
          <w:noProof/>
        </w:rPr>
      </w:pPr>
      <w:r w:rsidRPr="00EA1876">
        <w:rPr>
          <w:noProof/>
        </w:rPr>
        <w:t xml:space="preserve">Lev, P. (2000). </w:t>
      </w:r>
      <w:r w:rsidRPr="00EA1876">
        <w:rPr>
          <w:i/>
          <w:noProof/>
        </w:rPr>
        <w:t>American films of the 70s: conflicting visions</w:t>
      </w:r>
      <w:r w:rsidRPr="00EA1876">
        <w:rPr>
          <w:noProof/>
        </w:rPr>
        <w:t xml:space="preserve">. University of Texas Press. </w:t>
      </w:r>
    </w:p>
    <w:p w14:paraId="60855BBB" w14:textId="77777777" w:rsidR="00EA1876" w:rsidRPr="00EA1876" w:rsidRDefault="00EA1876" w:rsidP="00EA1876">
      <w:pPr>
        <w:pStyle w:val="EndNoteBibliography"/>
        <w:ind w:left="720" w:hanging="720"/>
        <w:rPr>
          <w:noProof/>
        </w:rPr>
      </w:pPr>
      <w:r w:rsidRPr="00EA1876">
        <w:rPr>
          <w:noProof/>
        </w:rPr>
        <w:lastRenderedPageBreak/>
        <w:t xml:space="preserve">Levinson, R., &amp; Link, W. (1963, Oct. 31). The Exploiters [TV series] Episode S3.E6). In L. J. Horn, </w:t>
      </w:r>
      <w:r w:rsidRPr="00EA1876">
        <w:rPr>
          <w:i/>
          <w:noProof/>
        </w:rPr>
        <w:t>Dr. Kildare</w:t>
      </w:r>
      <w:r w:rsidRPr="00EA1876">
        <w:rPr>
          <w:noProof/>
        </w:rPr>
        <w:t>. National Broadcasting Company (NBC); Arena Productions; MGM Television.</w:t>
      </w:r>
    </w:p>
    <w:p w14:paraId="2CB32B96" w14:textId="42DE84C6" w:rsidR="00EA1876" w:rsidRPr="00EA1876" w:rsidRDefault="00EA1876" w:rsidP="00EA1876">
      <w:pPr>
        <w:pStyle w:val="EndNoteBibliography"/>
        <w:ind w:left="720" w:hanging="720"/>
        <w:rPr>
          <w:noProof/>
        </w:rPr>
      </w:pPr>
      <w:r w:rsidRPr="00EA1876">
        <w:rPr>
          <w:noProof/>
        </w:rPr>
        <w:t xml:space="preserve">Lindemann, E. (1944). Symptomatology and management of acute grief </w:t>
      </w:r>
      <w:r w:rsidRPr="00EA1876">
        <w:rPr>
          <w:i/>
          <w:noProof/>
        </w:rPr>
        <w:t>American Journal of Psychiatry, 101</w:t>
      </w:r>
      <w:r w:rsidRPr="00EA1876">
        <w:rPr>
          <w:noProof/>
        </w:rPr>
        <w:t xml:space="preserve">(2), 141-148. </w:t>
      </w:r>
      <w:hyperlink r:id="rId132" w:history="1">
        <w:r w:rsidRPr="00EA1876">
          <w:rPr>
            <w:rStyle w:val="Hyperlink"/>
            <w:noProof/>
          </w:rPr>
          <w:t>https://doi.org/10.1176/ajp.101.2.141</w:t>
        </w:r>
      </w:hyperlink>
      <w:r w:rsidRPr="00EA1876">
        <w:rPr>
          <w:noProof/>
        </w:rPr>
        <w:t xml:space="preserve"> </w:t>
      </w:r>
    </w:p>
    <w:p w14:paraId="69B9115F" w14:textId="77777777" w:rsidR="00EA1876" w:rsidRPr="00EA1876" w:rsidRDefault="00EA1876" w:rsidP="00EA1876">
      <w:pPr>
        <w:pStyle w:val="EndNoteBibliography"/>
        <w:ind w:left="720" w:hanging="720"/>
        <w:rPr>
          <w:noProof/>
        </w:rPr>
      </w:pPr>
      <w:r w:rsidRPr="00EA1876">
        <w:rPr>
          <w:noProof/>
        </w:rPr>
        <w:t xml:space="preserve">Littlejohn, S. W., Foss, K. A., &amp; Oetzel, J. G. (2021). </w:t>
      </w:r>
      <w:r w:rsidRPr="00EA1876">
        <w:rPr>
          <w:i/>
          <w:noProof/>
        </w:rPr>
        <w:t>Theories of human communication</w:t>
      </w:r>
      <w:r w:rsidRPr="00EA1876">
        <w:rPr>
          <w:noProof/>
        </w:rPr>
        <w:t xml:space="preserve">. Waveland press. </w:t>
      </w:r>
    </w:p>
    <w:p w14:paraId="501896F0" w14:textId="77777777" w:rsidR="00EA1876" w:rsidRPr="00EA1876" w:rsidRDefault="00EA1876" w:rsidP="00EA1876">
      <w:pPr>
        <w:pStyle w:val="EndNoteBibliography"/>
        <w:ind w:left="720" w:hanging="720"/>
        <w:rPr>
          <w:noProof/>
        </w:rPr>
      </w:pPr>
      <w:r w:rsidRPr="00EA1876">
        <w:rPr>
          <w:noProof/>
        </w:rPr>
        <w:t xml:space="preserve">Lofland, L. H. (2019). </w:t>
      </w:r>
      <w:r w:rsidRPr="00EA1876">
        <w:rPr>
          <w:i/>
          <w:noProof/>
        </w:rPr>
        <w:t>The craft of dying: The modern face of death</w:t>
      </w:r>
      <w:r w:rsidRPr="00EA1876">
        <w:rPr>
          <w:noProof/>
        </w:rPr>
        <w:t xml:space="preserve">. Sage Publications. </w:t>
      </w:r>
    </w:p>
    <w:p w14:paraId="314E3506" w14:textId="77777777" w:rsidR="00EA1876" w:rsidRPr="00EA1876" w:rsidRDefault="00EA1876" w:rsidP="00EA1876">
      <w:pPr>
        <w:pStyle w:val="EndNoteBibliography"/>
        <w:ind w:left="720" w:hanging="720"/>
        <w:rPr>
          <w:noProof/>
        </w:rPr>
      </w:pPr>
      <w:r w:rsidRPr="00EA1876">
        <w:rPr>
          <w:noProof/>
        </w:rPr>
        <w:t xml:space="preserve">Lynch, T. (2004). Funerals-R-Us: From Funeral Home to Mega-Industry. </w:t>
      </w:r>
      <w:r w:rsidRPr="00EA1876">
        <w:rPr>
          <w:i/>
          <w:noProof/>
        </w:rPr>
        <w:t>Generations: Journal of the American Society on Aging, 28</w:t>
      </w:r>
      <w:r w:rsidRPr="00EA1876">
        <w:rPr>
          <w:noProof/>
        </w:rPr>
        <w:t xml:space="preserve">(2), 11-14. </w:t>
      </w:r>
    </w:p>
    <w:p w14:paraId="118B0ADB" w14:textId="0D024C04" w:rsidR="00EA1876" w:rsidRPr="00EA1876" w:rsidRDefault="00EA1876" w:rsidP="00EA1876">
      <w:pPr>
        <w:pStyle w:val="EndNoteBibliography"/>
        <w:ind w:left="720" w:hanging="720"/>
        <w:rPr>
          <w:noProof/>
        </w:rPr>
      </w:pPr>
      <w:r w:rsidRPr="00EA1876">
        <w:rPr>
          <w:noProof/>
        </w:rPr>
        <w:t xml:space="preserve">Lynch, T., &amp; Taylor, K. (2002). Interview With Thomas Lynch. </w:t>
      </w:r>
      <w:r w:rsidRPr="00EA1876">
        <w:rPr>
          <w:i/>
          <w:noProof/>
        </w:rPr>
        <w:t>Fourth Genre: Explorations in Nonfiction, 4</w:t>
      </w:r>
      <w:r w:rsidRPr="00EA1876">
        <w:rPr>
          <w:noProof/>
        </w:rPr>
        <w:t xml:space="preserve">(1), 236-256. </w:t>
      </w:r>
      <w:hyperlink r:id="rId133" w:history="1">
        <w:r w:rsidRPr="00EA1876">
          <w:rPr>
            <w:rStyle w:val="Hyperlink"/>
            <w:noProof/>
          </w:rPr>
          <w:t>http://www.jstor.org/stable/23594584</w:t>
        </w:r>
      </w:hyperlink>
      <w:r w:rsidRPr="00EA1876">
        <w:rPr>
          <w:noProof/>
        </w:rPr>
        <w:t xml:space="preserve"> </w:t>
      </w:r>
    </w:p>
    <w:p w14:paraId="220CF179" w14:textId="77777777" w:rsidR="00EA1876" w:rsidRPr="00EA1876" w:rsidRDefault="00EA1876" w:rsidP="00EA1876">
      <w:pPr>
        <w:pStyle w:val="EndNoteBibliography"/>
        <w:ind w:left="720" w:hanging="720"/>
        <w:rPr>
          <w:noProof/>
        </w:rPr>
      </w:pPr>
      <w:r w:rsidRPr="00EA1876">
        <w:rPr>
          <w:noProof/>
        </w:rPr>
        <w:t xml:space="preserve">Macpherson, C. B. (1962). </w:t>
      </w:r>
      <w:r w:rsidRPr="00EA1876">
        <w:rPr>
          <w:i/>
          <w:noProof/>
        </w:rPr>
        <w:t>The Political Theory of Possessive Individualism: Hobbes to Locke</w:t>
      </w:r>
      <w:r w:rsidRPr="00EA1876">
        <w:rPr>
          <w:noProof/>
        </w:rPr>
        <w:t xml:space="preserve">. Oup Canada. </w:t>
      </w:r>
    </w:p>
    <w:p w14:paraId="10E20A1B" w14:textId="74F9F45C" w:rsidR="00EA1876" w:rsidRPr="00EA1876" w:rsidRDefault="00EA1876" w:rsidP="00EA1876">
      <w:pPr>
        <w:pStyle w:val="EndNoteBibliography"/>
        <w:ind w:left="720" w:hanging="720"/>
        <w:rPr>
          <w:noProof/>
        </w:rPr>
      </w:pPr>
      <w:r w:rsidRPr="00EA1876">
        <w:rPr>
          <w:noProof/>
        </w:rPr>
        <w:t xml:space="preserve">Malhotra, P., Scharp, K., &amp; Thomas, L. (2022). The meaning of misinformation and those who correct it: An extension of relational dialectics theory. </w:t>
      </w:r>
      <w:r w:rsidRPr="00EA1876">
        <w:rPr>
          <w:i/>
          <w:noProof/>
        </w:rPr>
        <w:t>Journal of Social and Personal relationships, 39</w:t>
      </w:r>
      <w:r w:rsidRPr="00EA1876">
        <w:rPr>
          <w:noProof/>
        </w:rPr>
        <w:t xml:space="preserve">(5), 1256-1276. </w:t>
      </w:r>
      <w:hyperlink r:id="rId134" w:history="1">
        <w:r w:rsidRPr="00EA1876">
          <w:rPr>
            <w:rStyle w:val="Hyperlink"/>
            <w:noProof/>
          </w:rPr>
          <w:t>https://doi.org/10.1177/02654075211050429</w:t>
        </w:r>
      </w:hyperlink>
      <w:r w:rsidRPr="00EA1876">
        <w:rPr>
          <w:noProof/>
        </w:rPr>
        <w:t xml:space="preserve"> </w:t>
      </w:r>
    </w:p>
    <w:p w14:paraId="185FA476" w14:textId="1D39A6EC" w:rsidR="00EA1876" w:rsidRPr="00EA1876" w:rsidRDefault="00EA1876" w:rsidP="00EA1876">
      <w:pPr>
        <w:pStyle w:val="EndNoteBibliography"/>
        <w:ind w:left="720" w:hanging="720"/>
        <w:rPr>
          <w:noProof/>
        </w:rPr>
      </w:pPr>
      <w:r w:rsidRPr="00EA1876">
        <w:rPr>
          <w:noProof/>
        </w:rPr>
        <w:t xml:space="preserve">Maphela, B. (2021). The role of local economic development and environmental health in the emerging funeral home sector in Mpumalanga, South Africa. </w:t>
      </w:r>
      <w:r w:rsidRPr="00EA1876">
        <w:rPr>
          <w:i/>
          <w:noProof/>
        </w:rPr>
        <w:t>African Journal of Development Studies, 11</w:t>
      </w:r>
      <w:r w:rsidRPr="00EA1876">
        <w:rPr>
          <w:noProof/>
        </w:rPr>
        <w:t xml:space="preserve">(4), 117. </w:t>
      </w:r>
      <w:hyperlink r:id="rId135" w:history="1">
        <w:r w:rsidRPr="00EA1876">
          <w:rPr>
            <w:rStyle w:val="Hyperlink"/>
            <w:noProof/>
          </w:rPr>
          <w:t>https://doi.org/10.31920/2634-3649/2021/v11n4a6</w:t>
        </w:r>
      </w:hyperlink>
      <w:r w:rsidRPr="00EA1876">
        <w:rPr>
          <w:noProof/>
        </w:rPr>
        <w:t xml:space="preserve"> </w:t>
      </w:r>
    </w:p>
    <w:p w14:paraId="70B4E442" w14:textId="19FA41F8" w:rsidR="00EA1876" w:rsidRPr="00EA1876" w:rsidRDefault="00EA1876" w:rsidP="00EA1876">
      <w:pPr>
        <w:pStyle w:val="EndNoteBibliography"/>
        <w:ind w:left="720" w:hanging="720"/>
        <w:rPr>
          <w:noProof/>
        </w:rPr>
      </w:pPr>
      <w:r w:rsidRPr="00EA1876">
        <w:rPr>
          <w:noProof/>
        </w:rPr>
        <w:t xml:space="preserve">Marrall, R. (2006). Urbanism and North American funerary practices. </w:t>
      </w:r>
      <w:r w:rsidRPr="00EA1876">
        <w:rPr>
          <w:i/>
          <w:noProof/>
        </w:rPr>
        <w:t>PSU McNair Scholars Online Journal, 2</w:t>
      </w:r>
      <w:r w:rsidRPr="00EA1876">
        <w:rPr>
          <w:noProof/>
        </w:rPr>
        <w:t xml:space="preserve">(1), 26. </w:t>
      </w:r>
      <w:hyperlink r:id="rId136" w:history="1">
        <w:r w:rsidRPr="00EA1876">
          <w:rPr>
            <w:rStyle w:val="Hyperlink"/>
            <w:noProof/>
          </w:rPr>
          <w:t>https://doi.org/10.15760/mcnair.2006.186</w:t>
        </w:r>
      </w:hyperlink>
      <w:r w:rsidRPr="00EA1876">
        <w:rPr>
          <w:noProof/>
        </w:rPr>
        <w:t xml:space="preserve"> </w:t>
      </w:r>
    </w:p>
    <w:p w14:paraId="46FA2F15" w14:textId="47C4A911" w:rsidR="00EA1876" w:rsidRPr="00EA1876" w:rsidRDefault="00EA1876" w:rsidP="00EA1876">
      <w:pPr>
        <w:pStyle w:val="EndNoteBibliography"/>
        <w:ind w:left="720" w:hanging="720"/>
        <w:rPr>
          <w:noProof/>
        </w:rPr>
      </w:pPr>
      <w:r w:rsidRPr="00EA1876">
        <w:rPr>
          <w:noProof/>
        </w:rPr>
        <w:lastRenderedPageBreak/>
        <w:t xml:space="preserve">Marsden-Ille, S. (2023). </w:t>
      </w:r>
      <w:r w:rsidRPr="00EA1876">
        <w:rPr>
          <w:i/>
          <w:noProof/>
        </w:rPr>
        <w:t>What is the 2023 Cremation Rate in the US? How is this affecting prices?</w:t>
      </w:r>
      <w:r w:rsidRPr="00EA1876">
        <w:rPr>
          <w:noProof/>
        </w:rPr>
        <w:t xml:space="preserve"> US Funerals Online. Retrieved Sep. 22 from </w:t>
      </w:r>
      <w:hyperlink r:id="rId137" w:history="1">
        <w:r w:rsidRPr="00EA1876">
          <w:rPr>
            <w:rStyle w:val="Hyperlink"/>
            <w:noProof/>
          </w:rPr>
          <w:t>https://www.us-funerals.com/2023-us-cremation-rate/</w:t>
        </w:r>
      </w:hyperlink>
    </w:p>
    <w:p w14:paraId="50ADCE79" w14:textId="77777777" w:rsidR="00EA1876" w:rsidRPr="00EA1876" w:rsidRDefault="00EA1876" w:rsidP="00EA1876">
      <w:pPr>
        <w:pStyle w:val="EndNoteBibliography"/>
        <w:ind w:left="720" w:hanging="720"/>
        <w:rPr>
          <w:noProof/>
        </w:rPr>
      </w:pPr>
      <w:r w:rsidRPr="00EA1876">
        <w:rPr>
          <w:noProof/>
        </w:rPr>
        <w:t xml:space="preserve">Marsh, T. D. (2018). Regulated to death: Occupational licensing and the demise of the US funeral services industry. </w:t>
      </w:r>
      <w:r w:rsidRPr="00EA1876">
        <w:rPr>
          <w:i/>
          <w:noProof/>
        </w:rPr>
        <w:t>Wake Forest JL &amp; Pol'y, 8</w:t>
      </w:r>
      <w:r w:rsidRPr="00EA1876">
        <w:rPr>
          <w:noProof/>
        </w:rPr>
        <w:t xml:space="preserve">, 5. </w:t>
      </w:r>
    </w:p>
    <w:p w14:paraId="3807DFC2" w14:textId="77777777" w:rsidR="00EA1876" w:rsidRPr="00EA1876" w:rsidRDefault="00EA1876" w:rsidP="00EA1876">
      <w:pPr>
        <w:pStyle w:val="EndNoteBibliography"/>
        <w:ind w:left="720" w:hanging="720"/>
        <w:rPr>
          <w:noProof/>
        </w:rPr>
      </w:pPr>
      <w:r w:rsidRPr="00EA1876">
        <w:rPr>
          <w:noProof/>
        </w:rPr>
        <w:t xml:space="preserve">Martin, E. A. (1970). </w:t>
      </w:r>
      <w:r w:rsidRPr="00EA1876">
        <w:rPr>
          <w:i/>
          <w:noProof/>
        </w:rPr>
        <w:t>Psychology of funeral service</w:t>
      </w:r>
      <w:r w:rsidRPr="00EA1876">
        <w:rPr>
          <w:noProof/>
        </w:rPr>
        <w:t xml:space="preserve"> (5th ed.). Sentinel Print. Co. </w:t>
      </w:r>
    </w:p>
    <w:p w14:paraId="61D66077" w14:textId="77777777" w:rsidR="00EA1876" w:rsidRPr="00EA1876" w:rsidRDefault="00EA1876" w:rsidP="00EA1876">
      <w:pPr>
        <w:pStyle w:val="EndNoteBibliography"/>
        <w:ind w:left="720" w:hanging="720"/>
        <w:rPr>
          <w:noProof/>
        </w:rPr>
      </w:pPr>
      <w:r w:rsidRPr="00EA1876">
        <w:rPr>
          <w:noProof/>
        </w:rPr>
        <w:t xml:space="preserve">Martin, J. R., &amp; White, P. R. (2005). </w:t>
      </w:r>
      <w:r w:rsidRPr="00EA1876">
        <w:rPr>
          <w:i/>
          <w:noProof/>
        </w:rPr>
        <w:t>The language of evaluation: Appraisal in English</w:t>
      </w:r>
      <w:r w:rsidRPr="00EA1876">
        <w:rPr>
          <w:noProof/>
        </w:rPr>
        <w:t xml:space="preserve">. Palgrave Macmillan. </w:t>
      </w:r>
    </w:p>
    <w:p w14:paraId="3661E9AC" w14:textId="77777777" w:rsidR="00EA1876" w:rsidRPr="00EA1876" w:rsidRDefault="00EA1876" w:rsidP="00EA1876">
      <w:pPr>
        <w:pStyle w:val="EndNoteBibliography"/>
        <w:ind w:left="720" w:hanging="720"/>
        <w:rPr>
          <w:noProof/>
        </w:rPr>
      </w:pPr>
      <w:r w:rsidRPr="00EA1876">
        <w:rPr>
          <w:noProof/>
        </w:rPr>
        <w:t xml:space="preserve">Marx, K. (1867a). The fetishism of commodities and the secret thereof (M. Samuel, &amp; E. Aveling, Trans.). In </w:t>
      </w:r>
      <w:r w:rsidRPr="00EA1876">
        <w:rPr>
          <w:i/>
          <w:noProof/>
        </w:rPr>
        <w:t>Capital: A Critique of Political Economy</w:t>
      </w:r>
      <w:r w:rsidRPr="00EA1876">
        <w:rPr>
          <w:noProof/>
        </w:rPr>
        <w:t xml:space="preserve"> (Vol. 1, pp. 46-59). Progress Publishers. </w:t>
      </w:r>
    </w:p>
    <w:p w14:paraId="5DD1F8B7" w14:textId="77777777" w:rsidR="00EA1876" w:rsidRPr="00EA1876" w:rsidRDefault="00EA1876" w:rsidP="00EA1876">
      <w:pPr>
        <w:pStyle w:val="EndNoteBibliography"/>
        <w:ind w:left="720" w:hanging="720"/>
        <w:rPr>
          <w:noProof/>
        </w:rPr>
      </w:pPr>
      <w:r w:rsidRPr="00EA1876">
        <w:rPr>
          <w:noProof/>
        </w:rPr>
        <w:t xml:space="preserve">Marx, K. (1867b). Two Factors of a Commodity (M. Samuel, &amp; E. Aveling, Trans.). In </w:t>
      </w:r>
      <w:r w:rsidRPr="00EA1876">
        <w:rPr>
          <w:i/>
          <w:noProof/>
        </w:rPr>
        <w:t>Capital: A Critique of Political Economy</w:t>
      </w:r>
      <w:r w:rsidRPr="00EA1876">
        <w:rPr>
          <w:noProof/>
        </w:rPr>
        <w:t xml:space="preserve"> (Vol. 1, pp. 26-29). Progress Publishers. </w:t>
      </w:r>
    </w:p>
    <w:p w14:paraId="2B17AA2F" w14:textId="77777777" w:rsidR="00EA1876" w:rsidRPr="00EA1876" w:rsidRDefault="00EA1876" w:rsidP="00EA1876">
      <w:pPr>
        <w:pStyle w:val="EndNoteBibliography"/>
        <w:ind w:left="720" w:hanging="720"/>
        <w:rPr>
          <w:noProof/>
        </w:rPr>
      </w:pPr>
      <w:r w:rsidRPr="00EA1876">
        <w:rPr>
          <w:noProof/>
        </w:rPr>
        <w:t xml:space="preserve">Marx, K. (2016). Economic and philosophic manuscripts of 1844. In L. Wesley, &amp; D. Winchester (Ed.), </w:t>
      </w:r>
      <w:r w:rsidRPr="00EA1876">
        <w:rPr>
          <w:i/>
          <w:noProof/>
        </w:rPr>
        <w:t>Social Theory Re-Wired: New Connections to Classical and Contemporary Perspectives</w:t>
      </w:r>
      <w:r w:rsidRPr="00EA1876">
        <w:rPr>
          <w:noProof/>
        </w:rPr>
        <w:t xml:space="preserve"> (pp. 152-158). Routledge. </w:t>
      </w:r>
    </w:p>
    <w:p w14:paraId="6A5ABC0F" w14:textId="77777777" w:rsidR="00EA1876" w:rsidRPr="00EA1876" w:rsidRDefault="00EA1876" w:rsidP="00EA1876">
      <w:pPr>
        <w:pStyle w:val="EndNoteBibliography"/>
        <w:ind w:left="720" w:hanging="720"/>
        <w:rPr>
          <w:noProof/>
        </w:rPr>
      </w:pPr>
      <w:r w:rsidRPr="00EA1876">
        <w:rPr>
          <w:noProof/>
        </w:rPr>
        <w:t xml:space="preserve">Marx, K., &amp; Engels, F. (2002). </w:t>
      </w:r>
      <w:r w:rsidRPr="00EA1876">
        <w:rPr>
          <w:i/>
          <w:noProof/>
        </w:rPr>
        <w:t>The Communist Manifesto</w:t>
      </w:r>
      <w:r w:rsidRPr="00EA1876">
        <w:rPr>
          <w:noProof/>
        </w:rPr>
        <w:t xml:space="preserve">. Penguin. </w:t>
      </w:r>
    </w:p>
    <w:p w14:paraId="74D6FA0E" w14:textId="46214EE3" w:rsidR="00EA1876" w:rsidRPr="00EA1876" w:rsidRDefault="00EA1876" w:rsidP="00EA1876">
      <w:pPr>
        <w:pStyle w:val="EndNoteBibliography"/>
        <w:ind w:left="720" w:hanging="720"/>
        <w:rPr>
          <w:noProof/>
        </w:rPr>
      </w:pPr>
      <w:r w:rsidRPr="00EA1876">
        <w:rPr>
          <w:noProof/>
        </w:rPr>
        <w:t xml:space="preserve">McCarthy, J. (2016). Closing the casket: professionalism and care amongst funeral directors in the Republic of Ireland. </w:t>
      </w:r>
      <w:r w:rsidRPr="00EA1876">
        <w:rPr>
          <w:i/>
          <w:noProof/>
        </w:rPr>
        <w:t>Mortality, 21</w:t>
      </w:r>
      <w:r w:rsidRPr="00EA1876">
        <w:rPr>
          <w:noProof/>
        </w:rPr>
        <w:t xml:space="preserve">(4), 305-321. </w:t>
      </w:r>
      <w:hyperlink r:id="rId138" w:history="1">
        <w:r w:rsidRPr="00EA1876">
          <w:rPr>
            <w:rStyle w:val="Hyperlink"/>
            <w:noProof/>
          </w:rPr>
          <w:t>https://doi.org/10.1080/13576275.2015.1100160</w:t>
        </w:r>
      </w:hyperlink>
      <w:r w:rsidRPr="00EA1876">
        <w:rPr>
          <w:noProof/>
        </w:rPr>
        <w:t xml:space="preserve"> </w:t>
      </w:r>
    </w:p>
    <w:p w14:paraId="1FA1D85E" w14:textId="77777777" w:rsidR="00EA1876" w:rsidRPr="00EA1876" w:rsidRDefault="00EA1876" w:rsidP="00EA1876">
      <w:pPr>
        <w:pStyle w:val="EndNoteBibliography"/>
        <w:ind w:left="720" w:hanging="720"/>
        <w:rPr>
          <w:noProof/>
        </w:rPr>
      </w:pPr>
      <w:r w:rsidRPr="00EA1876">
        <w:rPr>
          <w:noProof/>
        </w:rPr>
        <w:t xml:space="preserve">Mead, G. H. (1934). </w:t>
      </w:r>
      <w:r w:rsidRPr="00EA1876">
        <w:rPr>
          <w:i/>
          <w:noProof/>
        </w:rPr>
        <w:t>Mind, self and society</w:t>
      </w:r>
      <w:r w:rsidRPr="00EA1876">
        <w:rPr>
          <w:noProof/>
        </w:rPr>
        <w:t xml:space="preserve">. University of Chicago Press. </w:t>
      </w:r>
    </w:p>
    <w:p w14:paraId="68D30233" w14:textId="3484B02B" w:rsidR="00EA1876" w:rsidRPr="00EA1876" w:rsidRDefault="00EA1876" w:rsidP="00EA1876">
      <w:pPr>
        <w:pStyle w:val="EndNoteBibliography"/>
        <w:ind w:left="720" w:hanging="720"/>
        <w:rPr>
          <w:noProof/>
        </w:rPr>
      </w:pPr>
      <w:r w:rsidRPr="00EA1876">
        <w:rPr>
          <w:noProof/>
        </w:rPr>
        <w:lastRenderedPageBreak/>
        <w:t xml:space="preserve">Mellor, P. A. (1992). Death in high modernity: the contemporary presence and absence of death. </w:t>
      </w:r>
      <w:r w:rsidRPr="00EA1876">
        <w:rPr>
          <w:i/>
          <w:noProof/>
        </w:rPr>
        <w:t>The Sociological Review, 40</w:t>
      </w:r>
      <w:r w:rsidRPr="00EA1876">
        <w:rPr>
          <w:noProof/>
        </w:rPr>
        <w:t xml:space="preserve">(1_suppl), 11-30. </w:t>
      </w:r>
      <w:hyperlink r:id="rId139" w:history="1">
        <w:r w:rsidRPr="00EA1876">
          <w:rPr>
            <w:rStyle w:val="Hyperlink"/>
            <w:noProof/>
          </w:rPr>
          <w:t>https://doi.org/10.1111/j.1467-954X.1992.tb03384</w:t>
        </w:r>
      </w:hyperlink>
      <w:r w:rsidRPr="00EA1876">
        <w:rPr>
          <w:noProof/>
        </w:rPr>
        <w:t xml:space="preserve"> </w:t>
      </w:r>
    </w:p>
    <w:p w14:paraId="51D22A25" w14:textId="7D051B5C" w:rsidR="00EA1876" w:rsidRPr="00EA1876" w:rsidRDefault="00EA1876" w:rsidP="00EA1876">
      <w:pPr>
        <w:pStyle w:val="EndNoteBibliography"/>
        <w:ind w:left="720" w:hanging="720"/>
        <w:rPr>
          <w:noProof/>
        </w:rPr>
      </w:pPr>
      <w:r w:rsidRPr="00EA1876">
        <w:rPr>
          <w:noProof/>
        </w:rPr>
        <w:t xml:space="preserve">Mellor, P. A., &amp; Shilling, C. (1993). Modernity, self-identity and the sequestration of death </w:t>
      </w:r>
      <w:r w:rsidRPr="00EA1876">
        <w:rPr>
          <w:i/>
          <w:noProof/>
        </w:rPr>
        <w:t>Sociology, 27</w:t>
      </w:r>
      <w:r w:rsidRPr="00EA1876">
        <w:rPr>
          <w:noProof/>
        </w:rPr>
        <w:t xml:space="preserve">(3), 411-431. </w:t>
      </w:r>
      <w:hyperlink r:id="rId140" w:history="1">
        <w:r w:rsidRPr="00EA1876">
          <w:rPr>
            <w:rStyle w:val="Hyperlink"/>
            <w:noProof/>
          </w:rPr>
          <w:t>http://www.jstor.org/stable/42855231</w:t>
        </w:r>
      </w:hyperlink>
      <w:r w:rsidRPr="00EA1876">
        <w:rPr>
          <w:noProof/>
        </w:rPr>
        <w:t xml:space="preserve"> </w:t>
      </w:r>
    </w:p>
    <w:p w14:paraId="04F45F0C" w14:textId="77777777" w:rsidR="00EA1876" w:rsidRPr="00EA1876" w:rsidRDefault="00EA1876" w:rsidP="00EA1876">
      <w:pPr>
        <w:pStyle w:val="EndNoteBibliography"/>
        <w:ind w:left="720" w:hanging="720"/>
        <w:rPr>
          <w:noProof/>
        </w:rPr>
      </w:pPr>
      <w:r w:rsidRPr="00EA1876">
        <w:rPr>
          <w:noProof/>
        </w:rPr>
        <w:t xml:space="preserve">Mendelsohn, S. (1940). </w:t>
      </w:r>
      <w:r w:rsidRPr="00EA1876">
        <w:rPr>
          <w:i/>
          <w:noProof/>
        </w:rPr>
        <w:t>Embalming fluids; Their historical development and formulation: From the standpoint of the chemical aspects of the scientific art of preserving human remains</w:t>
      </w:r>
      <w:r w:rsidRPr="00EA1876">
        <w:rPr>
          <w:noProof/>
        </w:rPr>
        <w:t xml:space="preserve">. Chemical Publishing Company. </w:t>
      </w:r>
    </w:p>
    <w:p w14:paraId="44DF6254" w14:textId="77777777" w:rsidR="00EA1876" w:rsidRPr="00EA1876" w:rsidRDefault="00EA1876" w:rsidP="00EA1876">
      <w:pPr>
        <w:pStyle w:val="EndNoteBibliography"/>
        <w:ind w:left="720" w:hanging="720"/>
        <w:rPr>
          <w:noProof/>
        </w:rPr>
      </w:pPr>
      <w:r w:rsidRPr="00EA1876">
        <w:rPr>
          <w:noProof/>
        </w:rPr>
        <w:t xml:space="preserve">Metcalf, P., &amp; Huntington, R. (1991). </w:t>
      </w:r>
      <w:r w:rsidRPr="00EA1876">
        <w:rPr>
          <w:i/>
          <w:noProof/>
        </w:rPr>
        <w:t>Celebrations of death: The anthropology of mortuary ritual</w:t>
      </w:r>
      <w:r w:rsidRPr="00EA1876">
        <w:rPr>
          <w:noProof/>
        </w:rPr>
        <w:t xml:space="preserve">. Cambridge University Press. </w:t>
      </w:r>
    </w:p>
    <w:p w14:paraId="2479C164" w14:textId="2CE04CD4" w:rsidR="00EA1876" w:rsidRPr="00EA1876" w:rsidRDefault="00EA1876" w:rsidP="00EA1876">
      <w:pPr>
        <w:pStyle w:val="EndNoteBibliography"/>
        <w:ind w:left="720" w:hanging="720"/>
        <w:rPr>
          <w:noProof/>
        </w:rPr>
      </w:pPr>
      <w:r w:rsidRPr="00EA1876">
        <w:rPr>
          <w:noProof/>
        </w:rPr>
        <w:t xml:space="preserve">Milam, J. M., &amp; Heath, R. G. (2014). Participative democracy and voice: Rethinking community collaboration beyond neutral structures. </w:t>
      </w:r>
      <w:r w:rsidRPr="00EA1876">
        <w:rPr>
          <w:i/>
          <w:noProof/>
        </w:rPr>
        <w:t>Journal of Applied Communication Research, 42</w:t>
      </w:r>
      <w:r w:rsidRPr="00EA1876">
        <w:rPr>
          <w:noProof/>
        </w:rPr>
        <w:t xml:space="preserve">(4), 366-386. </w:t>
      </w:r>
      <w:hyperlink r:id="rId141" w:history="1">
        <w:r w:rsidRPr="00EA1876">
          <w:rPr>
            <w:rStyle w:val="Hyperlink"/>
            <w:noProof/>
          </w:rPr>
          <w:t>https://doi.org/10.1080/00909882.2014.911944</w:t>
        </w:r>
      </w:hyperlink>
      <w:r w:rsidRPr="00EA1876">
        <w:rPr>
          <w:noProof/>
        </w:rPr>
        <w:t xml:space="preserve"> </w:t>
      </w:r>
    </w:p>
    <w:p w14:paraId="6D17C7F5" w14:textId="77777777" w:rsidR="00EA1876" w:rsidRPr="00EA1876" w:rsidRDefault="00EA1876" w:rsidP="00EA1876">
      <w:pPr>
        <w:pStyle w:val="EndNoteBibliography"/>
        <w:ind w:left="720" w:hanging="720"/>
        <w:rPr>
          <w:noProof/>
        </w:rPr>
      </w:pPr>
      <w:r w:rsidRPr="00EA1876">
        <w:rPr>
          <w:noProof/>
        </w:rPr>
        <w:t xml:space="preserve">Miller-Day, M. A. (2004). </w:t>
      </w:r>
      <w:r w:rsidRPr="00EA1876">
        <w:rPr>
          <w:i/>
          <w:noProof/>
        </w:rPr>
        <w:t>Communication among grandmothers, mothers, and adult daughters: A qualitative study of maternal relationships</w:t>
      </w:r>
      <w:r w:rsidRPr="00EA1876">
        <w:rPr>
          <w:noProof/>
        </w:rPr>
        <w:t xml:space="preserve">. Routledge. </w:t>
      </w:r>
    </w:p>
    <w:p w14:paraId="06D9D726" w14:textId="77777777" w:rsidR="00EA1876" w:rsidRPr="00EA1876" w:rsidRDefault="00EA1876" w:rsidP="00EA1876">
      <w:pPr>
        <w:pStyle w:val="EndNoteBibliography"/>
        <w:ind w:left="720" w:hanging="720"/>
        <w:rPr>
          <w:noProof/>
        </w:rPr>
      </w:pPr>
      <w:r w:rsidRPr="00EA1876">
        <w:rPr>
          <w:noProof/>
        </w:rPr>
        <w:t xml:space="preserve">Mitford, J. (1963). </w:t>
      </w:r>
      <w:r w:rsidRPr="00EA1876">
        <w:rPr>
          <w:i/>
          <w:noProof/>
        </w:rPr>
        <w:t>The American way of death</w:t>
      </w:r>
      <w:r w:rsidRPr="00EA1876">
        <w:rPr>
          <w:noProof/>
        </w:rPr>
        <w:t xml:space="preserve"> (Vol. 735). Simon and Schuster New York. </w:t>
      </w:r>
    </w:p>
    <w:p w14:paraId="6B6752C4" w14:textId="77777777" w:rsidR="00EA1876" w:rsidRPr="00EA1876" w:rsidRDefault="00EA1876" w:rsidP="00EA1876">
      <w:pPr>
        <w:pStyle w:val="EndNoteBibliography"/>
        <w:ind w:left="720" w:hanging="720"/>
        <w:rPr>
          <w:noProof/>
        </w:rPr>
      </w:pPr>
      <w:r w:rsidRPr="00EA1876">
        <w:rPr>
          <w:noProof/>
        </w:rPr>
        <w:t xml:space="preserve">Mitford, J. (2000). </w:t>
      </w:r>
      <w:r w:rsidRPr="00EA1876">
        <w:rPr>
          <w:i/>
          <w:noProof/>
        </w:rPr>
        <w:t>The American way of death revisited</w:t>
      </w:r>
      <w:r w:rsidRPr="00EA1876">
        <w:rPr>
          <w:noProof/>
        </w:rPr>
        <w:t xml:space="preserve">. Vintage. </w:t>
      </w:r>
    </w:p>
    <w:p w14:paraId="0C1C39C7" w14:textId="3B797166" w:rsidR="00EA1876" w:rsidRPr="00EA1876" w:rsidRDefault="00EA1876" w:rsidP="00EA1876">
      <w:pPr>
        <w:pStyle w:val="EndNoteBibliography"/>
        <w:ind w:left="720" w:hanging="720"/>
        <w:rPr>
          <w:noProof/>
        </w:rPr>
      </w:pPr>
      <w:r w:rsidRPr="00EA1876">
        <w:rPr>
          <w:noProof/>
        </w:rPr>
        <w:t xml:space="preserve">Montgomery, B. M. (1993). Relationship maintenance versus relationship change: A dialectical dilemma. </w:t>
      </w:r>
      <w:r w:rsidRPr="00EA1876">
        <w:rPr>
          <w:i/>
          <w:noProof/>
        </w:rPr>
        <w:t>Journal of Social and Personal relationships, 10</w:t>
      </w:r>
      <w:r w:rsidRPr="00EA1876">
        <w:rPr>
          <w:noProof/>
        </w:rPr>
        <w:t xml:space="preserve">(2), 205-223. </w:t>
      </w:r>
      <w:hyperlink r:id="rId142" w:history="1">
        <w:r w:rsidRPr="00EA1876">
          <w:rPr>
            <w:rStyle w:val="Hyperlink"/>
            <w:noProof/>
          </w:rPr>
          <w:t>https://doi.org/10.1177/026540759301000203</w:t>
        </w:r>
      </w:hyperlink>
      <w:r w:rsidRPr="00EA1876">
        <w:rPr>
          <w:noProof/>
        </w:rPr>
        <w:t xml:space="preserve"> </w:t>
      </w:r>
    </w:p>
    <w:p w14:paraId="09BDB77E" w14:textId="77777777" w:rsidR="00EA1876" w:rsidRPr="00EA1876" w:rsidRDefault="00EA1876" w:rsidP="00EA1876">
      <w:pPr>
        <w:pStyle w:val="EndNoteBibliography"/>
        <w:ind w:left="720" w:hanging="720"/>
        <w:rPr>
          <w:noProof/>
        </w:rPr>
      </w:pPr>
      <w:r w:rsidRPr="00EA1876">
        <w:rPr>
          <w:noProof/>
        </w:rPr>
        <w:t xml:space="preserve">Mulkay, M. J. (1988). </w:t>
      </w:r>
      <w:r w:rsidRPr="00EA1876">
        <w:rPr>
          <w:i/>
          <w:noProof/>
        </w:rPr>
        <w:t>On humour : its nature and its place in modern society</w:t>
      </w:r>
      <w:r w:rsidRPr="00EA1876">
        <w:rPr>
          <w:noProof/>
        </w:rPr>
        <w:t xml:space="preserve">. Polity Press. </w:t>
      </w:r>
    </w:p>
    <w:p w14:paraId="64921ADC" w14:textId="74F0BDD9" w:rsidR="00EA1876" w:rsidRPr="00EA1876" w:rsidRDefault="00EA1876" w:rsidP="00EA1876">
      <w:pPr>
        <w:pStyle w:val="EndNoteBibliography"/>
        <w:ind w:left="720" w:hanging="720"/>
        <w:rPr>
          <w:noProof/>
        </w:rPr>
      </w:pPr>
      <w:r w:rsidRPr="00EA1876">
        <w:rPr>
          <w:noProof/>
        </w:rPr>
        <w:lastRenderedPageBreak/>
        <w:t xml:space="preserve">Mumby, D. K. (2005). Theorizing resistance in organization studies:A dialectical approach. </w:t>
      </w:r>
      <w:r w:rsidRPr="00EA1876">
        <w:rPr>
          <w:i/>
          <w:noProof/>
        </w:rPr>
        <w:t>Management Communication Quarterly, 19</w:t>
      </w:r>
      <w:r w:rsidRPr="00EA1876">
        <w:rPr>
          <w:noProof/>
        </w:rPr>
        <w:t xml:space="preserve">(1), 19-44. </w:t>
      </w:r>
      <w:hyperlink r:id="rId143" w:history="1">
        <w:r w:rsidRPr="00EA1876">
          <w:rPr>
            <w:rStyle w:val="Hyperlink"/>
            <w:noProof/>
          </w:rPr>
          <w:t>https://doi.org/10.1177/0893318905276558</w:t>
        </w:r>
      </w:hyperlink>
      <w:r w:rsidRPr="00EA1876">
        <w:rPr>
          <w:noProof/>
        </w:rPr>
        <w:t xml:space="preserve"> </w:t>
      </w:r>
    </w:p>
    <w:p w14:paraId="17C3B46A" w14:textId="77777777" w:rsidR="00EA1876" w:rsidRPr="00EA1876" w:rsidRDefault="00EA1876" w:rsidP="00EA1876">
      <w:pPr>
        <w:pStyle w:val="EndNoteBibliography"/>
        <w:ind w:left="720" w:hanging="720"/>
        <w:rPr>
          <w:noProof/>
        </w:rPr>
      </w:pPr>
      <w:r w:rsidRPr="00EA1876">
        <w:rPr>
          <w:noProof/>
        </w:rPr>
        <w:t xml:space="preserve">Murphy, R. F. (1971). </w:t>
      </w:r>
      <w:r w:rsidRPr="00EA1876">
        <w:rPr>
          <w:i/>
          <w:noProof/>
        </w:rPr>
        <w:t>The dialectics of social life: Alarms and excursions in anthropological theory</w:t>
      </w:r>
      <w:r w:rsidRPr="00EA1876">
        <w:rPr>
          <w:noProof/>
        </w:rPr>
        <w:t xml:space="preserve">. Basic Books. </w:t>
      </w:r>
    </w:p>
    <w:p w14:paraId="1E6320D0" w14:textId="2527AC8D" w:rsidR="00EA1876" w:rsidRPr="00EA1876" w:rsidRDefault="00EA1876" w:rsidP="00EA1876">
      <w:pPr>
        <w:pStyle w:val="EndNoteBibliography"/>
        <w:ind w:left="720" w:hanging="720"/>
        <w:rPr>
          <w:noProof/>
        </w:rPr>
      </w:pPr>
      <w:r w:rsidRPr="00EA1876">
        <w:rPr>
          <w:noProof/>
        </w:rPr>
        <w:t xml:space="preserve">Murray, J. L. (2017). Mass media reporting and enabling of mass shootings. </w:t>
      </w:r>
      <w:r w:rsidRPr="00EA1876">
        <w:rPr>
          <w:i/>
          <w:noProof/>
        </w:rPr>
        <w:t>Cultural Studies ↔ Critical Methodologies, 17</w:t>
      </w:r>
      <w:r w:rsidRPr="00EA1876">
        <w:rPr>
          <w:noProof/>
        </w:rPr>
        <w:t xml:space="preserve">(2), 114-124. </w:t>
      </w:r>
      <w:hyperlink r:id="rId144" w:history="1">
        <w:r w:rsidRPr="00EA1876">
          <w:rPr>
            <w:rStyle w:val="Hyperlink"/>
            <w:noProof/>
          </w:rPr>
          <w:t>https://doi.org/10.1177/1532708616679144</w:t>
        </w:r>
      </w:hyperlink>
      <w:r w:rsidRPr="00EA1876">
        <w:rPr>
          <w:noProof/>
        </w:rPr>
        <w:t xml:space="preserve"> </w:t>
      </w:r>
    </w:p>
    <w:p w14:paraId="688C48CB" w14:textId="4DF80247" w:rsidR="00EA1876" w:rsidRPr="00EA1876" w:rsidRDefault="00EA1876" w:rsidP="00EA1876">
      <w:pPr>
        <w:pStyle w:val="EndNoteBibliography"/>
        <w:ind w:left="720" w:hanging="720"/>
        <w:rPr>
          <w:noProof/>
        </w:rPr>
      </w:pPr>
      <w:r w:rsidRPr="00EA1876">
        <w:rPr>
          <w:noProof/>
        </w:rPr>
        <w:t xml:space="preserve">NASDAQ. (n.d.). </w:t>
      </w:r>
      <w:r w:rsidRPr="00EA1876">
        <w:rPr>
          <w:i/>
          <w:noProof/>
        </w:rPr>
        <w:t>SCI Advanced Charting</w:t>
      </w:r>
      <w:r w:rsidRPr="00EA1876">
        <w:rPr>
          <w:noProof/>
        </w:rPr>
        <w:t xml:space="preserve">. </w:t>
      </w:r>
      <w:hyperlink r:id="rId145" w:history="1">
        <w:r w:rsidRPr="00EA1876">
          <w:rPr>
            <w:rStyle w:val="Hyperlink"/>
            <w:noProof/>
          </w:rPr>
          <w:t>https://www.nasdaq.com/market-activity/stocks/sci/advanced-charting</w:t>
        </w:r>
      </w:hyperlink>
    </w:p>
    <w:p w14:paraId="4751EBB4" w14:textId="7E6D086F" w:rsidR="00EA1876" w:rsidRPr="00EA1876" w:rsidRDefault="00EA1876" w:rsidP="00EA1876">
      <w:pPr>
        <w:pStyle w:val="EndNoteBibliography"/>
        <w:ind w:left="720" w:hanging="720"/>
        <w:rPr>
          <w:noProof/>
        </w:rPr>
      </w:pPr>
      <w:r w:rsidRPr="00EA1876">
        <w:rPr>
          <w:noProof/>
        </w:rPr>
        <w:t xml:space="preserve">National Funeral Directors Association. (2023). </w:t>
      </w:r>
      <w:r w:rsidRPr="00EA1876">
        <w:rPr>
          <w:i/>
          <w:noProof/>
        </w:rPr>
        <w:t>Statistics</w:t>
      </w:r>
      <w:r w:rsidRPr="00EA1876">
        <w:rPr>
          <w:noProof/>
        </w:rPr>
        <w:t xml:space="preserve">. National Funeral Directors Association. Retrieved Aug. 3 from </w:t>
      </w:r>
      <w:hyperlink r:id="rId146" w:history="1">
        <w:r w:rsidRPr="00EA1876">
          <w:rPr>
            <w:rStyle w:val="Hyperlink"/>
            <w:noProof/>
          </w:rPr>
          <w:t>https://nfda.org/news/statistics</w:t>
        </w:r>
      </w:hyperlink>
    </w:p>
    <w:p w14:paraId="2FBE5DF8" w14:textId="01FCAAD6" w:rsidR="00EA1876" w:rsidRPr="00EA1876" w:rsidRDefault="00EA1876" w:rsidP="00EA1876">
      <w:pPr>
        <w:pStyle w:val="EndNoteBibliography"/>
        <w:ind w:left="720" w:hanging="720"/>
        <w:rPr>
          <w:noProof/>
        </w:rPr>
      </w:pPr>
      <w:r w:rsidRPr="00EA1876">
        <w:rPr>
          <w:noProof/>
        </w:rPr>
        <w:t xml:space="preserve">National Funeral Directors Association. (n.d.). </w:t>
      </w:r>
      <w:r w:rsidRPr="00EA1876">
        <w:rPr>
          <w:i/>
          <w:noProof/>
        </w:rPr>
        <w:t>Funeral Service 101</w:t>
      </w:r>
      <w:r w:rsidRPr="00EA1876">
        <w:rPr>
          <w:noProof/>
        </w:rPr>
        <w:t xml:space="preserve">. National Funeral Directors Association. Retrieved Feb. 13 from </w:t>
      </w:r>
      <w:hyperlink r:id="rId147" w:history="1">
        <w:r w:rsidRPr="00EA1876">
          <w:rPr>
            <w:rStyle w:val="Hyperlink"/>
            <w:noProof/>
          </w:rPr>
          <w:t>https://nfda.org/news/funeral-service-101</w:t>
        </w:r>
      </w:hyperlink>
    </w:p>
    <w:p w14:paraId="1B5862DF" w14:textId="158FD739" w:rsidR="00EA1876" w:rsidRPr="00EA1876" w:rsidRDefault="00EA1876" w:rsidP="00EA1876">
      <w:pPr>
        <w:pStyle w:val="EndNoteBibliography"/>
        <w:ind w:left="720" w:hanging="720"/>
        <w:rPr>
          <w:noProof/>
        </w:rPr>
      </w:pPr>
      <w:r w:rsidRPr="00EA1876">
        <w:rPr>
          <w:noProof/>
        </w:rPr>
        <w:t xml:space="preserve">Neimeyer, R. A., &amp; Currier, J. M. (2009). Grief therapy: Evidence of efficacy and emerging directions. </w:t>
      </w:r>
      <w:r w:rsidRPr="00EA1876">
        <w:rPr>
          <w:i/>
          <w:noProof/>
        </w:rPr>
        <w:t>Current directions in psychological science, 18</w:t>
      </w:r>
      <w:r w:rsidRPr="00EA1876">
        <w:rPr>
          <w:noProof/>
        </w:rPr>
        <w:t xml:space="preserve">(6), 352-356. </w:t>
      </w:r>
      <w:hyperlink r:id="rId148" w:history="1">
        <w:r w:rsidRPr="00EA1876">
          <w:rPr>
            <w:rStyle w:val="Hyperlink"/>
            <w:noProof/>
          </w:rPr>
          <w:t>https://doi.org/10.1111/j.1467-8721.2009.01666.x</w:t>
        </w:r>
      </w:hyperlink>
      <w:r w:rsidRPr="00EA1876">
        <w:rPr>
          <w:noProof/>
        </w:rPr>
        <w:t xml:space="preserve"> </w:t>
      </w:r>
    </w:p>
    <w:p w14:paraId="798BC3B4" w14:textId="7D12EB40" w:rsidR="00EA1876" w:rsidRPr="00EA1876" w:rsidRDefault="00EA1876" w:rsidP="00EA1876">
      <w:pPr>
        <w:pStyle w:val="EndNoteBibliography"/>
        <w:ind w:left="720" w:hanging="720"/>
        <w:rPr>
          <w:noProof/>
        </w:rPr>
      </w:pPr>
      <w:r w:rsidRPr="00EA1876">
        <w:rPr>
          <w:noProof/>
        </w:rPr>
        <w:t xml:space="preserve">Ngcongo, M. (2016). Mobile communication privacy management in romantic relationships: a dialectical approach. </w:t>
      </w:r>
      <w:r w:rsidRPr="00EA1876">
        <w:rPr>
          <w:i/>
          <w:noProof/>
        </w:rPr>
        <w:t>Communicatio, 42</w:t>
      </w:r>
      <w:r w:rsidRPr="00EA1876">
        <w:rPr>
          <w:noProof/>
        </w:rPr>
        <w:t xml:space="preserve">(1), 56-74. </w:t>
      </w:r>
      <w:hyperlink r:id="rId149" w:history="1">
        <w:r w:rsidRPr="00EA1876">
          <w:rPr>
            <w:rStyle w:val="Hyperlink"/>
            <w:noProof/>
          </w:rPr>
          <w:t>https://doi.org/10.1080/02500167.2016.1140666</w:t>
        </w:r>
      </w:hyperlink>
      <w:r w:rsidRPr="00EA1876">
        <w:rPr>
          <w:noProof/>
        </w:rPr>
        <w:t xml:space="preserve"> </w:t>
      </w:r>
    </w:p>
    <w:p w14:paraId="33439165" w14:textId="41BCB344" w:rsidR="00EA1876" w:rsidRPr="00EA1876" w:rsidRDefault="00EA1876" w:rsidP="00EA1876">
      <w:pPr>
        <w:pStyle w:val="EndNoteBibliography"/>
        <w:ind w:left="720" w:hanging="720"/>
        <w:rPr>
          <w:noProof/>
        </w:rPr>
      </w:pPr>
      <w:r w:rsidRPr="00EA1876">
        <w:rPr>
          <w:noProof/>
        </w:rPr>
        <w:t xml:space="preserve">O’Connor, M.-F. (2003). Making meaning of life events: Theory, evidence, and research directions for an alternative model. </w:t>
      </w:r>
      <w:r w:rsidRPr="00EA1876">
        <w:rPr>
          <w:i/>
          <w:noProof/>
        </w:rPr>
        <w:t>OMEGA-Journal of Death and Dying, 46</w:t>
      </w:r>
      <w:r w:rsidRPr="00EA1876">
        <w:rPr>
          <w:noProof/>
        </w:rPr>
        <w:t xml:space="preserve">(1), 51-75. </w:t>
      </w:r>
      <w:hyperlink r:id="rId150" w:history="1">
        <w:r w:rsidRPr="00EA1876">
          <w:rPr>
            <w:rStyle w:val="Hyperlink"/>
            <w:noProof/>
          </w:rPr>
          <w:t>https://doi.org/10.2190/0CKD-PVQ0-T260-NTXU</w:t>
        </w:r>
      </w:hyperlink>
      <w:r w:rsidRPr="00EA1876">
        <w:rPr>
          <w:noProof/>
        </w:rPr>
        <w:t xml:space="preserve"> </w:t>
      </w:r>
    </w:p>
    <w:p w14:paraId="6A5AF445" w14:textId="5480BD88" w:rsidR="00EA1876" w:rsidRPr="00EA1876" w:rsidRDefault="00EA1876" w:rsidP="00EA1876">
      <w:pPr>
        <w:pStyle w:val="EndNoteBibliography"/>
        <w:ind w:left="720" w:hanging="720"/>
        <w:rPr>
          <w:noProof/>
        </w:rPr>
      </w:pPr>
      <w:r w:rsidRPr="00EA1876">
        <w:rPr>
          <w:noProof/>
        </w:rPr>
        <w:lastRenderedPageBreak/>
        <w:t xml:space="preserve">Oglensky, B. D. (2008). The ambivalent dynamics of loyalty in mentorship. </w:t>
      </w:r>
      <w:r w:rsidRPr="00EA1876">
        <w:rPr>
          <w:i/>
          <w:noProof/>
        </w:rPr>
        <w:t>Human relations, 61</w:t>
      </w:r>
      <w:r w:rsidRPr="00EA1876">
        <w:rPr>
          <w:noProof/>
        </w:rPr>
        <w:t xml:space="preserve">(3), 419-448. </w:t>
      </w:r>
      <w:hyperlink r:id="rId151" w:history="1">
        <w:r w:rsidRPr="00EA1876">
          <w:rPr>
            <w:rStyle w:val="Hyperlink"/>
            <w:noProof/>
          </w:rPr>
          <w:t>https://doi.org/10.1177/0018726708089000</w:t>
        </w:r>
      </w:hyperlink>
      <w:r w:rsidRPr="00EA1876">
        <w:rPr>
          <w:noProof/>
        </w:rPr>
        <w:t xml:space="preserve"> </w:t>
      </w:r>
    </w:p>
    <w:p w14:paraId="16DA084A" w14:textId="65E000D3" w:rsidR="00EA1876" w:rsidRPr="00EA1876" w:rsidRDefault="00EA1876" w:rsidP="00EA1876">
      <w:pPr>
        <w:pStyle w:val="EndNoteBibliography"/>
        <w:ind w:left="720" w:hanging="720"/>
        <w:rPr>
          <w:noProof/>
        </w:rPr>
      </w:pPr>
      <w:r w:rsidRPr="00EA1876">
        <w:rPr>
          <w:noProof/>
        </w:rPr>
        <w:t xml:space="preserve">Ogolsky, B. G., Monk, J. K., Rice, T. M., Theisen, J. C., &amp; Maniotes, C. R. (2017). Relationship maintenance: A review of research on romantic relationships. </w:t>
      </w:r>
      <w:r w:rsidRPr="00EA1876">
        <w:rPr>
          <w:i/>
          <w:noProof/>
        </w:rPr>
        <w:t>Journal of Family Theory &amp; Review, 9</w:t>
      </w:r>
      <w:r w:rsidRPr="00EA1876">
        <w:rPr>
          <w:noProof/>
        </w:rPr>
        <w:t xml:space="preserve">(3), 275-306. </w:t>
      </w:r>
      <w:hyperlink r:id="rId152" w:history="1">
        <w:r w:rsidRPr="00EA1876">
          <w:rPr>
            <w:rStyle w:val="Hyperlink"/>
            <w:noProof/>
          </w:rPr>
          <w:t>https://doi.org/https://doi.org/10.1111/jftr.12205</w:t>
        </w:r>
      </w:hyperlink>
      <w:r w:rsidRPr="00EA1876">
        <w:rPr>
          <w:noProof/>
        </w:rPr>
        <w:t xml:space="preserve"> </w:t>
      </w:r>
    </w:p>
    <w:p w14:paraId="7FA6CC52" w14:textId="2E4D7E68" w:rsidR="00EA1876" w:rsidRPr="00EA1876" w:rsidRDefault="00EA1876" w:rsidP="00EA1876">
      <w:pPr>
        <w:pStyle w:val="EndNoteBibliography"/>
        <w:ind w:left="720" w:hanging="720"/>
        <w:rPr>
          <w:noProof/>
        </w:rPr>
      </w:pPr>
      <w:r w:rsidRPr="00EA1876">
        <w:rPr>
          <w:noProof/>
        </w:rPr>
        <w:t xml:space="preserve">Oklahoma Commerce. (2023). </w:t>
      </w:r>
      <w:r w:rsidRPr="00EA1876">
        <w:rPr>
          <w:i/>
          <w:noProof/>
        </w:rPr>
        <w:t>Oklahoma’s Fortune 500 Report</w:t>
      </w:r>
      <w:r w:rsidRPr="00EA1876">
        <w:rPr>
          <w:noProof/>
        </w:rPr>
        <w:t xml:space="preserve">. </w:t>
      </w:r>
      <w:hyperlink r:id="rId153" w:history="1">
        <w:r w:rsidRPr="00EA1876">
          <w:rPr>
            <w:rStyle w:val="Hyperlink"/>
            <w:noProof/>
          </w:rPr>
          <w:t>https://www.okcommerce.gov/doing-business/data-reports/reports/oklahomas-fortune-500-report/</w:t>
        </w:r>
      </w:hyperlink>
    </w:p>
    <w:p w14:paraId="58530026" w14:textId="5D88CDCD" w:rsidR="00EA1876" w:rsidRPr="00EA1876" w:rsidRDefault="00EA1876" w:rsidP="00EA1876">
      <w:pPr>
        <w:pStyle w:val="EndNoteBibliography"/>
        <w:ind w:left="720" w:hanging="720"/>
        <w:rPr>
          <w:noProof/>
        </w:rPr>
      </w:pPr>
      <w:r w:rsidRPr="00EA1876">
        <w:rPr>
          <w:noProof/>
        </w:rPr>
        <w:t xml:space="preserve">Oliver, C. (1990). Determinants of interorganizational relationships: Integration and future directions. </w:t>
      </w:r>
      <w:r w:rsidRPr="00EA1876">
        <w:rPr>
          <w:i/>
          <w:noProof/>
        </w:rPr>
        <w:t>Academy of management review, 15</w:t>
      </w:r>
      <w:r w:rsidRPr="00EA1876">
        <w:rPr>
          <w:noProof/>
        </w:rPr>
        <w:t xml:space="preserve">(2), 241-265. </w:t>
      </w:r>
      <w:hyperlink r:id="rId154" w:history="1">
        <w:r w:rsidRPr="00EA1876">
          <w:rPr>
            <w:rStyle w:val="Hyperlink"/>
            <w:noProof/>
          </w:rPr>
          <w:t>https://doi.org/10.5465/amr.1990.4308156</w:t>
        </w:r>
      </w:hyperlink>
      <w:r w:rsidRPr="00EA1876">
        <w:rPr>
          <w:noProof/>
        </w:rPr>
        <w:t xml:space="preserve"> </w:t>
      </w:r>
    </w:p>
    <w:p w14:paraId="53587779" w14:textId="7EE03388" w:rsidR="00EA1876" w:rsidRPr="00EA1876" w:rsidRDefault="00EA1876" w:rsidP="00EA1876">
      <w:pPr>
        <w:pStyle w:val="EndNoteBibliography"/>
        <w:ind w:left="720" w:hanging="720"/>
        <w:rPr>
          <w:noProof/>
        </w:rPr>
      </w:pPr>
      <w:r w:rsidRPr="00EA1876">
        <w:rPr>
          <w:noProof/>
        </w:rPr>
        <w:t xml:space="preserve">Palgi, P., &amp; Abramovitch, H. (1984). Death: A cross-cultural perspective. </w:t>
      </w:r>
      <w:r w:rsidRPr="00EA1876">
        <w:rPr>
          <w:i/>
          <w:noProof/>
        </w:rPr>
        <w:t>Annual Review of Anthropology, 13</w:t>
      </w:r>
      <w:r w:rsidRPr="00EA1876">
        <w:rPr>
          <w:noProof/>
        </w:rPr>
        <w:t xml:space="preserve">(1), 385-417. </w:t>
      </w:r>
      <w:hyperlink r:id="rId155" w:history="1">
        <w:r w:rsidRPr="00EA1876">
          <w:rPr>
            <w:rStyle w:val="Hyperlink"/>
            <w:noProof/>
          </w:rPr>
          <w:t>https://doi.org/10.1146/annurev.an.13.100184.002125</w:t>
        </w:r>
      </w:hyperlink>
      <w:r w:rsidRPr="00EA1876">
        <w:rPr>
          <w:noProof/>
        </w:rPr>
        <w:t xml:space="preserve"> </w:t>
      </w:r>
    </w:p>
    <w:p w14:paraId="010DAE51" w14:textId="77777777" w:rsidR="00EA1876" w:rsidRPr="00EA1876" w:rsidRDefault="00EA1876" w:rsidP="00EA1876">
      <w:pPr>
        <w:pStyle w:val="EndNoteBibliography"/>
        <w:ind w:left="720" w:hanging="720"/>
        <w:rPr>
          <w:noProof/>
        </w:rPr>
      </w:pPr>
      <w:r w:rsidRPr="00EA1876">
        <w:rPr>
          <w:noProof/>
        </w:rPr>
        <w:t xml:space="preserve">Parkes, C. M., &amp; Weiss, R. S. (1983). </w:t>
      </w:r>
      <w:r w:rsidRPr="00EA1876">
        <w:rPr>
          <w:i/>
          <w:noProof/>
        </w:rPr>
        <w:t>Recovery from bereavement</w:t>
      </w:r>
      <w:r w:rsidRPr="00EA1876">
        <w:rPr>
          <w:noProof/>
        </w:rPr>
        <w:t xml:space="preserve">. Basic Books </w:t>
      </w:r>
    </w:p>
    <w:p w14:paraId="63240078" w14:textId="509D8AC4" w:rsidR="00EA1876" w:rsidRPr="00EA1876" w:rsidRDefault="00EA1876" w:rsidP="00EA1876">
      <w:pPr>
        <w:pStyle w:val="EndNoteBibliography"/>
        <w:ind w:left="720" w:hanging="720"/>
        <w:rPr>
          <w:noProof/>
        </w:rPr>
      </w:pPr>
      <w:r w:rsidRPr="00EA1876">
        <w:rPr>
          <w:noProof/>
        </w:rPr>
        <w:t xml:space="preserve">Parsons, B. (2003). Conflict in the context of care: an examination of role conflict between the bereaved and the funeral director in the UK. </w:t>
      </w:r>
      <w:r w:rsidRPr="00EA1876">
        <w:rPr>
          <w:i/>
          <w:noProof/>
        </w:rPr>
        <w:t>Mortality, 8</w:t>
      </w:r>
      <w:r w:rsidRPr="00EA1876">
        <w:rPr>
          <w:noProof/>
        </w:rPr>
        <w:t xml:space="preserve">(1), 67-87. </w:t>
      </w:r>
      <w:hyperlink r:id="rId156" w:history="1">
        <w:r w:rsidRPr="00EA1876">
          <w:rPr>
            <w:rStyle w:val="Hyperlink"/>
            <w:noProof/>
          </w:rPr>
          <w:t>https://doi.org/10.1080/1357627021000063133</w:t>
        </w:r>
      </w:hyperlink>
      <w:r w:rsidRPr="00EA1876">
        <w:rPr>
          <w:noProof/>
        </w:rPr>
        <w:t xml:space="preserve"> </w:t>
      </w:r>
    </w:p>
    <w:p w14:paraId="52421F94" w14:textId="012A19BA" w:rsidR="00EA1876" w:rsidRPr="00EA1876" w:rsidRDefault="00EA1876" w:rsidP="00EA1876">
      <w:pPr>
        <w:pStyle w:val="EndNoteBibliography"/>
        <w:ind w:left="720" w:hanging="720"/>
        <w:rPr>
          <w:noProof/>
        </w:rPr>
      </w:pPr>
      <w:r w:rsidRPr="00EA1876">
        <w:rPr>
          <w:noProof/>
        </w:rPr>
        <w:t xml:space="preserve">Parsons, B. (2012). Identifying key changes: The progress of cremation and its influence on music at funerals in England, 1874–2010. </w:t>
      </w:r>
      <w:r w:rsidRPr="00EA1876">
        <w:rPr>
          <w:i/>
          <w:noProof/>
        </w:rPr>
        <w:t>Mortality, 17</w:t>
      </w:r>
      <w:r w:rsidRPr="00EA1876">
        <w:rPr>
          <w:noProof/>
        </w:rPr>
        <w:t xml:space="preserve">(2), 130-144. </w:t>
      </w:r>
      <w:hyperlink r:id="rId157" w:history="1">
        <w:r w:rsidRPr="00EA1876">
          <w:rPr>
            <w:rStyle w:val="Hyperlink"/>
            <w:noProof/>
          </w:rPr>
          <w:t>https://doi.org/10.1080/13576275.2012.675228</w:t>
        </w:r>
      </w:hyperlink>
      <w:r w:rsidRPr="00EA1876">
        <w:rPr>
          <w:noProof/>
        </w:rPr>
        <w:t xml:space="preserve"> </w:t>
      </w:r>
    </w:p>
    <w:p w14:paraId="0E9D03E5" w14:textId="77777777" w:rsidR="00EA1876" w:rsidRPr="00EA1876" w:rsidRDefault="00EA1876" w:rsidP="00EA1876">
      <w:pPr>
        <w:pStyle w:val="EndNoteBibliography"/>
        <w:ind w:left="720" w:hanging="720"/>
        <w:rPr>
          <w:noProof/>
        </w:rPr>
      </w:pPr>
      <w:r w:rsidRPr="00EA1876">
        <w:rPr>
          <w:noProof/>
        </w:rPr>
        <w:t xml:space="preserve">Pearce, W. B., &amp; Littlejohn, S. W. (1997). </w:t>
      </w:r>
      <w:r w:rsidRPr="00EA1876">
        <w:rPr>
          <w:i/>
          <w:noProof/>
        </w:rPr>
        <w:t>Moral conflict: When social worlds collide</w:t>
      </w:r>
      <w:r w:rsidRPr="00EA1876">
        <w:rPr>
          <w:noProof/>
        </w:rPr>
        <w:t xml:space="preserve">. Sage. </w:t>
      </w:r>
    </w:p>
    <w:p w14:paraId="0145E5AA" w14:textId="4C2AA937" w:rsidR="00EA1876" w:rsidRPr="00EA1876" w:rsidRDefault="00EA1876" w:rsidP="00EA1876">
      <w:pPr>
        <w:pStyle w:val="EndNoteBibliography"/>
        <w:ind w:left="720" w:hanging="720"/>
        <w:rPr>
          <w:noProof/>
        </w:rPr>
      </w:pPr>
      <w:r w:rsidRPr="00EA1876">
        <w:rPr>
          <w:noProof/>
        </w:rPr>
        <w:lastRenderedPageBreak/>
        <w:t xml:space="preserve">Pearson, J. C., Child, J. T., &amp; Carmon, A. F. (2011). Rituals in dating relationships: The development and validation of a measure. </w:t>
      </w:r>
      <w:r w:rsidRPr="00EA1876">
        <w:rPr>
          <w:i/>
          <w:noProof/>
        </w:rPr>
        <w:t>Communication Quarterly, 59</w:t>
      </w:r>
      <w:r w:rsidRPr="00EA1876">
        <w:rPr>
          <w:noProof/>
        </w:rPr>
        <w:t xml:space="preserve">(3), 359-379. </w:t>
      </w:r>
      <w:hyperlink r:id="rId158" w:history="1">
        <w:r w:rsidRPr="00EA1876">
          <w:rPr>
            <w:rStyle w:val="Hyperlink"/>
            <w:noProof/>
          </w:rPr>
          <w:t>https://doi.org/10.1080/01463373.2011.583502</w:t>
        </w:r>
      </w:hyperlink>
      <w:r w:rsidRPr="00EA1876">
        <w:rPr>
          <w:noProof/>
        </w:rPr>
        <w:t xml:space="preserve"> </w:t>
      </w:r>
    </w:p>
    <w:p w14:paraId="176BB749" w14:textId="657330D9" w:rsidR="00EA1876" w:rsidRPr="00EA1876" w:rsidRDefault="00EA1876" w:rsidP="00EA1876">
      <w:pPr>
        <w:pStyle w:val="EndNoteBibliography"/>
        <w:ind w:left="720" w:hanging="720"/>
        <w:rPr>
          <w:noProof/>
        </w:rPr>
      </w:pPr>
      <w:r w:rsidRPr="00EA1876">
        <w:rPr>
          <w:noProof/>
        </w:rPr>
        <w:t xml:space="preserve">Peplau, L. A. (1982). Research on homosexual couples. </w:t>
      </w:r>
      <w:r w:rsidRPr="00EA1876">
        <w:rPr>
          <w:i/>
          <w:noProof/>
        </w:rPr>
        <w:t>Journal of Homosexuality, 8</w:t>
      </w:r>
      <w:r w:rsidRPr="00EA1876">
        <w:rPr>
          <w:noProof/>
        </w:rPr>
        <w:t xml:space="preserve">(2), 3-8. </w:t>
      </w:r>
      <w:hyperlink r:id="rId159" w:history="1">
        <w:r w:rsidRPr="00EA1876">
          <w:rPr>
            <w:rStyle w:val="Hyperlink"/>
            <w:noProof/>
          </w:rPr>
          <w:t>https://doi.org/10.1300/J082v08n02_02</w:t>
        </w:r>
      </w:hyperlink>
      <w:r w:rsidRPr="00EA1876">
        <w:rPr>
          <w:noProof/>
        </w:rPr>
        <w:t xml:space="preserve"> </w:t>
      </w:r>
    </w:p>
    <w:p w14:paraId="2DA34DAE" w14:textId="35111915" w:rsidR="00EA1876" w:rsidRPr="00EA1876" w:rsidRDefault="00EA1876" w:rsidP="00EA1876">
      <w:pPr>
        <w:pStyle w:val="EndNoteBibliography"/>
        <w:ind w:left="720" w:hanging="720"/>
        <w:rPr>
          <w:noProof/>
        </w:rPr>
      </w:pPr>
      <w:r w:rsidRPr="00EA1876">
        <w:rPr>
          <w:noProof/>
        </w:rPr>
        <w:t xml:space="preserve">Petronio, S. (2010). Communication privacy management theory: What do we know about family privacy regulation? </w:t>
      </w:r>
      <w:r w:rsidRPr="00EA1876">
        <w:rPr>
          <w:i/>
          <w:noProof/>
        </w:rPr>
        <w:t>Journal of Family Theory &amp; Review, 2</w:t>
      </w:r>
      <w:r w:rsidRPr="00EA1876">
        <w:rPr>
          <w:noProof/>
        </w:rPr>
        <w:t xml:space="preserve">(3), 175-196. </w:t>
      </w:r>
      <w:hyperlink r:id="rId160" w:history="1">
        <w:r w:rsidRPr="00EA1876">
          <w:rPr>
            <w:rStyle w:val="Hyperlink"/>
            <w:noProof/>
          </w:rPr>
          <w:t>https://doi.org/https://doi.org/10.1111/j.1756-2589.2010.00052.x</w:t>
        </w:r>
      </w:hyperlink>
      <w:r w:rsidRPr="00EA1876">
        <w:rPr>
          <w:noProof/>
        </w:rPr>
        <w:t xml:space="preserve"> </w:t>
      </w:r>
    </w:p>
    <w:p w14:paraId="6BDD3712" w14:textId="4EFBACE6" w:rsidR="00EA1876" w:rsidRPr="00EA1876" w:rsidRDefault="00EA1876" w:rsidP="00EA1876">
      <w:pPr>
        <w:pStyle w:val="EndNoteBibliography"/>
        <w:ind w:left="720" w:hanging="720"/>
        <w:rPr>
          <w:noProof/>
        </w:rPr>
      </w:pPr>
      <w:r w:rsidRPr="00EA1876">
        <w:rPr>
          <w:noProof/>
        </w:rPr>
        <w:t xml:space="preserve">Piehler, G. K. (1994). The war dead and the gold star: American commemoration of the first World War. In J. R. Gillis (Ed.), </w:t>
      </w:r>
      <w:r w:rsidRPr="00EA1876">
        <w:rPr>
          <w:i/>
          <w:noProof/>
        </w:rPr>
        <w:t>Commemorations</w:t>
      </w:r>
      <w:r w:rsidRPr="00EA1876">
        <w:rPr>
          <w:noProof/>
        </w:rPr>
        <w:t xml:space="preserve"> (pp. 168-185). Princeton University Press. </w:t>
      </w:r>
      <w:hyperlink r:id="rId161" w:history="1">
        <w:r w:rsidRPr="00EA1876">
          <w:rPr>
            <w:rStyle w:val="Hyperlink"/>
            <w:noProof/>
          </w:rPr>
          <w:t>http://www.jstor.org/stable/j.ctv39x64g.14</w:t>
        </w:r>
      </w:hyperlink>
      <w:r w:rsidRPr="00EA1876">
        <w:rPr>
          <w:noProof/>
        </w:rPr>
        <w:t xml:space="preserve"> </w:t>
      </w:r>
    </w:p>
    <w:p w14:paraId="4AEB395D" w14:textId="2F3E3687" w:rsidR="00EA1876" w:rsidRPr="00EA1876" w:rsidRDefault="00EA1876" w:rsidP="00EA1876">
      <w:pPr>
        <w:pStyle w:val="EndNoteBibliography"/>
        <w:ind w:left="720" w:hanging="720"/>
        <w:rPr>
          <w:noProof/>
        </w:rPr>
      </w:pPr>
      <w:r w:rsidRPr="00EA1876">
        <w:rPr>
          <w:noProof/>
        </w:rPr>
        <w:t xml:space="preserve">Pine, V. R. (1969). Comparative funeral practices. </w:t>
      </w:r>
      <w:r w:rsidRPr="00EA1876">
        <w:rPr>
          <w:i/>
          <w:noProof/>
        </w:rPr>
        <w:t>Practical Anthropology</w:t>
      </w:r>
      <w:r w:rsidRPr="00EA1876">
        <w:rPr>
          <w:noProof/>
        </w:rPr>
        <w:t xml:space="preserve">(2), 49-62. </w:t>
      </w:r>
      <w:hyperlink r:id="rId162" w:history="1">
        <w:r w:rsidRPr="00EA1876">
          <w:rPr>
            <w:rStyle w:val="Hyperlink"/>
            <w:noProof/>
          </w:rPr>
          <w:t>https://doi.org/10.1177/009182966901600201</w:t>
        </w:r>
      </w:hyperlink>
      <w:r w:rsidRPr="00EA1876">
        <w:rPr>
          <w:noProof/>
        </w:rPr>
        <w:t xml:space="preserve"> </w:t>
      </w:r>
    </w:p>
    <w:p w14:paraId="034276B0" w14:textId="77777777" w:rsidR="00EA1876" w:rsidRPr="00EA1876" w:rsidRDefault="00EA1876" w:rsidP="00EA1876">
      <w:pPr>
        <w:pStyle w:val="EndNoteBibliography"/>
        <w:ind w:left="720" w:hanging="720"/>
        <w:rPr>
          <w:noProof/>
        </w:rPr>
      </w:pPr>
      <w:r w:rsidRPr="00EA1876">
        <w:rPr>
          <w:noProof/>
        </w:rPr>
        <w:t xml:space="preserve">Pine, V. R. (1975). </w:t>
      </w:r>
      <w:r w:rsidRPr="00EA1876">
        <w:rPr>
          <w:i/>
          <w:noProof/>
        </w:rPr>
        <w:t>Caretaker of the dead: The American funeral director</w:t>
      </w:r>
      <w:r w:rsidRPr="00EA1876">
        <w:rPr>
          <w:noProof/>
        </w:rPr>
        <w:t xml:space="preserve">. Halsted Press. </w:t>
      </w:r>
    </w:p>
    <w:p w14:paraId="6CC6DFB3" w14:textId="00941E8C" w:rsidR="00EA1876" w:rsidRPr="00EA1876" w:rsidRDefault="00EA1876" w:rsidP="00EA1876">
      <w:pPr>
        <w:pStyle w:val="EndNoteBibliography"/>
        <w:ind w:left="720" w:hanging="720"/>
        <w:rPr>
          <w:noProof/>
        </w:rPr>
      </w:pPr>
      <w:r w:rsidRPr="00EA1876">
        <w:rPr>
          <w:noProof/>
        </w:rPr>
        <w:t xml:space="preserve">Pine, V. R., &amp; Phillips, D. L. (1970). The cost of dying: A sociological analysis of funeral expenditures. </w:t>
      </w:r>
      <w:r w:rsidRPr="00EA1876">
        <w:rPr>
          <w:i/>
          <w:noProof/>
        </w:rPr>
        <w:t>Social Problems, 17</w:t>
      </w:r>
      <w:r w:rsidRPr="00EA1876">
        <w:rPr>
          <w:noProof/>
        </w:rPr>
        <w:t xml:space="preserve">(3), 405-417. </w:t>
      </w:r>
      <w:hyperlink r:id="rId163" w:history="1">
        <w:r w:rsidRPr="00EA1876">
          <w:rPr>
            <w:rStyle w:val="Hyperlink"/>
            <w:noProof/>
          </w:rPr>
          <w:t>https://doi.org/10.2307/799558</w:t>
        </w:r>
      </w:hyperlink>
      <w:r w:rsidRPr="00EA1876">
        <w:rPr>
          <w:noProof/>
        </w:rPr>
        <w:t xml:space="preserve"> </w:t>
      </w:r>
    </w:p>
    <w:p w14:paraId="3FA47D96" w14:textId="49922F55" w:rsidR="00EA1876" w:rsidRPr="00EA1876" w:rsidRDefault="00EA1876" w:rsidP="00EA1876">
      <w:pPr>
        <w:pStyle w:val="EndNoteBibliography"/>
        <w:ind w:left="720" w:hanging="720"/>
        <w:rPr>
          <w:noProof/>
        </w:rPr>
      </w:pPr>
      <w:r w:rsidRPr="00EA1876">
        <w:rPr>
          <w:noProof/>
        </w:rPr>
        <w:t xml:space="preserve">Pitts, M. J., Fowler, C., Kaplan, M. S., Nussbaum, J., &amp; Becker, J. C. (2009). Dialectical tensions underpinning family farm succession planning. </w:t>
      </w:r>
      <w:r w:rsidRPr="00EA1876">
        <w:rPr>
          <w:i/>
          <w:noProof/>
        </w:rPr>
        <w:t>Journal of Applied Communication Research, 37</w:t>
      </w:r>
      <w:r w:rsidRPr="00EA1876">
        <w:rPr>
          <w:noProof/>
        </w:rPr>
        <w:t xml:space="preserve">(1), 59-79. </w:t>
      </w:r>
      <w:hyperlink r:id="rId164" w:history="1">
        <w:r w:rsidRPr="00EA1876">
          <w:rPr>
            <w:rStyle w:val="Hyperlink"/>
            <w:noProof/>
          </w:rPr>
          <w:t>https://doi.org/10.1080/00909880802592631</w:t>
        </w:r>
      </w:hyperlink>
      <w:r w:rsidRPr="00EA1876">
        <w:rPr>
          <w:noProof/>
        </w:rPr>
        <w:t xml:space="preserve"> </w:t>
      </w:r>
    </w:p>
    <w:p w14:paraId="753A574E" w14:textId="04CDCCEF" w:rsidR="00EA1876" w:rsidRPr="00EA1876" w:rsidRDefault="00EA1876" w:rsidP="00EA1876">
      <w:pPr>
        <w:pStyle w:val="EndNoteBibliography"/>
        <w:ind w:left="720" w:hanging="720"/>
        <w:rPr>
          <w:noProof/>
        </w:rPr>
      </w:pPr>
      <w:r w:rsidRPr="00EA1876">
        <w:rPr>
          <w:noProof/>
        </w:rPr>
        <w:t xml:space="preserve">Prentice, C. (2009). Relational dialectics among in-laws. </w:t>
      </w:r>
      <w:r w:rsidRPr="00EA1876">
        <w:rPr>
          <w:i/>
          <w:noProof/>
        </w:rPr>
        <w:t>Journal of Family Communication, 9</w:t>
      </w:r>
      <w:r w:rsidRPr="00EA1876">
        <w:rPr>
          <w:noProof/>
        </w:rPr>
        <w:t xml:space="preserve">(2), 67-89. </w:t>
      </w:r>
      <w:hyperlink r:id="rId165" w:history="1">
        <w:r w:rsidRPr="00EA1876">
          <w:rPr>
            <w:rStyle w:val="Hyperlink"/>
            <w:noProof/>
          </w:rPr>
          <w:t>https://doi.org/10.1080/15267430802561667</w:t>
        </w:r>
      </w:hyperlink>
      <w:r w:rsidRPr="00EA1876">
        <w:rPr>
          <w:noProof/>
        </w:rPr>
        <w:t xml:space="preserve"> </w:t>
      </w:r>
    </w:p>
    <w:p w14:paraId="2179B35F" w14:textId="77777777" w:rsidR="00EA1876" w:rsidRPr="00EA1876" w:rsidRDefault="00EA1876" w:rsidP="00EA1876">
      <w:pPr>
        <w:pStyle w:val="EndNoteBibliography"/>
        <w:ind w:left="720" w:hanging="720"/>
        <w:rPr>
          <w:noProof/>
        </w:rPr>
      </w:pPr>
      <w:r w:rsidRPr="00EA1876">
        <w:rPr>
          <w:noProof/>
        </w:rPr>
        <w:t xml:space="preserve">Prothero, S. (2001). </w:t>
      </w:r>
      <w:r w:rsidRPr="00EA1876">
        <w:rPr>
          <w:i/>
          <w:noProof/>
        </w:rPr>
        <w:t>Purified by fire: A history of cremation in America</w:t>
      </w:r>
      <w:r w:rsidRPr="00EA1876">
        <w:rPr>
          <w:noProof/>
        </w:rPr>
        <w:t xml:space="preserve">. Univ of California Press. </w:t>
      </w:r>
    </w:p>
    <w:p w14:paraId="57C4BCB1" w14:textId="411AD2C1" w:rsidR="00EA1876" w:rsidRPr="00EA1876" w:rsidRDefault="00EA1876" w:rsidP="00EA1876">
      <w:pPr>
        <w:pStyle w:val="EndNoteBibliography"/>
        <w:ind w:left="720" w:hanging="720"/>
        <w:rPr>
          <w:noProof/>
        </w:rPr>
      </w:pPr>
      <w:r w:rsidRPr="00EA1876">
        <w:rPr>
          <w:noProof/>
        </w:rPr>
        <w:lastRenderedPageBreak/>
        <w:t xml:space="preserve">Putnam, L. L., Fairhurst, G. T., &amp; Banghart, S. (2016). Contradictions, dialectics, and paradoxes in organizations: A constitutive approach. </w:t>
      </w:r>
      <w:r w:rsidRPr="00EA1876">
        <w:rPr>
          <w:i/>
          <w:noProof/>
        </w:rPr>
        <w:t>Academy of Management Annals, 10</w:t>
      </w:r>
      <w:r w:rsidRPr="00EA1876">
        <w:rPr>
          <w:noProof/>
        </w:rPr>
        <w:t xml:space="preserve">(1), 65-171. </w:t>
      </w:r>
      <w:hyperlink r:id="rId166" w:history="1">
        <w:r w:rsidRPr="00EA1876">
          <w:rPr>
            <w:rStyle w:val="Hyperlink"/>
            <w:noProof/>
          </w:rPr>
          <w:t>https://doi.org/10.1080/19416520.2016.1162421</w:t>
        </w:r>
      </w:hyperlink>
      <w:r w:rsidRPr="00EA1876">
        <w:rPr>
          <w:noProof/>
        </w:rPr>
        <w:t xml:space="preserve"> </w:t>
      </w:r>
    </w:p>
    <w:p w14:paraId="3D1D302A" w14:textId="77777777" w:rsidR="00EA1876" w:rsidRPr="00EA1876" w:rsidRDefault="00EA1876" w:rsidP="00EA1876">
      <w:pPr>
        <w:pStyle w:val="EndNoteBibliography"/>
        <w:ind w:left="720" w:hanging="720"/>
        <w:rPr>
          <w:noProof/>
        </w:rPr>
      </w:pPr>
      <w:r w:rsidRPr="00EA1876">
        <w:rPr>
          <w:noProof/>
        </w:rPr>
        <w:t xml:space="preserve">Quigley, C. (2005). </w:t>
      </w:r>
      <w:r w:rsidRPr="00EA1876">
        <w:rPr>
          <w:i/>
          <w:noProof/>
        </w:rPr>
        <w:t>The corpse: A history</w:t>
      </w:r>
      <w:r w:rsidRPr="00EA1876">
        <w:rPr>
          <w:noProof/>
        </w:rPr>
        <w:t xml:space="preserve">. McFarland. </w:t>
      </w:r>
    </w:p>
    <w:p w14:paraId="216B2778" w14:textId="6E0DCC60" w:rsidR="00EA1876" w:rsidRPr="00EA1876" w:rsidRDefault="00EA1876" w:rsidP="00EA1876">
      <w:pPr>
        <w:pStyle w:val="EndNoteBibliography"/>
        <w:ind w:left="720" w:hanging="720"/>
        <w:rPr>
          <w:noProof/>
        </w:rPr>
      </w:pPr>
      <w:r w:rsidRPr="00EA1876">
        <w:rPr>
          <w:noProof/>
        </w:rPr>
        <w:t xml:space="preserve">Raff, S. J. (1976). The Life of Riley. </w:t>
      </w:r>
      <w:r w:rsidRPr="00EA1876">
        <w:rPr>
          <w:i/>
          <w:noProof/>
        </w:rPr>
        <w:t>American Speech, 51</w:t>
      </w:r>
      <w:r w:rsidRPr="00EA1876">
        <w:rPr>
          <w:noProof/>
        </w:rPr>
        <w:t xml:space="preserve">(1/2), 94-101. </w:t>
      </w:r>
      <w:hyperlink r:id="rId167" w:history="1">
        <w:r w:rsidRPr="00EA1876">
          <w:rPr>
            <w:rStyle w:val="Hyperlink"/>
            <w:noProof/>
          </w:rPr>
          <w:t>https://doi.org/10.2307/455359</w:t>
        </w:r>
      </w:hyperlink>
      <w:r w:rsidRPr="00EA1876">
        <w:rPr>
          <w:noProof/>
        </w:rPr>
        <w:t xml:space="preserve"> </w:t>
      </w:r>
    </w:p>
    <w:p w14:paraId="7A431AD9" w14:textId="77777777" w:rsidR="00EA1876" w:rsidRPr="00EA1876" w:rsidRDefault="00EA1876" w:rsidP="00EA1876">
      <w:pPr>
        <w:pStyle w:val="EndNoteBibliography"/>
        <w:ind w:left="720" w:hanging="720"/>
        <w:rPr>
          <w:noProof/>
        </w:rPr>
      </w:pPr>
      <w:r w:rsidRPr="00EA1876">
        <w:rPr>
          <w:noProof/>
        </w:rPr>
        <w:t xml:space="preserve">Rahim, M. A. (2023). </w:t>
      </w:r>
      <w:r w:rsidRPr="00EA1876">
        <w:rPr>
          <w:i/>
          <w:noProof/>
        </w:rPr>
        <w:t>Managing conflict in organizations</w:t>
      </w:r>
      <w:r w:rsidRPr="00EA1876">
        <w:rPr>
          <w:noProof/>
        </w:rPr>
        <w:t xml:space="preserve">. Routledge. </w:t>
      </w:r>
    </w:p>
    <w:p w14:paraId="29625B06" w14:textId="77777777" w:rsidR="00EA1876" w:rsidRPr="00EA1876" w:rsidRDefault="00EA1876" w:rsidP="00EA1876">
      <w:pPr>
        <w:pStyle w:val="EndNoteBibliography"/>
        <w:ind w:left="720" w:hanging="720"/>
        <w:rPr>
          <w:noProof/>
        </w:rPr>
      </w:pPr>
      <w:r w:rsidRPr="00EA1876">
        <w:rPr>
          <w:noProof/>
        </w:rPr>
        <w:t xml:space="preserve">Rando, T. A. (1984). </w:t>
      </w:r>
      <w:r w:rsidRPr="00EA1876">
        <w:rPr>
          <w:i/>
          <w:noProof/>
        </w:rPr>
        <w:t>Grief, dying, and death : clinical interventions for caregivers</w:t>
      </w:r>
      <w:r w:rsidRPr="00EA1876">
        <w:rPr>
          <w:noProof/>
        </w:rPr>
        <w:t xml:space="preserve">. Research Press Co. </w:t>
      </w:r>
    </w:p>
    <w:p w14:paraId="7714E598" w14:textId="2CD35605" w:rsidR="00EA1876" w:rsidRPr="00EA1876" w:rsidRDefault="00EA1876" w:rsidP="00EA1876">
      <w:pPr>
        <w:pStyle w:val="EndNoteBibliography"/>
        <w:ind w:left="720" w:hanging="720"/>
        <w:rPr>
          <w:noProof/>
        </w:rPr>
      </w:pPr>
      <w:r w:rsidRPr="00EA1876">
        <w:rPr>
          <w:noProof/>
        </w:rPr>
        <w:t xml:space="preserve">Raudasoja, M., Sorkkila, M., Laitila, A., &amp; Aunola, K. (2022). “I feel many contradictory emotions”: Finnish mothers' discursive struggles with motherhood. </w:t>
      </w:r>
      <w:r w:rsidRPr="00EA1876">
        <w:rPr>
          <w:i/>
          <w:noProof/>
        </w:rPr>
        <w:t>Journal of Marriage and Family, 84</w:t>
      </w:r>
      <w:r w:rsidRPr="00EA1876">
        <w:rPr>
          <w:noProof/>
        </w:rPr>
        <w:t xml:space="preserve">(3), 752-772. </w:t>
      </w:r>
      <w:hyperlink r:id="rId168" w:history="1">
        <w:r w:rsidRPr="00EA1876">
          <w:rPr>
            <w:rStyle w:val="Hyperlink"/>
            <w:noProof/>
          </w:rPr>
          <w:t>https://doi.org/10.1111/jomf.12828</w:t>
        </w:r>
      </w:hyperlink>
      <w:r w:rsidRPr="00EA1876">
        <w:rPr>
          <w:noProof/>
        </w:rPr>
        <w:t xml:space="preserve"> </w:t>
      </w:r>
    </w:p>
    <w:p w14:paraId="7DFDD642" w14:textId="2E10B80D" w:rsidR="00EA1876" w:rsidRPr="00EA1876" w:rsidRDefault="00EA1876" w:rsidP="00EA1876">
      <w:pPr>
        <w:pStyle w:val="EndNoteBibliography"/>
        <w:ind w:left="720" w:hanging="720"/>
        <w:rPr>
          <w:noProof/>
        </w:rPr>
      </w:pPr>
      <w:r w:rsidRPr="00EA1876">
        <w:rPr>
          <w:noProof/>
        </w:rPr>
        <w:t xml:space="preserve">Reher, D. S. (2011). Economic and social implications of the demographic transition. </w:t>
      </w:r>
      <w:r w:rsidRPr="00EA1876">
        <w:rPr>
          <w:i/>
          <w:noProof/>
        </w:rPr>
        <w:t>Population and development review, 37</w:t>
      </w:r>
      <w:r w:rsidRPr="00EA1876">
        <w:rPr>
          <w:noProof/>
        </w:rPr>
        <w:t xml:space="preserve">, 11-33. </w:t>
      </w:r>
      <w:hyperlink r:id="rId169" w:history="1">
        <w:r w:rsidRPr="00EA1876">
          <w:rPr>
            <w:rStyle w:val="Hyperlink"/>
            <w:noProof/>
          </w:rPr>
          <w:t>https://www.jstor.org/stable/41762397</w:t>
        </w:r>
      </w:hyperlink>
      <w:r w:rsidRPr="00EA1876">
        <w:rPr>
          <w:noProof/>
        </w:rPr>
        <w:t xml:space="preserve"> </w:t>
      </w:r>
    </w:p>
    <w:p w14:paraId="40B5EF13" w14:textId="43C2FA1D" w:rsidR="00EA1876" w:rsidRPr="00EA1876" w:rsidRDefault="00EA1876" w:rsidP="00EA1876">
      <w:pPr>
        <w:pStyle w:val="EndNoteBibliography"/>
        <w:ind w:left="720" w:hanging="720"/>
        <w:rPr>
          <w:noProof/>
        </w:rPr>
      </w:pPr>
      <w:r w:rsidRPr="00EA1876">
        <w:rPr>
          <w:noProof/>
        </w:rPr>
        <w:t xml:space="preserve">Reimers, D. M. (1983). An unintended reform: The 1965 Immigration Act and Third World Immigration to the United States. </w:t>
      </w:r>
      <w:r w:rsidRPr="00EA1876">
        <w:rPr>
          <w:i/>
          <w:noProof/>
        </w:rPr>
        <w:t>Journal of American Ethnic History, 3</w:t>
      </w:r>
      <w:r w:rsidRPr="00EA1876">
        <w:rPr>
          <w:noProof/>
        </w:rPr>
        <w:t xml:space="preserve">(1), 9-28. </w:t>
      </w:r>
      <w:hyperlink r:id="rId170" w:history="1">
        <w:r w:rsidRPr="00EA1876">
          <w:rPr>
            <w:rStyle w:val="Hyperlink"/>
            <w:noProof/>
          </w:rPr>
          <w:t>http://www.jstor.org/stable/27500293</w:t>
        </w:r>
      </w:hyperlink>
      <w:r w:rsidRPr="00EA1876">
        <w:rPr>
          <w:noProof/>
        </w:rPr>
        <w:t xml:space="preserve"> </w:t>
      </w:r>
    </w:p>
    <w:p w14:paraId="3435EB79" w14:textId="3FC8E11C" w:rsidR="00EA1876" w:rsidRPr="00EA1876" w:rsidRDefault="00EA1876" w:rsidP="00EA1876">
      <w:pPr>
        <w:pStyle w:val="EndNoteBibliography"/>
        <w:ind w:left="720" w:hanging="720"/>
        <w:rPr>
          <w:noProof/>
        </w:rPr>
      </w:pPr>
      <w:r w:rsidRPr="00EA1876">
        <w:rPr>
          <w:noProof/>
        </w:rPr>
        <w:t xml:space="preserve">Reimers, E. (1999). Death and identity: Graves and funerals as cultural communication. </w:t>
      </w:r>
      <w:r w:rsidRPr="00EA1876">
        <w:rPr>
          <w:i/>
          <w:noProof/>
        </w:rPr>
        <w:t>Mortality, 4</w:t>
      </w:r>
      <w:r w:rsidRPr="00EA1876">
        <w:rPr>
          <w:noProof/>
        </w:rPr>
        <w:t xml:space="preserve">(2), 147-166. </w:t>
      </w:r>
      <w:hyperlink r:id="rId171" w:history="1">
        <w:r w:rsidRPr="00EA1876">
          <w:rPr>
            <w:rStyle w:val="Hyperlink"/>
            <w:noProof/>
          </w:rPr>
          <w:t>https://doi.org/10.1080/713685976</w:t>
        </w:r>
      </w:hyperlink>
      <w:r w:rsidRPr="00EA1876">
        <w:rPr>
          <w:noProof/>
        </w:rPr>
        <w:t xml:space="preserve"> </w:t>
      </w:r>
    </w:p>
    <w:p w14:paraId="5D1B4DCC" w14:textId="14DD85FA" w:rsidR="00EA1876" w:rsidRPr="00EA1876" w:rsidRDefault="00EA1876" w:rsidP="00EA1876">
      <w:pPr>
        <w:pStyle w:val="EndNoteBibliography"/>
        <w:ind w:left="720" w:hanging="720"/>
        <w:rPr>
          <w:noProof/>
        </w:rPr>
      </w:pPr>
      <w:r w:rsidRPr="00EA1876">
        <w:rPr>
          <w:noProof/>
        </w:rPr>
        <w:t xml:space="preserve">Reynolds, D. K., &amp; Kalish, R. A. (1974). Work roles in death-releated occupations. </w:t>
      </w:r>
      <w:r w:rsidRPr="00EA1876">
        <w:rPr>
          <w:i/>
          <w:noProof/>
        </w:rPr>
        <w:t>Journal of Vocational Behavior, 4</w:t>
      </w:r>
      <w:r w:rsidRPr="00EA1876">
        <w:rPr>
          <w:noProof/>
        </w:rPr>
        <w:t xml:space="preserve">(2), 223-235. </w:t>
      </w:r>
      <w:hyperlink r:id="rId172" w:history="1">
        <w:r w:rsidRPr="00EA1876">
          <w:rPr>
            <w:rStyle w:val="Hyperlink"/>
            <w:noProof/>
          </w:rPr>
          <w:t>https://doi.org/10.1016/0001-8791(74)90106-7</w:t>
        </w:r>
      </w:hyperlink>
      <w:r w:rsidRPr="00EA1876">
        <w:rPr>
          <w:noProof/>
        </w:rPr>
        <w:t xml:space="preserve"> </w:t>
      </w:r>
    </w:p>
    <w:p w14:paraId="3CFD5F73" w14:textId="0D97ABA7" w:rsidR="00EA1876" w:rsidRPr="00EA1876" w:rsidRDefault="00EA1876" w:rsidP="00EA1876">
      <w:pPr>
        <w:pStyle w:val="EndNoteBibliography"/>
        <w:ind w:left="720" w:hanging="720"/>
        <w:rPr>
          <w:noProof/>
        </w:rPr>
      </w:pPr>
      <w:r w:rsidRPr="00EA1876">
        <w:rPr>
          <w:noProof/>
        </w:rPr>
        <w:lastRenderedPageBreak/>
        <w:t xml:space="preserve">Riley, J., Entwistle, V., Arnason, A., Locock, L., Maccagno, P., Pattenden, A., &amp; Crozier, R. (2023). Hybrid funerals: how online attendance facilitates and impedes participation. </w:t>
      </w:r>
      <w:r w:rsidRPr="00EA1876">
        <w:rPr>
          <w:i/>
          <w:noProof/>
        </w:rPr>
        <w:t>Mortality</w:t>
      </w:r>
      <w:r w:rsidRPr="00EA1876">
        <w:rPr>
          <w:noProof/>
        </w:rPr>
        <w:t xml:space="preserve">, 1-19. </w:t>
      </w:r>
      <w:hyperlink r:id="rId173" w:history="1">
        <w:r w:rsidRPr="00EA1876">
          <w:rPr>
            <w:rStyle w:val="Hyperlink"/>
            <w:noProof/>
          </w:rPr>
          <w:t>https://doi.org/10.1080/13576275.2023.2201421</w:t>
        </w:r>
      </w:hyperlink>
      <w:r w:rsidRPr="00EA1876">
        <w:rPr>
          <w:noProof/>
        </w:rPr>
        <w:t xml:space="preserve"> </w:t>
      </w:r>
    </w:p>
    <w:p w14:paraId="4E7A6538" w14:textId="3F34175C" w:rsidR="00EA1876" w:rsidRPr="00EA1876" w:rsidRDefault="00EA1876" w:rsidP="00EA1876">
      <w:pPr>
        <w:pStyle w:val="EndNoteBibliography"/>
        <w:ind w:left="720" w:hanging="720"/>
        <w:rPr>
          <w:noProof/>
        </w:rPr>
      </w:pPr>
      <w:r w:rsidRPr="00EA1876">
        <w:rPr>
          <w:noProof/>
        </w:rPr>
        <w:t xml:space="preserve">Riley Jr., J. W. (1983). Dying and the meanings of death: Sociological inquiries. </w:t>
      </w:r>
      <w:r w:rsidRPr="00EA1876">
        <w:rPr>
          <w:i/>
          <w:noProof/>
        </w:rPr>
        <w:t>Annual review of sociology, 9</w:t>
      </w:r>
      <w:r w:rsidRPr="00EA1876">
        <w:rPr>
          <w:noProof/>
        </w:rPr>
        <w:t xml:space="preserve">(1), 191-216. </w:t>
      </w:r>
      <w:hyperlink r:id="rId174" w:history="1">
        <w:r w:rsidRPr="00EA1876">
          <w:rPr>
            <w:rStyle w:val="Hyperlink"/>
            <w:noProof/>
          </w:rPr>
          <w:t>https://doi.org/10.1146/annurev.so.09.080183.001203</w:t>
        </w:r>
      </w:hyperlink>
      <w:r w:rsidRPr="00EA1876">
        <w:rPr>
          <w:noProof/>
        </w:rPr>
        <w:t xml:space="preserve"> </w:t>
      </w:r>
    </w:p>
    <w:p w14:paraId="700E1FB5" w14:textId="5DC8273F" w:rsidR="00EA1876" w:rsidRPr="00EA1876" w:rsidRDefault="00EA1876" w:rsidP="00EA1876">
      <w:pPr>
        <w:pStyle w:val="EndNoteBibliography"/>
        <w:ind w:left="720" w:hanging="720"/>
        <w:rPr>
          <w:noProof/>
        </w:rPr>
      </w:pPr>
      <w:r w:rsidRPr="00EA1876">
        <w:rPr>
          <w:noProof/>
        </w:rPr>
        <w:t xml:space="preserve">Ritzer, G. (1983). The “McDonaldization” of Society. </w:t>
      </w:r>
      <w:r w:rsidRPr="00EA1876">
        <w:rPr>
          <w:i/>
          <w:noProof/>
        </w:rPr>
        <w:t>Journal of American Culture, 6</w:t>
      </w:r>
      <w:r w:rsidRPr="00EA1876">
        <w:rPr>
          <w:noProof/>
        </w:rPr>
        <w:t xml:space="preserve">(1), 100-107. </w:t>
      </w:r>
      <w:hyperlink r:id="rId175" w:history="1">
        <w:r w:rsidRPr="00EA1876">
          <w:rPr>
            <w:rStyle w:val="Hyperlink"/>
            <w:noProof/>
          </w:rPr>
          <w:t>https://doi.org/10.1111/j.1542-734X.1983.0601_100.x</w:t>
        </w:r>
      </w:hyperlink>
      <w:r w:rsidRPr="00EA1876">
        <w:rPr>
          <w:noProof/>
        </w:rPr>
        <w:t xml:space="preserve"> </w:t>
      </w:r>
    </w:p>
    <w:p w14:paraId="7377AEB1" w14:textId="77777777" w:rsidR="00EA1876" w:rsidRPr="00EA1876" w:rsidRDefault="00EA1876" w:rsidP="00EA1876">
      <w:pPr>
        <w:pStyle w:val="EndNoteBibliography"/>
        <w:ind w:left="720" w:hanging="720"/>
        <w:rPr>
          <w:noProof/>
        </w:rPr>
      </w:pPr>
      <w:r w:rsidRPr="00EA1876">
        <w:rPr>
          <w:noProof/>
        </w:rPr>
        <w:t xml:space="preserve">Ritzer, G. (2013). </w:t>
      </w:r>
      <w:r w:rsidRPr="00EA1876">
        <w:rPr>
          <w:i/>
          <w:noProof/>
        </w:rPr>
        <w:t>The McDonaldization of society</w:t>
      </w:r>
      <w:r w:rsidRPr="00EA1876">
        <w:rPr>
          <w:noProof/>
        </w:rPr>
        <w:t xml:space="preserve"> (20th anniversary, 7th ed.). Sage. </w:t>
      </w:r>
    </w:p>
    <w:p w14:paraId="5ECBC6F7" w14:textId="77777777" w:rsidR="00EA1876" w:rsidRPr="00EA1876" w:rsidRDefault="00EA1876" w:rsidP="00EA1876">
      <w:pPr>
        <w:pStyle w:val="EndNoteBibliography"/>
        <w:ind w:left="720" w:hanging="720"/>
        <w:rPr>
          <w:noProof/>
        </w:rPr>
      </w:pPr>
      <w:r w:rsidRPr="00EA1876">
        <w:rPr>
          <w:noProof/>
        </w:rPr>
        <w:t xml:space="preserve">Roark, M. O. (1979). </w:t>
      </w:r>
      <w:r w:rsidRPr="00EA1876">
        <w:rPr>
          <w:i/>
          <w:noProof/>
        </w:rPr>
        <w:t>Oklahoma Territory: Frontier Development, Migration, and Culture Areas</w:t>
      </w:r>
      <w:r w:rsidRPr="00EA1876">
        <w:rPr>
          <w:noProof/>
        </w:rPr>
        <w:t xml:space="preserve"> (Publication Number 7925652) [Ph.D., Syracuse University]. ProQuest Dissertations &amp; Theses Global. United States -- New York. </w:t>
      </w:r>
    </w:p>
    <w:p w14:paraId="7D9921EE" w14:textId="441160CA" w:rsidR="00EA1876" w:rsidRPr="00EA1876" w:rsidRDefault="00EA1876" w:rsidP="00EA1876">
      <w:pPr>
        <w:pStyle w:val="EndNoteBibliography"/>
        <w:ind w:left="720" w:hanging="720"/>
        <w:rPr>
          <w:noProof/>
        </w:rPr>
      </w:pPr>
      <w:r w:rsidRPr="00EA1876">
        <w:rPr>
          <w:noProof/>
        </w:rPr>
        <w:t xml:space="preserve">Roberts, P. (2004). The living and the dead: Community in the virtual cemetery. </w:t>
      </w:r>
      <w:r w:rsidRPr="00EA1876">
        <w:rPr>
          <w:i/>
          <w:noProof/>
        </w:rPr>
        <w:t>OMEGA - Journal of Death and Dying, 49</w:t>
      </w:r>
      <w:r w:rsidRPr="00EA1876">
        <w:rPr>
          <w:noProof/>
        </w:rPr>
        <w:t xml:space="preserve">(1), 57-76. </w:t>
      </w:r>
      <w:hyperlink r:id="rId176" w:history="1">
        <w:r w:rsidRPr="00EA1876">
          <w:rPr>
            <w:rStyle w:val="Hyperlink"/>
            <w:noProof/>
          </w:rPr>
          <w:t>https://doi.org/10.2190/d41t-yfnn-109k-wr4c</w:t>
        </w:r>
      </w:hyperlink>
      <w:r w:rsidRPr="00EA1876">
        <w:rPr>
          <w:noProof/>
        </w:rPr>
        <w:t xml:space="preserve"> </w:t>
      </w:r>
    </w:p>
    <w:p w14:paraId="3427C1DB" w14:textId="79AD5EDE" w:rsidR="00EA1876" w:rsidRPr="00EA1876" w:rsidRDefault="00EA1876" w:rsidP="00EA1876">
      <w:pPr>
        <w:pStyle w:val="EndNoteBibliography"/>
        <w:ind w:left="720" w:hanging="720"/>
        <w:rPr>
          <w:noProof/>
        </w:rPr>
      </w:pPr>
      <w:r w:rsidRPr="00EA1876">
        <w:rPr>
          <w:noProof/>
        </w:rPr>
        <w:t xml:space="preserve">Robinson, C., &amp; Pond, D. R. (2019). Do online support groups for grief benefit the bereaved? Systematic review of the quantitative and qualitative literature. </w:t>
      </w:r>
      <w:r w:rsidRPr="00EA1876">
        <w:rPr>
          <w:i/>
          <w:noProof/>
        </w:rPr>
        <w:t>Computers in Human Behavior, 100</w:t>
      </w:r>
      <w:r w:rsidRPr="00EA1876">
        <w:rPr>
          <w:noProof/>
        </w:rPr>
        <w:t xml:space="preserve">, 48-59. </w:t>
      </w:r>
      <w:hyperlink r:id="rId177" w:history="1">
        <w:r w:rsidRPr="00EA1876">
          <w:rPr>
            <w:rStyle w:val="Hyperlink"/>
            <w:noProof/>
          </w:rPr>
          <w:t>https://doi.org/10.1016/j.chb.2019.06.011</w:t>
        </w:r>
      </w:hyperlink>
      <w:r w:rsidRPr="00EA1876">
        <w:rPr>
          <w:noProof/>
        </w:rPr>
        <w:t xml:space="preserve"> </w:t>
      </w:r>
    </w:p>
    <w:p w14:paraId="444AE89D" w14:textId="7A01AF62" w:rsidR="00EA1876" w:rsidRPr="00EA1876" w:rsidRDefault="00EA1876" w:rsidP="00EA1876">
      <w:pPr>
        <w:pStyle w:val="EndNoteBibliography"/>
        <w:ind w:left="720" w:hanging="720"/>
        <w:rPr>
          <w:noProof/>
        </w:rPr>
      </w:pPr>
      <w:r w:rsidRPr="00EA1876">
        <w:rPr>
          <w:noProof/>
        </w:rPr>
        <w:t xml:space="preserve">Robison, L., Oliver, J., &amp; Frank, K. (2015). </w:t>
      </w:r>
      <w:r w:rsidRPr="00EA1876">
        <w:rPr>
          <w:i/>
          <w:noProof/>
        </w:rPr>
        <w:t>Commodity and Relational Good Exchanges: Commodification and Decommodification</w:t>
      </w:r>
      <w:r w:rsidRPr="00EA1876">
        <w:rPr>
          <w:noProof/>
        </w:rPr>
        <w:t xml:space="preserve"> 2015 Allied Social Sciences Association (ASSA) Annual Meeting, Boston, Massachusetts. </w:t>
      </w:r>
      <w:hyperlink r:id="rId178" w:history="1">
        <w:r w:rsidRPr="00EA1876">
          <w:rPr>
            <w:rStyle w:val="Hyperlink"/>
            <w:noProof/>
          </w:rPr>
          <w:t>http://purl.umn.edu/189690</w:t>
        </w:r>
      </w:hyperlink>
    </w:p>
    <w:p w14:paraId="4C7A1ADC" w14:textId="0B7D109A" w:rsidR="00EA1876" w:rsidRPr="00EA1876" w:rsidRDefault="00EA1876" w:rsidP="00EA1876">
      <w:pPr>
        <w:pStyle w:val="EndNoteBibliography"/>
        <w:ind w:left="720" w:hanging="720"/>
        <w:rPr>
          <w:noProof/>
        </w:rPr>
      </w:pPr>
      <w:r w:rsidRPr="00EA1876">
        <w:rPr>
          <w:noProof/>
        </w:rPr>
        <w:t xml:space="preserve">Roisman, G. I., Clausell, E., Holland, A., Fortuna, K., &amp; Elieff, C. (2008). Adult romantic relationships as contexts of human development: A multimethod comparison of same-sex couples with opposite-sex dating, engaged, and married dyads. </w:t>
      </w:r>
      <w:r w:rsidRPr="00EA1876">
        <w:rPr>
          <w:i/>
          <w:noProof/>
        </w:rPr>
        <w:t>Developmental Psychology, 44</w:t>
      </w:r>
      <w:r w:rsidRPr="00EA1876">
        <w:rPr>
          <w:noProof/>
        </w:rPr>
        <w:t xml:space="preserve">(1), 91-101. </w:t>
      </w:r>
      <w:hyperlink r:id="rId179" w:history="1">
        <w:r w:rsidRPr="00EA1876">
          <w:rPr>
            <w:rStyle w:val="Hyperlink"/>
            <w:noProof/>
          </w:rPr>
          <w:t>https://doi.org/10.1037/0012-1649.44.1.91</w:t>
        </w:r>
      </w:hyperlink>
      <w:r w:rsidRPr="00EA1876">
        <w:rPr>
          <w:noProof/>
        </w:rPr>
        <w:t xml:space="preserve"> </w:t>
      </w:r>
    </w:p>
    <w:p w14:paraId="34D88979" w14:textId="6FFEF5A6" w:rsidR="00EA1876" w:rsidRPr="00EA1876" w:rsidRDefault="00EA1876" w:rsidP="00EA1876">
      <w:pPr>
        <w:pStyle w:val="EndNoteBibliography"/>
        <w:ind w:left="720" w:hanging="720"/>
        <w:rPr>
          <w:noProof/>
        </w:rPr>
      </w:pPr>
      <w:r w:rsidRPr="00EA1876">
        <w:rPr>
          <w:noProof/>
        </w:rPr>
        <w:lastRenderedPageBreak/>
        <w:t xml:space="preserve">Room, G. (2000). Commodification and decommodification: a developmental critique. </w:t>
      </w:r>
      <w:r w:rsidRPr="00EA1876">
        <w:rPr>
          <w:i/>
          <w:noProof/>
        </w:rPr>
        <w:t>Policy &amp; Politics, 28</w:t>
      </w:r>
      <w:r w:rsidRPr="00EA1876">
        <w:rPr>
          <w:noProof/>
        </w:rPr>
        <w:t xml:space="preserve">(3), 331-351. </w:t>
      </w:r>
      <w:hyperlink r:id="rId180" w:history="1">
        <w:r w:rsidRPr="00EA1876">
          <w:rPr>
            <w:rStyle w:val="Hyperlink"/>
            <w:noProof/>
          </w:rPr>
          <w:t>https://doi.org/10.1332/0305573002501009</w:t>
        </w:r>
      </w:hyperlink>
      <w:r w:rsidRPr="00EA1876">
        <w:rPr>
          <w:noProof/>
        </w:rPr>
        <w:t xml:space="preserve"> </w:t>
      </w:r>
    </w:p>
    <w:p w14:paraId="317F1394" w14:textId="77777777" w:rsidR="00EA1876" w:rsidRPr="00EA1876" w:rsidRDefault="00EA1876" w:rsidP="00EA1876">
      <w:pPr>
        <w:pStyle w:val="EndNoteBibliography"/>
        <w:ind w:left="720" w:hanging="720"/>
        <w:rPr>
          <w:noProof/>
        </w:rPr>
      </w:pPr>
      <w:r w:rsidRPr="00EA1876">
        <w:rPr>
          <w:noProof/>
        </w:rPr>
        <w:t xml:space="preserve">Runstrom, M. R. (2015). </w:t>
      </w:r>
      <w:r w:rsidRPr="00EA1876">
        <w:rPr>
          <w:i/>
          <w:noProof/>
        </w:rPr>
        <w:t>Death in life: approaches to the contemporary denial of death in theoretical &amp; experimental psychology and continental philosophy</w:t>
      </w:r>
      <w:r w:rsidRPr="00EA1876">
        <w:rPr>
          <w:noProof/>
        </w:rPr>
        <w:t xml:space="preserve"> [dissertation, DePaul University.]. </w:t>
      </w:r>
    </w:p>
    <w:p w14:paraId="76EE9AAF" w14:textId="312A7912" w:rsidR="00EA1876" w:rsidRPr="00EA1876" w:rsidRDefault="00EA1876" w:rsidP="00EA1876">
      <w:pPr>
        <w:pStyle w:val="EndNoteBibliography"/>
        <w:ind w:left="720" w:hanging="720"/>
        <w:rPr>
          <w:noProof/>
        </w:rPr>
      </w:pPr>
      <w:r w:rsidRPr="00EA1876">
        <w:rPr>
          <w:noProof/>
        </w:rPr>
        <w:t xml:space="preserve">Sahlstein, E., Maguire, K. C., &amp; Timmerman, L. (2009). Contradictions and praxis contextualized by wartime deployment: Wives' perspectives revealed through relational dialectics. </w:t>
      </w:r>
      <w:r w:rsidRPr="00EA1876">
        <w:rPr>
          <w:i/>
          <w:noProof/>
        </w:rPr>
        <w:t>Communication Monographs, 76</w:t>
      </w:r>
      <w:r w:rsidRPr="00EA1876">
        <w:rPr>
          <w:noProof/>
        </w:rPr>
        <w:t xml:space="preserve">(4), 421-442. </w:t>
      </w:r>
      <w:hyperlink r:id="rId181" w:history="1">
        <w:r w:rsidRPr="00EA1876">
          <w:rPr>
            <w:rStyle w:val="Hyperlink"/>
            <w:noProof/>
          </w:rPr>
          <w:t>https://doi.org/10.1080/03637750903300239</w:t>
        </w:r>
      </w:hyperlink>
      <w:r w:rsidRPr="00EA1876">
        <w:rPr>
          <w:noProof/>
        </w:rPr>
        <w:t xml:space="preserve"> </w:t>
      </w:r>
    </w:p>
    <w:p w14:paraId="73DA7D4B" w14:textId="29133402" w:rsidR="00EA1876" w:rsidRPr="00EA1876" w:rsidRDefault="00EA1876" w:rsidP="00EA1876">
      <w:pPr>
        <w:pStyle w:val="EndNoteBibliography"/>
        <w:ind w:left="720" w:hanging="720"/>
        <w:rPr>
          <w:noProof/>
        </w:rPr>
      </w:pPr>
      <w:r w:rsidRPr="00EA1876">
        <w:rPr>
          <w:noProof/>
        </w:rPr>
        <w:t xml:space="preserve">Sanders, G. (2009). “Late” Capital: Amusement and Contradiction in the Contemporary Funeral Industry. </w:t>
      </w:r>
      <w:r w:rsidRPr="00EA1876">
        <w:rPr>
          <w:i/>
          <w:noProof/>
        </w:rPr>
        <w:t>Critical Sociology, 35</w:t>
      </w:r>
      <w:r w:rsidRPr="00EA1876">
        <w:rPr>
          <w:noProof/>
        </w:rPr>
        <w:t xml:space="preserve">(4), 447-470. </w:t>
      </w:r>
      <w:hyperlink r:id="rId182" w:history="1">
        <w:r w:rsidRPr="00EA1876">
          <w:rPr>
            <w:rStyle w:val="Hyperlink"/>
            <w:noProof/>
          </w:rPr>
          <w:t>https://doi.org/10.1177/0896920509103978</w:t>
        </w:r>
      </w:hyperlink>
      <w:r w:rsidRPr="00EA1876">
        <w:rPr>
          <w:noProof/>
        </w:rPr>
        <w:t xml:space="preserve"> </w:t>
      </w:r>
    </w:p>
    <w:p w14:paraId="12CCA72B" w14:textId="53C39203" w:rsidR="00EA1876" w:rsidRPr="00EA1876" w:rsidRDefault="00EA1876" w:rsidP="00EA1876">
      <w:pPr>
        <w:pStyle w:val="EndNoteBibliography"/>
        <w:ind w:left="720" w:hanging="720"/>
        <w:rPr>
          <w:noProof/>
        </w:rPr>
      </w:pPr>
      <w:r w:rsidRPr="00EA1876">
        <w:rPr>
          <w:noProof/>
        </w:rPr>
        <w:t xml:space="preserve">Sanders, G. (2012). Branding in the American funeral industry. </w:t>
      </w:r>
      <w:r w:rsidRPr="00EA1876">
        <w:rPr>
          <w:i/>
          <w:noProof/>
        </w:rPr>
        <w:t>Journal of Consumer Culture, 12</w:t>
      </w:r>
      <w:r w:rsidRPr="00EA1876">
        <w:rPr>
          <w:noProof/>
        </w:rPr>
        <w:t xml:space="preserve">(3), 263-282. </w:t>
      </w:r>
      <w:hyperlink r:id="rId183" w:history="1">
        <w:r w:rsidRPr="00EA1876">
          <w:rPr>
            <w:rStyle w:val="Hyperlink"/>
            <w:noProof/>
          </w:rPr>
          <w:t>https://doi.org/10.1177/1469540512456924</w:t>
        </w:r>
      </w:hyperlink>
      <w:r w:rsidRPr="00EA1876">
        <w:rPr>
          <w:noProof/>
        </w:rPr>
        <w:t xml:space="preserve"> </w:t>
      </w:r>
    </w:p>
    <w:p w14:paraId="098A1095" w14:textId="1B7382D1" w:rsidR="00EA1876" w:rsidRPr="00EA1876" w:rsidRDefault="00EA1876" w:rsidP="00EA1876">
      <w:pPr>
        <w:pStyle w:val="EndNoteBibliography"/>
        <w:ind w:left="720" w:hanging="720"/>
        <w:rPr>
          <w:noProof/>
        </w:rPr>
      </w:pPr>
      <w:r w:rsidRPr="00EA1876">
        <w:rPr>
          <w:noProof/>
        </w:rPr>
        <w:t xml:space="preserve">Saunders, C. (2000). The evolution of palliative care. </w:t>
      </w:r>
      <w:r w:rsidRPr="00EA1876">
        <w:rPr>
          <w:i/>
          <w:noProof/>
        </w:rPr>
        <w:t>Patient education and counseling, 41</w:t>
      </w:r>
      <w:r w:rsidRPr="00EA1876">
        <w:rPr>
          <w:noProof/>
        </w:rPr>
        <w:t xml:space="preserve">(1), 7-13. </w:t>
      </w:r>
      <w:hyperlink r:id="rId184" w:history="1">
        <w:r w:rsidRPr="00EA1876">
          <w:rPr>
            <w:rStyle w:val="Hyperlink"/>
            <w:noProof/>
          </w:rPr>
          <w:t>https://doi.org/10.1016/S0738-3991(00)00110-5</w:t>
        </w:r>
      </w:hyperlink>
      <w:r w:rsidRPr="00EA1876">
        <w:rPr>
          <w:noProof/>
        </w:rPr>
        <w:t xml:space="preserve"> </w:t>
      </w:r>
    </w:p>
    <w:p w14:paraId="04776E7C" w14:textId="77777777" w:rsidR="00EA1876" w:rsidRPr="00EA1876" w:rsidRDefault="00EA1876" w:rsidP="00EA1876">
      <w:pPr>
        <w:pStyle w:val="EndNoteBibliography"/>
        <w:ind w:left="720" w:hanging="720"/>
        <w:rPr>
          <w:noProof/>
        </w:rPr>
      </w:pPr>
      <w:r w:rsidRPr="00EA1876">
        <w:rPr>
          <w:noProof/>
        </w:rPr>
        <w:t xml:space="preserve">Saussure, F. d. (1959). </w:t>
      </w:r>
      <w:r w:rsidRPr="00EA1876">
        <w:rPr>
          <w:i/>
          <w:noProof/>
        </w:rPr>
        <w:t>Course in general linguistics</w:t>
      </w:r>
      <w:r w:rsidRPr="00EA1876">
        <w:rPr>
          <w:noProof/>
        </w:rPr>
        <w:t xml:space="preserve"> (W. Baskin, Trans.). McGraw-Hill. </w:t>
      </w:r>
    </w:p>
    <w:p w14:paraId="40FCE5FD" w14:textId="01A7FDBC" w:rsidR="00EA1876" w:rsidRPr="00EA1876" w:rsidRDefault="00EA1876" w:rsidP="00EA1876">
      <w:pPr>
        <w:pStyle w:val="EndNoteBibliography"/>
        <w:ind w:left="720" w:hanging="720"/>
        <w:rPr>
          <w:noProof/>
        </w:rPr>
      </w:pPr>
      <w:r w:rsidRPr="00EA1876">
        <w:rPr>
          <w:noProof/>
        </w:rPr>
        <w:t xml:space="preserve">Schafer, C. (2007). Post-mortem personalization: pastoral power and the New Zealand funeral director. </w:t>
      </w:r>
      <w:r w:rsidRPr="00EA1876">
        <w:rPr>
          <w:i/>
          <w:noProof/>
        </w:rPr>
        <w:t>Mortality, 12</w:t>
      </w:r>
      <w:r w:rsidRPr="00EA1876">
        <w:rPr>
          <w:noProof/>
        </w:rPr>
        <w:t xml:space="preserve">(1), 4-21. </w:t>
      </w:r>
      <w:hyperlink r:id="rId185" w:history="1">
        <w:r w:rsidRPr="00EA1876">
          <w:rPr>
            <w:rStyle w:val="Hyperlink"/>
            <w:noProof/>
          </w:rPr>
          <w:t>https://doi.org/10.1080/13576270601088319</w:t>
        </w:r>
      </w:hyperlink>
      <w:r w:rsidRPr="00EA1876">
        <w:rPr>
          <w:noProof/>
        </w:rPr>
        <w:t xml:space="preserve"> </w:t>
      </w:r>
    </w:p>
    <w:p w14:paraId="1D105135" w14:textId="08EECE95" w:rsidR="00EA1876" w:rsidRPr="00EA1876" w:rsidRDefault="00EA1876" w:rsidP="00EA1876">
      <w:pPr>
        <w:pStyle w:val="EndNoteBibliography"/>
        <w:ind w:left="720" w:hanging="720"/>
        <w:rPr>
          <w:noProof/>
        </w:rPr>
      </w:pPr>
      <w:r w:rsidRPr="00EA1876">
        <w:rPr>
          <w:noProof/>
        </w:rPr>
        <w:t xml:space="preserve">Schafer, C. (2012). Corpses, conflict and insignificance? A critical analysis of post-mortem practices. </w:t>
      </w:r>
      <w:r w:rsidRPr="00EA1876">
        <w:rPr>
          <w:i/>
          <w:noProof/>
        </w:rPr>
        <w:t>Mortality, 17</w:t>
      </w:r>
      <w:r w:rsidRPr="00EA1876">
        <w:rPr>
          <w:noProof/>
        </w:rPr>
        <w:t xml:space="preserve">(4), 305-321. </w:t>
      </w:r>
      <w:hyperlink r:id="rId186" w:history="1">
        <w:r w:rsidRPr="00EA1876">
          <w:rPr>
            <w:rStyle w:val="Hyperlink"/>
            <w:noProof/>
          </w:rPr>
          <w:t>https://doi.org/10.1080/13576275.2012.731724</w:t>
        </w:r>
      </w:hyperlink>
      <w:r w:rsidRPr="00EA1876">
        <w:rPr>
          <w:noProof/>
        </w:rPr>
        <w:t xml:space="preserve"> </w:t>
      </w:r>
    </w:p>
    <w:p w14:paraId="2D76D59A" w14:textId="0B8100FB" w:rsidR="00EA1876" w:rsidRPr="00EA1876" w:rsidRDefault="00EA1876" w:rsidP="00EA1876">
      <w:pPr>
        <w:pStyle w:val="EndNoteBibliography"/>
        <w:ind w:left="720" w:hanging="720"/>
        <w:rPr>
          <w:noProof/>
        </w:rPr>
      </w:pPr>
      <w:r w:rsidRPr="00EA1876">
        <w:rPr>
          <w:noProof/>
        </w:rPr>
        <w:t xml:space="preserve">Scharp, K. M., &amp; Barker, B. A. (2021). “I have to social norm this”: Making meaning of hearing loss from the perspective of adults who use hearing aids. </w:t>
      </w:r>
      <w:r w:rsidRPr="00EA1876">
        <w:rPr>
          <w:i/>
          <w:noProof/>
        </w:rPr>
        <w:t>Health Communication, 36</w:t>
      </w:r>
      <w:r w:rsidRPr="00EA1876">
        <w:rPr>
          <w:noProof/>
        </w:rPr>
        <w:t xml:space="preserve">(6), 774-781. </w:t>
      </w:r>
      <w:hyperlink r:id="rId187" w:history="1">
        <w:r w:rsidRPr="00EA1876">
          <w:rPr>
            <w:rStyle w:val="Hyperlink"/>
            <w:noProof/>
          </w:rPr>
          <w:t>https://doi.org/10.1080/10410236.2020.1712523</w:t>
        </w:r>
      </w:hyperlink>
      <w:r w:rsidRPr="00EA1876">
        <w:rPr>
          <w:noProof/>
        </w:rPr>
        <w:t xml:space="preserve"> </w:t>
      </w:r>
    </w:p>
    <w:p w14:paraId="669CDE14" w14:textId="4B1B4B5E" w:rsidR="00EA1876" w:rsidRPr="00EA1876" w:rsidRDefault="00EA1876" w:rsidP="00EA1876">
      <w:pPr>
        <w:pStyle w:val="EndNoteBibliography"/>
        <w:ind w:left="720" w:hanging="720"/>
        <w:rPr>
          <w:noProof/>
        </w:rPr>
      </w:pPr>
      <w:r w:rsidRPr="00EA1876">
        <w:rPr>
          <w:noProof/>
        </w:rPr>
        <w:lastRenderedPageBreak/>
        <w:t xml:space="preserve">Scharp, K. M., Hansen, R., Kubler, K. F., &amp; Wang, T. R. (2021). Making meaning of parenting from the perspective of alienated parents. </w:t>
      </w:r>
      <w:r w:rsidRPr="00EA1876">
        <w:rPr>
          <w:i/>
          <w:noProof/>
        </w:rPr>
        <w:t>Personal Relationships, 28</w:t>
      </w:r>
      <w:r w:rsidRPr="00EA1876">
        <w:rPr>
          <w:noProof/>
        </w:rPr>
        <w:t xml:space="preserve">(1), 169-189. </w:t>
      </w:r>
      <w:hyperlink r:id="rId188" w:history="1">
        <w:r w:rsidRPr="00EA1876">
          <w:rPr>
            <w:rStyle w:val="Hyperlink"/>
            <w:noProof/>
          </w:rPr>
          <w:t>https://doi.org/10.1111/pere.12356</w:t>
        </w:r>
      </w:hyperlink>
      <w:r w:rsidRPr="00EA1876">
        <w:rPr>
          <w:noProof/>
        </w:rPr>
        <w:t xml:space="preserve"> </w:t>
      </w:r>
    </w:p>
    <w:p w14:paraId="5C596512" w14:textId="595564E3" w:rsidR="00EA1876" w:rsidRPr="00EA1876" w:rsidRDefault="00EA1876" w:rsidP="00EA1876">
      <w:pPr>
        <w:pStyle w:val="EndNoteBibliography"/>
        <w:ind w:left="720" w:hanging="720"/>
        <w:rPr>
          <w:noProof/>
        </w:rPr>
      </w:pPr>
      <w:r w:rsidRPr="00EA1876">
        <w:rPr>
          <w:noProof/>
        </w:rPr>
        <w:t xml:space="preserve">Scharp, K. M., &amp; Thomas, L. J. (2016). Family “bonds”: Making meaning of parent–child relationships in estrangement narratives. </w:t>
      </w:r>
      <w:r w:rsidRPr="00EA1876">
        <w:rPr>
          <w:i/>
          <w:noProof/>
        </w:rPr>
        <w:t>Journal of Family Communication, 16</w:t>
      </w:r>
      <w:r w:rsidRPr="00EA1876">
        <w:rPr>
          <w:noProof/>
        </w:rPr>
        <w:t xml:space="preserve">(1), 32-50. </w:t>
      </w:r>
      <w:hyperlink r:id="rId189" w:history="1">
        <w:r w:rsidRPr="00EA1876">
          <w:rPr>
            <w:rStyle w:val="Hyperlink"/>
            <w:noProof/>
          </w:rPr>
          <w:t>https://doi.org/10.1080/15267431.2015.1111215</w:t>
        </w:r>
      </w:hyperlink>
      <w:r w:rsidRPr="00EA1876">
        <w:rPr>
          <w:noProof/>
        </w:rPr>
        <w:t xml:space="preserve"> </w:t>
      </w:r>
    </w:p>
    <w:p w14:paraId="574F7711" w14:textId="1C59ED51" w:rsidR="00EA1876" w:rsidRPr="00EA1876" w:rsidRDefault="00EA1876" w:rsidP="00EA1876">
      <w:pPr>
        <w:pStyle w:val="EndNoteBibliography"/>
        <w:ind w:left="720" w:hanging="720"/>
        <w:rPr>
          <w:noProof/>
        </w:rPr>
      </w:pPr>
      <w:r w:rsidRPr="00EA1876">
        <w:rPr>
          <w:noProof/>
        </w:rPr>
        <w:t xml:space="preserve">Scharp, K. M., &amp; Thomas, L. J. (2020). A child for every family? Characterizations of “adoptable” foster children in online permanency advocacy publications. </w:t>
      </w:r>
      <w:r w:rsidRPr="00EA1876">
        <w:rPr>
          <w:i/>
          <w:noProof/>
        </w:rPr>
        <w:t>Journal of Social and Personal relationships, 37</w:t>
      </w:r>
      <w:r w:rsidRPr="00EA1876">
        <w:rPr>
          <w:noProof/>
        </w:rPr>
        <w:t xml:space="preserve">(7), 2098-2117. </w:t>
      </w:r>
      <w:hyperlink r:id="rId190" w:history="1">
        <w:r w:rsidRPr="00EA1876">
          <w:rPr>
            <w:rStyle w:val="Hyperlink"/>
            <w:noProof/>
          </w:rPr>
          <w:t>https://doi.org/10.1177/0265407520918668</w:t>
        </w:r>
      </w:hyperlink>
      <w:r w:rsidRPr="00EA1876">
        <w:rPr>
          <w:noProof/>
        </w:rPr>
        <w:t xml:space="preserve"> </w:t>
      </w:r>
    </w:p>
    <w:p w14:paraId="10A9BB00" w14:textId="77777777" w:rsidR="00EA1876" w:rsidRPr="00EA1876" w:rsidRDefault="00EA1876" w:rsidP="00EA1876">
      <w:pPr>
        <w:pStyle w:val="EndNoteBibliography"/>
        <w:ind w:left="720" w:hanging="720"/>
        <w:rPr>
          <w:noProof/>
        </w:rPr>
      </w:pPr>
      <w:r w:rsidRPr="00EA1876">
        <w:rPr>
          <w:noProof/>
        </w:rPr>
        <w:t xml:space="preserve">Scharp, K. M., &amp; Thomas, L. J. (2021). Relational dialectics theory: A dialogic theory of meaning-making. In D. O. Braithwaite &amp; P. Schrodt (Eds.), </w:t>
      </w:r>
      <w:r w:rsidRPr="00EA1876">
        <w:rPr>
          <w:i/>
          <w:noProof/>
        </w:rPr>
        <w:t>Engaging Theories in Interpersonal Communication</w:t>
      </w:r>
      <w:r w:rsidRPr="00EA1876">
        <w:rPr>
          <w:noProof/>
        </w:rPr>
        <w:t xml:space="preserve"> (pp. 194-205). Routledge. </w:t>
      </w:r>
    </w:p>
    <w:p w14:paraId="5989E189" w14:textId="77777777" w:rsidR="00EA1876" w:rsidRPr="00EA1876" w:rsidRDefault="00EA1876" w:rsidP="00EA1876">
      <w:pPr>
        <w:pStyle w:val="EndNoteBibliography"/>
        <w:ind w:left="720" w:hanging="720"/>
        <w:rPr>
          <w:noProof/>
        </w:rPr>
      </w:pPr>
      <w:r w:rsidRPr="00EA1876">
        <w:rPr>
          <w:noProof/>
        </w:rPr>
        <w:t xml:space="preserve">Schinzel, C. (2006). Funeral Planning. In L. Pauley, A. Schroeder, C. Ehmke and C. Paseneaux (Ed.), </w:t>
      </w:r>
      <w:r w:rsidRPr="00EA1876">
        <w:rPr>
          <w:i/>
          <w:noProof/>
        </w:rPr>
        <w:t>Passing it on : an estate planning resource guide for Wyoming's farmers and ranchers</w:t>
      </w:r>
      <w:r w:rsidRPr="00EA1876">
        <w:rPr>
          <w:noProof/>
        </w:rPr>
        <w:t xml:space="preserve"> (pp. 155-161). Wyoming Agriculture and Natural Resource Mediation Program. </w:t>
      </w:r>
    </w:p>
    <w:p w14:paraId="65984F58" w14:textId="77777777" w:rsidR="00EA1876" w:rsidRPr="00EA1876" w:rsidRDefault="00EA1876" w:rsidP="00EA1876">
      <w:pPr>
        <w:pStyle w:val="EndNoteBibliography"/>
        <w:ind w:left="720" w:hanging="720"/>
        <w:rPr>
          <w:noProof/>
        </w:rPr>
      </w:pPr>
      <w:r w:rsidRPr="00EA1876">
        <w:rPr>
          <w:noProof/>
        </w:rPr>
        <w:t xml:space="preserve">Schlereth, T. J. (1992). </w:t>
      </w:r>
      <w:r w:rsidRPr="00EA1876">
        <w:rPr>
          <w:i/>
          <w:noProof/>
        </w:rPr>
        <w:t>Victorian America : transformations in everyday life, 1876-1915</w:t>
      </w:r>
      <w:r w:rsidRPr="00EA1876">
        <w:rPr>
          <w:noProof/>
        </w:rPr>
        <w:t xml:space="preserve">. HarperCollins Publishers. </w:t>
      </w:r>
    </w:p>
    <w:p w14:paraId="43E1B4C5" w14:textId="6287A55B" w:rsidR="00EA1876" w:rsidRPr="00EA1876" w:rsidRDefault="00EA1876" w:rsidP="00EA1876">
      <w:pPr>
        <w:pStyle w:val="EndNoteBibliography"/>
        <w:ind w:left="720" w:hanging="720"/>
        <w:rPr>
          <w:noProof/>
        </w:rPr>
      </w:pPr>
      <w:r w:rsidRPr="00EA1876">
        <w:rPr>
          <w:noProof/>
        </w:rPr>
        <w:t xml:space="preserve">Schrodt, P., Baxter, L. A., McBride, M. C., Braithwaite, D. O., &amp; Fine, M. A. (2006). The divorce decree, communication, and the structuration of coparenting relationships in stepfamilies. </w:t>
      </w:r>
      <w:r w:rsidRPr="00EA1876">
        <w:rPr>
          <w:i/>
          <w:noProof/>
        </w:rPr>
        <w:t>Journal of Social and Personal relationships, 23</w:t>
      </w:r>
      <w:r w:rsidRPr="00EA1876">
        <w:rPr>
          <w:noProof/>
        </w:rPr>
        <w:t xml:space="preserve">(5), 741-759. </w:t>
      </w:r>
      <w:hyperlink r:id="rId191" w:history="1">
        <w:r w:rsidRPr="00EA1876">
          <w:rPr>
            <w:rStyle w:val="Hyperlink"/>
            <w:noProof/>
          </w:rPr>
          <w:t>https://doi.org/10.1177/0265407506068261</w:t>
        </w:r>
      </w:hyperlink>
      <w:r w:rsidRPr="00EA1876">
        <w:rPr>
          <w:noProof/>
        </w:rPr>
        <w:t xml:space="preserve"> </w:t>
      </w:r>
    </w:p>
    <w:p w14:paraId="7BC3F4D3" w14:textId="0A20A4D6" w:rsidR="00EA1876" w:rsidRPr="00EA1876" w:rsidRDefault="00EA1876" w:rsidP="00EA1876">
      <w:pPr>
        <w:pStyle w:val="EndNoteBibliography"/>
        <w:ind w:left="720" w:hanging="720"/>
        <w:rPr>
          <w:noProof/>
        </w:rPr>
      </w:pPr>
      <w:r w:rsidRPr="00EA1876">
        <w:rPr>
          <w:noProof/>
        </w:rPr>
        <w:lastRenderedPageBreak/>
        <w:t xml:space="preserve">Schwartz, M. L., Jolson, M. A., &amp; Lee, R. H. (1986). The marketing of funeral services - Past, present, and future. </w:t>
      </w:r>
      <w:r w:rsidRPr="00EA1876">
        <w:rPr>
          <w:i/>
          <w:noProof/>
        </w:rPr>
        <w:t>Business Horizons, 29</w:t>
      </w:r>
      <w:r w:rsidRPr="00EA1876">
        <w:rPr>
          <w:noProof/>
        </w:rPr>
        <w:t xml:space="preserve">(2), 40-45. </w:t>
      </w:r>
      <w:hyperlink r:id="rId192" w:history="1">
        <w:r w:rsidRPr="00EA1876">
          <w:rPr>
            <w:rStyle w:val="Hyperlink"/>
            <w:noProof/>
          </w:rPr>
          <w:t>https://doi.org/10.1016/0007-6813(86)90068-6</w:t>
        </w:r>
      </w:hyperlink>
      <w:r w:rsidRPr="00EA1876">
        <w:rPr>
          <w:noProof/>
        </w:rPr>
        <w:t xml:space="preserve"> </w:t>
      </w:r>
    </w:p>
    <w:p w14:paraId="30C123C5" w14:textId="6C562EB8" w:rsidR="00EA1876" w:rsidRPr="00EA1876" w:rsidRDefault="00EA1876" w:rsidP="00EA1876">
      <w:pPr>
        <w:pStyle w:val="EndNoteBibliography"/>
        <w:ind w:left="720" w:hanging="720"/>
        <w:rPr>
          <w:noProof/>
        </w:rPr>
      </w:pPr>
      <w:r w:rsidRPr="00EA1876">
        <w:rPr>
          <w:noProof/>
        </w:rPr>
        <w:t xml:space="preserve">Semino, E., Demjén, Z., &amp; Koller, V. (2014). ‘Good’and ‘bad’deaths: Narratives and professional identities in interviews with hospice managers. </w:t>
      </w:r>
      <w:r w:rsidRPr="00EA1876">
        <w:rPr>
          <w:i/>
          <w:noProof/>
        </w:rPr>
        <w:t>Discourse Studies, 16</w:t>
      </w:r>
      <w:r w:rsidRPr="00EA1876">
        <w:rPr>
          <w:noProof/>
        </w:rPr>
        <w:t xml:space="preserve">(5), 667-685. </w:t>
      </w:r>
      <w:hyperlink r:id="rId193" w:history="1">
        <w:r w:rsidRPr="00EA1876">
          <w:rPr>
            <w:rStyle w:val="Hyperlink"/>
            <w:noProof/>
          </w:rPr>
          <w:t>https://doi.org/10.1177/1461445614538566</w:t>
        </w:r>
      </w:hyperlink>
      <w:r w:rsidRPr="00EA1876">
        <w:rPr>
          <w:noProof/>
        </w:rPr>
        <w:t xml:space="preserve"> </w:t>
      </w:r>
    </w:p>
    <w:p w14:paraId="5BA2452C" w14:textId="56DE1B54" w:rsidR="00EA1876" w:rsidRPr="00EA1876" w:rsidRDefault="00EA1876" w:rsidP="00EA1876">
      <w:pPr>
        <w:pStyle w:val="EndNoteBibliography"/>
        <w:ind w:left="720" w:hanging="720"/>
        <w:rPr>
          <w:noProof/>
        </w:rPr>
      </w:pPr>
      <w:r w:rsidRPr="00EA1876">
        <w:rPr>
          <w:noProof/>
        </w:rPr>
        <w:t xml:space="preserve">Service Corporation International. (2023a). </w:t>
      </w:r>
      <w:r w:rsidRPr="00EA1876">
        <w:rPr>
          <w:i/>
          <w:noProof/>
        </w:rPr>
        <w:t>Our Brands</w:t>
      </w:r>
      <w:r w:rsidRPr="00EA1876">
        <w:rPr>
          <w:noProof/>
        </w:rPr>
        <w:t xml:space="preserve">. Service Corporation International. Retrieved Sep. 22 from </w:t>
      </w:r>
      <w:hyperlink r:id="rId194" w:history="1">
        <w:r w:rsidRPr="00EA1876">
          <w:rPr>
            <w:rStyle w:val="Hyperlink"/>
            <w:noProof/>
          </w:rPr>
          <w:t>https://www.sci-corp.com/about/our-brands</w:t>
        </w:r>
      </w:hyperlink>
    </w:p>
    <w:p w14:paraId="0DA0D2BC" w14:textId="43C329D3" w:rsidR="00EA1876" w:rsidRPr="00EA1876" w:rsidRDefault="00EA1876" w:rsidP="00EA1876">
      <w:pPr>
        <w:pStyle w:val="EndNoteBibliography"/>
        <w:ind w:left="720" w:hanging="720"/>
        <w:rPr>
          <w:noProof/>
        </w:rPr>
      </w:pPr>
      <w:r w:rsidRPr="00EA1876">
        <w:rPr>
          <w:noProof/>
        </w:rPr>
        <w:t xml:space="preserve">Service Corporation International. (2023b). </w:t>
      </w:r>
      <w:r w:rsidRPr="00EA1876">
        <w:rPr>
          <w:i/>
          <w:noProof/>
        </w:rPr>
        <w:t>Our history</w:t>
      </w:r>
      <w:r w:rsidRPr="00EA1876">
        <w:rPr>
          <w:noProof/>
        </w:rPr>
        <w:t xml:space="preserve">. Service Corporation International. Retrieved Sep. 22 from </w:t>
      </w:r>
      <w:hyperlink r:id="rId195" w:history="1">
        <w:r w:rsidRPr="00EA1876">
          <w:rPr>
            <w:rStyle w:val="Hyperlink"/>
            <w:noProof/>
          </w:rPr>
          <w:t>https://www.sci-corp.com/about/history</w:t>
        </w:r>
      </w:hyperlink>
    </w:p>
    <w:p w14:paraId="1F35BCDE" w14:textId="6F9AAD78" w:rsidR="00EA1876" w:rsidRPr="00EA1876" w:rsidRDefault="00EA1876" w:rsidP="00EA1876">
      <w:pPr>
        <w:pStyle w:val="EndNoteBibliography"/>
        <w:ind w:left="720" w:hanging="720"/>
        <w:rPr>
          <w:noProof/>
        </w:rPr>
      </w:pPr>
      <w:r w:rsidRPr="00EA1876">
        <w:rPr>
          <w:noProof/>
        </w:rPr>
        <w:t xml:space="preserve">Shafir, E., &amp; LeBoeuf, R. A. (2002). Rationality. </w:t>
      </w:r>
      <w:r w:rsidRPr="00EA1876">
        <w:rPr>
          <w:i/>
          <w:noProof/>
        </w:rPr>
        <w:t>Annual review of psychology, 53</w:t>
      </w:r>
      <w:r w:rsidRPr="00EA1876">
        <w:rPr>
          <w:noProof/>
        </w:rPr>
        <w:t xml:space="preserve">(1), 491-517. </w:t>
      </w:r>
      <w:hyperlink r:id="rId196" w:history="1">
        <w:r w:rsidRPr="00EA1876">
          <w:rPr>
            <w:rStyle w:val="Hyperlink"/>
            <w:noProof/>
          </w:rPr>
          <w:t>https://doi.org/10.1146/annurev.psych.53.100901.135213</w:t>
        </w:r>
      </w:hyperlink>
      <w:r w:rsidRPr="00EA1876">
        <w:rPr>
          <w:noProof/>
        </w:rPr>
        <w:t xml:space="preserve"> </w:t>
      </w:r>
    </w:p>
    <w:p w14:paraId="08D960B3" w14:textId="484F8436" w:rsidR="00EA1876" w:rsidRPr="00EA1876" w:rsidRDefault="00EA1876" w:rsidP="00EA1876">
      <w:pPr>
        <w:pStyle w:val="EndNoteBibliography"/>
        <w:ind w:left="720" w:hanging="720"/>
        <w:rPr>
          <w:noProof/>
        </w:rPr>
      </w:pPr>
      <w:r w:rsidRPr="00EA1876">
        <w:rPr>
          <w:noProof/>
        </w:rPr>
        <w:t xml:space="preserve">Simon, W., Haney, C. A., &amp; Buenteo, R. (1993). The postmodernization of death and dying. </w:t>
      </w:r>
      <w:r w:rsidRPr="00EA1876">
        <w:rPr>
          <w:i/>
          <w:noProof/>
        </w:rPr>
        <w:t>Symbolic interaction, 16</w:t>
      </w:r>
      <w:r w:rsidRPr="00EA1876">
        <w:rPr>
          <w:noProof/>
        </w:rPr>
        <w:t xml:space="preserve">(4), 411-426. </w:t>
      </w:r>
      <w:hyperlink r:id="rId197" w:history="1">
        <w:r w:rsidRPr="00EA1876">
          <w:rPr>
            <w:rStyle w:val="Hyperlink"/>
            <w:noProof/>
          </w:rPr>
          <w:t>https://doi.org/10.1525/si.1993.16.4.411</w:t>
        </w:r>
      </w:hyperlink>
      <w:r w:rsidRPr="00EA1876">
        <w:rPr>
          <w:noProof/>
        </w:rPr>
        <w:t xml:space="preserve"> </w:t>
      </w:r>
    </w:p>
    <w:p w14:paraId="6317A99D" w14:textId="0CC4AE1A" w:rsidR="00EA1876" w:rsidRPr="00EA1876" w:rsidRDefault="00EA1876" w:rsidP="00EA1876">
      <w:pPr>
        <w:pStyle w:val="EndNoteBibliography"/>
        <w:ind w:left="720" w:hanging="720"/>
        <w:rPr>
          <w:noProof/>
        </w:rPr>
      </w:pPr>
      <w:r w:rsidRPr="00EA1876">
        <w:rPr>
          <w:noProof/>
        </w:rPr>
        <w:t xml:space="preserve">Sommer, R., Hess, K., &amp; Nelson, S. (1985). Funeral co-op members' characteristics and motives. </w:t>
      </w:r>
      <w:r w:rsidRPr="00EA1876">
        <w:rPr>
          <w:i/>
          <w:noProof/>
        </w:rPr>
        <w:t>Sociological Perspectives, 28</w:t>
      </w:r>
      <w:r w:rsidRPr="00EA1876">
        <w:rPr>
          <w:noProof/>
        </w:rPr>
        <w:t xml:space="preserve">(4), 487-500. </w:t>
      </w:r>
      <w:hyperlink r:id="rId198" w:history="1">
        <w:r w:rsidRPr="00EA1876">
          <w:rPr>
            <w:rStyle w:val="Hyperlink"/>
            <w:noProof/>
          </w:rPr>
          <w:t>https://doi.org/10.2307/1389230</w:t>
        </w:r>
      </w:hyperlink>
      <w:r w:rsidRPr="00EA1876">
        <w:rPr>
          <w:noProof/>
        </w:rPr>
        <w:t xml:space="preserve"> </w:t>
      </w:r>
    </w:p>
    <w:p w14:paraId="36ABC3DE" w14:textId="1FFA7C38" w:rsidR="00EA1876" w:rsidRPr="00EA1876" w:rsidRDefault="00EA1876" w:rsidP="00EA1876">
      <w:pPr>
        <w:pStyle w:val="EndNoteBibliography"/>
        <w:ind w:left="720" w:hanging="720"/>
        <w:rPr>
          <w:noProof/>
        </w:rPr>
      </w:pPr>
      <w:r w:rsidRPr="00EA1876">
        <w:rPr>
          <w:noProof/>
        </w:rPr>
        <w:t xml:space="preserve">Spanier, G. B. (1972). Romanticism and marital adjustment. </w:t>
      </w:r>
      <w:r w:rsidRPr="00EA1876">
        <w:rPr>
          <w:i/>
          <w:noProof/>
        </w:rPr>
        <w:t>Journal of Marriage and Family, 34</w:t>
      </w:r>
      <w:r w:rsidRPr="00EA1876">
        <w:rPr>
          <w:noProof/>
        </w:rPr>
        <w:t xml:space="preserve">(3), 481-487. </w:t>
      </w:r>
      <w:hyperlink r:id="rId199" w:history="1">
        <w:r w:rsidRPr="00EA1876">
          <w:rPr>
            <w:rStyle w:val="Hyperlink"/>
            <w:noProof/>
          </w:rPr>
          <w:t>https://doi.org/10.2307/350447</w:t>
        </w:r>
      </w:hyperlink>
      <w:r w:rsidRPr="00EA1876">
        <w:rPr>
          <w:noProof/>
        </w:rPr>
        <w:t xml:space="preserve"> </w:t>
      </w:r>
    </w:p>
    <w:p w14:paraId="3EEA4AAC" w14:textId="5A76D278" w:rsidR="00EA1876" w:rsidRPr="00EA1876" w:rsidRDefault="00EA1876" w:rsidP="00EA1876">
      <w:pPr>
        <w:pStyle w:val="EndNoteBibliography"/>
        <w:ind w:left="720" w:hanging="720"/>
        <w:rPr>
          <w:noProof/>
        </w:rPr>
      </w:pPr>
      <w:r w:rsidRPr="00EA1876">
        <w:rPr>
          <w:noProof/>
        </w:rPr>
        <w:t xml:space="preserve">Spence, L. (2016). The Art of Goodbye: Planning Final Arrangements: FCS3335/FY1466, 7/2016. </w:t>
      </w:r>
      <w:r w:rsidRPr="00EA1876">
        <w:rPr>
          <w:i/>
          <w:noProof/>
        </w:rPr>
        <w:t>EDIS, 2016</w:t>
      </w:r>
      <w:r w:rsidRPr="00EA1876">
        <w:rPr>
          <w:noProof/>
        </w:rPr>
        <w:t xml:space="preserve">(6), 7-7. </w:t>
      </w:r>
      <w:hyperlink r:id="rId200" w:history="1">
        <w:r w:rsidRPr="00EA1876">
          <w:rPr>
            <w:rStyle w:val="Hyperlink"/>
            <w:noProof/>
          </w:rPr>
          <w:t>https://edis.ifas.ufl.edu/publication/FY1466</w:t>
        </w:r>
      </w:hyperlink>
      <w:r w:rsidRPr="00EA1876">
        <w:rPr>
          <w:noProof/>
        </w:rPr>
        <w:t xml:space="preserve"> </w:t>
      </w:r>
    </w:p>
    <w:p w14:paraId="48749BF4" w14:textId="77777777" w:rsidR="00EA1876" w:rsidRPr="00EA1876" w:rsidRDefault="00EA1876" w:rsidP="00EA1876">
      <w:pPr>
        <w:pStyle w:val="EndNoteBibliography"/>
        <w:ind w:left="720" w:hanging="720"/>
        <w:rPr>
          <w:noProof/>
        </w:rPr>
      </w:pPr>
      <w:r w:rsidRPr="00EA1876">
        <w:rPr>
          <w:noProof/>
        </w:rPr>
        <w:t xml:space="preserve">Staudt, C. (2009). From concealment to recognition: The discourse on death, dying and grief. In M. K. Bartalos &amp; R. L. Belknap (Eds.), </w:t>
      </w:r>
      <w:r w:rsidRPr="00EA1876">
        <w:rPr>
          <w:i/>
          <w:noProof/>
        </w:rPr>
        <w:t xml:space="preserve">Speaking of death. America’s new sense of mortality </w:t>
      </w:r>
      <w:r w:rsidRPr="00EA1876">
        <w:rPr>
          <w:noProof/>
        </w:rPr>
        <w:t xml:space="preserve">(pp. 3-41). Praeger. </w:t>
      </w:r>
    </w:p>
    <w:p w14:paraId="63DC4217" w14:textId="77777777" w:rsidR="00EA1876" w:rsidRPr="00EA1876" w:rsidRDefault="00EA1876" w:rsidP="00EA1876">
      <w:pPr>
        <w:pStyle w:val="EndNoteBibliography"/>
        <w:ind w:left="720" w:hanging="720"/>
        <w:rPr>
          <w:noProof/>
        </w:rPr>
      </w:pPr>
      <w:r w:rsidRPr="00EA1876">
        <w:rPr>
          <w:noProof/>
        </w:rPr>
        <w:lastRenderedPageBreak/>
        <w:t xml:space="preserve">Stearns, P. N. (1994). </w:t>
      </w:r>
      <w:r w:rsidRPr="00EA1876">
        <w:rPr>
          <w:i/>
          <w:noProof/>
        </w:rPr>
        <w:t>American cool: Constructing a twentieth-century emotional style</w:t>
      </w:r>
      <w:r w:rsidRPr="00EA1876">
        <w:rPr>
          <w:noProof/>
        </w:rPr>
        <w:t xml:space="preserve">. NYU Press. </w:t>
      </w:r>
    </w:p>
    <w:p w14:paraId="1EFA31F1" w14:textId="1E6E83A5" w:rsidR="00EA1876" w:rsidRPr="00EA1876" w:rsidRDefault="00EA1876" w:rsidP="00EA1876">
      <w:pPr>
        <w:pStyle w:val="EndNoteBibliography"/>
        <w:ind w:left="720" w:hanging="720"/>
        <w:rPr>
          <w:noProof/>
        </w:rPr>
      </w:pPr>
      <w:r w:rsidRPr="00EA1876">
        <w:rPr>
          <w:noProof/>
        </w:rPr>
        <w:t xml:space="preserve">Stroebe, M., &amp; Schut, H. (2010). The dual process model of coping with bereavement: A decade on. </w:t>
      </w:r>
      <w:r w:rsidRPr="00EA1876">
        <w:rPr>
          <w:i/>
          <w:noProof/>
        </w:rPr>
        <w:t>OMEGA - Journal of Death and Dying, 61</w:t>
      </w:r>
      <w:r w:rsidRPr="00EA1876">
        <w:rPr>
          <w:noProof/>
        </w:rPr>
        <w:t xml:space="preserve">(4), 273-289. </w:t>
      </w:r>
      <w:hyperlink r:id="rId201" w:history="1">
        <w:r w:rsidRPr="00EA1876">
          <w:rPr>
            <w:rStyle w:val="Hyperlink"/>
            <w:noProof/>
          </w:rPr>
          <w:t>https://doi.org/10.2190/OM.61.4.b</w:t>
        </w:r>
      </w:hyperlink>
      <w:r w:rsidRPr="00EA1876">
        <w:rPr>
          <w:noProof/>
        </w:rPr>
        <w:t xml:space="preserve"> </w:t>
      </w:r>
    </w:p>
    <w:p w14:paraId="53087D3B" w14:textId="77777777" w:rsidR="00EA1876" w:rsidRPr="00EA1876" w:rsidRDefault="00EA1876" w:rsidP="00EA1876">
      <w:pPr>
        <w:pStyle w:val="EndNoteBibliography"/>
        <w:ind w:left="720" w:hanging="720"/>
        <w:rPr>
          <w:noProof/>
        </w:rPr>
      </w:pPr>
      <w:r w:rsidRPr="00EA1876">
        <w:rPr>
          <w:noProof/>
        </w:rPr>
        <w:t xml:space="preserve">Strub, C. G., &amp; Frederick, L. G. (1989). </w:t>
      </w:r>
      <w:r w:rsidRPr="00EA1876">
        <w:rPr>
          <w:i/>
          <w:noProof/>
        </w:rPr>
        <w:t>The principles and practice of embalming</w:t>
      </w:r>
      <w:r w:rsidRPr="00EA1876">
        <w:rPr>
          <w:noProof/>
        </w:rPr>
        <w:t xml:space="preserve"> (5th ed.). Professional Training Schools : Robertine Frederick Dallas, Tex. </w:t>
      </w:r>
    </w:p>
    <w:p w14:paraId="61319156" w14:textId="51F811B5" w:rsidR="00EA1876" w:rsidRPr="00EA1876" w:rsidRDefault="00EA1876" w:rsidP="00EA1876">
      <w:pPr>
        <w:pStyle w:val="EndNoteBibliography"/>
        <w:ind w:left="720" w:hanging="720"/>
        <w:rPr>
          <w:noProof/>
        </w:rPr>
      </w:pPr>
      <w:r w:rsidRPr="00EA1876">
        <w:rPr>
          <w:noProof/>
        </w:rPr>
        <w:t xml:space="preserve">Suls, J., Martin, R., &amp; Wheeler, L. (2002). Social comparison: Why, with whom, and with what effect? </w:t>
      </w:r>
      <w:r w:rsidRPr="00EA1876">
        <w:rPr>
          <w:i/>
          <w:noProof/>
        </w:rPr>
        <w:t>Current directions in psychological science, 11</w:t>
      </w:r>
      <w:r w:rsidRPr="00EA1876">
        <w:rPr>
          <w:noProof/>
        </w:rPr>
        <w:t xml:space="preserve">(5), 159-163. </w:t>
      </w:r>
      <w:hyperlink r:id="rId202" w:history="1">
        <w:r w:rsidRPr="00EA1876">
          <w:rPr>
            <w:rStyle w:val="Hyperlink"/>
            <w:noProof/>
          </w:rPr>
          <w:t>https://doi.org/10.1111/1467-8721.00191</w:t>
        </w:r>
      </w:hyperlink>
      <w:r w:rsidRPr="00EA1876">
        <w:rPr>
          <w:noProof/>
        </w:rPr>
        <w:t xml:space="preserve"> </w:t>
      </w:r>
    </w:p>
    <w:p w14:paraId="3AF1C6D4" w14:textId="4465F9C7" w:rsidR="00EA1876" w:rsidRPr="00EA1876" w:rsidRDefault="00EA1876" w:rsidP="00EA1876">
      <w:pPr>
        <w:pStyle w:val="EndNoteBibliography"/>
        <w:ind w:left="720" w:hanging="720"/>
        <w:rPr>
          <w:noProof/>
        </w:rPr>
      </w:pPr>
      <w:r w:rsidRPr="00EA1876">
        <w:rPr>
          <w:noProof/>
        </w:rPr>
        <w:t xml:space="preserve">Suter, E. A. (2018). The promise of contrapuntal and intersectional methods for advancing critical interpersonal and family communication research. </w:t>
      </w:r>
      <w:r w:rsidRPr="00EA1876">
        <w:rPr>
          <w:i/>
          <w:noProof/>
        </w:rPr>
        <w:t>Communication Monographs, 85</w:t>
      </w:r>
      <w:r w:rsidRPr="00EA1876">
        <w:rPr>
          <w:noProof/>
        </w:rPr>
        <w:t xml:space="preserve">(1), 123-139. </w:t>
      </w:r>
      <w:hyperlink r:id="rId203" w:history="1">
        <w:r w:rsidRPr="00EA1876">
          <w:rPr>
            <w:rStyle w:val="Hyperlink"/>
            <w:noProof/>
          </w:rPr>
          <w:t>https://doi.org/10.1080/03637751.2017.1375131</w:t>
        </w:r>
      </w:hyperlink>
      <w:r w:rsidRPr="00EA1876">
        <w:rPr>
          <w:noProof/>
        </w:rPr>
        <w:t xml:space="preserve"> </w:t>
      </w:r>
    </w:p>
    <w:p w14:paraId="36CB870A" w14:textId="24019537" w:rsidR="00EA1876" w:rsidRPr="00EA1876" w:rsidRDefault="00EA1876" w:rsidP="00EA1876">
      <w:pPr>
        <w:pStyle w:val="EndNoteBibliography"/>
        <w:ind w:left="720" w:hanging="720"/>
        <w:rPr>
          <w:noProof/>
        </w:rPr>
      </w:pPr>
      <w:r w:rsidRPr="00EA1876">
        <w:rPr>
          <w:noProof/>
        </w:rPr>
        <w:t xml:space="preserve">Suter, E. A., &amp; Norwood, K. M. (2017). Critical theorizing in family communication studies:(Re) reading relational dialectics theory 2.0. </w:t>
      </w:r>
      <w:r w:rsidRPr="00EA1876">
        <w:rPr>
          <w:i/>
          <w:noProof/>
        </w:rPr>
        <w:t>Communication Theory, 27</w:t>
      </w:r>
      <w:r w:rsidRPr="00EA1876">
        <w:rPr>
          <w:noProof/>
        </w:rPr>
        <w:t xml:space="preserve">(3), 290-308. </w:t>
      </w:r>
      <w:hyperlink r:id="rId204" w:history="1">
        <w:r w:rsidRPr="00EA1876">
          <w:rPr>
            <w:rStyle w:val="Hyperlink"/>
            <w:noProof/>
          </w:rPr>
          <w:t>https://doi.org/10.1111/comt.12117</w:t>
        </w:r>
      </w:hyperlink>
      <w:r w:rsidRPr="00EA1876">
        <w:rPr>
          <w:noProof/>
        </w:rPr>
        <w:t xml:space="preserve"> </w:t>
      </w:r>
    </w:p>
    <w:p w14:paraId="1250E424" w14:textId="07585C17" w:rsidR="00EA1876" w:rsidRPr="00EA1876" w:rsidRDefault="00EA1876" w:rsidP="00EA1876">
      <w:pPr>
        <w:pStyle w:val="EndNoteBibliography"/>
        <w:ind w:left="720" w:hanging="720"/>
        <w:rPr>
          <w:noProof/>
        </w:rPr>
      </w:pPr>
      <w:r w:rsidRPr="00EA1876">
        <w:rPr>
          <w:noProof/>
        </w:rPr>
        <w:t xml:space="preserve">Sykes, K. (2007). Interrogating Individuals: The Theory of Possessive Individualism in the Western Pacific. </w:t>
      </w:r>
      <w:r w:rsidRPr="00EA1876">
        <w:rPr>
          <w:i/>
          <w:noProof/>
        </w:rPr>
        <w:t>Anthropological Forum, 17</w:t>
      </w:r>
      <w:r w:rsidRPr="00EA1876">
        <w:rPr>
          <w:noProof/>
        </w:rPr>
        <w:t xml:space="preserve">(3), 213-224. </w:t>
      </w:r>
      <w:hyperlink r:id="rId205" w:history="1">
        <w:r w:rsidRPr="00EA1876">
          <w:rPr>
            <w:rStyle w:val="Hyperlink"/>
            <w:noProof/>
          </w:rPr>
          <w:t>https://doi.org/10.1080/00664670701637669</w:t>
        </w:r>
      </w:hyperlink>
      <w:r w:rsidRPr="00EA1876">
        <w:rPr>
          <w:noProof/>
        </w:rPr>
        <w:t xml:space="preserve"> </w:t>
      </w:r>
    </w:p>
    <w:p w14:paraId="79F0E37F" w14:textId="4CF26814" w:rsidR="00EA1876" w:rsidRPr="00EA1876" w:rsidRDefault="00EA1876" w:rsidP="00EA1876">
      <w:pPr>
        <w:pStyle w:val="EndNoteBibliography"/>
        <w:ind w:left="720" w:hanging="720"/>
        <w:rPr>
          <w:noProof/>
        </w:rPr>
      </w:pPr>
      <w:r w:rsidRPr="00EA1876">
        <w:rPr>
          <w:noProof/>
        </w:rPr>
        <w:t xml:space="preserve">Table, B., Tronstad, L. D., &amp; Kearns, K. (2022). ‘Anything is helpful’: examining tensions and barriers towards a more LGBT-inclusive healthcare organization in the United States. </w:t>
      </w:r>
      <w:r w:rsidRPr="00EA1876">
        <w:rPr>
          <w:i/>
          <w:noProof/>
        </w:rPr>
        <w:t>Journal of Applied Communication Research, 50</w:t>
      </w:r>
      <w:r w:rsidRPr="00EA1876">
        <w:rPr>
          <w:noProof/>
        </w:rPr>
        <w:t xml:space="preserve">(4), 382-401. </w:t>
      </w:r>
      <w:hyperlink r:id="rId206" w:history="1">
        <w:r w:rsidRPr="00EA1876">
          <w:rPr>
            <w:rStyle w:val="Hyperlink"/>
            <w:noProof/>
          </w:rPr>
          <w:t>https://doi.org/10.1080/00909882.2021.1991582</w:t>
        </w:r>
      </w:hyperlink>
      <w:r w:rsidRPr="00EA1876">
        <w:rPr>
          <w:noProof/>
        </w:rPr>
        <w:t xml:space="preserve"> </w:t>
      </w:r>
    </w:p>
    <w:p w14:paraId="26C8FF42" w14:textId="5B5D59FB" w:rsidR="00EA1876" w:rsidRPr="00EA1876" w:rsidRDefault="00EA1876" w:rsidP="00EA1876">
      <w:pPr>
        <w:pStyle w:val="EndNoteBibliography"/>
        <w:ind w:left="720" w:hanging="720"/>
        <w:rPr>
          <w:noProof/>
        </w:rPr>
      </w:pPr>
      <w:r w:rsidRPr="00EA1876">
        <w:rPr>
          <w:noProof/>
        </w:rPr>
        <w:lastRenderedPageBreak/>
        <w:t xml:space="preserve">Tannen, D. (1987). Repetition in conversation: Toward a poetics of talk. </w:t>
      </w:r>
      <w:r w:rsidRPr="00EA1876">
        <w:rPr>
          <w:i/>
          <w:noProof/>
        </w:rPr>
        <w:t>Language, 63</w:t>
      </w:r>
      <w:r w:rsidRPr="00EA1876">
        <w:rPr>
          <w:noProof/>
        </w:rPr>
        <w:t xml:space="preserve">(3), 574-605. </w:t>
      </w:r>
      <w:hyperlink r:id="rId207" w:history="1">
        <w:r w:rsidRPr="00EA1876">
          <w:rPr>
            <w:rStyle w:val="Hyperlink"/>
            <w:noProof/>
          </w:rPr>
          <w:t>https://doi.org/10.2307/415006</w:t>
        </w:r>
      </w:hyperlink>
      <w:r w:rsidRPr="00EA1876">
        <w:rPr>
          <w:noProof/>
        </w:rPr>
        <w:t xml:space="preserve"> </w:t>
      </w:r>
    </w:p>
    <w:p w14:paraId="01B5BEA3" w14:textId="1CBE594E" w:rsidR="00EA1876" w:rsidRPr="00EA1876" w:rsidRDefault="00EA1876" w:rsidP="00EA1876">
      <w:pPr>
        <w:pStyle w:val="EndNoteBibliography"/>
        <w:ind w:left="720" w:hanging="720"/>
        <w:rPr>
          <w:noProof/>
        </w:rPr>
      </w:pPr>
      <w:r w:rsidRPr="00EA1876">
        <w:rPr>
          <w:noProof/>
        </w:rPr>
        <w:t xml:space="preserve">Thomas, L. J. (2017). Contrapuntal Analysis. In </w:t>
      </w:r>
      <w:r w:rsidRPr="00EA1876">
        <w:rPr>
          <w:i/>
          <w:noProof/>
        </w:rPr>
        <w:t>The International Encyclopedia of Communication Research Methods</w:t>
      </w:r>
      <w:r w:rsidRPr="00EA1876">
        <w:rPr>
          <w:noProof/>
        </w:rPr>
        <w:t xml:space="preserve"> (pp. 1-3). </w:t>
      </w:r>
      <w:hyperlink r:id="rId208" w:history="1">
        <w:r w:rsidRPr="00EA1876">
          <w:rPr>
            <w:rStyle w:val="Hyperlink"/>
            <w:noProof/>
          </w:rPr>
          <w:t>https://doi.org/10.1002/9781118901731.iecrm0269</w:t>
        </w:r>
      </w:hyperlink>
      <w:r w:rsidRPr="00EA1876">
        <w:rPr>
          <w:noProof/>
        </w:rPr>
        <w:t xml:space="preserve"> </w:t>
      </w:r>
    </w:p>
    <w:p w14:paraId="270D5028" w14:textId="04256C7F" w:rsidR="00EA1876" w:rsidRPr="00EA1876" w:rsidRDefault="00EA1876" w:rsidP="00EA1876">
      <w:pPr>
        <w:pStyle w:val="EndNoteBibliography"/>
        <w:ind w:left="720" w:hanging="720"/>
        <w:rPr>
          <w:noProof/>
        </w:rPr>
      </w:pPr>
      <w:r w:rsidRPr="00EA1876">
        <w:rPr>
          <w:noProof/>
        </w:rPr>
        <w:t xml:space="preserve">Thomas, L. J., &amp; Scharp, K. M. (2020). Voicing the system: How formerly fostered adults make meaning of the US foster care system. </w:t>
      </w:r>
      <w:r w:rsidRPr="00EA1876">
        <w:rPr>
          <w:i/>
          <w:noProof/>
        </w:rPr>
        <w:t>Journal of Social and Personal relationships, 37</w:t>
      </w:r>
      <w:r w:rsidRPr="00EA1876">
        <w:rPr>
          <w:noProof/>
        </w:rPr>
        <w:t xml:space="preserve">(6), 1806-1824. </w:t>
      </w:r>
      <w:hyperlink r:id="rId209" w:history="1">
        <w:r w:rsidRPr="00EA1876">
          <w:rPr>
            <w:rStyle w:val="Hyperlink"/>
            <w:noProof/>
          </w:rPr>
          <w:t>https://doi.org/10.1177/0265407520911104</w:t>
        </w:r>
      </w:hyperlink>
      <w:r w:rsidRPr="00EA1876">
        <w:rPr>
          <w:noProof/>
        </w:rPr>
        <w:t xml:space="preserve"> </w:t>
      </w:r>
    </w:p>
    <w:p w14:paraId="3A31A034" w14:textId="00FE6017" w:rsidR="00EA1876" w:rsidRPr="00EA1876" w:rsidRDefault="00EA1876" w:rsidP="00EA1876">
      <w:pPr>
        <w:pStyle w:val="EndNoteBibliography"/>
        <w:ind w:left="720" w:hanging="720"/>
        <w:rPr>
          <w:noProof/>
        </w:rPr>
      </w:pPr>
      <w:r w:rsidRPr="00EA1876">
        <w:rPr>
          <w:noProof/>
        </w:rPr>
        <w:t xml:space="preserve">Thompson, B., Rudick, C. K., Kerssen-Griep, J., &amp; Golsan, K. (2018). Navigating instructional dialectics: empirical exploration of paradox in teaching. </w:t>
      </w:r>
      <w:r w:rsidRPr="00EA1876">
        <w:rPr>
          <w:i/>
          <w:noProof/>
        </w:rPr>
        <w:t>Communication Education, 67</w:t>
      </w:r>
      <w:r w:rsidRPr="00EA1876">
        <w:rPr>
          <w:noProof/>
        </w:rPr>
        <w:t xml:space="preserve">(1), 7-30. </w:t>
      </w:r>
      <w:hyperlink r:id="rId210" w:history="1">
        <w:r w:rsidRPr="00EA1876">
          <w:rPr>
            <w:rStyle w:val="Hyperlink"/>
            <w:noProof/>
          </w:rPr>
          <w:t>https://doi.org/10.1080/03634523.2017.1388527</w:t>
        </w:r>
      </w:hyperlink>
      <w:r w:rsidRPr="00EA1876">
        <w:rPr>
          <w:noProof/>
        </w:rPr>
        <w:t xml:space="preserve"> </w:t>
      </w:r>
    </w:p>
    <w:p w14:paraId="365368E4" w14:textId="6AABAAA2" w:rsidR="00EA1876" w:rsidRPr="00EA1876" w:rsidRDefault="00EA1876" w:rsidP="00EA1876">
      <w:pPr>
        <w:pStyle w:val="EndNoteBibliography"/>
        <w:ind w:left="720" w:hanging="720"/>
        <w:rPr>
          <w:noProof/>
        </w:rPr>
      </w:pPr>
      <w:r w:rsidRPr="00EA1876">
        <w:rPr>
          <w:noProof/>
        </w:rPr>
        <w:t xml:space="preserve">Torres, N. I., &amp; Turner, J. (1989). Funeral Planning: FCS7050. </w:t>
      </w:r>
      <w:r w:rsidRPr="00EA1876">
        <w:rPr>
          <w:i/>
          <w:noProof/>
        </w:rPr>
        <w:t>EDIS, 2007</w:t>
      </w:r>
      <w:r w:rsidRPr="00EA1876">
        <w:rPr>
          <w:noProof/>
        </w:rPr>
        <w:t xml:space="preserve">. </w:t>
      </w:r>
      <w:hyperlink r:id="rId211" w:history="1">
        <w:r w:rsidRPr="00EA1876">
          <w:rPr>
            <w:rStyle w:val="Hyperlink"/>
            <w:noProof/>
          </w:rPr>
          <w:t>https://ufdcimages.uflib.ufl.edu/IR/00/00/25/54/00001/HE79700.pdf</w:t>
        </w:r>
      </w:hyperlink>
      <w:r w:rsidRPr="00EA1876">
        <w:rPr>
          <w:noProof/>
        </w:rPr>
        <w:t xml:space="preserve"> </w:t>
      </w:r>
    </w:p>
    <w:p w14:paraId="23F8D31E" w14:textId="67BDD84A" w:rsidR="00EA1876" w:rsidRPr="00EA1876" w:rsidRDefault="00EA1876" w:rsidP="00EA1876">
      <w:pPr>
        <w:pStyle w:val="EndNoteBibliography"/>
        <w:ind w:left="720" w:hanging="720"/>
        <w:rPr>
          <w:noProof/>
        </w:rPr>
      </w:pPr>
      <w:r w:rsidRPr="00EA1876">
        <w:rPr>
          <w:noProof/>
        </w:rPr>
        <w:t xml:space="preserve">Tradii, L., &amp; Robert, M. (2019). Do we deny death? II. Critiques of the death-denial thesis. </w:t>
      </w:r>
      <w:r w:rsidRPr="00EA1876">
        <w:rPr>
          <w:i/>
          <w:noProof/>
        </w:rPr>
        <w:t>Mortality, 24</w:t>
      </w:r>
      <w:r w:rsidRPr="00EA1876">
        <w:rPr>
          <w:noProof/>
        </w:rPr>
        <w:t xml:space="preserve">(4), 377-388. </w:t>
      </w:r>
      <w:hyperlink r:id="rId212" w:history="1">
        <w:r w:rsidRPr="00EA1876">
          <w:rPr>
            <w:rStyle w:val="Hyperlink"/>
            <w:noProof/>
          </w:rPr>
          <w:t>https://doi.org/10.1080/13576275.2017.1415319</w:t>
        </w:r>
      </w:hyperlink>
      <w:r w:rsidRPr="00EA1876">
        <w:rPr>
          <w:noProof/>
        </w:rPr>
        <w:t xml:space="preserve"> </w:t>
      </w:r>
    </w:p>
    <w:p w14:paraId="02763523" w14:textId="6B68019E" w:rsidR="00EA1876" w:rsidRPr="00EA1876" w:rsidRDefault="00EA1876" w:rsidP="00EA1876">
      <w:pPr>
        <w:pStyle w:val="EndNoteBibliography"/>
        <w:ind w:left="720" w:hanging="720"/>
        <w:rPr>
          <w:noProof/>
        </w:rPr>
      </w:pPr>
      <w:r w:rsidRPr="00EA1876">
        <w:rPr>
          <w:noProof/>
        </w:rPr>
        <w:t xml:space="preserve">Trapp, R., &amp; Hoff, N. (1985). A model of serial argument in interpersonal relationships. </w:t>
      </w:r>
      <w:r w:rsidRPr="00EA1876">
        <w:rPr>
          <w:i/>
          <w:noProof/>
        </w:rPr>
        <w:t>The Journal of the American Forensic Association, 22</w:t>
      </w:r>
      <w:r w:rsidRPr="00EA1876">
        <w:rPr>
          <w:noProof/>
        </w:rPr>
        <w:t xml:space="preserve">(1), 1-11. </w:t>
      </w:r>
      <w:hyperlink r:id="rId213" w:history="1">
        <w:r w:rsidRPr="00EA1876">
          <w:rPr>
            <w:rStyle w:val="Hyperlink"/>
            <w:noProof/>
          </w:rPr>
          <w:t>https://doi.org/10.1080/00028533.1985.11951297</w:t>
        </w:r>
      </w:hyperlink>
      <w:r w:rsidRPr="00EA1876">
        <w:rPr>
          <w:noProof/>
        </w:rPr>
        <w:t xml:space="preserve"> </w:t>
      </w:r>
    </w:p>
    <w:p w14:paraId="568D31F8" w14:textId="5444D85B" w:rsidR="00EA1876" w:rsidRPr="00EA1876" w:rsidRDefault="00EA1876" w:rsidP="00EA1876">
      <w:pPr>
        <w:pStyle w:val="EndNoteBibliography"/>
        <w:ind w:left="720" w:hanging="720"/>
        <w:rPr>
          <w:noProof/>
        </w:rPr>
      </w:pPr>
      <w:r w:rsidRPr="00EA1876">
        <w:rPr>
          <w:noProof/>
        </w:rPr>
        <w:t xml:space="preserve">Trompette, P. (2007). Customer channeling arrangements in market organization: Competition dynamics in the funeral business in France. </w:t>
      </w:r>
      <w:r w:rsidRPr="00EA1876">
        <w:rPr>
          <w:i/>
          <w:noProof/>
        </w:rPr>
        <w:t>Revue française de sociologie, 48</w:t>
      </w:r>
      <w:r w:rsidRPr="00EA1876">
        <w:rPr>
          <w:noProof/>
        </w:rPr>
        <w:t xml:space="preserve">(5), 3-33. </w:t>
      </w:r>
      <w:hyperlink r:id="rId214" w:history="1">
        <w:r w:rsidRPr="00EA1876">
          <w:rPr>
            <w:rStyle w:val="Hyperlink"/>
            <w:noProof/>
          </w:rPr>
          <w:t>https://doi.org/10.3917/rfs.485.0003</w:t>
        </w:r>
      </w:hyperlink>
      <w:r w:rsidRPr="00EA1876">
        <w:rPr>
          <w:noProof/>
        </w:rPr>
        <w:t xml:space="preserve"> </w:t>
      </w:r>
    </w:p>
    <w:p w14:paraId="01550762" w14:textId="084A93CE" w:rsidR="00EA1876" w:rsidRPr="00EA1876" w:rsidRDefault="00EA1876" w:rsidP="00EA1876">
      <w:pPr>
        <w:pStyle w:val="EndNoteBibliography"/>
        <w:ind w:left="720" w:hanging="720"/>
        <w:rPr>
          <w:noProof/>
        </w:rPr>
      </w:pPr>
      <w:r w:rsidRPr="00EA1876">
        <w:rPr>
          <w:noProof/>
        </w:rPr>
        <w:t xml:space="preserve">Trost, J. (1990). Do we mean the same by the concept of family. </w:t>
      </w:r>
      <w:r w:rsidRPr="00EA1876">
        <w:rPr>
          <w:i/>
          <w:noProof/>
        </w:rPr>
        <w:t>Communication Research, 17</w:t>
      </w:r>
      <w:r w:rsidRPr="00EA1876">
        <w:rPr>
          <w:noProof/>
        </w:rPr>
        <w:t xml:space="preserve">(4), 431-443. </w:t>
      </w:r>
      <w:hyperlink r:id="rId215" w:history="1">
        <w:r w:rsidRPr="00EA1876">
          <w:rPr>
            <w:rStyle w:val="Hyperlink"/>
            <w:noProof/>
          </w:rPr>
          <w:t>https://doi.org/10.1177/009365090017004002</w:t>
        </w:r>
      </w:hyperlink>
      <w:r w:rsidRPr="00EA1876">
        <w:rPr>
          <w:noProof/>
        </w:rPr>
        <w:t xml:space="preserve"> </w:t>
      </w:r>
    </w:p>
    <w:p w14:paraId="1863B765" w14:textId="77777777" w:rsidR="00EA1876" w:rsidRPr="00EA1876" w:rsidRDefault="00EA1876" w:rsidP="00EA1876">
      <w:pPr>
        <w:pStyle w:val="EndNoteBibliography"/>
        <w:ind w:left="720" w:hanging="720"/>
        <w:rPr>
          <w:noProof/>
        </w:rPr>
      </w:pPr>
      <w:r w:rsidRPr="00EA1876">
        <w:rPr>
          <w:noProof/>
        </w:rPr>
        <w:lastRenderedPageBreak/>
        <w:t xml:space="preserve">Turner, R. E., &amp; Edgley, C. (1990). Death as theater: A dramaturgical analysis of the American funeral. In C. Edgley (Ed.), </w:t>
      </w:r>
      <w:r w:rsidRPr="00EA1876">
        <w:rPr>
          <w:i/>
          <w:noProof/>
        </w:rPr>
        <w:t>Life as theater: A dramaturgical sourcebook</w:t>
      </w:r>
      <w:r w:rsidRPr="00EA1876">
        <w:rPr>
          <w:noProof/>
        </w:rPr>
        <w:t xml:space="preserve"> (pp. 285-298). Routledge. </w:t>
      </w:r>
    </w:p>
    <w:p w14:paraId="622EBDBE" w14:textId="77777777" w:rsidR="00EA1876" w:rsidRPr="00EA1876" w:rsidRDefault="00EA1876" w:rsidP="00EA1876">
      <w:pPr>
        <w:pStyle w:val="EndNoteBibliography"/>
        <w:ind w:left="720" w:hanging="720"/>
        <w:rPr>
          <w:noProof/>
        </w:rPr>
      </w:pPr>
      <w:r w:rsidRPr="00EA1876">
        <w:rPr>
          <w:noProof/>
        </w:rPr>
        <w:t xml:space="preserve">Twain, M. (1985). </w:t>
      </w:r>
      <w:r w:rsidRPr="00EA1876">
        <w:rPr>
          <w:i/>
          <w:noProof/>
        </w:rPr>
        <w:t>Life on the Mississippi</w:t>
      </w:r>
      <w:r w:rsidRPr="00EA1876">
        <w:rPr>
          <w:noProof/>
        </w:rPr>
        <w:t xml:space="preserve">. Penguin. </w:t>
      </w:r>
    </w:p>
    <w:p w14:paraId="5776616D" w14:textId="2597C463" w:rsidR="00EA1876" w:rsidRPr="00EA1876" w:rsidRDefault="00EA1876" w:rsidP="00EA1876">
      <w:pPr>
        <w:pStyle w:val="EndNoteBibliography"/>
        <w:ind w:left="720" w:hanging="720"/>
        <w:rPr>
          <w:noProof/>
        </w:rPr>
      </w:pPr>
      <w:r w:rsidRPr="00EA1876">
        <w:rPr>
          <w:noProof/>
        </w:rPr>
        <w:t xml:space="preserve">U.S. Department of Labor Bureau of Labor Statistics. (2023). </w:t>
      </w:r>
      <w:r w:rsidRPr="00EA1876">
        <w:rPr>
          <w:i/>
          <w:noProof/>
        </w:rPr>
        <w:t>Occupational outlook handbook</w:t>
      </w:r>
      <w:r w:rsidRPr="00EA1876">
        <w:rPr>
          <w:noProof/>
        </w:rPr>
        <w:t xml:space="preserve">. </w:t>
      </w:r>
      <w:hyperlink r:id="rId216" w:history="1">
        <w:r w:rsidRPr="00EA1876">
          <w:rPr>
            <w:rStyle w:val="Hyperlink"/>
            <w:noProof/>
          </w:rPr>
          <w:t>https://www.bls.gov/ooh/personal-care-and-service/funeral-service-occupations.htm</w:t>
        </w:r>
      </w:hyperlink>
    </w:p>
    <w:p w14:paraId="3D1DD562" w14:textId="77777777" w:rsidR="00EA1876" w:rsidRPr="00EA1876" w:rsidRDefault="00EA1876" w:rsidP="00EA1876">
      <w:pPr>
        <w:pStyle w:val="EndNoteBibliography"/>
        <w:ind w:left="720" w:hanging="720"/>
        <w:rPr>
          <w:noProof/>
        </w:rPr>
      </w:pPr>
      <w:r w:rsidRPr="00EA1876">
        <w:rPr>
          <w:noProof/>
        </w:rPr>
        <w:t xml:space="preserve">Van Dijk, T. A. (1995). Discourse, power and access. In C. R. Caldas-Coulthard, &amp; Coulthard, M. (Ed.), </w:t>
      </w:r>
      <w:r w:rsidRPr="00EA1876">
        <w:rPr>
          <w:i/>
          <w:noProof/>
        </w:rPr>
        <w:t>Texts and Practices: Readings in Critical Discourse Analysis</w:t>
      </w:r>
      <w:r w:rsidRPr="00EA1876">
        <w:rPr>
          <w:noProof/>
        </w:rPr>
        <w:t xml:space="preserve"> (pp. 93-113). Routledge. </w:t>
      </w:r>
    </w:p>
    <w:p w14:paraId="058ED720" w14:textId="60DB5858" w:rsidR="00EA1876" w:rsidRPr="00EA1876" w:rsidRDefault="00EA1876" w:rsidP="00EA1876">
      <w:pPr>
        <w:pStyle w:val="EndNoteBibliography"/>
        <w:ind w:left="720" w:hanging="720"/>
        <w:rPr>
          <w:noProof/>
        </w:rPr>
      </w:pPr>
      <w:r w:rsidRPr="00EA1876">
        <w:rPr>
          <w:noProof/>
        </w:rPr>
        <w:t xml:space="preserve">Van Ryn, L., Meese, J., Arnold, M., Nansen, B., Gibbs, M., &amp; Kohn, T. (2019). Managing the consumption of death and digital media: The funeral director as market intermediary. </w:t>
      </w:r>
      <w:r w:rsidRPr="00EA1876">
        <w:rPr>
          <w:i/>
          <w:noProof/>
        </w:rPr>
        <w:t>Death Studies, 43</w:t>
      </w:r>
      <w:r w:rsidRPr="00EA1876">
        <w:rPr>
          <w:noProof/>
        </w:rPr>
        <w:t xml:space="preserve">(7), 446-455. </w:t>
      </w:r>
      <w:hyperlink r:id="rId217" w:history="1">
        <w:r w:rsidRPr="00EA1876">
          <w:rPr>
            <w:rStyle w:val="Hyperlink"/>
            <w:noProof/>
          </w:rPr>
          <w:t>https://doi.org/10.1080/07481187.2018.1522387</w:t>
        </w:r>
      </w:hyperlink>
      <w:r w:rsidRPr="00EA1876">
        <w:rPr>
          <w:noProof/>
        </w:rPr>
        <w:t xml:space="preserve"> </w:t>
      </w:r>
    </w:p>
    <w:p w14:paraId="548D8EC8" w14:textId="05AB0C0E" w:rsidR="00EA1876" w:rsidRPr="00EA1876" w:rsidRDefault="00EA1876" w:rsidP="00EA1876">
      <w:pPr>
        <w:pStyle w:val="EndNoteBibliography"/>
        <w:ind w:left="720" w:hanging="720"/>
        <w:rPr>
          <w:noProof/>
        </w:rPr>
      </w:pPr>
      <w:r w:rsidRPr="00EA1876">
        <w:rPr>
          <w:noProof/>
        </w:rPr>
        <w:t xml:space="preserve">Vitellone, N. (2001). Watching AIDS, condoms and serial killers in the Australian 'Grim Reaper' TV campaign. </w:t>
      </w:r>
      <w:r w:rsidRPr="00EA1876">
        <w:rPr>
          <w:i/>
          <w:noProof/>
        </w:rPr>
        <w:t>Continuum, 15</w:t>
      </w:r>
      <w:r w:rsidRPr="00EA1876">
        <w:rPr>
          <w:noProof/>
        </w:rPr>
        <w:t xml:space="preserve">(1), 33-48. </w:t>
      </w:r>
      <w:hyperlink r:id="rId218" w:history="1">
        <w:r w:rsidRPr="00EA1876">
          <w:rPr>
            <w:rStyle w:val="Hyperlink"/>
            <w:noProof/>
          </w:rPr>
          <w:t>https://doi.org/10.1080/713657768</w:t>
        </w:r>
      </w:hyperlink>
      <w:r w:rsidRPr="00EA1876">
        <w:rPr>
          <w:noProof/>
        </w:rPr>
        <w:t xml:space="preserve"> </w:t>
      </w:r>
    </w:p>
    <w:p w14:paraId="504AE60B" w14:textId="77777777" w:rsidR="00EA1876" w:rsidRPr="00EA1876" w:rsidRDefault="00EA1876" w:rsidP="00EA1876">
      <w:pPr>
        <w:pStyle w:val="EndNoteBibliography"/>
        <w:ind w:left="720" w:hanging="720"/>
        <w:rPr>
          <w:noProof/>
        </w:rPr>
      </w:pPr>
      <w:r w:rsidRPr="00EA1876">
        <w:rPr>
          <w:noProof/>
        </w:rPr>
        <w:t xml:space="preserve">Voloshinov, V. N. (1987). </w:t>
      </w:r>
      <w:r w:rsidRPr="00EA1876">
        <w:rPr>
          <w:i/>
          <w:noProof/>
        </w:rPr>
        <w:t>Freudianism: a critical sketch</w:t>
      </w:r>
      <w:r w:rsidRPr="00EA1876">
        <w:rPr>
          <w:noProof/>
        </w:rPr>
        <w:t xml:space="preserve"> (I. R. Titunik, Trans.). Indiana University Press. </w:t>
      </w:r>
    </w:p>
    <w:p w14:paraId="0909C3D9" w14:textId="77777777" w:rsidR="00EA1876" w:rsidRPr="00EA1876" w:rsidRDefault="00EA1876" w:rsidP="00EA1876">
      <w:pPr>
        <w:pStyle w:val="EndNoteBibliography"/>
        <w:ind w:left="720" w:hanging="720"/>
        <w:rPr>
          <w:noProof/>
        </w:rPr>
      </w:pPr>
      <w:r w:rsidRPr="00EA1876">
        <w:rPr>
          <w:noProof/>
        </w:rPr>
        <w:t xml:space="preserve">Walter, T. (2002). </w:t>
      </w:r>
      <w:r w:rsidRPr="00EA1876">
        <w:rPr>
          <w:i/>
          <w:noProof/>
        </w:rPr>
        <w:t>The revival of death</w:t>
      </w:r>
      <w:r w:rsidRPr="00EA1876">
        <w:rPr>
          <w:noProof/>
        </w:rPr>
        <w:t xml:space="preserve">. Routledge. </w:t>
      </w:r>
    </w:p>
    <w:p w14:paraId="790A374D" w14:textId="6EE37589" w:rsidR="00EA1876" w:rsidRPr="00EA1876" w:rsidRDefault="00EA1876" w:rsidP="00EA1876">
      <w:pPr>
        <w:pStyle w:val="EndNoteBibliography"/>
        <w:ind w:left="720" w:hanging="720"/>
        <w:rPr>
          <w:noProof/>
        </w:rPr>
      </w:pPr>
      <w:r w:rsidRPr="00EA1876">
        <w:rPr>
          <w:noProof/>
        </w:rPr>
        <w:t xml:space="preserve">Walter, T. (2005). Three ways to arrange a funeral: Mortuary variation in the modern West. </w:t>
      </w:r>
      <w:r w:rsidRPr="00EA1876">
        <w:rPr>
          <w:i/>
          <w:noProof/>
        </w:rPr>
        <w:t>Mortality, 10</w:t>
      </w:r>
      <w:r w:rsidRPr="00EA1876">
        <w:rPr>
          <w:noProof/>
        </w:rPr>
        <w:t xml:space="preserve">(3), 173-192. </w:t>
      </w:r>
      <w:hyperlink r:id="rId219" w:history="1">
        <w:r w:rsidRPr="00EA1876">
          <w:rPr>
            <w:rStyle w:val="Hyperlink"/>
            <w:noProof/>
          </w:rPr>
          <w:t>https://doi.org/10.1080/13576270500178369</w:t>
        </w:r>
      </w:hyperlink>
      <w:r w:rsidRPr="00EA1876">
        <w:rPr>
          <w:noProof/>
        </w:rPr>
        <w:t xml:space="preserve"> </w:t>
      </w:r>
    </w:p>
    <w:p w14:paraId="16D1BF5D" w14:textId="1F644644" w:rsidR="00EA1876" w:rsidRPr="00EA1876" w:rsidRDefault="00EA1876" w:rsidP="00EA1876">
      <w:pPr>
        <w:pStyle w:val="EndNoteBibliography"/>
        <w:ind w:left="720" w:hanging="720"/>
        <w:rPr>
          <w:noProof/>
        </w:rPr>
      </w:pPr>
      <w:r w:rsidRPr="00EA1876">
        <w:rPr>
          <w:noProof/>
        </w:rPr>
        <w:t xml:space="preserve">Walter, T. (2015). Death and Dying, Sociology of. In J. D. Wright (Ed.), </w:t>
      </w:r>
      <w:r w:rsidRPr="00EA1876">
        <w:rPr>
          <w:i/>
          <w:noProof/>
        </w:rPr>
        <w:t>International Encyclopedia of the Social &amp; Behavioral Sciences (Second Edition)</w:t>
      </w:r>
      <w:r w:rsidRPr="00EA1876">
        <w:rPr>
          <w:noProof/>
        </w:rPr>
        <w:t xml:space="preserve"> (pp. 865-869). Elsevier. </w:t>
      </w:r>
      <w:hyperlink r:id="rId220" w:history="1">
        <w:r w:rsidRPr="00EA1876">
          <w:rPr>
            <w:rStyle w:val="Hyperlink"/>
            <w:noProof/>
          </w:rPr>
          <w:t>https://doi.org/10.1016/B978-0-08-097086-8.32037-2</w:t>
        </w:r>
      </w:hyperlink>
      <w:r w:rsidRPr="00EA1876">
        <w:rPr>
          <w:noProof/>
        </w:rPr>
        <w:t xml:space="preserve"> </w:t>
      </w:r>
    </w:p>
    <w:p w14:paraId="30CCE5CD" w14:textId="77777777" w:rsidR="00EA1876" w:rsidRPr="00EA1876" w:rsidRDefault="00EA1876" w:rsidP="00EA1876">
      <w:pPr>
        <w:pStyle w:val="EndNoteBibliography"/>
        <w:ind w:left="720" w:hanging="720"/>
        <w:rPr>
          <w:noProof/>
        </w:rPr>
      </w:pPr>
      <w:r w:rsidRPr="00EA1876">
        <w:rPr>
          <w:noProof/>
        </w:rPr>
        <w:t xml:space="preserve">Walter, T. (2020). </w:t>
      </w:r>
      <w:r w:rsidRPr="00EA1876">
        <w:rPr>
          <w:i/>
          <w:noProof/>
        </w:rPr>
        <w:t>Death in the modern world</w:t>
      </w:r>
      <w:r w:rsidRPr="00EA1876">
        <w:rPr>
          <w:noProof/>
        </w:rPr>
        <w:t xml:space="preserve">. Sage. </w:t>
      </w:r>
    </w:p>
    <w:p w14:paraId="0500EFB8" w14:textId="43C44F49" w:rsidR="00EA1876" w:rsidRPr="00EA1876" w:rsidRDefault="00EA1876" w:rsidP="00EA1876">
      <w:pPr>
        <w:pStyle w:val="EndNoteBibliography"/>
        <w:ind w:left="720" w:hanging="720"/>
        <w:rPr>
          <w:noProof/>
        </w:rPr>
      </w:pPr>
      <w:r w:rsidRPr="00EA1876">
        <w:rPr>
          <w:noProof/>
        </w:rPr>
        <w:lastRenderedPageBreak/>
        <w:t xml:space="preserve">Walter, T., Hourizi, R., Moncur, W., &amp; Pitsillides, S. (2012). Does the Internet change how we die and mourn? Overview and analysis. </w:t>
      </w:r>
      <w:r w:rsidRPr="00EA1876">
        <w:rPr>
          <w:i/>
          <w:noProof/>
        </w:rPr>
        <w:t>OMEGA - Journal of Death and Dying, 64</w:t>
      </w:r>
      <w:r w:rsidRPr="00EA1876">
        <w:rPr>
          <w:noProof/>
        </w:rPr>
        <w:t xml:space="preserve">(4), 275-302. </w:t>
      </w:r>
      <w:hyperlink r:id="rId221" w:history="1">
        <w:r w:rsidRPr="00EA1876">
          <w:rPr>
            <w:rStyle w:val="Hyperlink"/>
            <w:noProof/>
          </w:rPr>
          <w:t>https://doi.org/10.2190/OM.64.4.a</w:t>
        </w:r>
      </w:hyperlink>
      <w:r w:rsidRPr="00EA1876">
        <w:rPr>
          <w:noProof/>
        </w:rPr>
        <w:t xml:space="preserve"> </w:t>
      </w:r>
    </w:p>
    <w:p w14:paraId="7B37805E" w14:textId="77777777" w:rsidR="00EA1876" w:rsidRPr="00EA1876" w:rsidRDefault="00EA1876" w:rsidP="00EA1876">
      <w:pPr>
        <w:pStyle w:val="EndNoteBibliography"/>
        <w:ind w:left="720" w:hanging="720"/>
        <w:rPr>
          <w:noProof/>
        </w:rPr>
      </w:pPr>
      <w:r w:rsidRPr="00EA1876">
        <w:rPr>
          <w:noProof/>
        </w:rPr>
        <w:t xml:space="preserve">Wilson, A., &amp; West, C. (1981). The marketing of unmentionables. </w:t>
      </w:r>
      <w:r w:rsidRPr="00EA1876">
        <w:rPr>
          <w:i/>
          <w:noProof/>
        </w:rPr>
        <w:t>Harvard Business Review, 59</w:t>
      </w:r>
      <w:r w:rsidRPr="00EA1876">
        <w:rPr>
          <w:noProof/>
        </w:rPr>
        <w:t xml:space="preserve">(1), 91-102. </w:t>
      </w:r>
    </w:p>
    <w:p w14:paraId="30ECD095" w14:textId="77777777" w:rsidR="00EA1876" w:rsidRPr="00EA1876" w:rsidRDefault="00EA1876" w:rsidP="00EA1876">
      <w:pPr>
        <w:pStyle w:val="EndNoteBibliography"/>
        <w:ind w:left="720" w:hanging="720"/>
        <w:rPr>
          <w:noProof/>
        </w:rPr>
      </w:pPr>
      <w:r w:rsidRPr="00EA1876">
        <w:rPr>
          <w:noProof/>
        </w:rPr>
        <w:t xml:space="preserve">Wojcik, M. E. (1993). AIDS and funeral homes: Common legal issues facing funeral directors. </w:t>
      </w:r>
      <w:r w:rsidRPr="00EA1876">
        <w:rPr>
          <w:i/>
          <w:noProof/>
        </w:rPr>
        <w:t>J. Marshall L. Rev., 27</w:t>
      </w:r>
      <w:r w:rsidRPr="00EA1876">
        <w:rPr>
          <w:noProof/>
        </w:rPr>
        <w:t xml:space="preserve">, 411. </w:t>
      </w:r>
    </w:p>
    <w:p w14:paraId="1342A893" w14:textId="08851185" w:rsidR="00EA1876" w:rsidRPr="00EA1876" w:rsidRDefault="00EA1876" w:rsidP="00EA1876">
      <w:pPr>
        <w:pStyle w:val="EndNoteBibliography"/>
        <w:ind w:left="720" w:hanging="720"/>
        <w:rPr>
          <w:noProof/>
        </w:rPr>
      </w:pPr>
      <w:r w:rsidRPr="00EA1876">
        <w:rPr>
          <w:noProof/>
        </w:rPr>
        <w:t xml:space="preserve">Wolfe, B. H., &amp; Scharp, K. M. (2023). A (In)curable disease? Making meaning of addiction from the perspective of people in recovery from opioid use disorder. </w:t>
      </w:r>
      <w:r w:rsidRPr="00EA1876">
        <w:rPr>
          <w:i/>
          <w:noProof/>
        </w:rPr>
        <w:t>Health Communication, 38</w:t>
      </w:r>
      <w:r w:rsidRPr="00EA1876">
        <w:rPr>
          <w:noProof/>
        </w:rPr>
        <w:t xml:space="preserve">(13), 2936-2944. </w:t>
      </w:r>
      <w:hyperlink r:id="rId222" w:history="1">
        <w:r w:rsidRPr="00EA1876">
          <w:rPr>
            <w:rStyle w:val="Hyperlink"/>
            <w:noProof/>
          </w:rPr>
          <w:t>https://doi.org/10.1080/10410236.2022.2128157</w:t>
        </w:r>
      </w:hyperlink>
      <w:r w:rsidRPr="00EA1876">
        <w:rPr>
          <w:noProof/>
        </w:rPr>
        <w:t xml:space="preserve"> </w:t>
      </w:r>
    </w:p>
    <w:p w14:paraId="71156B8D" w14:textId="77777777" w:rsidR="00EA1876" w:rsidRPr="00EA1876" w:rsidRDefault="00EA1876" w:rsidP="00EA1876">
      <w:pPr>
        <w:pStyle w:val="EndNoteBibliography"/>
        <w:ind w:left="720" w:hanging="720"/>
        <w:rPr>
          <w:noProof/>
        </w:rPr>
      </w:pPr>
      <w:r w:rsidRPr="00EA1876">
        <w:rPr>
          <w:noProof/>
        </w:rPr>
        <w:t xml:space="preserve">Wolfe, T. (1929). </w:t>
      </w:r>
      <w:r w:rsidRPr="00EA1876">
        <w:rPr>
          <w:i/>
          <w:noProof/>
        </w:rPr>
        <w:t>Look homeward, angel a story of the buried life</w:t>
      </w:r>
      <w:r w:rsidRPr="00EA1876">
        <w:rPr>
          <w:noProof/>
        </w:rPr>
        <w:t xml:space="preserve">. New York, The Modern Library. </w:t>
      </w:r>
    </w:p>
    <w:p w14:paraId="74AF5922" w14:textId="5634D55E" w:rsidR="00EA1876" w:rsidRPr="00EA1876" w:rsidRDefault="00EA1876" w:rsidP="00EA1876">
      <w:pPr>
        <w:pStyle w:val="EndNoteBibliography"/>
        <w:ind w:left="720" w:hanging="720"/>
        <w:rPr>
          <w:noProof/>
        </w:rPr>
      </w:pPr>
      <w:r w:rsidRPr="00EA1876">
        <w:rPr>
          <w:noProof/>
        </w:rPr>
        <w:t xml:space="preserve">Woodthorpe, K. (2017). Family and funerals: Taking a relational perspective. </w:t>
      </w:r>
      <w:r w:rsidRPr="00EA1876">
        <w:rPr>
          <w:i/>
          <w:noProof/>
        </w:rPr>
        <w:t>Death Studies, 41</w:t>
      </w:r>
      <w:r w:rsidRPr="00EA1876">
        <w:rPr>
          <w:noProof/>
        </w:rPr>
        <w:t xml:space="preserve">(9), 592-601. </w:t>
      </w:r>
      <w:hyperlink r:id="rId223" w:history="1">
        <w:r w:rsidRPr="00EA1876">
          <w:rPr>
            <w:rStyle w:val="Hyperlink"/>
            <w:noProof/>
          </w:rPr>
          <w:t>https://doi.org/10.1080/07481187.2017.1325419</w:t>
        </w:r>
      </w:hyperlink>
      <w:r w:rsidRPr="00EA1876">
        <w:rPr>
          <w:noProof/>
        </w:rPr>
        <w:t xml:space="preserve"> </w:t>
      </w:r>
    </w:p>
    <w:p w14:paraId="3EB7A148" w14:textId="65B0FD21" w:rsidR="00EA1876" w:rsidRPr="00EA1876" w:rsidRDefault="00EA1876" w:rsidP="00EA1876">
      <w:pPr>
        <w:pStyle w:val="EndNoteBibliography"/>
        <w:ind w:left="720" w:hanging="720"/>
        <w:rPr>
          <w:noProof/>
        </w:rPr>
      </w:pPr>
      <w:r w:rsidRPr="00EA1876">
        <w:rPr>
          <w:noProof/>
        </w:rPr>
        <w:t xml:space="preserve">Wozniak, A., Lollis, S., &amp; Marshall, S. K. (2014). Competing discourses within parent–adolescent conversations. </w:t>
      </w:r>
      <w:r w:rsidRPr="00EA1876">
        <w:rPr>
          <w:i/>
          <w:noProof/>
        </w:rPr>
        <w:t>Journal of Social and Personal relationships, 31</w:t>
      </w:r>
      <w:r w:rsidRPr="00EA1876">
        <w:rPr>
          <w:noProof/>
        </w:rPr>
        <w:t xml:space="preserve">(6), 847-867. </w:t>
      </w:r>
      <w:hyperlink r:id="rId224" w:history="1">
        <w:r w:rsidRPr="00EA1876">
          <w:rPr>
            <w:rStyle w:val="Hyperlink"/>
            <w:noProof/>
          </w:rPr>
          <w:t>https://doi.org/10.1177/0265407513508726</w:t>
        </w:r>
      </w:hyperlink>
      <w:r w:rsidRPr="00EA1876">
        <w:rPr>
          <w:noProof/>
        </w:rPr>
        <w:t xml:space="preserve"> </w:t>
      </w:r>
    </w:p>
    <w:p w14:paraId="03557DEF" w14:textId="77777777" w:rsidR="00EA1876" w:rsidRPr="00EA1876" w:rsidRDefault="00EA1876" w:rsidP="00EA1876">
      <w:pPr>
        <w:pStyle w:val="EndNoteBibliography"/>
        <w:ind w:left="720" w:hanging="720"/>
        <w:rPr>
          <w:noProof/>
        </w:rPr>
      </w:pPr>
      <w:r w:rsidRPr="00EA1876">
        <w:rPr>
          <w:noProof/>
        </w:rPr>
        <w:t xml:space="preserve">Zamfirache, I. (2021). Funerals as a social process: Rituals and symbols in rural and urban funerals. In I. R. Lamond &amp; R. Dowson (Eds.), </w:t>
      </w:r>
      <w:r w:rsidRPr="00EA1876">
        <w:rPr>
          <w:i/>
          <w:noProof/>
        </w:rPr>
        <w:t>Death and Events: International Perspectives on Events Marking the End of Life</w:t>
      </w:r>
      <w:r w:rsidRPr="00EA1876">
        <w:rPr>
          <w:noProof/>
        </w:rPr>
        <w:t xml:space="preserve"> (pp. 13-25). Routledge. </w:t>
      </w:r>
    </w:p>
    <w:p w14:paraId="08CB3F81" w14:textId="77777777" w:rsidR="00EA1876" w:rsidRPr="00EA1876" w:rsidRDefault="00EA1876" w:rsidP="00EA1876">
      <w:pPr>
        <w:pStyle w:val="EndNoteBibliography"/>
        <w:ind w:left="720" w:hanging="720"/>
        <w:rPr>
          <w:noProof/>
        </w:rPr>
      </w:pPr>
      <w:r w:rsidRPr="00EA1876">
        <w:rPr>
          <w:noProof/>
        </w:rPr>
        <w:t xml:space="preserve">Zhang, J. (2001). </w:t>
      </w:r>
      <w:r w:rsidRPr="00EA1876">
        <w:rPr>
          <w:i/>
          <w:noProof/>
        </w:rPr>
        <w:t>Falling seeds take root: Ritualizing Chinese American identity through funerals</w:t>
      </w:r>
      <w:r w:rsidRPr="00EA1876">
        <w:rPr>
          <w:noProof/>
        </w:rPr>
        <w:t xml:space="preserve"> (Publication Number 3015398) [Ph.D., University of Pennsylvania]. ProQuest Dissertations &amp; Theses Global. United States -- Pennsylvania. </w:t>
      </w:r>
    </w:p>
    <w:p w14:paraId="145D88DF" w14:textId="2CAD20AC" w:rsidR="00E50F69" w:rsidRDefault="000152EC" w:rsidP="00244A88">
      <w:pPr>
        <w:spacing w:line="480" w:lineRule="auto"/>
        <w:rPr>
          <w:rFonts w:ascii="Times New Roman" w:hAnsi="Times New Roman" w:cs="Times New Roman"/>
          <w:b/>
          <w:bCs/>
        </w:rPr>
      </w:pPr>
      <w:r>
        <w:rPr>
          <w:rFonts w:ascii="Times New Roman" w:eastAsia="Times New Roman" w:hAnsi="Times New Roman" w:cs="Times New Roman"/>
          <w:color w:val="000000"/>
        </w:rPr>
        <w:lastRenderedPageBreak/>
        <w:fldChar w:fldCharType="end"/>
      </w:r>
    </w:p>
    <w:p w14:paraId="181C5CA6" w14:textId="6255E5CB" w:rsidR="002326A0" w:rsidRPr="00E81505" w:rsidRDefault="002326A0" w:rsidP="002326A0">
      <w:pPr>
        <w:spacing w:line="480" w:lineRule="auto"/>
        <w:jc w:val="center"/>
        <w:rPr>
          <w:rFonts w:ascii="Times New Roman" w:hAnsi="Times New Roman" w:cs="Times New Roman"/>
          <w:b/>
          <w:bCs/>
        </w:rPr>
      </w:pPr>
      <w:r>
        <w:rPr>
          <w:rFonts w:ascii="Times New Roman" w:hAnsi="Times New Roman" w:cs="Times New Roman"/>
          <w:b/>
          <w:bCs/>
        </w:rPr>
        <w:t>Appendix</w:t>
      </w:r>
    </w:p>
    <w:p w14:paraId="131B1B0F" w14:textId="77777777" w:rsidR="002326A0" w:rsidRPr="00201599" w:rsidRDefault="002326A0" w:rsidP="002326A0">
      <w:pPr>
        <w:ind w:left="720" w:hanging="720"/>
        <w:jc w:val="center"/>
        <w:rPr>
          <w:rFonts w:ascii="Times New Roman" w:hAnsi="Times New Roman" w:cs="Times New Roman"/>
          <w:b/>
          <w:bCs/>
          <w:i/>
          <w:iCs/>
          <w:noProof/>
          <w:lang w:eastAsia="zh-TW"/>
        </w:rPr>
      </w:pPr>
      <w:r w:rsidRPr="00201599">
        <w:rPr>
          <w:rFonts w:ascii="Times New Roman" w:hAnsi="Times New Roman" w:cs="Times New Roman"/>
          <w:b/>
          <w:bCs/>
          <w:color w:val="000000"/>
        </w:rPr>
        <w:t xml:space="preserve">Interviewing Protocols: Appreciating Aesthetic </w:t>
      </w:r>
      <w:r>
        <w:rPr>
          <w:rFonts w:ascii="Times New Roman" w:hAnsi="Times New Roman" w:cs="Times New Roman"/>
          <w:b/>
          <w:bCs/>
          <w:color w:val="000000"/>
        </w:rPr>
        <w:t>Compromise</w:t>
      </w:r>
    </w:p>
    <w:p w14:paraId="11E9BE42" w14:textId="77777777" w:rsidR="002326A0" w:rsidRPr="00201599" w:rsidRDefault="002326A0" w:rsidP="002326A0">
      <w:pPr>
        <w:rPr>
          <w:rFonts w:ascii="Times New Roman" w:eastAsia="Times New Roman" w:hAnsi="Times New Roman" w:cs="Times New Roman"/>
          <w:b/>
          <w:bCs/>
          <w:color w:val="0E101A"/>
        </w:rPr>
      </w:pPr>
    </w:p>
    <w:p w14:paraId="4F34991B" w14:textId="77777777" w:rsidR="002326A0" w:rsidRPr="00201599" w:rsidRDefault="002326A0" w:rsidP="002326A0">
      <w:pPr>
        <w:rPr>
          <w:rFonts w:ascii="Times New Roman" w:eastAsia="Times New Roman" w:hAnsi="Times New Roman" w:cs="Times New Roman"/>
          <w:b/>
          <w:bCs/>
          <w:color w:val="0E101A"/>
        </w:rPr>
      </w:pPr>
      <w:r w:rsidRPr="00201599">
        <w:rPr>
          <w:rFonts w:ascii="Times New Roman" w:eastAsia="Times New Roman" w:hAnsi="Times New Roman" w:cs="Times New Roman"/>
          <w:b/>
          <w:bCs/>
          <w:color w:val="0E101A"/>
        </w:rPr>
        <w:t>Starting points:</w:t>
      </w:r>
    </w:p>
    <w:p w14:paraId="2FE28451" w14:textId="77777777" w:rsidR="002326A0" w:rsidRPr="00201599" w:rsidRDefault="002326A0" w:rsidP="002326A0">
      <w:pPr>
        <w:pStyle w:val="NormalWeb"/>
        <w:contextualSpacing/>
      </w:pPr>
      <w:r w:rsidRPr="00201599">
        <w:t xml:space="preserve">1. Thank you for agreeing to participate in this study today. Before we begin audio recording, do you have any questions? </w:t>
      </w:r>
    </w:p>
    <w:p w14:paraId="1FFAD34C" w14:textId="77777777" w:rsidR="002326A0" w:rsidRPr="00201599" w:rsidRDefault="002326A0" w:rsidP="002326A0">
      <w:pPr>
        <w:pStyle w:val="NormalWeb"/>
        <w:contextualSpacing/>
      </w:pPr>
      <w:r w:rsidRPr="00201599">
        <w:t xml:space="preserve">2. Are you a funeral </w:t>
      </w:r>
      <w:proofErr w:type="gramStart"/>
      <w:r w:rsidRPr="00201599">
        <w:t>home owner</w:t>
      </w:r>
      <w:proofErr w:type="gramEnd"/>
      <w:r w:rsidRPr="00201599">
        <w:t xml:space="preserve">? Is this a </w:t>
      </w:r>
      <w:r>
        <w:t>family</w:t>
      </w:r>
      <w:r w:rsidRPr="00201599">
        <w:t xml:space="preserve"> business or a franchise of</w:t>
      </w:r>
      <w:r>
        <w:t xml:space="preserve"> a larger company</w:t>
      </w:r>
      <w:r w:rsidRPr="00201599">
        <w:t>?</w:t>
      </w:r>
    </w:p>
    <w:p w14:paraId="7488C31A" w14:textId="77777777" w:rsidR="002326A0" w:rsidRPr="00201599" w:rsidRDefault="002326A0" w:rsidP="002326A0">
      <w:pPr>
        <w:pStyle w:val="NormalWeb"/>
        <w:contextualSpacing/>
      </w:pPr>
      <w:r w:rsidRPr="00201599">
        <w:t>3. How many years have you worked as a funeral director? How many workers and staff are employed by this funeral home?</w:t>
      </w:r>
    </w:p>
    <w:p w14:paraId="3DB1BB00" w14:textId="77777777" w:rsidR="002326A0" w:rsidRPr="00201599" w:rsidRDefault="002326A0" w:rsidP="002326A0">
      <w:pPr>
        <w:spacing w:line="480" w:lineRule="auto"/>
        <w:ind w:left="720" w:hanging="720"/>
        <w:rPr>
          <w:rFonts w:ascii="Times New Roman" w:hAnsi="Times New Roman" w:cs="Times New Roman"/>
          <w:b/>
          <w:bCs/>
          <w:noProof/>
          <w:lang w:eastAsia="zh-TW"/>
        </w:rPr>
      </w:pPr>
      <w:r w:rsidRPr="00201599">
        <w:rPr>
          <w:rFonts w:ascii="Times New Roman" w:hAnsi="Times New Roman" w:cs="Times New Roman"/>
          <w:b/>
          <w:bCs/>
        </w:rPr>
        <w:t>Competing discourses and discourses interplay:</w:t>
      </w:r>
    </w:p>
    <w:p w14:paraId="665FC0E5" w14:textId="77777777" w:rsidR="002326A0" w:rsidRPr="00201599" w:rsidRDefault="002326A0" w:rsidP="002326A0">
      <w:pPr>
        <w:rPr>
          <w:rFonts w:ascii="Times New Roman" w:hAnsi="Times New Roman" w:cs="Times New Roman"/>
          <w:b/>
          <w:bCs/>
          <w:i/>
          <w:iCs/>
          <w:noProof/>
          <w:lang w:eastAsia="zh-TW"/>
        </w:rPr>
      </w:pPr>
      <w:r w:rsidRPr="00201599">
        <w:rPr>
          <w:rFonts w:ascii="Times New Roman" w:hAnsi="Times New Roman" w:cs="Times New Roman"/>
          <w:b/>
          <w:bCs/>
          <w:i/>
          <w:iCs/>
          <w:noProof/>
          <w:lang w:eastAsia="zh-TW"/>
        </w:rPr>
        <w:t xml:space="preserve">1. Funeral Pre-planning. </w:t>
      </w:r>
    </w:p>
    <w:p w14:paraId="0277FF7D" w14:textId="77777777" w:rsidR="002326A0" w:rsidRPr="00201599" w:rsidRDefault="002326A0" w:rsidP="002326A0">
      <w:pPr>
        <w:pStyle w:val="ListParagraph"/>
        <w:numPr>
          <w:ilvl w:val="0"/>
          <w:numId w:val="3"/>
        </w:numPr>
        <w:rPr>
          <w:rFonts w:ascii="Times New Roman" w:hAnsi="Times New Roman" w:cs="Times New Roman"/>
          <w:noProof/>
          <w:lang w:eastAsia="zh-TW"/>
        </w:rPr>
      </w:pPr>
      <w:r w:rsidRPr="00201599">
        <w:rPr>
          <w:rFonts w:ascii="Times New Roman" w:hAnsi="Times New Roman" w:cs="Times New Roman"/>
          <w:noProof/>
          <w:lang w:eastAsia="zh-TW"/>
        </w:rPr>
        <w:t xml:space="preserve">What makes people pre-planning funerals or have an interest in funeral pre-planning? </w:t>
      </w:r>
    </w:p>
    <w:p w14:paraId="50912045" w14:textId="77777777" w:rsidR="002326A0" w:rsidRPr="006312A9" w:rsidRDefault="002326A0" w:rsidP="002326A0">
      <w:pPr>
        <w:pStyle w:val="ListParagraph"/>
        <w:numPr>
          <w:ilvl w:val="0"/>
          <w:numId w:val="3"/>
        </w:numPr>
        <w:rPr>
          <w:rFonts w:ascii="Times New Roman" w:hAnsi="Times New Roman" w:cs="Times New Roman"/>
          <w:i/>
          <w:iCs/>
          <w:noProof/>
          <w:lang w:eastAsia="zh-TW"/>
        </w:rPr>
      </w:pPr>
      <w:r w:rsidRPr="006312A9">
        <w:rPr>
          <w:rFonts w:ascii="Times New Roman" w:hAnsi="Times New Roman" w:cs="Times New Roman"/>
          <w:i/>
          <w:iCs/>
          <w:noProof/>
          <w:lang w:eastAsia="zh-TW"/>
        </w:rPr>
        <w:t>In your experience, what are the challenges or difficulties of recommending pre-planning funerals to people?</w:t>
      </w:r>
    </w:p>
    <w:p w14:paraId="6A8FEA4E" w14:textId="77777777" w:rsidR="002326A0" w:rsidRPr="00201599" w:rsidRDefault="002326A0" w:rsidP="002326A0">
      <w:pPr>
        <w:pStyle w:val="ListParagraph"/>
        <w:numPr>
          <w:ilvl w:val="0"/>
          <w:numId w:val="3"/>
        </w:numPr>
        <w:rPr>
          <w:rFonts w:ascii="Times New Roman" w:hAnsi="Times New Roman" w:cs="Times New Roman"/>
          <w:noProof/>
          <w:lang w:eastAsia="zh-TW"/>
        </w:rPr>
      </w:pPr>
      <w:r w:rsidRPr="00201599">
        <w:rPr>
          <w:rFonts w:ascii="Times New Roman" w:hAnsi="Times New Roman" w:cs="Times New Roman"/>
          <w:noProof/>
          <w:lang w:eastAsia="zh-TW"/>
        </w:rPr>
        <w:t xml:space="preserve">How do you make this funeral home known to people? Do you do any advertising about this funeral home? </w:t>
      </w:r>
    </w:p>
    <w:p w14:paraId="2E1CB11E" w14:textId="77777777" w:rsidR="002326A0" w:rsidRPr="00201599" w:rsidRDefault="002326A0" w:rsidP="002326A0">
      <w:pPr>
        <w:pStyle w:val="ListParagraph"/>
        <w:numPr>
          <w:ilvl w:val="0"/>
          <w:numId w:val="3"/>
        </w:numPr>
        <w:rPr>
          <w:rFonts w:ascii="Times New Roman" w:hAnsi="Times New Roman" w:cs="Times New Roman"/>
          <w:noProof/>
          <w:lang w:eastAsia="zh-TW"/>
        </w:rPr>
      </w:pPr>
      <w:r w:rsidRPr="00201599">
        <w:rPr>
          <w:rFonts w:ascii="Times New Roman" w:hAnsi="Times New Roman" w:cs="Times New Roman"/>
          <w:noProof/>
          <w:lang w:eastAsia="zh-TW"/>
        </w:rPr>
        <w:t xml:space="preserve">Have you attempted to recommend funeral pre-plan to people? How do you do that, such as holding funeral-related events or </w:t>
      </w:r>
      <w:r>
        <w:rPr>
          <w:rFonts w:ascii="Times New Roman" w:hAnsi="Times New Roman" w:cs="Times New Roman"/>
          <w:noProof/>
          <w:lang w:eastAsia="zh-TW"/>
        </w:rPr>
        <w:t xml:space="preserve">speaker’s talk </w:t>
      </w:r>
      <w:r w:rsidRPr="00201599">
        <w:rPr>
          <w:rFonts w:ascii="Times New Roman" w:hAnsi="Times New Roman" w:cs="Times New Roman"/>
          <w:noProof/>
          <w:lang w:eastAsia="zh-TW"/>
        </w:rPr>
        <w:t xml:space="preserve">in high school? </w:t>
      </w:r>
    </w:p>
    <w:p w14:paraId="1DC38C44" w14:textId="77777777" w:rsidR="002326A0" w:rsidRPr="00201599" w:rsidRDefault="002326A0" w:rsidP="002326A0">
      <w:pPr>
        <w:pStyle w:val="ListParagraph"/>
        <w:numPr>
          <w:ilvl w:val="0"/>
          <w:numId w:val="3"/>
        </w:numPr>
        <w:rPr>
          <w:rFonts w:ascii="Times New Roman" w:hAnsi="Times New Roman" w:cs="Times New Roman"/>
          <w:noProof/>
          <w:lang w:eastAsia="zh-TW"/>
        </w:rPr>
      </w:pPr>
      <w:r w:rsidRPr="00201599">
        <w:rPr>
          <w:rFonts w:ascii="Times New Roman" w:hAnsi="Times New Roman" w:cs="Times New Roman"/>
          <w:noProof/>
          <w:lang w:eastAsia="zh-TW"/>
        </w:rPr>
        <w:t>What are people’s reactions and reflections after participating in those events? Do people show their interest in those events? Stories.</w:t>
      </w:r>
    </w:p>
    <w:p w14:paraId="71E8C14D" w14:textId="77777777" w:rsidR="002326A0" w:rsidRPr="00201599" w:rsidRDefault="002326A0" w:rsidP="002326A0">
      <w:pPr>
        <w:rPr>
          <w:rFonts w:ascii="Times New Roman" w:hAnsi="Times New Roman" w:cs="Times New Roman"/>
          <w:b/>
          <w:bCs/>
          <w:i/>
          <w:iCs/>
          <w:noProof/>
          <w:lang w:eastAsia="zh-TW"/>
        </w:rPr>
      </w:pPr>
      <w:r w:rsidRPr="00201599">
        <w:rPr>
          <w:rFonts w:ascii="Times New Roman" w:hAnsi="Times New Roman" w:cs="Times New Roman"/>
          <w:b/>
          <w:bCs/>
          <w:i/>
          <w:iCs/>
          <w:noProof/>
          <w:lang w:eastAsia="zh-TW"/>
        </w:rPr>
        <w:t>2. Funeral Planning.</w:t>
      </w:r>
    </w:p>
    <w:p w14:paraId="094C9472" w14:textId="77777777" w:rsidR="002326A0" w:rsidRPr="00201599" w:rsidRDefault="002326A0" w:rsidP="002326A0">
      <w:pPr>
        <w:pStyle w:val="ListParagraph"/>
        <w:numPr>
          <w:ilvl w:val="0"/>
          <w:numId w:val="3"/>
        </w:numPr>
        <w:rPr>
          <w:rFonts w:ascii="Times New Roman" w:hAnsi="Times New Roman" w:cs="Times New Roman"/>
          <w:noProof/>
          <w:lang w:eastAsia="zh-TW"/>
        </w:rPr>
      </w:pPr>
      <w:r w:rsidRPr="00201599">
        <w:rPr>
          <w:rFonts w:ascii="Times New Roman" w:hAnsi="Times New Roman" w:cs="Times New Roman"/>
          <w:noProof/>
          <w:lang w:eastAsia="zh-TW"/>
        </w:rPr>
        <w:t>How do you welcome first-time people visiting the funeral home? What is your story?</w:t>
      </w:r>
    </w:p>
    <w:p w14:paraId="59E79B6D" w14:textId="77777777" w:rsidR="002326A0" w:rsidRPr="00201599" w:rsidRDefault="002326A0" w:rsidP="002326A0">
      <w:pPr>
        <w:pStyle w:val="ListParagraph"/>
        <w:numPr>
          <w:ilvl w:val="0"/>
          <w:numId w:val="3"/>
        </w:numPr>
        <w:rPr>
          <w:rFonts w:ascii="Times New Roman" w:hAnsi="Times New Roman" w:cs="Times New Roman"/>
          <w:noProof/>
          <w:lang w:eastAsia="zh-TW"/>
        </w:rPr>
      </w:pPr>
      <w:r w:rsidRPr="00201599">
        <w:rPr>
          <w:rFonts w:ascii="Times New Roman" w:hAnsi="Times New Roman" w:cs="Times New Roman"/>
          <w:noProof/>
          <w:lang w:eastAsia="zh-TW"/>
        </w:rPr>
        <w:t>Do you have an experience where a client is not mentally prepared for doing funeral planning but walks into the funeral home? What abnormal questions or behaviors do they have? How do you face the scenario?</w:t>
      </w:r>
    </w:p>
    <w:p w14:paraId="25427F6A" w14:textId="77777777" w:rsidR="002326A0" w:rsidRPr="006312A9" w:rsidRDefault="002326A0" w:rsidP="002326A0">
      <w:pPr>
        <w:pStyle w:val="ListParagraph"/>
        <w:numPr>
          <w:ilvl w:val="0"/>
          <w:numId w:val="3"/>
        </w:numPr>
        <w:rPr>
          <w:rFonts w:ascii="Times New Roman" w:hAnsi="Times New Roman" w:cs="Times New Roman"/>
          <w:i/>
          <w:iCs/>
          <w:noProof/>
          <w:lang w:eastAsia="zh-TW"/>
        </w:rPr>
      </w:pPr>
      <w:r w:rsidRPr="006312A9">
        <w:rPr>
          <w:rFonts w:ascii="Times New Roman" w:hAnsi="Times New Roman" w:cs="Times New Roman"/>
          <w:i/>
          <w:iCs/>
          <w:noProof/>
          <w:lang w:eastAsia="zh-TW"/>
        </w:rPr>
        <w:t>How are you going to guide potential clients to acknowledge funeral planning? How do you explain the value and benefit of funeral services? How do you explain or clarify the legitimacy of pricing “Services of funeral director and staff?”</w:t>
      </w:r>
    </w:p>
    <w:p w14:paraId="031EBEAF" w14:textId="77777777" w:rsidR="002326A0" w:rsidRPr="00201599" w:rsidRDefault="002326A0" w:rsidP="002326A0">
      <w:pPr>
        <w:pStyle w:val="ListParagraph"/>
        <w:numPr>
          <w:ilvl w:val="0"/>
          <w:numId w:val="3"/>
        </w:numPr>
        <w:rPr>
          <w:rFonts w:ascii="Times New Roman" w:hAnsi="Times New Roman" w:cs="Times New Roman"/>
          <w:noProof/>
          <w:lang w:eastAsia="zh-TW"/>
        </w:rPr>
      </w:pPr>
      <w:r w:rsidRPr="00201599">
        <w:rPr>
          <w:rFonts w:ascii="Times New Roman" w:hAnsi="Times New Roman" w:cs="Times New Roman"/>
          <w:noProof/>
          <w:lang w:eastAsia="zh-TW"/>
        </w:rPr>
        <w:t xml:space="preserve">Some people want an immediate cremation. </w:t>
      </w:r>
      <w:r>
        <w:rPr>
          <w:rFonts w:ascii="Times New Roman" w:hAnsi="Times New Roman" w:cs="Times New Roman"/>
          <w:noProof/>
          <w:lang w:eastAsia="zh-TW"/>
        </w:rPr>
        <w:t>D</w:t>
      </w:r>
      <w:r w:rsidRPr="00201599">
        <w:rPr>
          <w:rFonts w:ascii="Times New Roman" w:hAnsi="Times New Roman" w:cs="Times New Roman"/>
          <w:noProof/>
          <w:lang w:eastAsia="zh-TW"/>
        </w:rPr>
        <w:t xml:space="preserve">o you encourage clients to do a memorial, ritual, or viewing service? Stories. </w:t>
      </w:r>
    </w:p>
    <w:p w14:paraId="4D85E364" w14:textId="77777777" w:rsidR="002326A0" w:rsidRPr="00201599" w:rsidRDefault="002326A0" w:rsidP="002326A0">
      <w:pPr>
        <w:pStyle w:val="ListParagraph"/>
        <w:numPr>
          <w:ilvl w:val="0"/>
          <w:numId w:val="3"/>
        </w:numPr>
        <w:rPr>
          <w:rFonts w:ascii="Times New Roman" w:hAnsi="Times New Roman" w:cs="Times New Roman"/>
          <w:noProof/>
          <w:lang w:eastAsia="zh-TW"/>
        </w:rPr>
      </w:pPr>
      <w:r w:rsidRPr="00201599">
        <w:rPr>
          <w:rFonts w:ascii="Times New Roman" w:hAnsi="Times New Roman" w:cs="Times New Roman"/>
          <w:noProof/>
          <w:lang w:eastAsia="zh-TW"/>
        </w:rPr>
        <w:t xml:space="preserve">How do you introduce the different types of caskets, urns, and options for funeral packages? Stories. </w:t>
      </w:r>
    </w:p>
    <w:p w14:paraId="2471466E" w14:textId="77777777" w:rsidR="002326A0" w:rsidRPr="006312A9" w:rsidRDefault="002326A0" w:rsidP="002326A0">
      <w:pPr>
        <w:pStyle w:val="ListParagraph"/>
        <w:numPr>
          <w:ilvl w:val="0"/>
          <w:numId w:val="3"/>
        </w:numPr>
        <w:rPr>
          <w:rFonts w:ascii="Times New Roman" w:hAnsi="Times New Roman" w:cs="Times New Roman"/>
          <w:i/>
          <w:iCs/>
          <w:noProof/>
          <w:lang w:eastAsia="zh-TW"/>
        </w:rPr>
      </w:pPr>
      <w:r>
        <w:rPr>
          <w:rFonts w:ascii="Times New Roman" w:hAnsi="Times New Roman" w:cs="Times New Roman"/>
          <w:i/>
          <w:iCs/>
          <w:noProof/>
          <w:lang w:eastAsia="zh-TW"/>
        </w:rPr>
        <w:t xml:space="preserve">Tell me about a time when it was </w:t>
      </w:r>
      <w:r w:rsidRPr="006312A9">
        <w:rPr>
          <w:rFonts w:ascii="Times New Roman" w:hAnsi="Times New Roman" w:cs="Times New Roman"/>
          <w:i/>
          <w:iCs/>
          <w:noProof/>
          <w:lang w:eastAsia="zh-TW"/>
        </w:rPr>
        <w:t xml:space="preserve">challenging </w:t>
      </w:r>
      <w:r>
        <w:rPr>
          <w:rFonts w:ascii="Times New Roman" w:hAnsi="Times New Roman" w:cs="Times New Roman"/>
          <w:i/>
          <w:iCs/>
          <w:noProof/>
          <w:lang w:eastAsia="zh-TW"/>
        </w:rPr>
        <w:t xml:space="preserve">to discuss </w:t>
      </w:r>
      <w:r w:rsidRPr="006312A9">
        <w:rPr>
          <w:rFonts w:ascii="Times New Roman" w:hAnsi="Times New Roman" w:cs="Times New Roman"/>
          <w:i/>
          <w:iCs/>
          <w:noProof/>
          <w:lang w:eastAsia="zh-TW"/>
        </w:rPr>
        <w:t>funeral planning with a client?</w:t>
      </w:r>
    </w:p>
    <w:p w14:paraId="28A79EF0" w14:textId="77777777" w:rsidR="002326A0" w:rsidRPr="00201599" w:rsidRDefault="002326A0" w:rsidP="002326A0">
      <w:pPr>
        <w:pStyle w:val="ListParagraph"/>
        <w:numPr>
          <w:ilvl w:val="0"/>
          <w:numId w:val="3"/>
        </w:numPr>
        <w:rPr>
          <w:rFonts w:ascii="Times New Roman" w:hAnsi="Times New Roman" w:cs="Times New Roman"/>
          <w:noProof/>
          <w:lang w:eastAsia="zh-TW"/>
        </w:rPr>
      </w:pPr>
      <w:r>
        <w:rPr>
          <w:rFonts w:ascii="Times New Roman" w:hAnsi="Times New Roman" w:cs="Times New Roman"/>
          <w:noProof/>
          <w:lang w:eastAsia="zh-TW"/>
        </w:rPr>
        <w:t>Tell the story of a time when</w:t>
      </w:r>
      <w:r w:rsidRPr="00201599">
        <w:rPr>
          <w:rFonts w:ascii="Times New Roman" w:hAnsi="Times New Roman" w:cs="Times New Roman"/>
          <w:noProof/>
          <w:lang w:eastAsia="zh-TW"/>
        </w:rPr>
        <w:t xml:space="preserve"> you </w:t>
      </w:r>
      <w:r>
        <w:rPr>
          <w:rFonts w:ascii="Times New Roman" w:hAnsi="Times New Roman" w:cs="Times New Roman"/>
          <w:noProof/>
          <w:lang w:eastAsia="zh-TW"/>
        </w:rPr>
        <w:t xml:space="preserve">know </w:t>
      </w:r>
      <w:r w:rsidRPr="00201599">
        <w:rPr>
          <w:rFonts w:ascii="Times New Roman" w:hAnsi="Times New Roman" w:cs="Times New Roman"/>
          <w:noProof/>
          <w:lang w:eastAsia="zh-TW"/>
        </w:rPr>
        <w:t>that a client is ready to talk about the money side of funeral planning?</w:t>
      </w:r>
    </w:p>
    <w:p w14:paraId="418920C6" w14:textId="77777777" w:rsidR="002326A0" w:rsidRDefault="002326A0" w:rsidP="002326A0">
      <w:pPr>
        <w:pStyle w:val="ListParagraph"/>
        <w:numPr>
          <w:ilvl w:val="0"/>
          <w:numId w:val="3"/>
        </w:numPr>
        <w:rPr>
          <w:rFonts w:ascii="Times New Roman" w:hAnsi="Times New Roman" w:cs="Times New Roman"/>
          <w:noProof/>
          <w:lang w:eastAsia="zh-TW"/>
        </w:rPr>
      </w:pPr>
      <w:r>
        <w:rPr>
          <w:rFonts w:ascii="Times New Roman" w:hAnsi="Times New Roman" w:cs="Times New Roman"/>
          <w:noProof/>
          <w:lang w:eastAsia="zh-TW"/>
        </w:rPr>
        <w:t>How did you learn how to communicate with clients about money-related issues?</w:t>
      </w:r>
    </w:p>
    <w:p w14:paraId="44BB1FA0" w14:textId="77777777" w:rsidR="002326A0" w:rsidRDefault="002326A0" w:rsidP="002326A0">
      <w:pPr>
        <w:pStyle w:val="ListParagraph"/>
        <w:numPr>
          <w:ilvl w:val="0"/>
          <w:numId w:val="3"/>
        </w:numPr>
        <w:rPr>
          <w:rFonts w:ascii="Times New Roman" w:hAnsi="Times New Roman" w:cs="Times New Roman"/>
          <w:noProof/>
        </w:rPr>
      </w:pPr>
      <w:r w:rsidRPr="00201599">
        <w:rPr>
          <w:rFonts w:ascii="Times New Roman" w:hAnsi="Times New Roman" w:cs="Times New Roman"/>
          <w:noProof/>
          <w:lang w:eastAsia="zh-TW"/>
        </w:rPr>
        <w:t>In your experience, how do you work with clients who want specific services or merchandise but cannot pay for it</w:t>
      </w:r>
      <w:r w:rsidRPr="00201599">
        <w:rPr>
          <w:rFonts w:ascii="Times New Roman" w:hAnsi="Times New Roman" w:cs="Times New Roman"/>
          <w:noProof/>
        </w:rPr>
        <w:t>?</w:t>
      </w:r>
    </w:p>
    <w:p w14:paraId="59B912D7" w14:textId="77777777" w:rsidR="002326A0" w:rsidRPr="000D535F" w:rsidRDefault="002326A0" w:rsidP="002326A0">
      <w:pPr>
        <w:pStyle w:val="ListParagraph"/>
        <w:numPr>
          <w:ilvl w:val="0"/>
          <w:numId w:val="3"/>
        </w:numPr>
        <w:rPr>
          <w:rFonts w:ascii="Times New Roman" w:hAnsi="Times New Roman" w:cs="Times New Roman"/>
          <w:noProof/>
          <w:lang w:eastAsia="zh-TW"/>
        </w:rPr>
      </w:pPr>
      <w:r w:rsidRPr="000D535F">
        <w:rPr>
          <w:rFonts w:ascii="Times New Roman" w:hAnsi="Times New Roman" w:cs="Times New Roman"/>
          <w:i/>
          <w:iCs/>
          <w:noProof/>
          <w:lang w:eastAsia="zh-TW"/>
        </w:rPr>
        <w:t>How do you talk ot your client about money-issues, while being sensitive 1o their bereavement</w:t>
      </w:r>
      <w:r w:rsidRPr="000D535F">
        <w:rPr>
          <w:rFonts w:ascii="Times New Roman" w:hAnsi="Times New Roman" w:cs="Times New Roman"/>
          <w:noProof/>
          <w:lang w:eastAsia="zh-TW"/>
        </w:rPr>
        <w:t>?</w:t>
      </w:r>
    </w:p>
    <w:p w14:paraId="2C14BA84" w14:textId="77777777" w:rsidR="002326A0" w:rsidRPr="00201599" w:rsidRDefault="002326A0" w:rsidP="002326A0">
      <w:pPr>
        <w:pStyle w:val="ListParagraph"/>
        <w:numPr>
          <w:ilvl w:val="0"/>
          <w:numId w:val="3"/>
        </w:numPr>
        <w:rPr>
          <w:rFonts w:ascii="Times New Roman" w:hAnsi="Times New Roman" w:cs="Times New Roman"/>
          <w:noProof/>
          <w:lang w:eastAsia="zh-TW"/>
        </w:rPr>
      </w:pPr>
      <w:r w:rsidRPr="00201599">
        <w:rPr>
          <w:rFonts w:ascii="Times New Roman" w:hAnsi="Times New Roman" w:cs="Times New Roman"/>
          <w:noProof/>
          <w:lang w:eastAsia="zh-TW"/>
        </w:rPr>
        <w:lastRenderedPageBreak/>
        <w:t>What is your story of performing professionally and being compassionate to clients during funeral planning? How do you perform professionally and release your grief during funeral planning?</w:t>
      </w:r>
    </w:p>
    <w:p w14:paraId="32442FD2" w14:textId="77777777" w:rsidR="002326A0" w:rsidRPr="00201599" w:rsidRDefault="002326A0" w:rsidP="002326A0">
      <w:pPr>
        <w:pStyle w:val="ListParagraph"/>
        <w:numPr>
          <w:ilvl w:val="0"/>
          <w:numId w:val="3"/>
        </w:numPr>
        <w:rPr>
          <w:rFonts w:ascii="Times New Roman" w:hAnsi="Times New Roman" w:cs="Times New Roman"/>
          <w:noProof/>
          <w:lang w:eastAsia="zh-TW"/>
        </w:rPr>
      </w:pPr>
      <w:r w:rsidRPr="00201599">
        <w:rPr>
          <w:rFonts w:ascii="Times New Roman" w:hAnsi="Times New Roman" w:cs="Times New Roman"/>
          <w:noProof/>
          <w:lang w:eastAsia="zh-TW"/>
        </w:rPr>
        <w:t>What is your experience regarding a client who does not trust you initially but appreciates your help and guidance for funeral planning when a client signs the contract?</w:t>
      </w:r>
    </w:p>
    <w:p w14:paraId="7CEB6B45" w14:textId="77777777" w:rsidR="002326A0" w:rsidRPr="00201599" w:rsidRDefault="002326A0" w:rsidP="002326A0">
      <w:pPr>
        <w:rPr>
          <w:rFonts w:ascii="Times New Roman" w:hAnsi="Times New Roman" w:cs="Times New Roman"/>
          <w:i/>
          <w:iCs/>
          <w:noProof/>
          <w:lang w:eastAsia="zh-TW"/>
        </w:rPr>
      </w:pPr>
      <w:r w:rsidRPr="00201599">
        <w:rPr>
          <w:rFonts w:ascii="Times New Roman" w:hAnsi="Times New Roman" w:cs="Times New Roman"/>
          <w:b/>
          <w:bCs/>
          <w:i/>
          <w:iCs/>
          <w:noProof/>
          <w:lang w:eastAsia="zh-TW"/>
        </w:rPr>
        <w:t>3. Funeral Post-Planning</w:t>
      </w:r>
      <w:r w:rsidRPr="00201599">
        <w:rPr>
          <w:rFonts w:ascii="Times New Roman" w:hAnsi="Times New Roman" w:cs="Times New Roman"/>
          <w:i/>
          <w:iCs/>
          <w:noProof/>
          <w:lang w:eastAsia="zh-TW"/>
        </w:rPr>
        <w:t xml:space="preserve"> (memorial services)</w:t>
      </w:r>
    </w:p>
    <w:p w14:paraId="6E7F2A0E" w14:textId="77777777" w:rsidR="002326A0" w:rsidRPr="00201599" w:rsidRDefault="002326A0" w:rsidP="002326A0">
      <w:pPr>
        <w:pStyle w:val="ListParagraph"/>
        <w:numPr>
          <w:ilvl w:val="0"/>
          <w:numId w:val="3"/>
        </w:numPr>
        <w:rPr>
          <w:rFonts w:ascii="Times New Roman" w:hAnsi="Times New Roman" w:cs="Times New Roman"/>
          <w:noProof/>
          <w:lang w:eastAsia="zh-TW"/>
        </w:rPr>
      </w:pPr>
      <w:r w:rsidRPr="00201599">
        <w:rPr>
          <w:rFonts w:ascii="Times New Roman" w:hAnsi="Times New Roman" w:cs="Times New Roman"/>
          <w:noProof/>
          <w:lang w:eastAsia="zh-TW"/>
        </w:rPr>
        <w:t xml:space="preserve">Except for standing near the casket, what do you do during the family’s viewing? </w:t>
      </w:r>
      <w:r w:rsidRPr="00201599">
        <w:rPr>
          <w:rFonts w:ascii="Times New Roman" w:hAnsi="Times New Roman" w:cs="Times New Roman"/>
          <w:noProof/>
        </w:rPr>
        <w:t>Families may cry in their viewing. How do you comfort the family? Stories.</w:t>
      </w:r>
    </w:p>
    <w:p w14:paraId="1F7D3BD2" w14:textId="77777777" w:rsidR="002326A0" w:rsidRPr="00201599" w:rsidRDefault="002326A0" w:rsidP="002326A0">
      <w:pPr>
        <w:pStyle w:val="ListParagraph"/>
        <w:numPr>
          <w:ilvl w:val="0"/>
          <w:numId w:val="3"/>
        </w:numPr>
        <w:rPr>
          <w:rFonts w:ascii="Times New Roman" w:hAnsi="Times New Roman" w:cs="Times New Roman"/>
          <w:noProof/>
        </w:rPr>
      </w:pPr>
      <w:r w:rsidRPr="00201599">
        <w:rPr>
          <w:rFonts w:ascii="Times New Roman" w:hAnsi="Times New Roman" w:cs="Times New Roman"/>
          <w:noProof/>
          <w:lang w:eastAsia="zh-TW"/>
        </w:rPr>
        <w:t xml:space="preserve">For the last chance to view the dead, friends come first, and families are last. </w:t>
      </w:r>
      <w:r w:rsidRPr="00201599">
        <w:rPr>
          <w:rFonts w:ascii="Times New Roman" w:hAnsi="Times New Roman" w:cs="Times New Roman"/>
          <w:noProof/>
        </w:rPr>
        <w:t>How do you confirm that families completed the final viewing and were ready to go to the cemetery? How do you help families for their last viewing?</w:t>
      </w:r>
    </w:p>
    <w:p w14:paraId="226CADF3" w14:textId="77777777" w:rsidR="002326A0" w:rsidRPr="00201599" w:rsidRDefault="002326A0" w:rsidP="002326A0">
      <w:pPr>
        <w:pStyle w:val="ListParagraph"/>
        <w:numPr>
          <w:ilvl w:val="0"/>
          <w:numId w:val="3"/>
        </w:numPr>
        <w:rPr>
          <w:rFonts w:ascii="Times New Roman" w:hAnsi="Times New Roman" w:cs="Times New Roman"/>
          <w:noProof/>
          <w:lang w:eastAsia="zh-TW"/>
        </w:rPr>
      </w:pPr>
      <w:r w:rsidRPr="00201599">
        <w:rPr>
          <w:rFonts w:ascii="Times New Roman" w:hAnsi="Times New Roman" w:cs="Times New Roman"/>
          <w:noProof/>
          <w:lang w:eastAsia="zh-TW"/>
        </w:rPr>
        <w:t>What is your job responsibility at the graveside service? Do you have any special experience at the graveside service? How do you support families at the graveside?</w:t>
      </w:r>
    </w:p>
    <w:p w14:paraId="3E5A01C5" w14:textId="77777777" w:rsidR="002326A0" w:rsidRPr="00201599" w:rsidRDefault="002326A0" w:rsidP="002326A0">
      <w:pPr>
        <w:pStyle w:val="ListParagraph"/>
        <w:numPr>
          <w:ilvl w:val="0"/>
          <w:numId w:val="3"/>
        </w:numPr>
        <w:rPr>
          <w:rFonts w:ascii="Times New Roman" w:hAnsi="Times New Roman" w:cs="Times New Roman"/>
          <w:noProof/>
          <w:lang w:eastAsia="zh-TW"/>
        </w:rPr>
      </w:pPr>
      <w:r w:rsidRPr="00201599">
        <w:rPr>
          <w:rFonts w:ascii="Times New Roman" w:hAnsi="Times New Roman" w:cs="Times New Roman"/>
          <w:noProof/>
          <w:lang w:eastAsia="zh-TW"/>
        </w:rPr>
        <w:t>Do some families have a reception service  (food and drinks) for all funeral attendees after the whole funeral service? Do families come to you and appreciate your service? How do you support families at the reception?</w:t>
      </w:r>
    </w:p>
    <w:p w14:paraId="1E02A8C7" w14:textId="77777777" w:rsidR="002326A0" w:rsidRPr="00201599" w:rsidRDefault="002326A0" w:rsidP="002326A0">
      <w:pPr>
        <w:pStyle w:val="ListParagraph"/>
        <w:numPr>
          <w:ilvl w:val="0"/>
          <w:numId w:val="3"/>
        </w:numPr>
        <w:rPr>
          <w:rFonts w:ascii="Times New Roman" w:hAnsi="Times New Roman" w:cs="Times New Roman"/>
          <w:noProof/>
          <w:lang w:eastAsia="zh-TW"/>
        </w:rPr>
      </w:pPr>
      <w:r w:rsidRPr="00201599">
        <w:rPr>
          <w:rFonts w:ascii="Times New Roman" w:hAnsi="Times New Roman" w:cs="Times New Roman"/>
          <w:noProof/>
          <w:lang w:eastAsia="zh-TW"/>
        </w:rPr>
        <w:t xml:space="preserve">Have families come to you days, weeks, or months after funeral services for appreciation or thank you? What do they do? How do you accept their appreciation? </w:t>
      </w:r>
    </w:p>
    <w:p w14:paraId="67119556" w14:textId="77777777" w:rsidR="002326A0" w:rsidRPr="00201599" w:rsidRDefault="002326A0" w:rsidP="002326A0">
      <w:pPr>
        <w:pStyle w:val="ListParagraph"/>
        <w:numPr>
          <w:ilvl w:val="0"/>
          <w:numId w:val="3"/>
        </w:numPr>
        <w:rPr>
          <w:rFonts w:ascii="Times New Roman" w:hAnsi="Times New Roman" w:cs="Times New Roman"/>
          <w:noProof/>
          <w:lang w:eastAsia="zh-TW"/>
        </w:rPr>
      </w:pPr>
      <w:r w:rsidRPr="00201599">
        <w:rPr>
          <w:rFonts w:ascii="Times New Roman" w:hAnsi="Times New Roman" w:cs="Times New Roman"/>
          <w:noProof/>
          <w:lang w:eastAsia="zh-TW"/>
        </w:rPr>
        <w:t xml:space="preserve">What aftercare do you provide for funeral services? What are some free aftercare you provide? How do you charge funeral service aftercare? </w:t>
      </w:r>
    </w:p>
    <w:p w14:paraId="289AE32E" w14:textId="77777777" w:rsidR="002326A0" w:rsidRPr="00201599" w:rsidRDefault="002326A0" w:rsidP="002326A0">
      <w:pPr>
        <w:pStyle w:val="ListParagraph"/>
        <w:numPr>
          <w:ilvl w:val="0"/>
          <w:numId w:val="3"/>
        </w:numPr>
        <w:rPr>
          <w:rFonts w:ascii="Times New Roman" w:hAnsi="Times New Roman" w:cs="Times New Roman"/>
          <w:noProof/>
          <w:lang w:eastAsia="zh-TW"/>
        </w:rPr>
      </w:pPr>
      <w:r w:rsidRPr="00201599">
        <w:rPr>
          <w:rFonts w:ascii="Times New Roman" w:hAnsi="Times New Roman" w:cs="Times New Roman"/>
          <w:noProof/>
          <w:lang w:eastAsia="zh-TW"/>
        </w:rPr>
        <w:t xml:space="preserve">In what situation would you suggest families do professional grief counseling? (grief counseling is about $100 per hour) </w:t>
      </w:r>
    </w:p>
    <w:p w14:paraId="590A1481" w14:textId="77777777" w:rsidR="002326A0" w:rsidRPr="00201599" w:rsidRDefault="002326A0" w:rsidP="002326A0">
      <w:pPr>
        <w:pStyle w:val="ListParagraph"/>
        <w:rPr>
          <w:rFonts w:ascii="Times New Roman" w:hAnsi="Times New Roman" w:cs="Times New Roman"/>
          <w:noProof/>
          <w:lang w:eastAsia="zh-TW"/>
        </w:rPr>
      </w:pPr>
    </w:p>
    <w:p w14:paraId="72C18CED" w14:textId="77777777" w:rsidR="002326A0" w:rsidRPr="00201599" w:rsidRDefault="002326A0" w:rsidP="002326A0">
      <w:pPr>
        <w:rPr>
          <w:rFonts w:ascii="Times New Roman" w:eastAsia="Times New Roman" w:hAnsi="Times New Roman" w:cs="Times New Roman"/>
          <w:b/>
          <w:bCs/>
          <w:color w:val="0E101A"/>
        </w:rPr>
      </w:pPr>
      <w:r w:rsidRPr="00201599">
        <w:rPr>
          <w:rFonts w:ascii="Times New Roman" w:eastAsia="Times New Roman" w:hAnsi="Times New Roman" w:cs="Times New Roman"/>
          <w:b/>
          <w:bCs/>
          <w:color w:val="0E101A"/>
        </w:rPr>
        <w:t xml:space="preserve">Conclusion:  </w:t>
      </w:r>
    </w:p>
    <w:p w14:paraId="064847CD" w14:textId="77777777" w:rsidR="002326A0" w:rsidRPr="00201599" w:rsidRDefault="002326A0" w:rsidP="002326A0">
      <w:pPr>
        <w:rPr>
          <w:rFonts w:ascii="Times New Roman" w:eastAsia="Times New Roman" w:hAnsi="Times New Roman" w:cs="Times New Roman"/>
          <w:color w:val="0E101A"/>
        </w:rPr>
      </w:pPr>
      <w:r w:rsidRPr="00201599">
        <w:rPr>
          <w:rFonts w:ascii="Times New Roman" w:eastAsia="Times New Roman" w:hAnsi="Times New Roman" w:cs="Times New Roman"/>
          <w:color w:val="0E101A"/>
        </w:rPr>
        <w:t>1. What else do you want to share about funeral planning?</w:t>
      </w:r>
    </w:p>
    <w:p w14:paraId="1DF745F0" w14:textId="77777777" w:rsidR="002326A0" w:rsidRPr="00201599" w:rsidRDefault="002326A0" w:rsidP="002326A0">
      <w:pPr>
        <w:rPr>
          <w:rFonts w:ascii="Times New Roman" w:eastAsia="Times New Roman" w:hAnsi="Times New Roman" w:cs="Times New Roman"/>
          <w:b/>
          <w:bCs/>
          <w:color w:val="0E101A"/>
        </w:rPr>
      </w:pPr>
      <w:r w:rsidRPr="00201599">
        <w:rPr>
          <w:rFonts w:ascii="Times New Roman" w:eastAsia="Times New Roman" w:hAnsi="Times New Roman" w:cs="Times New Roman"/>
          <w:color w:val="0E101A"/>
        </w:rPr>
        <w:t xml:space="preserve">2. Do you have anything else to share about what funeral services should change to provide better services? </w:t>
      </w:r>
    </w:p>
    <w:p w14:paraId="3242C016" w14:textId="77777777" w:rsidR="002326A0" w:rsidRPr="00201599" w:rsidRDefault="002326A0" w:rsidP="002326A0">
      <w:pPr>
        <w:rPr>
          <w:rFonts w:ascii="Times New Roman" w:eastAsia="Times New Roman" w:hAnsi="Times New Roman" w:cs="Times New Roman"/>
          <w:color w:val="0E101A"/>
        </w:rPr>
      </w:pPr>
      <w:r w:rsidRPr="00201599">
        <w:rPr>
          <w:rFonts w:ascii="Times New Roman" w:eastAsia="Times New Roman" w:hAnsi="Times New Roman" w:cs="Times New Roman"/>
          <w:color w:val="0E101A"/>
        </w:rPr>
        <w:t xml:space="preserve">3. If I publish an article to the public, what do you want people to know the most about funeral services? </w:t>
      </w:r>
    </w:p>
    <w:p w14:paraId="45CFD2CD" w14:textId="77777777" w:rsidR="002326A0" w:rsidRPr="00201599" w:rsidRDefault="002326A0" w:rsidP="002326A0">
      <w:pPr>
        <w:rPr>
          <w:rFonts w:ascii="Times New Roman" w:hAnsi="Times New Roman" w:cs="Times New Roman"/>
          <w:noProof/>
          <w:lang w:eastAsia="zh-TW"/>
        </w:rPr>
      </w:pPr>
    </w:p>
    <w:p w14:paraId="50D6CEE6" w14:textId="77777777" w:rsidR="002326A0" w:rsidRPr="009265A5" w:rsidRDefault="002326A0" w:rsidP="002326A0">
      <w:pPr>
        <w:rPr>
          <w:rFonts w:ascii="Times New Roman" w:eastAsia="Times New Roman" w:hAnsi="Times New Roman" w:cs="Times New Roman"/>
          <w:b/>
          <w:bCs/>
          <w:color w:val="0E101A"/>
        </w:rPr>
      </w:pPr>
    </w:p>
    <w:p w14:paraId="5BCC31E2" w14:textId="77777777" w:rsidR="002326A0" w:rsidRDefault="002326A0" w:rsidP="002326A0">
      <w:pPr>
        <w:rPr>
          <w:rFonts w:ascii="Times New Roman" w:eastAsia="Times New Roman" w:hAnsi="Times New Roman" w:cs="Times New Roman"/>
          <w:color w:val="000000"/>
        </w:rPr>
      </w:pPr>
    </w:p>
    <w:p w14:paraId="4061B4C7" w14:textId="7C3D763C" w:rsidR="0076058B" w:rsidRPr="0076058B" w:rsidRDefault="0076058B" w:rsidP="0076058B">
      <w:pPr>
        <w:shd w:val="clear" w:color="auto" w:fill="FFFFFF"/>
        <w:spacing w:line="480" w:lineRule="auto"/>
        <w:textAlignment w:val="baseline"/>
        <w:rPr>
          <w:rFonts w:ascii="Times New Roman" w:eastAsia="Times New Roman" w:hAnsi="Times New Roman" w:cs="Times New Roman"/>
          <w:color w:val="000000"/>
        </w:rPr>
      </w:pPr>
    </w:p>
    <w:sectPr w:rsidR="0076058B" w:rsidRPr="0076058B" w:rsidSect="00AA4D33">
      <w:headerReference w:type="default" r:id="rId225"/>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E53F2E" w14:textId="77777777" w:rsidR="008F0E31" w:rsidRDefault="008F0E31" w:rsidP="00302944">
      <w:r>
        <w:separator/>
      </w:r>
    </w:p>
  </w:endnote>
  <w:endnote w:type="continuationSeparator" w:id="0">
    <w:p w14:paraId="5E7F8CDD" w14:textId="77777777" w:rsidR="008F0E31" w:rsidRDefault="008F0E31" w:rsidP="003029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w:altName w:val="Times New Roman"/>
    <w:panose1 w:val="020B0604020202020204"/>
    <w:charset w:val="00"/>
    <w:family w:val="auto"/>
    <w:pitch w:val="variable"/>
    <w:sig w:usb0="00000003" w:usb1="00000000" w:usb2="00000000" w:usb3="00000000" w:csb0="00000007"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4EA466" w14:textId="77777777" w:rsidR="008F0E31" w:rsidRDefault="008F0E31" w:rsidP="00302944">
      <w:r>
        <w:separator/>
      </w:r>
    </w:p>
  </w:footnote>
  <w:footnote w:type="continuationSeparator" w:id="0">
    <w:p w14:paraId="675B0DFF" w14:textId="77777777" w:rsidR="008F0E31" w:rsidRDefault="008F0E31" w:rsidP="003029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73230173"/>
      <w:docPartObj>
        <w:docPartGallery w:val="Page Numbers (Top of Page)"/>
        <w:docPartUnique/>
      </w:docPartObj>
    </w:sdtPr>
    <w:sdtContent>
      <w:p w14:paraId="1B9DD345" w14:textId="60D32EE0" w:rsidR="00302944" w:rsidRDefault="00302944" w:rsidP="003248E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C5736C">
          <w:rPr>
            <w:rStyle w:val="PageNumber"/>
            <w:noProof/>
          </w:rPr>
          <w:t>11</w:t>
        </w:r>
        <w:r>
          <w:rPr>
            <w:rStyle w:val="PageNumber"/>
          </w:rPr>
          <w:fldChar w:fldCharType="end"/>
        </w:r>
      </w:p>
    </w:sdtContent>
  </w:sdt>
  <w:p w14:paraId="513C9145" w14:textId="77777777" w:rsidR="00302944" w:rsidRDefault="00302944" w:rsidP="00302944">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0D104" w14:textId="42190F4F" w:rsidR="00302944" w:rsidRPr="00302944" w:rsidRDefault="00302944" w:rsidP="00302944">
    <w:pPr>
      <w:pStyle w:val="Header"/>
      <w:ind w:right="360"/>
      <w:rPr>
        <w:rFonts w:ascii="Times New Roman" w:hAnsi="Times New Roman"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210076797"/>
      <w:docPartObj>
        <w:docPartGallery w:val="Page Numbers (Top of Page)"/>
        <w:docPartUnique/>
      </w:docPartObj>
    </w:sdtPr>
    <w:sdtContent>
      <w:p w14:paraId="013DBB2E" w14:textId="74EE1B23" w:rsidR="003248E9" w:rsidRPr="003248E9" w:rsidRDefault="003248E9" w:rsidP="00763A6B">
        <w:pPr>
          <w:pStyle w:val="Header"/>
          <w:framePr w:wrap="none" w:vAnchor="text" w:hAnchor="margin" w:xAlign="right" w:y="1"/>
          <w:rPr>
            <w:rStyle w:val="PageNumber"/>
            <w:rFonts w:ascii="Times New Roman" w:hAnsi="Times New Roman" w:cs="Times New Roman"/>
          </w:rPr>
        </w:pPr>
        <w:r w:rsidRPr="003248E9">
          <w:rPr>
            <w:rStyle w:val="PageNumber"/>
            <w:rFonts w:ascii="Times New Roman" w:hAnsi="Times New Roman" w:cs="Times New Roman"/>
          </w:rPr>
          <w:fldChar w:fldCharType="begin"/>
        </w:r>
        <w:r w:rsidRPr="003248E9">
          <w:rPr>
            <w:rStyle w:val="PageNumber"/>
            <w:rFonts w:ascii="Times New Roman" w:hAnsi="Times New Roman" w:cs="Times New Roman"/>
          </w:rPr>
          <w:instrText xml:space="preserve"> PAGE </w:instrText>
        </w:r>
        <w:r w:rsidRPr="003248E9">
          <w:rPr>
            <w:rStyle w:val="PageNumber"/>
            <w:rFonts w:ascii="Times New Roman" w:hAnsi="Times New Roman" w:cs="Times New Roman"/>
          </w:rPr>
          <w:fldChar w:fldCharType="separate"/>
        </w:r>
        <w:r w:rsidRPr="003248E9">
          <w:rPr>
            <w:rStyle w:val="PageNumber"/>
            <w:rFonts w:ascii="Times New Roman" w:hAnsi="Times New Roman" w:cs="Times New Roman"/>
            <w:noProof/>
          </w:rPr>
          <w:t>ix</w:t>
        </w:r>
        <w:r w:rsidRPr="003248E9">
          <w:rPr>
            <w:rStyle w:val="PageNumber"/>
            <w:rFonts w:ascii="Times New Roman" w:hAnsi="Times New Roman" w:cs="Times New Roman"/>
          </w:rPr>
          <w:fldChar w:fldCharType="end"/>
        </w:r>
      </w:p>
    </w:sdtContent>
  </w:sdt>
  <w:p w14:paraId="0E7E944D" w14:textId="566D3050" w:rsidR="003248E9" w:rsidRPr="003248E9" w:rsidRDefault="003248E9" w:rsidP="00302944">
    <w:pPr>
      <w:pStyle w:val="Header"/>
      <w:ind w:right="360"/>
      <w:rPr>
        <w:rFonts w:ascii="Times New Roman" w:hAnsi="Times New Roman" w:cs="Times New Roman"/>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36700374"/>
      <w:docPartObj>
        <w:docPartGallery w:val="Page Numbers (Top of Page)"/>
        <w:docPartUnique/>
      </w:docPartObj>
    </w:sdtPr>
    <w:sdtEndPr>
      <w:rPr>
        <w:rStyle w:val="PageNumber"/>
        <w:rFonts w:ascii="Times New Roman" w:hAnsi="Times New Roman" w:cs="Times New Roman"/>
      </w:rPr>
    </w:sdtEndPr>
    <w:sdtContent>
      <w:p w14:paraId="3C3A2681" w14:textId="19CE9AD9" w:rsidR="00AA4D33" w:rsidRPr="00AA4D33" w:rsidRDefault="00AA4D33" w:rsidP="00763A6B">
        <w:pPr>
          <w:pStyle w:val="Header"/>
          <w:framePr w:wrap="none" w:vAnchor="text" w:hAnchor="margin" w:xAlign="right" w:y="1"/>
          <w:rPr>
            <w:rStyle w:val="PageNumber"/>
            <w:rFonts w:ascii="Times New Roman" w:hAnsi="Times New Roman" w:cs="Times New Roman"/>
          </w:rPr>
        </w:pPr>
        <w:r w:rsidRPr="00AA4D33">
          <w:rPr>
            <w:rStyle w:val="PageNumber"/>
            <w:rFonts w:ascii="Times New Roman" w:hAnsi="Times New Roman" w:cs="Times New Roman"/>
          </w:rPr>
          <w:fldChar w:fldCharType="begin"/>
        </w:r>
        <w:r w:rsidRPr="00AA4D33">
          <w:rPr>
            <w:rStyle w:val="PageNumber"/>
            <w:rFonts w:ascii="Times New Roman" w:hAnsi="Times New Roman" w:cs="Times New Roman"/>
          </w:rPr>
          <w:instrText xml:space="preserve"> PAGE </w:instrText>
        </w:r>
        <w:r w:rsidRPr="00AA4D33">
          <w:rPr>
            <w:rStyle w:val="PageNumber"/>
            <w:rFonts w:ascii="Times New Roman" w:hAnsi="Times New Roman" w:cs="Times New Roman"/>
          </w:rPr>
          <w:fldChar w:fldCharType="separate"/>
        </w:r>
        <w:r w:rsidRPr="00AA4D33">
          <w:rPr>
            <w:rStyle w:val="PageNumber"/>
            <w:rFonts w:ascii="Times New Roman" w:hAnsi="Times New Roman" w:cs="Times New Roman"/>
            <w:noProof/>
          </w:rPr>
          <w:t>1</w:t>
        </w:r>
        <w:r w:rsidRPr="00AA4D33">
          <w:rPr>
            <w:rStyle w:val="PageNumber"/>
            <w:rFonts w:ascii="Times New Roman" w:hAnsi="Times New Roman" w:cs="Times New Roman"/>
          </w:rPr>
          <w:fldChar w:fldCharType="end"/>
        </w:r>
      </w:p>
    </w:sdtContent>
  </w:sdt>
  <w:p w14:paraId="586B9DAE" w14:textId="0D109023" w:rsidR="00AE70DA" w:rsidRPr="00302944" w:rsidRDefault="00F421C9" w:rsidP="00302944">
    <w:pPr>
      <w:pStyle w:val="Header"/>
      <w:ind w:right="360"/>
      <w:rPr>
        <w:rFonts w:ascii="Times New Roman" w:hAnsi="Times New Roman" w:cs="Times New Roman"/>
      </w:rPr>
    </w:pPr>
    <w:r>
      <w:rPr>
        <w:rFonts w:ascii="Times New Roman" w:hAnsi="Times New Roman" w:cs="Times New Roman"/>
      </w:rPr>
      <w:t>BUSI</w:t>
    </w:r>
    <w:r w:rsidR="001C3A0F">
      <w:rPr>
        <w:rFonts w:ascii="Times New Roman" w:hAnsi="Times New Roman" w:cs="Times New Roman"/>
      </w:rPr>
      <w:t>N</w:t>
    </w:r>
    <w:r>
      <w:rPr>
        <w:rFonts w:ascii="Times New Roman" w:hAnsi="Times New Roman" w:cs="Times New Roman"/>
      </w:rPr>
      <w:t>ESS AS USUAL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9614CF"/>
    <w:multiLevelType w:val="multilevel"/>
    <w:tmpl w:val="1FD0AE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AF0EFE"/>
    <w:multiLevelType w:val="hybridMultilevel"/>
    <w:tmpl w:val="813696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A3672F6"/>
    <w:multiLevelType w:val="hybridMultilevel"/>
    <w:tmpl w:val="8136963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33845032">
    <w:abstractNumId w:val="0"/>
  </w:num>
  <w:num w:numId="2" w16cid:durableId="592275224">
    <w:abstractNumId w:val="1"/>
  </w:num>
  <w:num w:numId="3" w16cid:durableId="14220221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doNotDisplayPageBoundaries/>
  <w:proofState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2pe9e00ros0veneeptspa5vhz0pw2az52v20&quot;&gt;Da EndNote Library-Converted&lt;record-ids&gt;&lt;item&gt;656&lt;/item&gt;&lt;item&gt;801&lt;/item&gt;&lt;item&gt;829&lt;/item&gt;&lt;item&gt;832&lt;/item&gt;&lt;item&gt;850&lt;/item&gt;&lt;item&gt;863&lt;/item&gt;&lt;item&gt;890&lt;/item&gt;&lt;item&gt;914&lt;/item&gt;&lt;item&gt;920&lt;/item&gt;&lt;item&gt;925&lt;/item&gt;&lt;item&gt;938&lt;/item&gt;&lt;item&gt;964&lt;/item&gt;&lt;item&gt;1113&lt;/item&gt;&lt;item&gt;1115&lt;/item&gt;&lt;item&gt;1125&lt;/item&gt;&lt;item&gt;1132&lt;/item&gt;&lt;item&gt;1134&lt;/item&gt;&lt;item&gt;1157&lt;/item&gt;&lt;item&gt;1172&lt;/item&gt;&lt;item&gt;1193&lt;/item&gt;&lt;item&gt;1217&lt;/item&gt;&lt;item&gt;1226&lt;/item&gt;&lt;item&gt;1248&lt;/item&gt;&lt;item&gt;1252&lt;/item&gt;&lt;item&gt;1340&lt;/item&gt;&lt;item&gt;1343&lt;/item&gt;&lt;item&gt;1370&lt;/item&gt;&lt;item&gt;1404&lt;/item&gt;&lt;item&gt;1508&lt;/item&gt;&lt;item&gt;1509&lt;/item&gt;&lt;item&gt;1515&lt;/item&gt;&lt;item&gt;1516&lt;/item&gt;&lt;item&gt;1517&lt;/item&gt;&lt;item&gt;1518&lt;/item&gt;&lt;item&gt;1523&lt;/item&gt;&lt;item&gt;1528&lt;/item&gt;&lt;item&gt;1529&lt;/item&gt;&lt;item&gt;1530&lt;/item&gt;&lt;item&gt;1531&lt;/item&gt;&lt;item&gt;1538&lt;/item&gt;&lt;item&gt;1544&lt;/item&gt;&lt;item&gt;1558&lt;/item&gt;&lt;item&gt;1580&lt;/item&gt;&lt;item&gt;1592&lt;/item&gt;&lt;item&gt;1593&lt;/item&gt;&lt;item&gt;1594&lt;/item&gt;&lt;item&gt;1597&lt;/item&gt;&lt;item&gt;1598&lt;/item&gt;&lt;item&gt;1599&lt;/item&gt;&lt;item&gt;1600&lt;/item&gt;&lt;item&gt;1601&lt;/item&gt;&lt;item&gt;1603&lt;/item&gt;&lt;item&gt;1605&lt;/item&gt;&lt;item&gt;1609&lt;/item&gt;&lt;item&gt;1611&lt;/item&gt;&lt;item&gt;1612&lt;/item&gt;&lt;item&gt;1613&lt;/item&gt;&lt;item&gt;1614&lt;/item&gt;&lt;item&gt;1615&lt;/item&gt;&lt;item&gt;1618&lt;/item&gt;&lt;item&gt;1632&lt;/item&gt;&lt;item&gt;1633&lt;/item&gt;&lt;item&gt;1634&lt;/item&gt;&lt;item&gt;1635&lt;/item&gt;&lt;item&gt;1637&lt;/item&gt;&lt;item&gt;1639&lt;/item&gt;&lt;item&gt;1640&lt;/item&gt;&lt;item&gt;1641&lt;/item&gt;&lt;item&gt;1642&lt;/item&gt;&lt;item&gt;1643&lt;/item&gt;&lt;item&gt;1644&lt;/item&gt;&lt;item&gt;1645&lt;/item&gt;&lt;item&gt;1646&lt;/item&gt;&lt;item&gt;1647&lt;/item&gt;&lt;item&gt;1654&lt;/item&gt;&lt;item&gt;1656&lt;/item&gt;&lt;item&gt;1667&lt;/item&gt;&lt;item&gt;1668&lt;/item&gt;&lt;item&gt;1674&lt;/item&gt;&lt;item&gt;1675&lt;/item&gt;&lt;item&gt;1736&lt;/item&gt;&lt;item&gt;1742&lt;/item&gt;&lt;item&gt;1746&lt;/item&gt;&lt;item&gt;1749&lt;/item&gt;&lt;item&gt;1751&lt;/item&gt;&lt;item&gt;1752&lt;/item&gt;&lt;item&gt;1801&lt;/item&gt;&lt;item&gt;1914&lt;/item&gt;&lt;item&gt;1918&lt;/item&gt;&lt;item&gt;1925&lt;/item&gt;&lt;item&gt;1926&lt;/item&gt;&lt;item&gt;1927&lt;/item&gt;&lt;item&gt;1929&lt;/item&gt;&lt;item&gt;1930&lt;/item&gt;&lt;item&gt;1931&lt;/item&gt;&lt;item&gt;1933&lt;/item&gt;&lt;item&gt;1934&lt;/item&gt;&lt;item&gt;1938&lt;/item&gt;&lt;item&gt;1939&lt;/item&gt;&lt;item&gt;1940&lt;/item&gt;&lt;item&gt;1943&lt;/item&gt;&lt;item&gt;1945&lt;/item&gt;&lt;item&gt;1946&lt;/item&gt;&lt;item&gt;1947&lt;/item&gt;&lt;item&gt;1949&lt;/item&gt;&lt;item&gt;1951&lt;/item&gt;&lt;item&gt;1952&lt;/item&gt;&lt;item&gt;1954&lt;/item&gt;&lt;item&gt;1955&lt;/item&gt;&lt;item&gt;1956&lt;/item&gt;&lt;item&gt;1961&lt;/item&gt;&lt;item&gt;1963&lt;/item&gt;&lt;item&gt;1964&lt;/item&gt;&lt;item&gt;1965&lt;/item&gt;&lt;item&gt;1967&lt;/item&gt;&lt;item&gt;1968&lt;/item&gt;&lt;item&gt;1972&lt;/item&gt;&lt;item&gt;1973&lt;/item&gt;&lt;item&gt;1975&lt;/item&gt;&lt;item&gt;1979&lt;/item&gt;&lt;item&gt;1980&lt;/item&gt;&lt;item&gt;1981&lt;/item&gt;&lt;item&gt;1983&lt;/item&gt;&lt;item&gt;1984&lt;/item&gt;&lt;item&gt;1985&lt;/item&gt;&lt;item&gt;1986&lt;/item&gt;&lt;item&gt;1987&lt;/item&gt;&lt;item&gt;1988&lt;/item&gt;&lt;item&gt;1989&lt;/item&gt;&lt;item&gt;1992&lt;/item&gt;&lt;item&gt;1993&lt;/item&gt;&lt;item&gt;1996&lt;/item&gt;&lt;item&gt;1997&lt;/item&gt;&lt;item&gt;1998&lt;/item&gt;&lt;item&gt;1999&lt;/item&gt;&lt;item&gt;2000&lt;/item&gt;&lt;item&gt;2001&lt;/item&gt;&lt;item&gt;2002&lt;/item&gt;&lt;item&gt;2007&lt;/item&gt;&lt;item&gt;2008&lt;/item&gt;&lt;item&gt;2009&lt;/item&gt;&lt;item&gt;2010&lt;/item&gt;&lt;item&gt;2011&lt;/item&gt;&lt;item&gt;2012&lt;/item&gt;&lt;item&gt;2015&lt;/item&gt;&lt;item&gt;2016&lt;/item&gt;&lt;item&gt;2017&lt;/item&gt;&lt;item&gt;2018&lt;/item&gt;&lt;item&gt;2019&lt;/item&gt;&lt;item&gt;2020&lt;/item&gt;&lt;item&gt;2021&lt;/item&gt;&lt;item&gt;2022&lt;/item&gt;&lt;item&gt;2023&lt;/item&gt;&lt;item&gt;2024&lt;/item&gt;&lt;item&gt;2025&lt;/item&gt;&lt;item&gt;2027&lt;/item&gt;&lt;item&gt;2028&lt;/item&gt;&lt;item&gt;2029&lt;/item&gt;&lt;item&gt;2030&lt;/item&gt;&lt;item&gt;2031&lt;/item&gt;&lt;item&gt;2032&lt;/item&gt;&lt;item&gt;2033&lt;/item&gt;&lt;item&gt;2035&lt;/item&gt;&lt;item&gt;2036&lt;/item&gt;&lt;item&gt;2037&lt;/item&gt;&lt;item&gt;2038&lt;/item&gt;&lt;item&gt;2039&lt;/item&gt;&lt;item&gt;2040&lt;/item&gt;&lt;item&gt;2041&lt;/item&gt;&lt;item&gt;2042&lt;/item&gt;&lt;item&gt;2043&lt;/item&gt;&lt;item&gt;2044&lt;/item&gt;&lt;item&gt;2045&lt;/item&gt;&lt;item&gt;2046&lt;/item&gt;&lt;item&gt;2047&lt;/item&gt;&lt;item&gt;2048&lt;/item&gt;&lt;item&gt;2051&lt;/item&gt;&lt;item&gt;2052&lt;/item&gt;&lt;item&gt;2053&lt;/item&gt;&lt;item&gt;2054&lt;/item&gt;&lt;item&gt;2055&lt;/item&gt;&lt;item&gt;2056&lt;/item&gt;&lt;item&gt;2073&lt;/item&gt;&lt;item&gt;2111&lt;/item&gt;&lt;item&gt;2119&lt;/item&gt;&lt;item&gt;2120&lt;/item&gt;&lt;item&gt;2122&lt;/item&gt;&lt;item&gt;2124&lt;/item&gt;&lt;item&gt;2126&lt;/item&gt;&lt;item&gt;2127&lt;/item&gt;&lt;item&gt;2128&lt;/item&gt;&lt;item&gt;2129&lt;/item&gt;&lt;item&gt;2130&lt;/item&gt;&lt;item&gt;2131&lt;/item&gt;&lt;item&gt;2132&lt;/item&gt;&lt;item&gt;2133&lt;/item&gt;&lt;item&gt;2134&lt;/item&gt;&lt;item&gt;2135&lt;/item&gt;&lt;item&gt;2136&lt;/item&gt;&lt;item&gt;2137&lt;/item&gt;&lt;item&gt;2138&lt;/item&gt;&lt;item&gt;2141&lt;/item&gt;&lt;item&gt;2142&lt;/item&gt;&lt;item&gt;2143&lt;/item&gt;&lt;item&gt;2145&lt;/item&gt;&lt;item&gt;2146&lt;/item&gt;&lt;item&gt;2147&lt;/item&gt;&lt;item&gt;2148&lt;/item&gt;&lt;item&gt;2149&lt;/item&gt;&lt;item&gt;2150&lt;/item&gt;&lt;item&gt;2151&lt;/item&gt;&lt;item&gt;2152&lt;/item&gt;&lt;item&gt;2153&lt;/item&gt;&lt;item&gt;2154&lt;/item&gt;&lt;item&gt;2155&lt;/item&gt;&lt;item&gt;2156&lt;/item&gt;&lt;item&gt;2157&lt;/item&gt;&lt;item&gt;2158&lt;/item&gt;&lt;item&gt;2159&lt;/item&gt;&lt;item&gt;2160&lt;/item&gt;&lt;item&gt;2161&lt;/item&gt;&lt;item&gt;2162&lt;/item&gt;&lt;item&gt;2163&lt;/item&gt;&lt;item&gt;2164&lt;/item&gt;&lt;item&gt;2165&lt;/item&gt;&lt;item&gt;2167&lt;/item&gt;&lt;item&gt;2168&lt;/item&gt;&lt;item&gt;2170&lt;/item&gt;&lt;item&gt;2171&lt;/item&gt;&lt;item&gt;2172&lt;/item&gt;&lt;item&gt;2173&lt;/item&gt;&lt;item&gt;2174&lt;/item&gt;&lt;item&gt;2175&lt;/item&gt;&lt;item&gt;2176&lt;/item&gt;&lt;item&gt;2177&lt;/item&gt;&lt;item&gt;2178&lt;/item&gt;&lt;item&gt;2179&lt;/item&gt;&lt;item&gt;2181&lt;/item&gt;&lt;item&gt;2183&lt;/item&gt;&lt;item&gt;2184&lt;/item&gt;&lt;item&gt;2188&lt;/item&gt;&lt;item&gt;2189&lt;/item&gt;&lt;item&gt;2190&lt;/item&gt;&lt;item&gt;2191&lt;/item&gt;&lt;item&gt;2192&lt;/item&gt;&lt;item&gt;2193&lt;/item&gt;&lt;item&gt;2194&lt;/item&gt;&lt;item&gt;2195&lt;/item&gt;&lt;item&gt;2196&lt;/item&gt;&lt;item&gt;2197&lt;/item&gt;&lt;item&gt;2198&lt;/item&gt;&lt;item&gt;2199&lt;/item&gt;&lt;item&gt;2200&lt;/item&gt;&lt;item&gt;2201&lt;/item&gt;&lt;item&gt;2202&lt;/item&gt;&lt;item&gt;2203&lt;/item&gt;&lt;item&gt;2204&lt;/item&gt;&lt;item&gt;2206&lt;/item&gt;&lt;item&gt;2208&lt;/item&gt;&lt;item&gt;2209&lt;/item&gt;&lt;item&gt;2210&lt;/item&gt;&lt;item&gt;2212&lt;/item&gt;&lt;item&gt;2214&lt;/item&gt;&lt;item&gt;2215&lt;/item&gt;&lt;item&gt;2216&lt;/item&gt;&lt;item&gt;2217&lt;/item&gt;&lt;item&gt;2218&lt;/item&gt;&lt;item&gt;2220&lt;/item&gt;&lt;item&gt;2221&lt;/item&gt;&lt;item&gt;2223&lt;/item&gt;&lt;item&gt;2224&lt;/item&gt;&lt;item&gt;2225&lt;/item&gt;&lt;item&gt;2226&lt;/item&gt;&lt;item&gt;2227&lt;/item&gt;&lt;item&gt;2228&lt;/item&gt;&lt;item&gt;2229&lt;/item&gt;&lt;item&gt;2230&lt;/item&gt;&lt;item&gt;2231&lt;/item&gt;&lt;item&gt;2232&lt;/item&gt;&lt;item&gt;2233&lt;/item&gt;&lt;item&gt;2234&lt;/item&gt;&lt;item&gt;2238&lt;/item&gt;&lt;item&gt;2239&lt;/item&gt;&lt;item&gt;2240&lt;/item&gt;&lt;item&gt;2241&lt;/item&gt;&lt;item&gt;2243&lt;/item&gt;&lt;item&gt;2245&lt;/item&gt;&lt;item&gt;2246&lt;/item&gt;&lt;item&gt;2249&lt;/item&gt;&lt;item&gt;2250&lt;/item&gt;&lt;item&gt;2251&lt;/item&gt;&lt;item&gt;2252&lt;/item&gt;&lt;item&gt;2253&lt;/item&gt;&lt;item&gt;2255&lt;/item&gt;&lt;item&gt;2256&lt;/item&gt;&lt;item&gt;2257&lt;/item&gt;&lt;item&gt;2258&lt;/item&gt;&lt;item&gt;2259&lt;/item&gt;&lt;item&gt;2260&lt;/item&gt;&lt;item&gt;2261&lt;/item&gt;&lt;item&gt;2263&lt;/item&gt;&lt;item&gt;2265&lt;/item&gt;&lt;item&gt;2267&lt;/item&gt;&lt;item&gt;2268&lt;/item&gt;&lt;item&gt;2269&lt;/item&gt;&lt;item&gt;2270&lt;/item&gt;&lt;item&gt;2271&lt;/item&gt;&lt;item&gt;2272&lt;/item&gt;&lt;item&gt;2273&lt;/item&gt;&lt;item&gt;2274&lt;/item&gt;&lt;item&gt;2275&lt;/item&gt;&lt;item&gt;2276&lt;/item&gt;&lt;item&gt;2277&lt;/item&gt;&lt;item&gt;2278&lt;/item&gt;&lt;item&gt;2279&lt;/item&gt;&lt;item&gt;2280&lt;/item&gt;&lt;item&gt;2281&lt;/item&gt;&lt;item&gt;2282&lt;/item&gt;&lt;item&gt;2283&lt;/item&gt;&lt;item&gt;2284&lt;/item&gt;&lt;item&gt;2285&lt;/item&gt;&lt;item&gt;2287&lt;/item&gt;&lt;item&gt;2296&lt;/item&gt;&lt;item&gt;2297&lt;/item&gt;&lt;item&gt;2298&lt;/item&gt;&lt;item&gt;2299&lt;/item&gt;&lt;item&gt;2300&lt;/item&gt;&lt;/record-ids&gt;&lt;/item&gt;&lt;/Libraries&gt;"/>
  </w:docVars>
  <w:rsids>
    <w:rsidRoot w:val="004B4706"/>
    <w:rsid w:val="000004EB"/>
    <w:rsid w:val="00001876"/>
    <w:rsid w:val="00002875"/>
    <w:rsid w:val="00002ACB"/>
    <w:rsid w:val="0000318E"/>
    <w:rsid w:val="0000680C"/>
    <w:rsid w:val="00007E38"/>
    <w:rsid w:val="00011AE2"/>
    <w:rsid w:val="00013CD7"/>
    <w:rsid w:val="000152EC"/>
    <w:rsid w:val="00015779"/>
    <w:rsid w:val="00015D79"/>
    <w:rsid w:val="0001685C"/>
    <w:rsid w:val="00016C23"/>
    <w:rsid w:val="00016EF2"/>
    <w:rsid w:val="00017469"/>
    <w:rsid w:val="00017B25"/>
    <w:rsid w:val="0002098B"/>
    <w:rsid w:val="000228F9"/>
    <w:rsid w:val="000232A0"/>
    <w:rsid w:val="00023F49"/>
    <w:rsid w:val="000241F2"/>
    <w:rsid w:val="00024277"/>
    <w:rsid w:val="00027EB0"/>
    <w:rsid w:val="00032B22"/>
    <w:rsid w:val="00032C0C"/>
    <w:rsid w:val="000360B4"/>
    <w:rsid w:val="000361EA"/>
    <w:rsid w:val="00036A51"/>
    <w:rsid w:val="00036EDD"/>
    <w:rsid w:val="0004001E"/>
    <w:rsid w:val="0004008C"/>
    <w:rsid w:val="000406A1"/>
    <w:rsid w:val="00041519"/>
    <w:rsid w:val="000426A6"/>
    <w:rsid w:val="00042828"/>
    <w:rsid w:val="00042BC7"/>
    <w:rsid w:val="000432DD"/>
    <w:rsid w:val="00043A3E"/>
    <w:rsid w:val="0004541E"/>
    <w:rsid w:val="0004765F"/>
    <w:rsid w:val="00050A0D"/>
    <w:rsid w:val="00051041"/>
    <w:rsid w:val="00051544"/>
    <w:rsid w:val="00052192"/>
    <w:rsid w:val="00054286"/>
    <w:rsid w:val="0005550C"/>
    <w:rsid w:val="00055D34"/>
    <w:rsid w:val="000567DD"/>
    <w:rsid w:val="00060A8E"/>
    <w:rsid w:val="000610C9"/>
    <w:rsid w:val="0006335F"/>
    <w:rsid w:val="00063F9A"/>
    <w:rsid w:val="000642DB"/>
    <w:rsid w:val="00064D4C"/>
    <w:rsid w:val="000650E7"/>
    <w:rsid w:val="00065559"/>
    <w:rsid w:val="00070BD9"/>
    <w:rsid w:val="000717EC"/>
    <w:rsid w:val="000744EE"/>
    <w:rsid w:val="00076108"/>
    <w:rsid w:val="00076F7E"/>
    <w:rsid w:val="000801ED"/>
    <w:rsid w:val="00082F70"/>
    <w:rsid w:val="00083F11"/>
    <w:rsid w:val="0008440B"/>
    <w:rsid w:val="00084469"/>
    <w:rsid w:val="00086089"/>
    <w:rsid w:val="000870BD"/>
    <w:rsid w:val="00090064"/>
    <w:rsid w:val="00092B9B"/>
    <w:rsid w:val="00093687"/>
    <w:rsid w:val="00093694"/>
    <w:rsid w:val="00095755"/>
    <w:rsid w:val="000964E0"/>
    <w:rsid w:val="000965DD"/>
    <w:rsid w:val="00097102"/>
    <w:rsid w:val="00097689"/>
    <w:rsid w:val="00097C37"/>
    <w:rsid w:val="00097C8E"/>
    <w:rsid w:val="00097F32"/>
    <w:rsid w:val="000A18F6"/>
    <w:rsid w:val="000A1C67"/>
    <w:rsid w:val="000A1CDD"/>
    <w:rsid w:val="000A2123"/>
    <w:rsid w:val="000A3E5E"/>
    <w:rsid w:val="000A41F0"/>
    <w:rsid w:val="000B07E5"/>
    <w:rsid w:val="000B090C"/>
    <w:rsid w:val="000B0C3E"/>
    <w:rsid w:val="000B1E2E"/>
    <w:rsid w:val="000B33BB"/>
    <w:rsid w:val="000B5394"/>
    <w:rsid w:val="000B6CB7"/>
    <w:rsid w:val="000C4909"/>
    <w:rsid w:val="000C5C62"/>
    <w:rsid w:val="000C63A9"/>
    <w:rsid w:val="000C64CB"/>
    <w:rsid w:val="000D1B43"/>
    <w:rsid w:val="000D2C36"/>
    <w:rsid w:val="000D51A2"/>
    <w:rsid w:val="000E0AE4"/>
    <w:rsid w:val="000E1D54"/>
    <w:rsid w:val="000E33BC"/>
    <w:rsid w:val="000E3CFC"/>
    <w:rsid w:val="000E43EC"/>
    <w:rsid w:val="000F3721"/>
    <w:rsid w:val="000F5E92"/>
    <w:rsid w:val="000F64E9"/>
    <w:rsid w:val="000F6FCD"/>
    <w:rsid w:val="0010069B"/>
    <w:rsid w:val="00100EED"/>
    <w:rsid w:val="0010221D"/>
    <w:rsid w:val="001022B2"/>
    <w:rsid w:val="0010296A"/>
    <w:rsid w:val="001030DB"/>
    <w:rsid w:val="00104462"/>
    <w:rsid w:val="00104779"/>
    <w:rsid w:val="00106B83"/>
    <w:rsid w:val="00110B57"/>
    <w:rsid w:val="001111F1"/>
    <w:rsid w:val="0011177E"/>
    <w:rsid w:val="001123EF"/>
    <w:rsid w:val="00112EF9"/>
    <w:rsid w:val="001139B8"/>
    <w:rsid w:val="001142FA"/>
    <w:rsid w:val="00114BDB"/>
    <w:rsid w:val="001160E7"/>
    <w:rsid w:val="00116BC1"/>
    <w:rsid w:val="0012331D"/>
    <w:rsid w:val="0012352C"/>
    <w:rsid w:val="00124003"/>
    <w:rsid w:val="00125469"/>
    <w:rsid w:val="00126DED"/>
    <w:rsid w:val="00130254"/>
    <w:rsid w:val="00130578"/>
    <w:rsid w:val="00131B0C"/>
    <w:rsid w:val="00135626"/>
    <w:rsid w:val="00135D4C"/>
    <w:rsid w:val="00135E2F"/>
    <w:rsid w:val="0014009B"/>
    <w:rsid w:val="00140360"/>
    <w:rsid w:val="00140DCB"/>
    <w:rsid w:val="00141175"/>
    <w:rsid w:val="001411FE"/>
    <w:rsid w:val="001415C0"/>
    <w:rsid w:val="001420AA"/>
    <w:rsid w:val="00143BEE"/>
    <w:rsid w:val="001442F4"/>
    <w:rsid w:val="00144365"/>
    <w:rsid w:val="00144CF7"/>
    <w:rsid w:val="00146146"/>
    <w:rsid w:val="001471AF"/>
    <w:rsid w:val="00147DB1"/>
    <w:rsid w:val="00151490"/>
    <w:rsid w:val="0015541A"/>
    <w:rsid w:val="0015564F"/>
    <w:rsid w:val="00160031"/>
    <w:rsid w:val="0016004B"/>
    <w:rsid w:val="001612A8"/>
    <w:rsid w:val="001620E3"/>
    <w:rsid w:val="00164457"/>
    <w:rsid w:val="00165332"/>
    <w:rsid w:val="0016540E"/>
    <w:rsid w:val="00166E67"/>
    <w:rsid w:val="00167DC7"/>
    <w:rsid w:val="00170DFC"/>
    <w:rsid w:val="00173212"/>
    <w:rsid w:val="00175708"/>
    <w:rsid w:val="00177F2B"/>
    <w:rsid w:val="00180F81"/>
    <w:rsid w:val="00181130"/>
    <w:rsid w:val="00181619"/>
    <w:rsid w:val="0018394A"/>
    <w:rsid w:val="00184782"/>
    <w:rsid w:val="001850E8"/>
    <w:rsid w:val="00185D90"/>
    <w:rsid w:val="00185DA3"/>
    <w:rsid w:val="00185F3C"/>
    <w:rsid w:val="00186AD7"/>
    <w:rsid w:val="00186EF6"/>
    <w:rsid w:val="001902CC"/>
    <w:rsid w:val="0019219D"/>
    <w:rsid w:val="0019226E"/>
    <w:rsid w:val="001926B4"/>
    <w:rsid w:val="00195730"/>
    <w:rsid w:val="00196849"/>
    <w:rsid w:val="001A00C1"/>
    <w:rsid w:val="001A0F75"/>
    <w:rsid w:val="001A20DC"/>
    <w:rsid w:val="001A4954"/>
    <w:rsid w:val="001A7668"/>
    <w:rsid w:val="001A7824"/>
    <w:rsid w:val="001B05BA"/>
    <w:rsid w:val="001B2B26"/>
    <w:rsid w:val="001B4159"/>
    <w:rsid w:val="001B669A"/>
    <w:rsid w:val="001C03B0"/>
    <w:rsid w:val="001C1021"/>
    <w:rsid w:val="001C3A0F"/>
    <w:rsid w:val="001C415C"/>
    <w:rsid w:val="001C51DE"/>
    <w:rsid w:val="001C609E"/>
    <w:rsid w:val="001C6445"/>
    <w:rsid w:val="001C68F6"/>
    <w:rsid w:val="001C6A5B"/>
    <w:rsid w:val="001D01C3"/>
    <w:rsid w:val="001D274D"/>
    <w:rsid w:val="001D3A0D"/>
    <w:rsid w:val="001D4F6B"/>
    <w:rsid w:val="001D58D6"/>
    <w:rsid w:val="001D610B"/>
    <w:rsid w:val="001D6603"/>
    <w:rsid w:val="001D70F0"/>
    <w:rsid w:val="001D7508"/>
    <w:rsid w:val="001D7739"/>
    <w:rsid w:val="001E1D0A"/>
    <w:rsid w:val="001E27D1"/>
    <w:rsid w:val="001E30B8"/>
    <w:rsid w:val="001E4A2E"/>
    <w:rsid w:val="001E4D39"/>
    <w:rsid w:val="001E5148"/>
    <w:rsid w:val="001E6CC7"/>
    <w:rsid w:val="001F114D"/>
    <w:rsid w:val="001F309D"/>
    <w:rsid w:val="001F4B3D"/>
    <w:rsid w:val="001F5920"/>
    <w:rsid w:val="001F67DD"/>
    <w:rsid w:val="001F6F0C"/>
    <w:rsid w:val="001F6F99"/>
    <w:rsid w:val="001F73D2"/>
    <w:rsid w:val="001F7568"/>
    <w:rsid w:val="00200560"/>
    <w:rsid w:val="00200E42"/>
    <w:rsid w:val="0020484C"/>
    <w:rsid w:val="00204C29"/>
    <w:rsid w:val="00204C3C"/>
    <w:rsid w:val="002063A3"/>
    <w:rsid w:val="002077DD"/>
    <w:rsid w:val="00211069"/>
    <w:rsid w:val="00211410"/>
    <w:rsid w:val="00211731"/>
    <w:rsid w:val="00211C19"/>
    <w:rsid w:val="00211E4E"/>
    <w:rsid w:val="00214879"/>
    <w:rsid w:val="00216139"/>
    <w:rsid w:val="002170AB"/>
    <w:rsid w:val="00217292"/>
    <w:rsid w:val="002177FC"/>
    <w:rsid w:val="00217B3E"/>
    <w:rsid w:val="0022001C"/>
    <w:rsid w:val="0022071A"/>
    <w:rsid w:val="00220FB1"/>
    <w:rsid w:val="002232E0"/>
    <w:rsid w:val="002326A0"/>
    <w:rsid w:val="002326DD"/>
    <w:rsid w:val="002343A8"/>
    <w:rsid w:val="00235D01"/>
    <w:rsid w:val="0023667C"/>
    <w:rsid w:val="002373EB"/>
    <w:rsid w:val="00241429"/>
    <w:rsid w:val="00241F48"/>
    <w:rsid w:val="002447EF"/>
    <w:rsid w:val="00244A88"/>
    <w:rsid w:val="00245AE7"/>
    <w:rsid w:val="00246C24"/>
    <w:rsid w:val="00252418"/>
    <w:rsid w:val="00252EC6"/>
    <w:rsid w:val="0025325E"/>
    <w:rsid w:val="0025355C"/>
    <w:rsid w:val="00254541"/>
    <w:rsid w:val="00256B3D"/>
    <w:rsid w:val="00257165"/>
    <w:rsid w:val="00261213"/>
    <w:rsid w:val="002653C8"/>
    <w:rsid w:val="002672BD"/>
    <w:rsid w:val="00267B8B"/>
    <w:rsid w:val="00267D9F"/>
    <w:rsid w:val="00271992"/>
    <w:rsid w:val="00272A36"/>
    <w:rsid w:val="00273472"/>
    <w:rsid w:val="00273557"/>
    <w:rsid w:val="00274896"/>
    <w:rsid w:val="00275107"/>
    <w:rsid w:val="00277D64"/>
    <w:rsid w:val="00280941"/>
    <w:rsid w:val="0028145F"/>
    <w:rsid w:val="00281493"/>
    <w:rsid w:val="002819A3"/>
    <w:rsid w:val="0028273C"/>
    <w:rsid w:val="002864CC"/>
    <w:rsid w:val="0028675A"/>
    <w:rsid w:val="0028796A"/>
    <w:rsid w:val="002906CE"/>
    <w:rsid w:val="0029138F"/>
    <w:rsid w:val="00294083"/>
    <w:rsid w:val="002964DB"/>
    <w:rsid w:val="00296D17"/>
    <w:rsid w:val="00297403"/>
    <w:rsid w:val="00297D69"/>
    <w:rsid w:val="002A0498"/>
    <w:rsid w:val="002A0688"/>
    <w:rsid w:val="002A0934"/>
    <w:rsid w:val="002A193E"/>
    <w:rsid w:val="002A4375"/>
    <w:rsid w:val="002A49DD"/>
    <w:rsid w:val="002A6254"/>
    <w:rsid w:val="002A7D69"/>
    <w:rsid w:val="002B3849"/>
    <w:rsid w:val="002B50F1"/>
    <w:rsid w:val="002B7303"/>
    <w:rsid w:val="002C283D"/>
    <w:rsid w:val="002C36C3"/>
    <w:rsid w:val="002C36EA"/>
    <w:rsid w:val="002C45CD"/>
    <w:rsid w:val="002C4887"/>
    <w:rsid w:val="002C5EEC"/>
    <w:rsid w:val="002C6609"/>
    <w:rsid w:val="002C6643"/>
    <w:rsid w:val="002C66DC"/>
    <w:rsid w:val="002C7023"/>
    <w:rsid w:val="002C74DC"/>
    <w:rsid w:val="002D0C39"/>
    <w:rsid w:val="002D1909"/>
    <w:rsid w:val="002D1CB6"/>
    <w:rsid w:val="002D29D1"/>
    <w:rsid w:val="002D3AA4"/>
    <w:rsid w:val="002D4495"/>
    <w:rsid w:val="002D4C8B"/>
    <w:rsid w:val="002D740B"/>
    <w:rsid w:val="002D7972"/>
    <w:rsid w:val="002D7973"/>
    <w:rsid w:val="002E2B39"/>
    <w:rsid w:val="002E33D9"/>
    <w:rsid w:val="002E4792"/>
    <w:rsid w:val="002E5AF3"/>
    <w:rsid w:val="002E7AB9"/>
    <w:rsid w:val="002F0D51"/>
    <w:rsid w:val="002F33A3"/>
    <w:rsid w:val="002F33F6"/>
    <w:rsid w:val="002F347B"/>
    <w:rsid w:val="002F3C52"/>
    <w:rsid w:val="002F60D5"/>
    <w:rsid w:val="002F6851"/>
    <w:rsid w:val="00302481"/>
    <w:rsid w:val="00302844"/>
    <w:rsid w:val="00302944"/>
    <w:rsid w:val="00303A43"/>
    <w:rsid w:val="00303CC7"/>
    <w:rsid w:val="0030463F"/>
    <w:rsid w:val="00305074"/>
    <w:rsid w:val="00306BD7"/>
    <w:rsid w:val="0030788A"/>
    <w:rsid w:val="003104AC"/>
    <w:rsid w:val="003122CE"/>
    <w:rsid w:val="00315019"/>
    <w:rsid w:val="003175C2"/>
    <w:rsid w:val="00320CA4"/>
    <w:rsid w:val="00323466"/>
    <w:rsid w:val="0032390E"/>
    <w:rsid w:val="00324760"/>
    <w:rsid w:val="003248E9"/>
    <w:rsid w:val="00330665"/>
    <w:rsid w:val="003344B0"/>
    <w:rsid w:val="003354D1"/>
    <w:rsid w:val="0034098C"/>
    <w:rsid w:val="00340E9F"/>
    <w:rsid w:val="00341F14"/>
    <w:rsid w:val="00342854"/>
    <w:rsid w:val="0034298E"/>
    <w:rsid w:val="00343383"/>
    <w:rsid w:val="0034370C"/>
    <w:rsid w:val="003442FC"/>
    <w:rsid w:val="00346B95"/>
    <w:rsid w:val="0035093D"/>
    <w:rsid w:val="00351FDF"/>
    <w:rsid w:val="00352F38"/>
    <w:rsid w:val="00353108"/>
    <w:rsid w:val="003536E2"/>
    <w:rsid w:val="00353C94"/>
    <w:rsid w:val="00354525"/>
    <w:rsid w:val="00357F99"/>
    <w:rsid w:val="003604A4"/>
    <w:rsid w:val="00360B4D"/>
    <w:rsid w:val="00361E05"/>
    <w:rsid w:val="00362D3D"/>
    <w:rsid w:val="00363587"/>
    <w:rsid w:val="00363826"/>
    <w:rsid w:val="00363D51"/>
    <w:rsid w:val="00366DBE"/>
    <w:rsid w:val="00366E99"/>
    <w:rsid w:val="0036722E"/>
    <w:rsid w:val="00370EAA"/>
    <w:rsid w:val="00371052"/>
    <w:rsid w:val="00371DF0"/>
    <w:rsid w:val="003727EC"/>
    <w:rsid w:val="00376AAF"/>
    <w:rsid w:val="00383567"/>
    <w:rsid w:val="003837FD"/>
    <w:rsid w:val="00385DD6"/>
    <w:rsid w:val="00386778"/>
    <w:rsid w:val="0039052F"/>
    <w:rsid w:val="00393DB3"/>
    <w:rsid w:val="00394163"/>
    <w:rsid w:val="003942C5"/>
    <w:rsid w:val="0039476A"/>
    <w:rsid w:val="00397A74"/>
    <w:rsid w:val="003A0619"/>
    <w:rsid w:val="003A0FC9"/>
    <w:rsid w:val="003A1A3A"/>
    <w:rsid w:val="003A28A7"/>
    <w:rsid w:val="003A2DE9"/>
    <w:rsid w:val="003A3B62"/>
    <w:rsid w:val="003A457E"/>
    <w:rsid w:val="003B0DCC"/>
    <w:rsid w:val="003B28FA"/>
    <w:rsid w:val="003B4137"/>
    <w:rsid w:val="003C1BBB"/>
    <w:rsid w:val="003C2363"/>
    <w:rsid w:val="003C30AC"/>
    <w:rsid w:val="003C3256"/>
    <w:rsid w:val="003C4590"/>
    <w:rsid w:val="003C55EF"/>
    <w:rsid w:val="003C6F2E"/>
    <w:rsid w:val="003D1DE0"/>
    <w:rsid w:val="003D253E"/>
    <w:rsid w:val="003D3232"/>
    <w:rsid w:val="003D3C1B"/>
    <w:rsid w:val="003D44D3"/>
    <w:rsid w:val="003D6584"/>
    <w:rsid w:val="003D777F"/>
    <w:rsid w:val="003E04B8"/>
    <w:rsid w:val="003E0C15"/>
    <w:rsid w:val="003E0F0C"/>
    <w:rsid w:val="003E2E0D"/>
    <w:rsid w:val="003E3052"/>
    <w:rsid w:val="003E3AE6"/>
    <w:rsid w:val="003E5CAD"/>
    <w:rsid w:val="003E609E"/>
    <w:rsid w:val="003F0E1A"/>
    <w:rsid w:val="003F108D"/>
    <w:rsid w:val="003F4DC4"/>
    <w:rsid w:val="003F601E"/>
    <w:rsid w:val="003F677A"/>
    <w:rsid w:val="003F716E"/>
    <w:rsid w:val="00404D90"/>
    <w:rsid w:val="004052CA"/>
    <w:rsid w:val="00407BBD"/>
    <w:rsid w:val="00412609"/>
    <w:rsid w:val="00414773"/>
    <w:rsid w:val="0041566A"/>
    <w:rsid w:val="00415ACA"/>
    <w:rsid w:val="00420530"/>
    <w:rsid w:val="00423445"/>
    <w:rsid w:val="0042371E"/>
    <w:rsid w:val="004238BB"/>
    <w:rsid w:val="004243D4"/>
    <w:rsid w:val="00424788"/>
    <w:rsid w:val="00425568"/>
    <w:rsid w:val="00426DB0"/>
    <w:rsid w:val="004274ED"/>
    <w:rsid w:val="00430121"/>
    <w:rsid w:val="00430A8C"/>
    <w:rsid w:val="0043175B"/>
    <w:rsid w:val="0043288B"/>
    <w:rsid w:val="00436A54"/>
    <w:rsid w:val="0043747C"/>
    <w:rsid w:val="00440C82"/>
    <w:rsid w:val="00442888"/>
    <w:rsid w:val="00443E29"/>
    <w:rsid w:val="00444BE1"/>
    <w:rsid w:val="00445281"/>
    <w:rsid w:val="00445B4C"/>
    <w:rsid w:val="00450F85"/>
    <w:rsid w:val="004518D0"/>
    <w:rsid w:val="00451F8A"/>
    <w:rsid w:val="00451FB5"/>
    <w:rsid w:val="00452D95"/>
    <w:rsid w:val="004534AA"/>
    <w:rsid w:val="00453B96"/>
    <w:rsid w:val="00454219"/>
    <w:rsid w:val="00454370"/>
    <w:rsid w:val="0045454C"/>
    <w:rsid w:val="00454627"/>
    <w:rsid w:val="00455630"/>
    <w:rsid w:val="004561EF"/>
    <w:rsid w:val="004573AC"/>
    <w:rsid w:val="004632B4"/>
    <w:rsid w:val="0046440D"/>
    <w:rsid w:val="00466409"/>
    <w:rsid w:val="00471E64"/>
    <w:rsid w:val="00472BB2"/>
    <w:rsid w:val="00472CBB"/>
    <w:rsid w:val="0047404C"/>
    <w:rsid w:val="0047499C"/>
    <w:rsid w:val="00474D22"/>
    <w:rsid w:val="0047562E"/>
    <w:rsid w:val="0047593F"/>
    <w:rsid w:val="00475BD2"/>
    <w:rsid w:val="00477B81"/>
    <w:rsid w:val="00480F2A"/>
    <w:rsid w:val="00481052"/>
    <w:rsid w:val="00482286"/>
    <w:rsid w:val="00482BC8"/>
    <w:rsid w:val="00482D6D"/>
    <w:rsid w:val="00484A7D"/>
    <w:rsid w:val="00484C21"/>
    <w:rsid w:val="004856FB"/>
    <w:rsid w:val="00486B52"/>
    <w:rsid w:val="00490729"/>
    <w:rsid w:val="00490FFA"/>
    <w:rsid w:val="00492EA1"/>
    <w:rsid w:val="00493E1E"/>
    <w:rsid w:val="00494E7C"/>
    <w:rsid w:val="00495EFF"/>
    <w:rsid w:val="00496DA2"/>
    <w:rsid w:val="004A0382"/>
    <w:rsid w:val="004A07B4"/>
    <w:rsid w:val="004A0D99"/>
    <w:rsid w:val="004A184B"/>
    <w:rsid w:val="004A1C23"/>
    <w:rsid w:val="004A283A"/>
    <w:rsid w:val="004A4412"/>
    <w:rsid w:val="004A4E6F"/>
    <w:rsid w:val="004A5037"/>
    <w:rsid w:val="004A5AF9"/>
    <w:rsid w:val="004B2258"/>
    <w:rsid w:val="004B24D0"/>
    <w:rsid w:val="004B45DB"/>
    <w:rsid w:val="004B4706"/>
    <w:rsid w:val="004B5EE0"/>
    <w:rsid w:val="004B6300"/>
    <w:rsid w:val="004B65F2"/>
    <w:rsid w:val="004B7909"/>
    <w:rsid w:val="004C0F96"/>
    <w:rsid w:val="004C105D"/>
    <w:rsid w:val="004C1572"/>
    <w:rsid w:val="004C163E"/>
    <w:rsid w:val="004C25FD"/>
    <w:rsid w:val="004C39E0"/>
    <w:rsid w:val="004C3F35"/>
    <w:rsid w:val="004C60B8"/>
    <w:rsid w:val="004C6BB0"/>
    <w:rsid w:val="004D1695"/>
    <w:rsid w:val="004D6A9B"/>
    <w:rsid w:val="004D7A6E"/>
    <w:rsid w:val="004D7B95"/>
    <w:rsid w:val="004E0A82"/>
    <w:rsid w:val="004E1743"/>
    <w:rsid w:val="004E3880"/>
    <w:rsid w:val="004E4700"/>
    <w:rsid w:val="004E520F"/>
    <w:rsid w:val="004E5864"/>
    <w:rsid w:val="004E599E"/>
    <w:rsid w:val="004E7F84"/>
    <w:rsid w:val="004F0199"/>
    <w:rsid w:val="004F0300"/>
    <w:rsid w:val="004F0766"/>
    <w:rsid w:val="004F1694"/>
    <w:rsid w:val="004F366C"/>
    <w:rsid w:val="004F40E6"/>
    <w:rsid w:val="004F461D"/>
    <w:rsid w:val="004F4F29"/>
    <w:rsid w:val="004F5A50"/>
    <w:rsid w:val="004F785C"/>
    <w:rsid w:val="005013DA"/>
    <w:rsid w:val="005013DD"/>
    <w:rsid w:val="005020BA"/>
    <w:rsid w:val="005046E9"/>
    <w:rsid w:val="005068F1"/>
    <w:rsid w:val="0050769A"/>
    <w:rsid w:val="00510350"/>
    <w:rsid w:val="00510E74"/>
    <w:rsid w:val="005110B4"/>
    <w:rsid w:val="0051125B"/>
    <w:rsid w:val="00512181"/>
    <w:rsid w:val="00512CE6"/>
    <w:rsid w:val="00512D62"/>
    <w:rsid w:val="0051352E"/>
    <w:rsid w:val="00514D97"/>
    <w:rsid w:val="00515449"/>
    <w:rsid w:val="00515BE7"/>
    <w:rsid w:val="00516DBB"/>
    <w:rsid w:val="00522148"/>
    <w:rsid w:val="00522F44"/>
    <w:rsid w:val="00523778"/>
    <w:rsid w:val="00524E44"/>
    <w:rsid w:val="0052508B"/>
    <w:rsid w:val="00526E27"/>
    <w:rsid w:val="0053219F"/>
    <w:rsid w:val="005323D7"/>
    <w:rsid w:val="00533D09"/>
    <w:rsid w:val="00534138"/>
    <w:rsid w:val="0053500B"/>
    <w:rsid w:val="00535E6E"/>
    <w:rsid w:val="00537407"/>
    <w:rsid w:val="00537C79"/>
    <w:rsid w:val="00540558"/>
    <w:rsid w:val="005405FA"/>
    <w:rsid w:val="00543C8F"/>
    <w:rsid w:val="0054455B"/>
    <w:rsid w:val="005459AD"/>
    <w:rsid w:val="00546AA9"/>
    <w:rsid w:val="00547236"/>
    <w:rsid w:val="005509BB"/>
    <w:rsid w:val="00551250"/>
    <w:rsid w:val="005515AE"/>
    <w:rsid w:val="00552C8D"/>
    <w:rsid w:val="00554EE9"/>
    <w:rsid w:val="0055660F"/>
    <w:rsid w:val="0055717C"/>
    <w:rsid w:val="00557C23"/>
    <w:rsid w:val="00560416"/>
    <w:rsid w:val="00560564"/>
    <w:rsid w:val="0056243F"/>
    <w:rsid w:val="0056254C"/>
    <w:rsid w:val="0056320D"/>
    <w:rsid w:val="00563B76"/>
    <w:rsid w:val="0056518C"/>
    <w:rsid w:val="0056542E"/>
    <w:rsid w:val="00566B21"/>
    <w:rsid w:val="00572BBD"/>
    <w:rsid w:val="0057316C"/>
    <w:rsid w:val="00573479"/>
    <w:rsid w:val="005744DB"/>
    <w:rsid w:val="0057541E"/>
    <w:rsid w:val="005764D5"/>
    <w:rsid w:val="00580B4D"/>
    <w:rsid w:val="005829BF"/>
    <w:rsid w:val="005833C5"/>
    <w:rsid w:val="00585492"/>
    <w:rsid w:val="00585B3A"/>
    <w:rsid w:val="0058616B"/>
    <w:rsid w:val="00591606"/>
    <w:rsid w:val="005916E6"/>
    <w:rsid w:val="00591F3C"/>
    <w:rsid w:val="00592F2E"/>
    <w:rsid w:val="00592F82"/>
    <w:rsid w:val="00594425"/>
    <w:rsid w:val="00595F3A"/>
    <w:rsid w:val="0059604E"/>
    <w:rsid w:val="005A265F"/>
    <w:rsid w:val="005A41CB"/>
    <w:rsid w:val="005A4BAE"/>
    <w:rsid w:val="005A5BBC"/>
    <w:rsid w:val="005A6076"/>
    <w:rsid w:val="005A711C"/>
    <w:rsid w:val="005A766C"/>
    <w:rsid w:val="005A7999"/>
    <w:rsid w:val="005B2AE6"/>
    <w:rsid w:val="005B4C68"/>
    <w:rsid w:val="005B63D1"/>
    <w:rsid w:val="005B7B17"/>
    <w:rsid w:val="005B7C41"/>
    <w:rsid w:val="005C010F"/>
    <w:rsid w:val="005C0A26"/>
    <w:rsid w:val="005C1C20"/>
    <w:rsid w:val="005C38BF"/>
    <w:rsid w:val="005C4120"/>
    <w:rsid w:val="005C4B48"/>
    <w:rsid w:val="005C5D25"/>
    <w:rsid w:val="005D264C"/>
    <w:rsid w:val="005D2AEA"/>
    <w:rsid w:val="005D3662"/>
    <w:rsid w:val="005D3AA2"/>
    <w:rsid w:val="005D613B"/>
    <w:rsid w:val="005D6ADD"/>
    <w:rsid w:val="005E059B"/>
    <w:rsid w:val="005E3707"/>
    <w:rsid w:val="005E4F20"/>
    <w:rsid w:val="005E5F00"/>
    <w:rsid w:val="005E60ED"/>
    <w:rsid w:val="005F3088"/>
    <w:rsid w:val="005F3CAF"/>
    <w:rsid w:val="005F4B4B"/>
    <w:rsid w:val="005F6F6A"/>
    <w:rsid w:val="006009DD"/>
    <w:rsid w:val="0060110D"/>
    <w:rsid w:val="00603136"/>
    <w:rsid w:val="00604371"/>
    <w:rsid w:val="0060538E"/>
    <w:rsid w:val="00607B94"/>
    <w:rsid w:val="00610165"/>
    <w:rsid w:val="00610ABB"/>
    <w:rsid w:val="00610D0F"/>
    <w:rsid w:val="006111A0"/>
    <w:rsid w:val="0061128F"/>
    <w:rsid w:val="00613C04"/>
    <w:rsid w:val="00616CAD"/>
    <w:rsid w:val="00620773"/>
    <w:rsid w:val="0062358C"/>
    <w:rsid w:val="00625757"/>
    <w:rsid w:val="00626A73"/>
    <w:rsid w:val="0062715D"/>
    <w:rsid w:val="006315B3"/>
    <w:rsid w:val="00631763"/>
    <w:rsid w:val="006321A8"/>
    <w:rsid w:val="0063402F"/>
    <w:rsid w:val="0063433E"/>
    <w:rsid w:val="00635007"/>
    <w:rsid w:val="00635C31"/>
    <w:rsid w:val="00636EA8"/>
    <w:rsid w:val="0063783F"/>
    <w:rsid w:val="0064188E"/>
    <w:rsid w:val="00641D1F"/>
    <w:rsid w:val="00641E34"/>
    <w:rsid w:val="006420AE"/>
    <w:rsid w:val="00643A7C"/>
    <w:rsid w:val="00643F12"/>
    <w:rsid w:val="00644996"/>
    <w:rsid w:val="006453F8"/>
    <w:rsid w:val="0064693B"/>
    <w:rsid w:val="00651B5B"/>
    <w:rsid w:val="00652E10"/>
    <w:rsid w:val="00654498"/>
    <w:rsid w:val="00654FE9"/>
    <w:rsid w:val="0065586E"/>
    <w:rsid w:val="00657736"/>
    <w:rsid w:val="00657FD0"/>
    <w:rsid w:val="00662C34"/>
    <w:rsid w:val="0066355A"/>
    <w:rsid w:val="0066386B"/>
    <w:rsid w:val="006639BC"/>
    <w:rsid w:val="00665F3B"/>
    <w:rsid w:val="00666E95"/>
    <w:rsid w:val="006676D6"/>
    <w:rsid w:val="006678C6"/>
    <w:rsid w:val="00667B6C"/>
    <w:rsid w:val="00667FF5"/>
    <w:rsid w:val="006700F8"/>
    <w:rsid w:val="00670659"/>
    <w:rsid w:val="0067110D"/>
    <w:rsid w:val="00673646"/>
    <w:rsid w:val="00674CDC"/>
    <w:rsid w:val="0067501A"/>
    <w:rsid w:val="00677D26"/>
    <w:rsid w:val="00677D40"/>
    <w:rsid w:val="00680231"/>
    <w:rsid w:val="00681451"/>
    <w:rsid w:val="00681ACE"/>
    <w:rsid w:val="00682B15"/>
    <w:rsid w:val="00682E7A"/>
    <w:rsid w:val="00684D07"/>
    <w:rsid w:val="00686A5F"/>
    <w:rsid w:val="00690FDF"/>
    <w:rsid w:val="00691479"/>
    <w:rsid w:val="006919EE"/>
    <w:rsid w:val="006923DE"/>
    <w:rsid w:val="006930D5"/>
    <w:rsid w:val="00693F9D"/>
    <w:rsid w:val="00695E83"/>
    <w:rsid w:val="006968E1"/>
    <w:rsid w:val="006969B0"/>
    <w:rsid w:val="00696D16"/>
    <w:rsid w:val="00697176"/>
    <w:rsid w:val="006A0020"/>
    <w:rsid w:val="006A065A"/>
    <w:rsid w:val="006A0686"/>
    <w:rsid w:val="006A0977"/>
    <w:rsid w:val="006A1186"/>
    <w:rsid w:val="006A164F"/>
    <w:rsid w:val="006A1975"/>
    <w:rsid w:val="006A1DBE"/>
    <w:rsid w:val="006A1E48"/>
    <w:rsid w:val="006A2A5E"/>
    <w:rsid w:val="006A303B"/>
    <w:rsid w:val="006A3864"/>
    <w:rsid w:val="006A471E"/>
    <w:rsid w:val="006A771D"/>
    <w:rsid w:val="006A774F"/>
    <w:rsid w:val="006B2640"/>
    <w:rsid w:val="006B389B"/>
    <w:rsid w:val="006B412C"/>
    <w:rsid w:val="006B52B1"/>
    <w:rsid w:val="006B59FE"/>
    <w:rsid w:val="006B79FD"/>
    <w:rsid w:val="006B7B2A"/>
    <w:rsid w:val="006C02ED"/>
    <w:rsid w:val="006C1F08"/>
    <w:rsid w:val="006C20E5"/>
    <w:rsid w:val="006C227B"/>
    <w:rsid w:val="006C3C89"/>
    <w:rsid w:val="006C6470"/>
    <w:rsid w:val="006C666F"/>
    <w:rsid w:val="006D0D61"/>
    <w:rsid w:val="006D0DC9"/>
    <w:rsid w:val="006D140C"/>
    <w:rsid w:val="006D2510"/>
    <w:rsid w:val="006D38F0"/>
    <w:rsid w:val="006D4F3F"/>
    <w:rsid w:val="006D6208"/>
    <w:rsid w:val="006E1045"/>
    <w:rsid w:val="006E2216"/>
    <w:rsid w:val="006E23E5"/>
    <w:rsid w:val="006E429D"/>
    <w:rsid w:val="006E48FF"/>
    <w:rsid w:val="006E50A1"/>
    <w:rsid w:val="006E57F8"/>
    <w:rsid w:val="006E6E39"/>
    <w:rsid w:val="006E72AF"/>
    <w:rsid w:val="006E7608"/>
    <w:rsid w:val="006E7B46"/>
    <w:rsid w:val="006F10C2"/>
    <w:rsid w:val="006F1222"/>
    <w:rsid w:val="006F27A5"/>
    <w:rsid w:val="006F2B3D"/>
    <w:rsid w:val="006F3353"/>
    <w:rsid w:val="006F4F2D"/>
    <w:rsid w:val="006F6CC8"/>
    <w:rsid w:val="006F74BF"/>
    <w:rsid w:val="00700F2E"/>
    <w:rsid w:val="00701202"/>
    <w:rsid w:val="00701A93"/>
    <w:rsid w:val="00701F1D"/>
    <w:rsid w:val="007025E3"/>
    <w:rsid w:val="0070312D"/>
    <w:rsid w:val="00704101"/>
    <w:rsid w:val="007042C5"/>
    <w:rsid w:val="00706340"/>
    <w:rsid w:val="00707027"/>
    <w:rsid w:val="0071337C"/>
    <w:rsid w:val="00714DDB"/>
    <w:rsid w:val="0072061F"/>
    <w:rsid w:val="00720BA8"/>
    <w:rsid w:val="007218F3"/>
    <w:rsid w:val="007237E0"/>
    <w:rsid w:val="00723AB4"/>
    <w:rsid w:val="00723CD6"/>
    <w:rsid w:val="00724FDF"/>
    <w:rsid w:val="0072506C"/>
    <w:rsid w:val="007256C9"/>
    <w:rsid w:val="007257F6"/>
    <w:rsid w:val="00730E54"/>
    <w:rsid w:val="00730FBC"/>
    <w:rsid w:val="0073138F"/>
    <w:rsid w:val="007356CC"/>
    <w:rsid w:val="007417E5"/>
    <w:rsid w:val="00742C6C"/>
    <w:rsid w:val="007439F3"/>
    <w:rsid w:val="00745624"/>
    <w:rsid w:val="00745E79"/>
    <w:rsid w:val="00746DB0"/>
    <w:rsid w:val="00747F1F"/>
    <w:rsid w:val="00750A81"/>
    <w:rsid w:val="007518EA"/>
    <w:rsid w:val="00752448"/>
    <w:rsid w:val="0075280F"/>
    <w:rsid w:val="0075620F"/>
    <w:rsid w:val="00757742"/>
    <w:rsid w:val="0076058B"/>
    <w:rsid w:val="007606C5"/>
    <w:rsid w:val="00760AF5"/>
    <w:rsid w:val="007612C0"/>
    <w:rsid w:val="00761709"/>
    <w:rsid w:val="00761B3D"/>
    <w:rsid w:val="00762DF7"/>
    <w:rsid w:val="007637AE"/>
    <w:rsid w:val="0076388F"/>
    <w:rsid w:val="0076711F"/>
    <w:rsid w:val="00767224"/>
    <w:rsid w:val="00767582"/>
    <w:rsid w:val="00770D5E"/>
    <w:rsid w:val="00771BED"/>
    <w:rsid w:val="00772C48"/>
    <w:rsid w:val="00774C81"/>
    <w:rsid w:val="007754D8"/>
    <w:rsid w:val="00775BB4"/>
    <w:rsid w:val="0077613E"/>
    <w:rsid w:val="00777431"/>
    <w:rsid w:val="0078072C"/>
    <w:rsid w:val="00781095"/>
    <w:rsid w:val="00784ECE"/>
    <w:rsid w:val="00790A18"/>
    <w:rsid w:val="00790DBD"/>
    <w:rsid w:val="007922F8"/>
    <w:rsid w:val="00794CCD"/>
    <w:rsid w:val="00797B3D"/>
    <w:rsid w:val="007A40D9"/>
    <w:rsid w:val="007A4162"/>
    <w:rsid w:val="007A4F4D"/>
    <w:rsid w:val="007A6A45"/>
    <w:rsid w:val="007B0216"/>
    <w:rsid w:val="007B16E3"/>
    <w:rsid w:val="007B2EBE"/>
    <w:rsid w:val="007B2F85"/>
    <w:rsid w:val="007B35E0"/>
    <w:rsid w:val="007B4D46"/>
    <w:rsid w:val="007B59BE"/>
    <w:rsid w:val="007B659D"/>
    <w:rsid w:val="007B6E66"/>
    <w:rsid w:val="007B7A90"/>
    <w:rsid w:val="007C01CD"/>
    <w:rsid w:val="007C1B50"/>
    <w:rsid w:val="007C21F6"/>
    <w:rsid w:val="007C3EAA"/>
    <w:rsid w:val="007C589F"/>
    <w:rsid w:val="007C75A6"/>
    <w:rsid w:val="007D159C"/>
    <w:rsid w:val="007D296B"/>
    <w:rsid w:val="007D5988"/>
    <w:rsid w:val="007D5F84"/>
    <w:rsid w:val="007D6057"/>
    <w:rsid w:val="007D6ADA"/>
    <w:rsid w:val="007E0330"/>
    <w:rsid w:val="007E13DB"/>
    <w:rsid w:val="007E1687"/>
    <w:rsid w:val="007E269E"/>
    <w:rsid w:val="007E2CA6"/>
    <w:rsid w:val="007E74DB"/>
    <w:rsid w:val="007E7658"/>
    <w:rsid w:val="007E7A15"/>
    <w:rsid w:val="007E7ACE"/>
    <w:rsid w:val="007E7AF8"/>
    <w:rsid w:val="007F02C2"/>
    <w:rsid w:val="007F052C"/>
    <w:rsid w:val="007F1E90"/>
    <w:rsid w:val="007F3013"/>
    <w:rsid w:val="007F607D"/>
    <w:rsid w:val="00800112"/>
    <w:rsid w:val="00801DD1"/>
    <w:rsid w:val="00803257"/>
    <w:rsid w:val="00803F28"/>
    <w:rsid w:val="008041B3"/>
    <w:rsid w:val="00804C9B"/>
    <w:rsid w:val="00806447"/>
    <w:rsid w:val="008066ED"/>
    <w:rsid w:val="008078EC"/>
    <w:rsid w:val="00807FE7"/>
    <w:rsid w:val="0081066B"/>
    <w:rsid w:val="008121B3"/>
    <w:rsid w:val="0081387D"/>
    <w:rsid w:val="0081410D"/>
    <w:rsid w:val="00815749"/>
    <w:rsid w:val="00816E83"/>
    <w:rsid w:val="00817F12"/>
    <w:rsid w:val="00822F2B"/>
    <w:rsid w:val="00825FAB"/>
    <w:rsid w:val="00826170"/>
    <w:rsid w:val="00826B75"/>
    <w:rsid w:val="00832266"/>
    <w:rsid w:val="00833051"/>
    <w:rsid w:val="00833F93"/>
    <w:rsid w:val="00834B71"/>
    <w:rsid w:val="00835BE5"/>
    <w:rsid w:val="00841215"/>
    <w:rsid w:val="00842E5B"/>
    <w:rsid w:val="00843383"/>
    <w:rsid w:val="00843836"/>
    <w:rsid w:val="008452AE"/>
    <w:rsid w:val="00845634"/>
    <w:rsid w:val="008475B4"/>
    <w:rsid w:val="00852467"/>
    <w:rsid w:val="00852562"/>
    <w:rsid w:val="00852570"/>
    <w:rsid w:val="00852B11"/>
    <w:rsid w:val="00852E49"/>
    <w:rsid w:val="0085687A"/>
    <w:rsid w:val="00857F7D"/>
    <w:rsid w:val="00861249"/>
    <w:rsid w:val="00862D6E"/>
    <w:rsid w:val="008633CA"/>
    <w:rsid w:val="0086473E"/>
    <w:rsid w:val="00864C1E"/>
    <w:rsid w:val="00864F75"/>
    <w:rsid w:val="008656D1"/>
    <w:rsid w:val="008679F3"/>
    <w:rsid w:val="00872C6C"/>
    <w:rsid w:val="00873253"/>
    <w:rsid w:val="00873485"/>
    <w:rsid w:val="008740E8"/>
    <w:rsid w:val="008742EA"/>
    <w:rsid w:val="00874D88"/>
    <w:rsid w:val="008754F5"/>
    <w:rsid w:val="008755FC"/>
    <w:rsid w:val="00875923"/>
    <w:rsid w:val="00877846"/>
    <w:rsid w:val="008811DF"/>
    <w:rsid w:val="00885A01"/>
    <w:rsid w:val="00887400"/>
    <w:rsid w:val="008902A5"/>
    <w:rsid w:val="008944C4"/>
    <w:rsid w:val="00894C6D"/>
    <w:rsid w:val="00896948"/>
    <w:rsid w:val="00897F3F"/>
    <w:rsid w:val="008A2D9E"/>
    <w:rsid w:val="008A2E3C"/>
    <w:rsid w:val="008A38F4"/>
    <w:rsid w:val="008A4426"/>
    <w:rsid w:val="008A6732"/>
    <w:rsid w:val="008A73DA"/>
    <w:rsid w:val="008B0A81"/>
    <w:rsid w:val="008B15C9"/>
    <w:rsid w:val="008B1B42"/>
    <w:rsid w:val="008B1B85"/>
    <w:rsid w:val="008B204F"/>
    <w:rsid w:val="008B2081"/>
    <w:rsid w:val="008B2AE4"/>
    <w:rsid w:val="008B46E5"/>
    <w:rsid w:val="008B4A6E"/>
    <w:rsid w:val="008B52A9"/>
    <w:rsid w:val="008B5D52"/>
    <w:rsid w:val="008B6C13"/>
    <w:rsid w:val="008C0D12"/>
    <w:rsid w:val="008C10C3"/>
    <w:rsid w:val="008C1540"/>
    <w:rsid w:val="008C2631"/>
    <w:rsid w:val="008C2D3D"/>
    <w:rsid w:val="008C2DF1"/>
    <w:rsid w:val="008C4C02"/>
    <w:rsid w:val="008C58A2"/>
    <w:rsid w:val="008D01F4"/>
    <w:rsid w:val="008D04CE"/>
    <w:rsid w:val="008D1A6B"/>
    <w:rsid w:val="008D217F"/>
    <w:rsid w:val="008D578C"/>
    <w:rsid w:val="008D5DEF"/>
    <w:rsid w:val="008D66DE"/>
    <w:rsid w:val="008E2C84"/>
    <w:rsid w:val="008E424C"/>
    <w:rsid w:val="008E4AE4"/>
    <w:rsid w:val="008E4B55"/>
    <w:rsid w:val="008E67C3"/>
    <w:rsid w:val="008E6A71"/>
    <w:rsid w:val="008E6FFB"/>
    <w:rsid w:val="008E756C"/>
    <w:rsid w:val="008E775C"/>
    <w:rsid w:val="008E7D7B"/>
    <w:rsid w:val="008F0E31"/>
    <w:rsid w:val="008F2702"/>
    <w:rsid w:val="008F3093"/>
    <w:rsid w:val="008F3C2F"/>
    <w:rsid w:val="008F491F"/>
    <w:rsid w:val="008F55D4"/>
    <w:rsid w:val="00901705"/>
    <w:rsid w:val="00902C85"/>
    <w:rsid w:val="009036DB"/>
    <w:rsid w:val="00903BCE"/>
    <w:rsid w:val="00911344"/>
    <w:rsid w:val="009132CC"/>
    <w:rsid w:val="009133A8"/>
    <w:rsid w:val="00913AA7"/>
    <w:rsid w:val="00913ABD"/>
    <w:rsid w:val="00914018"/>
    <w:rsid w:val="009145C5"/>
    <w:rsid w:val="00915F54"/>
    <w:rsid w:val="00922D03"/>
    <w:rsid w:val="00923341"/>
    <w:rsid w:val="00924E1F"/>
    <w:rsid w:val="009265F9"/>
    <w:rsid w:val="00926E15"/>
    <w:rsid w:val="009300FA"/>
    <w:rsid w:val="00930EC5"/>
    <w:rsid w:val="00931130"/>
    <w:rsid w:val="009318B9"/>
    <w:rsid w:val="00931AAC"/>
    <w:rsid w:val="00931EC3"/>
    <w:rsid w:val="00933AC5"/>
    <w:rsid w:val="00935363"/>
    <w:rsid w:val="00935E1C"/>
    <w:rsid w:val="00936ADA"/>
    <w:rsid w:val="00937E6F"/>
    <w:rsid w:val="00940042"/>
    <w:rsid w:val="00942465"/>
    <w:rsid w:val="00942F78"/>
    <w:rsid w:val="00943DFB"/>
    <w:rsid w:val="00944B68"/>
    <w:rsid w:val="00944CA9"/>
    <w:rsid w:val="0094530E"/>
    <w:rsid w:val="0094608F"/>
    <w:rsid w:val="009465E5"/>
    <w:rsid w:val="00946DAF"/>
    <w:rsid w:val="00946FF0"/>
    <w:rsid w:val="0094796C"/>
    <w:rsid w:val="00950880"/>
    <w:rsid w:val="00950E46"/>
    <w:rsid w:val="00951AB3"/>
    <w:rsid w:val="009536B9"/>
    <w:rsid w:val="00954545"/>
    <w:rsid w:val="009554E3"/>
    <w:rsid w:val="00957A8D"/>
    <w:rsid w:val="0096371A"/>
    <w:rsid w:val="00963D8D"/>
    <w:rsid w:val="00965F01"/>
    <w:rsid w:val="00966599"/>
    <w:rsid w:val="009675E2"/>
    <w:rsid w:val="00970F20"/>
    <w:rsid w:val="00970F96"/>
    <w:rsid w:val="009717A3"/>
    <w:rsid w:val="00971DEB"/>
    <w:rsid w:val="00975253"/>
    <w:rsid w:val="00976941"/>
    <w:rsid w:val="00977283"/>
    <w:rsid w:val="00980D34"/>
    <w:rsid w:val="0098119A"/>
    <w:rsid w:val="00981223"/>
    <w:rsid w:val="009812A3"/>
    <w:rsid w:val="00981AC1"/>
    <w:rsid w:val="00981DB3"/>
    <w:rsid w:val="00982050"/>
    <w:rsid w:val="009833DD"/>
    <w:rsid w:val="00983926"/>
    <w:rsid w:val="00984496"/>
    <w:rsid w:val="00984BD0"/>
    <w:rsid w:val="0098797E"/>
    <w:rsid w:val="00990C96"/>
    <w:rsid w:val="00990E5B"/>
    <w:rsid w:val="0099295F"/>
    <w:rsid w:val="00992B0E"/>
    <w:rsid w:val="00992F7C"/>
    <w:rsid w:val="009935E2"/>
    <w:rsid w:val="00995A9D"/>
    <w:rsid w:val="00995D8D"/>
    <w:rsid w:val="009972BF"/>
    <w:rsid w:val="009A1BEE"/>
    <w:rsid w:val="009A33CE"/>
    <w:rsid w:val="009A34F6"/>
    <w:rsid w:val="009A5C98"/>
    <w:rsid w:val="009A69E3"/>
    <w:rsid w:val="009A6BB5"/>
    <w:rsid w:val="009A7464"/>
    <w:rsid w:val="009A7C63"/>
    <w:rsid w:val="009B0C6A"/>
    <w:rsid w:val="009B14F5"/>
    <w:rsid w:val="009B3969"/>
    <w:rsid w:val="009B4110"/>
    <w:rsid w:val="009B6A16"/>
    <w:rsid w:val="009C2024"/>
    <w:rsid w:val="009C326D"/>
    <w:rsid w:val="009C3664"/>
    <w:rsid w:val="009C4823"/>
    <w:rsid w:val="009C6F48"/>
    <w:rsid w:val="009C71B4"/>
    <w:rsid w:val="009C7F4E"/>
    <w:rsid w:val="009D0AD3"/>
    <w:rsid w:val="009D4CB4"/>
    <w:rsid w:val="009D65DD"/>
    <w:rsid w:val="009E06B9"/>
    <w:rsid w:val="009E20AE"/>
    <w:rsid w:val="009E2218"/>
    <w:rsid w:val="009E2576"/>
    <w:rsid w:val="009E3940"/>
    <w:rsid w:val="009E4AB9"/>
    <w:rsid w:val="009E504E"/>
    <w:rsid w:val="009E5710"/>
    <w:rsid w:val="009E58A7"/>
    <w:rsid w:val="009E6EB1"/>
    <w:rsid w:val="009E7216"/>
    <w:rsid w:val="009E7944"/>
    <w:rsid w:val="009F08E7"/>
    <w:rsid w:val="009F0917"/>
    <w:rsid w:val="009F0D7A"/>
    <w:rsid w:val="009F30D7"/>
    <w:rsid w:val="009F4283"/>
    <w:rsid w:val="009F42F4"/>
    <w:rsid w:val="009F73FA"/>
    <w:rsid w:val="00A02599"/>
    <w:rsid w:val="00A0364D"/>
    <w:rsid w:val="00A03A8C"/>
    <w:rsid w:val="00A03C51"/>
    <w:rsid w:val="00A04E12"/>
    <w:rsid w:val="00A11757"/>
    <w:rsid w:val="00A1200B"/>
    <w:rsid w:val="00A147F0"/>
    <w:rsid w:val="00A2071B"/>
    <w:rsid w:val="00A20A65"/>
    <w:rsid w:val="00A22768"/>
    <w:rsid w:val="00A23EB8"/>
    <w:rsid w:val="00A2452A"/>
    <w:rsid w:val="00A24E1C"/>
    <w:rsid w:val="00A26AC7"/>
    <w:rsid w:val="00A30B20"/>
    <w:rsid w:val="00A32CD1"/>
    <w:rsid w:val="00A32EF8"/>
    <w:rsid w:val="00A34D42"/>
    <w:rsid w:val="00A359AA"/>
    <w:rsid w:val="00A37B8B"/>
    <w:rsid w:val="00A37FB7"/>
    <w:rsid w:val="00A41B7A"/>
    <w:rsid w:val="00A4228C"/>
    <w:rsid w:val="00A429D5"/>
    <w:rsid w:val="00A4362E"/>
    <w:rsid w:val="00A43EE9"/>
    <w:rsid w:val="00A44D9F"/>
    <w:rsid w:val="00A47079"/>
    <w:rsid w:val="00A510A0"/>
    <w:rsid w:val="00A54F54"/>
    <w:rsid w:val="00A55415"/>
    <w:rsid w:val="00A56005"/>
    <w:rsid w:val="00A574D8"/>
    <w:rsid w:val="00A576AC"/>
    <w:rsid w:val="00A613F6"/>
    <w:rsid w:val="00A632F4"/>
    <w:rsid w:val="00A663EB"/>
    <w:rsid w:val="00A67BA6"/>
    <w:rsid w:val="00A67F67"/>
    <w:rsid w:val="00A71984"/>
    <w:rsid w:val="00A72064"/>
    <w:rsid w:val="00A72D12"/>
    <w:rsid w:val="00A73983"/>
    <w:rsid w:val="00A739D7"/>
    <w:rsid w:val="00A775CE"/>
    <w:rsid w:val="00A80AAB"/>
    <w:rsid w:val="00A823D8"/>
    <w:rsid w:val="00A82C4A"/>
    <w:rsid w:val="00A82F62"/>
    <w:rsid w:val="00A839AD"/>
    <w:rsid w:val="00A855C5"/>
    <w:rsid w:val="00A87523"/>
    <w:rsid w:val="00A90CA7"/>
    <w:rsid w:val="00A958FD"/>
    <w:rsid w:val="00A96696"/>
    <w:rsid w:val="00AA1030"/>
    <w:rsid w:val="00AA283B"/>
    <w:rsid w:val="00AA3257"/>
    <w:rsid w:val="00AA47C7"/>
    <w:rsid w:val="00AA4D33"/>
    <w:rsid w:val="00AA5DD9"/>
    <w:rsid w:val="00AA62E1"/>
    <w:rsid w:val="00AB0517"/>
    <w:rsid w:val="00AB4482"/>
    <w:rsid w:val="00AB6184"/>
    <w:rsid w:val="00AB7D23"/>
    <w:rsid w:val="00AC16C7"/>
    <w:rsid w:val="00AC18A4"/>
    <w:rsid w:val="00AC1D4D"/>
    <w:rsid w:val="00AC2311"/>
    <w:rsid w:val="00AC3D33"/>
    <w:rsid w:val="00AC3FFE"/>
    <w:rsid w:val="00AC54D9"/>
    <w:rsid w:val="00AC64B0"/>
    <w:rsid w:val="00AC6658"/>
    <w:rsid w:val="00AD0842"/>
    <w:rsid w:val="00AD2C4D"/>
    <w:rsid w:val="00AD37E9"/>
    <w:rsid w:val="00AD4E42"/>
    <w:rsid w:val="00AD5B76"/>
    <w:rsid w:val="00AD5EBC"/>
    <w:rsid w:val="00AD664F"/>
    <w:rsid w:val="00AD70B8"/>
    <w:rsid w:val="00AE01BD"/>
    <w:rsid w:val="00AE1E8B"/>
    <w:rsid w:val="00AE309C"/>
    <w:rsid w:val="00AE370F"/>
    <w:rsid w:val="00AE4B4B"/>
    <w:rsid w:val="00AE4C35"/>
    <w:rsid w:val="00AE5949"/>
    <w:rsid w:val="00AE70DA"/>
    <w:rsid w:val="00AE727A"/>
    <w:rsid w:val="00AF01F6"/>
    <w:rsid w:val="00AF0207"/>
    <w:rsid w:val="00AF0280"/>
    <w:rsid w:val="00AF0620"/>
    <w:rsid w:val="00AF2284"/>
    <w:rsid w:val="00AF3259"/>
    <w:rsid w:val="00AF3B7F"/>
    <w:rsid w:val="00AF49D7"/>
    <w:rsid w:val="00AF6CC5"/>
    <w:rsid w:val="00B00CB6"/>
    <w:rsid w:val="00B03AC7"/>
    <w:rsid w:val="00B044B5"/>
    <w:rsid w:val="00B04C8C"/>
    <w:rsid w:val="00B050E4"/>
    <w:rsid w:val="00B05A48"/>
    <w:rsid w:val="00B06471"/>
    <w:rsid w:val="00B12CDD"/>
    <w:rsid w:val="00B14000"/>
    <w:rsid w:val="00B15C93"/>
    <w:rsid w:val="00B20931"/>
    <w:rsid w:val="00B220E1"/>
    <w:rsid w:val="00B225DD"/>
    <w:rsid w:val="00B2536E"/>
    <w:rsid w:val="00B25909"/>
    <w:rsid w:val="00B26C6C"/>
    <w:rsid w:val="00B279BE"/>
    <w:rsid w:val="00B27B1C"/>
    <w:rsid w:val="00B27CC3"/>
    <w:rsid w:val="00B31864"/>
    <w:rsid w:val="00B36519"/>
    <w:rsid w:val="00B3723D"/>
    <w:rsid w:val="00B4018A"/>
    <w:rsid w:val="00B41855"/>
    <w:rsid w:val="00B42F3C"/>
    <w:rsid w:val="00B4345A"/>
    <w:rsid w:val="00B44692"/>
    <w:rsid w:val="00B4570B"/>
    <w:rsid w:val="00B4588D"/>
    <w:rsid w:val="00B461B9"/>
    <w:rsid w:val="00B47D5B"/>
    <w:rsid w:val="00B47E9F"/>
    <w:rsid w:val="00B5730F"/>
    <w:rsid w:val="00B6043C"/>
    <w:rsid w:val="00B609ED"/>
    <w:rsid w:val="00B60C84"/>
    <w:rsid w:val="00B62B64"/>
    <w:rsid w:val="00B6347D"/>
    <w:rsid w:val="00B64C31"/>
    <w:rsid w:val="00B6549C"/>
    <w:rsid w:val="00B71F46"/>
    <w:rsid w:val="00B755D1"/>
    <w:rsid w:val="00B75B16"/>
    <w:rsid w:val="00B769EF"/>
    <w:rsid w:val="00B76D10"/>
    <w:rsid w:val="00B7748C"/>
    <w:rsid w:val="00B77D85"/>
    <w:rsid w:val="00B828CC"/>
    <w:rsid w:val="00B82CFF"/>
    <w:rsid w:val="00B82F50"/>
    <w:rsid w:val="00B867C4"/>
    <w:rsid w:val="00B870DD"/>
    <w:rsid w:val="00B8731D"/>
    <w:rsid w:val="00B9104F"/>
    <w:rsid w:val="00B93E58"/>
    <w:rsid w:val="00B93E88"/>
    <w:rsid w:val="00B94734"/>
    <w:rsid w:val="00B96096"/>
    <w:rsid w:val="00B96528"/>
    <w:rsid w:val="00B965DE"/>
    <w:rsid w:val="00B96748"/>
    <w:rsid w:val="00B96F12"/>
    <w:rsid w:val="00B972C8"/>
    <w:rsid w:val="00BA0AAF"/>
    <w:rsid w:val="00BA1E58"/>
    <w:rsid w:val="00BA3270"/>
    <w:rsid w:val="00BA4021"/>
    <w:rsid w:val="00BA77F3"/>
    <w:rsid w:val="00BA7A85"/>
    <w:rsid w:val="00BA7E04"/>
    <w:rsid w:val="00BB073E"/>
    <w:rsid w:val="00BB0D89"/>
    <w:rsid w:val="00BB11ED"/>
    <w:rsid w:val="00BB17BE"/>
    <w:rsid w:val="00BB47A3"/>
    <w:rsid w:val="00BB5922"/>
    <w:rsid w:val="00BB5F2C"/>
    <w:rsid w:val="00BB6B0B"/>
    <w:rsid w:val="00BB6B53"/>
    <w:rsid w:val="00BB7B32"/>
    <w:rsid w:val="00BC0B5B"/>
    <w:rsid w:val="00BC1C23"/>
    <w:rsid w:val="00BC262B"/>
    <w:rsid w:val="00BC5C2B"/>
    <w:rsid w:val="00BC615A"/>
    <w:rsid w:val="00BC6E0E"/>
    <w:rsid w:val="00BC7516"/>
    <w:rsid w:val="00BD0050"/>
    <w:rsid w:val="00BD05BD"/>
    <w:rsid w:val="00BD079C"/>
    <w:rsid w:val="00BD1277"/>
    <w:rsid w:val="00BD17E3"/>
    <w:rsid w:val="00BD1842"/>
    <w:rsid w:val="00BD39F0"/>
    <w:rsid w:val="00BD4173"/>
    <w:rsid w:val="00BD44B6"/>
    <w:rsid w:val="00BD4CCD"/>
    <w:rsid w:val="00BD74C5"/>
    <w:rsid w:val="00BD7822"/>
    <w:rsid w:val="00BD7947"/>
    <w:rsid w:val="00BE0B63"/>
    <w:rsid w:val="00BE1A13"/>
    <w:rsid w:val="00BE1F4B"/>
    <w:rsid w:val="00BE216F"/>
    <w:rsid w:val="00BE4C96"/>
    <w:rsid w:val="00BE54AB"/>
    <w:rsid w:val="00BE6206"/>
    <w:rsid w:val="00BE641A"/>
    <w:rsid w:val="00BE70D9"/>
    <w:rsid w:val="00BE7BE4"/>
    <w:rsid w:val="00BF1F4A"/>
    <w:rsid w:val="00BF205A"/>
    <w:rsid w:val="00BF243C"/>
    <w:rsid w:val="00BF2846"/>
    <w:rsid w:val="00BF5C18"/>
    <w:rsid w:val="00C00119"/>
    <w:rsid w:val="00C00E91"/>
    <w:rsid w:val="00C01331"/>
    <w:rsid w:val="00C02241"/>
    <w:rsid w:val="00C022F8"/>
    <w:rsid w:val="00C03344"/>
    <w:rsid w:val="00C0348D"/>
    <w:rsid w:val="00C048A7"/>
    <w:rsid w:val="00C054DA"/>
    <w:rsid w:val="00C06289"/>
    <w:rsid w:val="00C06F9F"/>
    <w:rsid w:val="00C07E39"/>
    <w:rsid w:val="00C10573"/>
    <w:rsid w:val="00C10905"/>
    <w:rsid w:val="00C157BF"/>
    <w:rsid w:val="00C167B9"/>
    <w:rsid w:val="00C1731F"/>
    <w:rsid w:val="00C175FE"/>
    <w:rsid w:val="00C200C6"/>
    <w:rsid w:val="00C21B6B"/>
    <w:rsid w:val="00C2239F"/>
    <w:rsid w:val="00C2244A"/>
    <w:rsid w:val="00C224BC"/>
    <w:rsid w:val="00C2391D"/>
    <w:rsid w:val="00C24F94"/>
    <w:rsid w:val="00C2613C"/>
    <w:rsid w:val="00C26CD7"/>
    <w:rsid w:val="00C27925"/>
    <w:rsid w:val="00C30142"/>
    <w:rsid w:val="00C3097E"/>
    <w:rsid w:val="00C33843"/>
    <w:rsid w:val="00C347FF"/>
    <w:rsid w:val="00C35DE6"/>
    <w:rsid w:val="00C3661C"/>
    <w:rsid w:val="00C3723B"/>
    <w:rsid w:val="00C3783D"/>
    <w:rsid w:val="00C37E58"/>
    <w:rsid w:val="00C40D71"/>
    <w:rsid w:val="00C41C69"/>
    <w:rsid w:val="00C42405"/>
    <w:rsid w:val="00C428CC"/>
    <w:rsid w:val="00C42C85"/>
    <w:rsid w:val="00C43CE1"/>
    <w:rsid w:val="00C45F9A"/>
    <w:rsid w:val="00C46196"/>
    <w:rsid w:val="00C46DDC"/>
    <w:rsid w:val="00C51909"/>
    <w:rsid w:val="00C523CC"/>
    <w:rsid w:val="00C52B90"/>
    <w:rsid w:val="00C53D5E"/>
    <w:rsid w:val="00C558E2"/>
    <w:rsid w:val="00C55D27"/>
    <w:rsid w:val="00C57102"/>
    <w:rsid w:val="00C5736C"/>
    <w:rsid w:val="00C6000D"/>
    <w:rsid w:val="00C611ED"/>
    <w:rsid w:val="00C65448"/>
    <w:rsid w:val="00C67109"/>
    <w:rsid w:val="00C6798C"/>
    <w:rsid w:val="00C67C67"/>
    <w:rsid w:val="00C7064E"/>
    <w:rsid w:val="00C716D6"/>
    <w:rsid w:val="00C73FDA"/>
    <w:rsid w:val="00C7521B"/>
    <w:rsid w:val="00C75D79"/>
    <w:rsid w:val="00C77BB5"/>
    <w:rsid w:val="00C802EE"/>
    <w:rsid w:val="00C80D0D"/>
    <w:rsid w:val="00C80D22"/>
    <w:rsid w:val="00C82A31"/>
    <w:rsid w:val="00C83160"/>
    <w:rsid w:val="00C83B09"/>
    <w:rsid w:val="00C85065"/>
    <w:rsid w:val="00C854D2"/>
    <w:rsid w:val="00C858CA"/>
    <w:rsid w:val="00C85A73"/>
    <w:rsid w:val="00C86374"/>
    <w:rsid w:val="00C90A6A"/>
    <w:rsid w:val="00C90A87"/>
    <w:rsid w:val="00C94DCD"/>
    <w:rsid w:val="00C951F5"/>
    <w:rsid w:val="00C95477"/>
    <w:rsid w:val="00C976FC"/>
    <w:rsid w:val="00CA0637"/>
    <w:rsid w:val="00CA08D1"/>
    <w:rsid w:val="00CA297E"/>
    <w:rsid w:val="00CA37DD"/>
    <w:rsid w:val="00CA3C13"/>
    <w:rsid w:val="00CB0C28"/>
    <w:rsid w:val="00CB2475"/>
    <w:rsid w:val="00CB60DE"/>
    <w:rsid w:val="00CB6C88"/>
    <w:rsid w:val="00CB6DFC"/>
    <w:rsid w:val="00CC1D45"/>
    <w:rsid w:val="00CC27AA"/>
    <w:rsid w:val="00CC2A39"/>
    <w:rsid w:val="00CC3221"/>
    <w:rsid w:val="00CC38B9"/>
    <w:rsid w:val="00CC3AF4"/>
    <w:rsid w:val="00CC4C7E"/>
    <w:rsid w:val="00CC5F93"/>
    <w:rsid w:val="00CC7DC8"/>
    <w:rsid w:val="00CD01B4"/>
    <w:rsid w:val="00CD0885"/>
    <w:rsid w:val="00CD0FFC"/>
    <w:rsid w:val="00CD2D9A"/>
    <w:rsid w:val="00CD2EF6"/>
    <w:rsid w:val="00CD3B8B"/>
    <w:rsid w:val="00CD6F12"/>
    <w:rsid w:val="00CD74D5"/>
    <w:rsid w:val="00CD79BC"/>
    <w:rsid w:val="00CE09DA"/>
    <w:rsid w:val="00CE2001"/>
    <w:rsid w:val="00CE2642"/>
    <w:rsid w:val="00CE33A0"/>
    <w:rsid w:val="00CE38AC"/>
    <w:rsid w:val="00CE3A08"/>
    <w:rsid w:val="00CE7E7A"/>
    <w:rsid w:val="00CF269C"/>
    <w:rsid w:val="00CF46D4"/>
    <w:rsid w:val="00CF496E"/>
    <w:rsid w:val="00CF5E0E"/>
    <w:rsid w:val="00CF690A"/>
    <w:rsid w:val="00CF7525"/>
    <w:rsid w:val="00CF7698"/>
    <w:rsid w:val="00D01986"/>
    <w:rsid w:val="00D01C09"/>
    <w:rsid w:val="00D040C7"/>
    <w:rsid w:val="00D04E4B"/>
    <w:rsid w:val="00D05561"/>
    <w:rsid w:val="00D0696B"/>
    <w:rsid w:val="00D07E3C"/>
    <w:rsid w:val="00D1044D"/>
    <w:rsid w:val="00D1273B"/>
    <w:rsid w:val="00D1358B"/>
    <w:rsid w:val="00D13BC2"/>
    <w:rsid w:val="00D17064"/>
    <w:rsid w:val="00D17689"/>
    <w:rsid w:val="00D209F4"/>
    <w:rsid w:val="00D20C66"/>
    <w:rsid w:val="00D210DD"/>
    <w:rsid w:val="00D211B2"/>
    <w:rsid w:val="00D233DF"/>
    <w:rsid w:val="00D23594"/>
    <w:rsid w:val="00D2704E"/>
    <w:rsid w:val="00D30904"/>
    <w:rsid w:val="00D3092B"/>
    <w:rsid w:val="00D32493"/>
    <w:rsid w:val="00D3261A"/>
    <w:rsid w:val="00D338DA"/>
    <w:rsid w:val="00D33E5B"/>
    <w:rsid w:val="00D359F4"/>
    <w:rsid w:val="00D35C6A"/>
    <w:rsid w:val="00D37EB8"/>
    <w:rsid w:val="00D448FE"/>
    <w:rsid w:val="00D44A11"/>
    <w:rsid w:val="00D46D78"/>
    <w:rsid w:val="00D50F85"/>
    <w:rsid w:val="00D51104"/>
    <w:rsid w:val="00D51E57"/>
    <w:rsid w:val="00D536DD"/>
    <w:rsid w:val="00D545B5"/>
    <w:rsid w:val="00D56009"/>
    <w:rsid w:val="00D5659B"/>
    <w:rsid w:val="00D56651"/>
    <w:rsid w:val="00D56C7A"/>
    <w:rsid w:val="00D57750"/>
    <w:rsid w:val="00D602DD"/>
    <w:rsid w:val="00D6145A"/>
    <w:rsid w:val="00D61B07"/>
    <w:rsid w:val="00D62EE9"/>
    <w:rsid w:val="00D65535"/>
    <w:rsid w:val="00D6702C"/>
    <w:rsid w:val="00D72300"/>
    <w:rsid w:val="00D731C5"/>
    <w:rsid w:val="00D74FA7"/>
    <w:rsid w:val="00D756F0"/>
    <w:rsid w:val="00D75C6F"/>
    <w:rsid w:val="00D82956"/>
    <w:rsid w:val="00D82A8A"/>
    <w:rsid w:val="00D84760"/>
    <w:rsid w:val="00D859DF"/>
    <w:rsid w:val="00D86890"/>
    <w:rsid w:val="00D86BB0"/>
    <w:rsid w:val="00D90B7B"/>
    <w:rsid w:val="00D90F6F"/>
    <w:rsid w:val="00D928FD"/>
    <w:rsid w:val="00D9442A"/>
    <w:rsid w:val="00D94EAE"/>
    <w:rsid w:val="00D96BD1"/>
    <w:rsid w:val="00D97531"/>
    <w:rsid w:val="00D97ECE"/>
    <w:rsid w:val="00DA12BE"/>
    <w:rsid w:val="00DA3120"/>
    <w:rsid w:val="00DA45AD"/>
    <w:rsid w:val="00DA6AD8"/>
    <w:rsid w:val="00DA7DE3"/>
    <w:rsid w:val="00DB040D"/>
    <w:rsid w:val="00DB1E9C"/>
    <w:rsid w:val="00DB2A3B"/>
    <w:rsid w:val="00DB2E9E"/>
    <w:rsid w:val="00DB3401"/>
    <w:rsid w:val="00DB4777"/>
    <w:rsid w:val="00DB4F2F"/>
    <w:rsid w:val="00DB53DA"/>
    <w:rsid w:val="00DB553C"/>
    <w:rsid w:val="00DB5588"/>
    <w:rsid w:val="00DB564D"/>
    <w:rsid w:val="00DC15D6"/>
    <w:rsid w:val="00DC1768"/>
    <w:rsid w:val="00DC22AD"/>
    <w:rsid w:val="00DC2508"/>
    <w:rsid w:val="00DC265C"/>
    <w:rsid w:val="00DC2C86"/>
    <w:rsid w:val="00DC4C71"/>
    <w:rsid w:val="00DC5D97"/>
    <w:rsid w:val="00DC70F8"/>
    <w:rsid w:val="00DD2B15"/>
    <w:rsid w:val="00DD34CA"/>
    <w:rsid w:val="00DD6819"/>
    <w:rsid w:val="00DD6F45"/>
    <w:rsid w:val="00DE042B"/>
    <w:rsid w:val="00DE197F"/>
    <w:rsid w:val="00DE41D1"/>
    <w:rsid w:val="00DE56AE"/>
    <w:rsid w:val="00DE5F7A"/>
    <w:rsid w:val="00DE6D82"/>
    <w:rsid w:val="00DE7A03"/>
    <w:rsid w:val="00DF0558"/>
    <w:rsid w:val="00DF056A"/>
    <w:rsid w:val="00DF0EB4"/>
    <w:rsid w:val="00DF2122"/>
    <w:rsid w:val="00DF2B88"/>
    <w:rsid w:val="00DF5ECE"/>
    <w:rsid w:val="00DF61E2"/>
    <w:rsid w:val="00DF6762"/>
    <w:rsid w:val="00DF7BAF"/>
    <w:rsid w:val="00E011B2"/>
    <w:rsid w:val="00E0268E"/>
    <w:rsid w:val="00E02CC6"/>
    <w:rsid w:val="00E0411D"/>
    <w:rsid w:val="00E0641E"/>
    <w:rsid w:val="00E10486"/>
    <w:rsid w:val="00E12AC0"/>
    <w:rsid w:val="00E1322F"/>
    <w:rsid w:val="00E13350"/>
    <w:rsid w:val="00E16B7F"/>
    <w:rsid w:val="00E1770F"/>
    <w:rsid w:val="00E17D39"/>
    <w:rsid w:val="00E22B5E"/>
    <w:rsid w:val="00E2492A"/>
    <w:rsid w:val="00E25089"/>
    <w:rsid w:val="00E26B16"/>
    <w:rsid w:val="00E270B2"/>
    <w:rsid w:val="00E27EDC"/>
    <w:rsid w:val="00E3126C"/>
    <w:rsid w:val="00E31461"/>
    <w:rsid w:val="00E3172F"/>
    <w:rsid w:val="00E3379D"/>
    <w:rsid w:val="00E33DE9"/>
    <w:rsid w:val="00E3443F"/>
    <w:rsid w:val="00E3511D"/>
    <w:rsid w:val="00E400CE"/>
    <w:rsid w:val="00E41E3F"/>
    <w:rsid w:val="00E44100"/>
    <w:rsid w:val="00E44F17"/>
    <w:rsid w:val="00E45EC6"/>
    <w:rsid w:val="00E4777A"/>
    <w:rsid w:val="00E50729"/>
    <w:rsid w:val="00E50D42"/>
    <w:rsid w:val="00E50F69"/>
    <w:rsid w:val="00E5130B"/>
    <w:rsid w:val="00E51706"/>
    <w:rsid w:val="00E51755"/>
    <w:rsid w:val="00E52058"/>
    <w:rsid w:val="00E52E81"/>
    <w:rsid w:val="00E53E27"/>
    <w:rsid w:val="00E54EF3"/>
    <w:rsid w:val="00E57071"/>
    <w:rsid w:val="00E57420"/>
    <w:rsid w:val="00E57B05"/>
    <w:rsid w:val="00E60EE3"/>
    <w:rsid w:val="00E61717"/>
    <w:rsid w:val="00E61E3B"/>
    <w:rsid w:val="00E61EC6"/>
    <w:rsid w:val="00E61FAA"/>
    <w:rsid w:val="00E623B5"/>
    <w:rsid w:val="00E62D14"/>
    <w:rsid w:val="00E63B2D"/>
    <w:rsid w:val="00E657F2"/>
    <w:rsid w:val="00E66D7B"/>
    <w:rsid w:val="00E703BB"/>
    <w:rsid w:val="00E7063C"/>
    <w:rsid w:val="00E70F85"/>
    <w:rsid w:val="00E719A4"/>
    <w:rsid w:val="00E73489"/>
    <w:rsid w:val="00E75559"/>
    <w:rsid w:val="00E75D8B"/>
    <w:rsid w:val="00E76628"/>
    <w:rsid w:val="00E80522"/>
    <w:rsid w:val="00E80B6B"/>
    <w:rsid w:val="00E810B0"/>
    <w:rsid w:val="00E8130A"/>
    <w:rsid w:val="00E81505"/>
    <w:rsid w:val="00E8333F"/>
    <w:rsid w:val="00E83464"/>
    <w:rsid w:val="00E83635"/>
    <w:rsid w:val="00E87448"/>
    <w:rsid w:val="00E879EB"/>
    <w:rsid w:val="00E87D96"/>
    <w:rsid w:val="00E931D6"/>
    <w:rsid w:val="00E9353D"/>
    <w:rsid w:val="00E948CA"/>
    <w:rsid w:val="00E94DA1"/>
    <w:rsid w:val="00E97F87"/>
    <w:rsid w:val="00EA14BA"/>
    <w:rsid w:val="00EA1876"/>
    <w:rsid w:val="00EA1FEE"/>
    <w:rsid w:val="00EA274C"/>
    <w:rsid w:val="00EA2FD4"/>
    <w:rsid w:val="00EA4DF7"/>
    <w:rsid w:val="00EA53C8"/>
    <w:rsid w:val="00EA6724"/>
    <w:rsid w:val="00EA68D5"/>
    <w:rsid w:val="00EA6F89"/>
    <w:rsid w:val="00EA70FA"/>
    <w:rsid w:val="00EB1231"/>
    <w:rsid w:val="00EB4C2C"/>
    <w:rsid w:val="00EB7078"/>
    <w:rsid w:val="00EB718B"/>
    <w:rsid w:val="00EC01CF"/>
    <w:rsid w:val="00EC1133"/>
    <w:rsid w:val="00EC1C19"/>
    <w:rsid w:val="00EC293E"/>
    <w:rsid w:val="00EC3FEF"/>
    <w:rsid w:val="00EC5B61"/>
    <w:rsid w:val="00EC7C87"/>
    <w:rsid w:val="00EC7EE0"/>
    <w:rsid w:val="00ED10C5"/>
    <w:rsid w:val="00ED12F0"/>
    <w:rsid w:val="00ED1C78"/>
    <w:rsid w:val="00ED29E5"/>
    <w:rsid w:val="00ED4AB8"/>
    <w:rsid w:val="00ED6524"/>
    <w:rsid w:val="00EE06C6"/>
    <w:rsid w:val="00EE08EC"/>
    <w:rsid w:val="00EE1198"/>
    <w:rsid w:val="00EE289F"/>
    <w:rsid w:val="00EE2C93"/>
    <w:rsid w:val="00EE32C5"/>
    <w:rsid w:val="00EE433B"/>
    <w:rsid w:val="00EE51EF"/>
    <w:rsid w:val="00EE751D"/>
    <w:rsid w:val="00EE7829"/>
    <w:rsid w:val="00EF102C"/>
    <w:rsid w:val="00EF2348"/>
    <w:rsid w:val="00EF3665"/>
    <w:rsid w:val="00EF628D"/>
    <w:rsid w:val="00F00F5B"/>
    <w:rsid w:val="00F01141"/>
    <w:rsid w:val="00F01867"/>
    <w:rsid w:val="00F02C97"/>
    <w:rsid w:val="00F02F15"/>
    <w:rsid w:val="00F037CC"/>
    <w:rsid w:val="00F04158"/>
    <w:rsid w:val="00F061F5"/>
    <w:rsid w:val="00F0708A"/>
    <w:rsid w:val="00F1087D"/>
    <w:rsid w:val="00F15727"/>
    <w:rsid w:val="00F15976"/>
    <w:rsid w:val="00F16B02"/>
    <w:rsid w:val="00F202DD"/>
    <w:rsid w:val="00F223BC"/>
    <w:rsid w:val="00F24527"/>
    <w:rsid w:val="00F24B90"/>
    <w:rsid w:val="00F27141"/>
    <w:rsid w:val="00F32286"/>
    <w:rsid w:val="00F323E6"/>
    <w:rsid w:val="00F32C13"/>
    <w:rsid w:val="00F33092"/>
    <w:rsid w:val="00F36983"/>
    <w:rsid w:val="00F4034F"/>
    <w:rsid w:val="00F421C9"/>
    <w:rsid w:val="00F45100"/>
    <w:rsid w:val="00F500A7"/>
    <w:rsid w:val="00F5085D"/>
    <w:rsid w:val="00F509C5"/>
    <w:rsid w:val="00F51363"/>
    <w:rsid w:val="00F538E2"/>
    <w:rsid w:val="00F53BED"/>
    <w:rsid w:val="00F550C9"/>
    <w:rsid w:val="00F55373"/>
    <w:rsid w:val="00F55DA0"/>
    <w:rsid w:val="00F56E27"/>
    <w:rsid w:val="00F61517"/>
    <w:rsid w:val="00F64956"/>
    <w:rsid w:val="00F65155"/>
    <w:rsid w:val="00F73D38"/>
    <w:rsid w:val="00F7440C"/>
    <w:rsid w:val="00F773D3"/>
    <w:rsid w:val="00F7745A"/>
    <w:rsid w:val="00F77A92"/>
    <w:rsid w:val="00F77AD6"/>
    <w:rsid w:val="00F80491"/>
    <w:rsid w:val="00F80EB5"/>
    <w:rsid w:val="00F8339C"/>
    <w:rsid w:val="00F84778"/>
    <w:rsid w:val="00F85478"/>
    <w:rsid w:val="00F85541"/>
    <w:rsid w:val="00F90F04"/>
    <w:rsid w:val="00F916E1"/>
    <w:rsid w:val="00F9175A"/>
    <w:rsid w:val="00F91FFD"/>
    <w:rsid w:val="00F93B28"/>
    <w:rsid w:val="00F9422A"/>
    <w:rsid w:val="00FA0781"/>
    <w:rsid w:val="00FA12E4"/>
    <w:rsid w:val="00FA243B"/>
    <w:rsid w:val="00FA2A0C"/>
    <w:rsid w:val="00FA32F9"/>
    <w:rsid w:val="00FA3AE4"/>
    <w:rsid w:val="00FA53F1"/>
    <w:rsid w:val="00FA6A93"/>
    <w:rsid w:val="00FB2E34"/>
    <w:rsid w:val="00FB3B89"/>
    <w:rsid w:val="00FB4D4F"/>
    <w:rsid w:val="00FB4E47"/>
    <w:rsid w:val="00FB5847"/>
    <w:rsid w:val="00FB5C3B"/>
    <w:rsid w:val="00FB64C4"/>
    <w:rsid w:val="00FB667C"/>
    <w:rsid w:val="00FB6EB2"/>
    <w:rsid w:val="00FC039C"/>
    <w:rsid w:val="00FC0648"/>
    <w:rsid w:val="00FC096A"/>
    <w:rsid w:val="00FC0F85"/>
    <w:rsid w:val="00FC1091"/>
    <w:rsid w:val="00FC13B5"/>
    <w:rsid w:val="00FC1DF7"/>
    <w:rsid w:val="00FC3407"/>
    <w:rsid w:val="00FC3723"/>
    <w:rsid w:val="00FC4326"/>
    <w:rsid w:val="00FC49F5"/>
    <w:rsid w:val="00FC6B3C"/>
    <w:rsid w:val="00FD2866"/>
    <w:rsid w:val="00FD5267"/>
    <w:rsid w:val="00FD5655"/>
    <w:rsid w:val="00FD6C95"/>
    <w:rsid w:val="00FE01DF"/>
    <w:rsid w:val="00FE1760"/>
    <w:rsid w:val="00FE1F3E"/>
    <w:rsid w:val="00FE3061"/>
    <w:rsid w:val="00FE5FF7"/>
    <w:rsid w:val="00FE6B90"/>
    <w:rsid w:val="00FE7A9E"/>
    <w:rsid w:val="00FF303E"/>
    <w:rsid w:val="00FF3357"/>
    <w:rsid w:val="00FF44A0"/>
    <w:rsid w:val="00FF4F22"/>
    <w:rsid w:val="00FF5E0F"/>
    <w:rsid w:val="00FF6D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3EF057"/>
  <w15:chartTrackingRefBased/>
  <w15:docId w15:val="{2DC5608E-482F-43C4-8540-BF3AE3F10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BC5C2B"/>
    <w:pPr>
      <w:tabs>
        <w:tab w:val="right" w:pos="8640"/>
      </w:tabs>
      <w:spacing w:line="480" w:lineRule="auto"/>
      <w:ind w:firstLine="720"/>
    </w:pPr>
    <w:rPr>
      <w:rFonts w:ascii="Times New Roman" w:eastAsia="SimSun" w:hAnsi="Times New Roman" w:cs="Times New Roman"/>
      <w:lang w:val="x-none" w:eastAsia="x-none"/>
    </w:rPr>
  </w:style>
  <w:style w:type="character" w:customStyle="1" w:styleId="BodyTextChar">
    <w:name w:val="Body Text Char"/>
    <w:basedOn w:val="DefaultParagraphFont"/>
    <w:link w:val="BodyText"/>
    <w:rsid w:val="00BC5C2B"/>
    <w:rPr>
      <w:rFonts w:ascii="Times New Roman" w:eastAsia="SimSun" w:hAnsi="Times New Roman" w:cs="Times New Roman"/>
      <w:lang w:val="x-none" w:eastAsia="x-none"/>
    </w:rPr>
  </w:style>
  <w:style w:type="paragraph" w:customStyle="1" w:styleId="EndNoteBibliographyTitle">
    <w:name w:val="EndNote Bibliography Title"/>
    <w:basedOn w:val="Normal"/>
    <w:link w:val="EndNoteBibliographyTitleChar"/>
    <w:rsid w:val="000152EC"/>
    <w:pPr>
      <w:jc w:val="center"/>
    </w:pPr>
    <w:rPr>
      <w:rFonts w:ascii="Times New Roman" w:hAnsi="Times New Roman" w:cs="Times New Roman"/>
    </w:rPr>
  </w:style>
  <w:style w:type="character" w:customStyle="1" w:styleId="EndNoteBibliographyTitleChar">
    <w:name w:val="EndNote Bibliography Title Char"/>
    <w:basedOn w:val="DefaultParagraphFont"/>
    <w:link w:val="EndNoteBibliographyTitle"/>
    <w:rsid w:val="000152EC"/>
    <w:rPr>
      <w:rFonts w:ascii="Times New Roman" w:hAnsi="Times New Roman" w:cs="Times New Roman"/>
    </w:rPr>
  </w:style>
  <w:style w:type="paragraph" w:customStyle="1" w:styleId="EndNoteBibliography">
    <w:name w:val="EndNote Bibliography"/>
    <w:basedOn w:val="Normal"/>
    <w:link w:val="EndNoteBibliographyChar"/>
    <w:rsid w:val="000152EC"/>
    <w:pPr>
      <w:spacing w:line="480" w:lineRule="auto"/>
    </w:pPr>
    <w:rPr>
      <w:rFonts w:ascii="Times New Roman" w:hAnsi="Times New Roman" w:cs="Times New Roman"/>
    </w:rPr>
  </w:style>
  <w:style w:type="character" w:customStyle="1" w:styleId="EndNoteBibliographyChar">
    <w:name w:val="EndNote Bibliography Char"/>
    <w:basedOn w:val="DefaultParagraphFont"/>
    <w:link w:val="EndNoteBibliography"/>
    <w:rsid w:val="000152EC"/>
    <w:rPr>
      <w:rFonts w:ascii="Times New Roman" w:hAnsi="Times New Roman" w:cs="Times New Roman"/>
    </w:rPr>
  </w:style>
  <w:style w:type="character" w:styleId="Hyperlink">
    <w:name w:val="Hyperlink"/>
    <w:basedOn w:val="DefaultParagraphFont"/>
    <w:uiPriority w:val="99"/>
    <w:unhideWhenUsed/>
    <w:rsid w:val="000152EC"/>
    <w:rPr>
      <w:color w:val="0563C1" w:themeColor="hyperlink"/>
      <w:u w:val="single"/>
    </w:rPr>
  </w:style>
  <w:style w:type="character" w:styleId="UnresolvedMention">
    <w:name w:val="Unresolved Mention"/>
    <w:basedOn w:val="DefaultParagraphFont"/>
    <w:uiPriority w:val="99"/>
    <w:semiHidden/>
    <w:unhideWhenUsed/>
    <w:rsid w:val="000152EC"/>
    <w:rPr>
      <w:color w:val="605E5C"/>
      <w:shd w:val="clear" w:color="auto" w:fill="E1DFDD"/>
    </w:rPr>
  </w:style>
  <w:style w:type="paragraph" w:styleId="Header">
    <w:name w:val="header"/>
    <w:basedOn w:val="Normal"/>
    <w:link w:val="HeaderChar"/>
    <w:uiPriority w:val="99"/>
    <w:unhideWhenUsed/>
    <w:rsid w:val="00302944"/>
    <w:pPr>
      <w:tabs>
        <w:tab w:val="center" w:pos="4680"/>
        <w:tab w:val="right" w:pos="9360"/>
      </w:tabs>
    </w:pPr>
  </w:style>
  <w:style w:type="character" w:customStyle="1" w:styleId="HeaderChar">
    <w:name w:val="Header Char"/>
    <w:basedOn w:val="DefaultParagraphFont"/>
    <w:link w:val="Header"/>
    <w:uiPriority w:val="99"/>
    <w:rsid w:val="00302944"/>
  </w:style>
  <w:style w:type="character" w:styleId="PageNumber">
    <w:name w:val="page number"/>
    <w:basedOn w:val="DefaultParagraphFont"/>
    <w:uiPriority w:val="99"/>
    <w:semiHidden/>
    <w:unhideWhenUsed/>
    <w:rsid w:val="00302944"/>
  </w:style>
  <w:style w:type="paragraph" w:styleId="Footer">
    <w:name w:val="footer"/>
    <w:basedOn w:val="Normal"/>
    <w:link w:val="FooterChar"/>
    <w:uiPriority w:val="99"/>
    <w:unhideWhenUsed/>
    <w:rsid w:val="00302944"/>
    <w:pPr>
      <w:tabs>
        <w:tab w:val="center" w:pos="4680"/>
        <w:tab w:val="right" w:pos="9360"/>
      </w:tabs>
    </w:pPr>
  </w:style>
  <w:style w:type="character" w:customStyle="1" w:styleId="FooterChar">
    <w:name w:val="Footer Char"/>
    <w:basedOn w:val="DefaultParagraphFont"/>
    <w:link w:val="Footer"/>
    <w:uiPriority w:val="99"/>
    <w:rsid w:val="00302944"/>
  </w:style>
  <w:style w:type="character" w:styleId="CommentReference">
    <w:name w:val="annotation reference"/>
    <w:basedOn w:val="DefaultParagraphFont"/>
    <w:uiPriority w:val="99"/>
    <w:semiHidden/>
    <w:unhideWhenUsed/>
    <w:rsid w:val="000360B4"/>
    <w:rPr>
      <w:sz w:val="16"/>
      <w:szCs w:val="16"/>
    </w:rPr>
  </w:style>
  <w:style w:type="paragraph" w:styleId="CommentText">
    <w:name w:val="annotation text"/>
    <w:basedOn w:val="Normal"/>
    <w:link w:val="CommentTextChar"/>
    <w:uiPriority w:val="99"/>
    <w:semiHidden/>
    <w:unhideWhenUsed/>
    <w:rsid w:val="000360B4"/>
    <w:rPr>
      <w:sz w:val="20"/>
      <w:szCs w:val="20"/>
    </w:rPr>
  </w:style>
  <w:style w:type="character" w:customStyle="1" w:styleId="CommentTextChar">
    <w:name w:val="Comment Text Char"/>
    <w:basedOn w:val="DefaultParagraphFont"/>
    <w:link w:val="CommentText"/>
    <w:uiPriority w:val="99"/>
    <w:semiHidden/>
    <w:rsid w:val="000360B4"/>
    <w:rPr>
      <w:sz w:val="20"/>
      <w:szCs w:val="20"/>
    </w:rPr>
  </w:style>
  <w:style w:type="paragraph" w:styleId="CommentSubject">
    <w:name w:val="annotation subject"/>
    <w:basedOn w:val="CommentText"/>
    <w:next w:val="CommentText"/>
    <w:link w:val="CommentSubjectChar"/>
    <w:uiPriority w:val="99"/>
    <w:semiHidden/>
    <w:unhideWhenUsed/>
    <w:rsid w:val="00CD6F12"/>
    <w:rPr>
      <w:b/>
      <w:bCs/>
    </w:rPr>
  </w:style>
  <w:style w:type="character" w:customStyle="1" w:styleId="CommentSubjectChar">
    <w:name w:val="Comment Subject Char"/>
    <w:basedOn w:val="CommentTextChar"/>
    <w:link w:val="CommentSubject"/>
    <w:uiPriority w:val="99"/>
    <w:semiHidden/>
    <w:rsid w:val="00CD6F12"/>
    <w:rPr>
      <w:b/>
      <w:bCs/>
      <w:sz w:val="20"/>
      <w:szCs w:val="20"/>
    </w:rPr>
  </w:style>
  <w:style w:type="character" w:styleId="FollowedHyperlink">
    <w:name w:val="FollowedHyperlink"/>
    <w:basedOn w:val="DefaultParagraphFont"/>
    <w:uiPriority w:val="99"/>
    <w:semiHidden/>
    <w:unhideWhenUsed/>
    <w:rsid w:val="00AE727A"/>
    <w:rPr>
      <w:color w:val="954F72" w:themeColor="followedHyperlink"/>
      <w:u w:val="single"/>
    </w:rPr>
  </w:style>
  <w:style w:type="paragraph" w:styleId="NormalWeb">
    <w:name w:val="Normal (Web)"/>
    <w:basedOn w:val="Normal"/>
    <w:uiPriority w:val="99"/>
    <w:unhideWhenUsed/>
    <w:rsid w:val="00EE51EF"/>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BB0D89"/>
    <w:pPr>
      <w:ind w:left="720"/>
      <w:contextualSpacing/>
    </w:pPr>
  </w:style>
  <w:style w:type="character" w:styleId="Emphasis">
    <w:name w:val="Emphasis"/>
    <w:basedOn w:val="DefaultParagraphFont"/>
    <w:uiPriority w:val="20"/>
    <w:qFormat/>
    <w:rsid w:val="00B94734"/>
    <w:rPr>
      <w:i/>
      <w:iCs/>
    </w:rPr>
  </w:style>
  <w:style w:type="paragraph" w:styleId="Revision">
    <w:name w:val="Revision"/>
    <w:hidden/>
    <w:uiPriority w:val="99"/>
    <w:semiHidden/>
    <w:rsid w:val="002719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717758">
      <w:bodyDiv w:val="1"/>
      <w:marLeft w:val="0"/>
      <w:marRight w:val="0"/>
      <w:marTop w:val="0"/>
      <w:marBottom w:val="0"/>
      <w:divBdr>
        <w:top w:val="none" w:sz="0" w:space="0" w:color="auto"/>
        <w:left w:val="none" w:sz="0" w:space="0" w:color="auto"/>
        <w:bottom w:val="none" w:sz="0" w:space="0" w:color="auto"/>
        <w:right w:val="none" w:sz="0" w:space="0" w:color="auto"/>
      </w:divBdr>
      <w:divsChild>
        <w:div w:id="1366831534">
          <w:marLeft w:val="547"/>
          <w:marRight w:val="0"/>
          <w:marTop w:val="154"/>
          <w:marBottom w:val="0"/>
          <w:divBdr>
            <w:top w:val="none" w:sz="0" w:space="0" w:color="auto"/>
            <w:left w:val="none" w:sz="0" w:space="0" w:color="auto"/>
            <w:bottom w:val="none" w:sz="0" w:space="0" w:color="auto"/>
            <w:right w:val="none" w:sz="0" w:space="0" w:color="auto"/>
          </w:divBdr>
        </w:div>
      </w:divsChild>
    </w:div>
    <w:div w:id="1322124110">
      <w:bodyDiv w:val="1"/>
      <w:marLeft w:val="0"/>
      <w:marRight w:val="0"/>
      <w:marTop w:val="0"/>
      <w:marBottom w:val="0"/>
      <w:divBdr>
        <w:top w:val="none" w:sz="0" w:space="0" w:color="auto"/>
        <w:left w:val="none" w:sz="0" w:space="0" w:color="auto"/>
        <w:bottom w:val="none" w:sz="0" w:space="0" w:color="auto"/>
        <w:right w:val="none" w:sz="0" w:space="0" w:color="auto"/>
      </w:divBdr>
      <w:divsChild>
        <w:div w:id="111825907">
          <w:marLeft w:val="0"/>
          <w:marRight w:val="0"/>
          <w:marTop w:val="0"/>
          <w:marBottom w:val="0"/>
          <w:divBdr>
            <w:top w:val="none" w:sz="0" w:space="0" w:color="auto"/>
            <w:left w:val="none" w:sz="0" w:space="0" w:color="auto"/>
            <w:bottom w:val="none" w:sz="0" w:space="0" w:color="auto"/>
            <w:right w:val="none" w:sz="0" w:space="0" w:color="auto"/>
          </w:divBdr>
        </w:div>
        <w:div w:id="948855583">
          <w:marLeft w:val="0"/>
          <w:marRight w:val="0"/>
          <w:marTop w:val="0"/>
          <w:marBottom w:val="0"/>
          <w:divBdr>
            <w:top w:val="none" w:sz="0" w:space="0" w:color="auto"/>
            <w:left w:val="none" w:sz="0" w:space="0" w:color="auto"/>
            <w:bottom w:val="none" w:sz="0" w:space="0" w:color="auto"/>
            <w:right w:val="none" w:sz="0" w:space="0" w:color="auto"/>
          </w:divBdr>
        </w:div>
        <w:div w:id="1077551418">
          <w:marLeft w:val="0"/>
          <w:marRight w:val="0"/>
          <w:marTop w:val="0"/>
          <w:marBottom w:val="0"/>
          <w:divBdr>
            <w:top w:val="none" w:sz="0" w:space="0" w:color="auto"/>
            <w:left w:val="none" w:sz="0" w:space="0" w:color="auto"/>
            <w:bottom w:val="none" w:sz="0" w:space="0" w:color="auto"/>
            <w:right w:val="none" w:sz="0" w:space="0" w:color="auto"/>
          </w:divBdr>
        </w:div>
      </w:divsChild>
    </w:div>
    <w:div w:id="1560945781">
      <w:bodyDiv w:val="1"/>
      <w:marLeft w:val="0"/>
      <w:marRight w:val="0"/>
      <w:marTop w:val="0"/>
      <w:marBottom w:val="0"/>
      <w:divBdr>
        <w:top w:val="none" w:sz="0" w:space="0" w:color="auto"/>
        <w:left w:val="none" w:sz="0" w:space="0" w:color="auto"/>
        <w:bottom w:val="none" w:sz="0" w:space="0" w:color="auto"/>
        <w:right w:val="none" w:sz="0" w:space="0" w:color="auto"/>
      </w:divBdr>
      <w:divsChild>
        <w:div w:id="284119929">
          <w:marLeft w:val="0"/>
          <w:marRight w:val="0"/>
          <w:marTop w:val="0"/>
          <w:marBottom w:val="0"/>
          <w:divBdr>
            <w:top w:val="none" w:sz="0" w:space="0" w:color="auto"/>
            <w:left w:val="none" w:sz="0" w:space="0" w:color="auto"/>
            <w:bottom w:val="none" w:sz="0" w:space="0" w:color="auto"/>
            <w:right w:val="none" w:sz="0" w:space="0" w:color="auto"/>
          </w:divBdr>
          <w:divsChild>
            <w:div w:id="468324630">
              <w:marLeft w:val="0"/>
              <w:marRight w:val="0"/>
              <w:marTop w:val="0"/>
              <w:marBottom w:val="0"/>
              <w:divBdr>
                <w:top w:val="none" w:sz="0" w:space="0" w:color="auto"/>
                <w:left w:val="none" w:sz="0" w:space="0" w:color="auto"/>
                <w:bottom w:val="none" w:sz="0" w:space="0" w:color="auto"/>
                <w:right w:val="none" w:sz="0" w:space="0" w:color="auto"/>
              </w:divBdr>
              <w:divsChild>
                <w:div w:id="1702584534">
                  <w:marLeft w:val="0"/>
                  <w:marRight w:val="0"/>
                  <w:marTop w:val="0"/>
                  <w:marBottom w:val="0"/>
                  <w:divBdr>
                    <w:top w:val="none" w:sz="0" w:space="0" w:color="auto"/>
                    <w:left w:val="none" w:sz="0" w:space="0" w:color="auto"/>
                    <w:bottom w:val="none" w:sz="0" w:space="0" w:color="auto"/>
                    <w:right w:val="none" w:sz="0" w:space="0" w:color="auto"/>
                  </w:divBdr>
                  <w:divsChild>
                    <w:div w:id="820076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0744473">
      <w:bodyDiv w:val="1"/>
      <w:marLeft w:val="0"/>
      <w:marRight w:val="0"/>
      <w:marTop w:val="0"/>
      <w:marBottom w:val="0"/>
      <w:divBdr>
        <w:top w:val="none" w:sz="0" w:space="0" w:color="auto"/>
        <w:left w:val="none" w:sz="0" w:space="0" w:color="auto"/>
        <w:bottom w:val="none" w:sz="0" w:space="0" w:color="auto"/>
        <w:right w:val="none" w:sz="0" w:space="0" w:color="auto"/>
      </w:divBdr>
    </w:div>
    <w:div w:id="1886604180">
      <w:bodyDiv w:val="1"/>
      <w:marLeft w:val="0"/>
      <w:marRight w:val="0"/>
      <w:marTop w:val="0"/>
      <w:marBottom w:val="0"/>
      <w:divBdr>
        <w:top w:val="none" w:sz="0" w:space="0" w:color="auto"/>
        <w:left w:val="none" w:sz="0" w:space="0" w:color="auto"/>
        <w:bottom w:val="none" w:sz="0" w:space="0" w:color="auto"/>
        <w:right w:val="none" w:sz="0" w:space="0" w:color="auto"/>
      </w:divBdr>
      <w:divsChild>
        <w:div w:id="2008702635">
          <w:marLeft w:val="0"/>
          <w:marRight w:val="0"/>
          <w:marTop w:val="0"/>
          <w:marBottom w:val="0"/>
          <w:divBdr>
            <w:top w:val="none" w:sz="0" w:space="0" w:color="auto"/>
            <w:left w:val="none" w:sz="0" w:space="0" w:color="auto"/>
            <w:bottom w:val="none" w:sz="0" w:space="0" w:color="auto"/>
            <w:right w:val="none" w:sz="0" w:space="0" w:color="auto"/>
          </w:divBdr>
          <w:divsChild>
            <w:div w:id="1937590163">
              <w:marLeft w:val="0"/>
              <w:marRight w:val="0"/>
              <w:marTop w:val="0"/>
              <w:marBottom w:val="0"/>
              <w:divBdr>
                <w:top w:val="none" w:sz="0" w:space="0" w:color="auto"/>
                <w:left w:val="none" w:sz="0" w:space="0" w:color="auto"/>
                <w:bottom w:val="none" w:sz="0" w:space="0" w:color="auto"/>
                <w:right w:val="none" w:sz="0" w:space="0" w:color="auto"/>
              </w:divBdr>
              <w:divsChild>
                <w:div w:id="93127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956070">
      <w:bodyDiv w:val="1"/>
      <w:marLeft w:val="0"/>
      <w:marRight w:val="0"/>
      <w:marTop w:val="0"/>
      <w:marBottom w:val="0"/>
      <w:divBdr>
        <w:top w:val="none" w:sz="0" w:space="0" w:color="auto"/>
        <w:left w:val="none" w:sz="0" w:space="0" w:color="auto"/>
        <w:bottom w:val="none" w:sz="0" w:space="0" w:color="auto"/>
        <w:right w:val="none" w:sz="0" w:space="0" w:color="auto"/>
      </w:divBdr>
      <w:divsChild>
        <w:div w:id="348870615">
          <w:marLeft w:val="0"/>
          <w:marRight w:val="0"/>
          <w:marTop w:val="0"/>
          <w:marBottom w:val="0"/>
          <w:divBdr>
            <w:top w:val="none" w:sz="0" w:space="0" w:color="auto"/>
            <w:left w:val="none" w:sz="0" w:space="0" w:color="auto"/>
            <w:bottom w:val="none" w:sz="0" w:space="0" w:color="auto"/>
            <w:right w:val="none" w:sz="0" w:space="0" w:color="auto"/>
          </w:divBdr>
          <w:divsChild>
            <w:div w:id="918750889">
              <w:marLeft w:val="0"/>
              <w:marRight w:val="0"/>
              <w:marTop w:val="0"/>
              <w:marBottom w:val="0"/>
              <w:divBdr>
                <w:top w:val="none" w:sz="0" w:space="0" w:color="auto"/>
                <w:left w:val="none" w:sz="0" w:space="0" w:color="auto"/>
                <w:bottom w:val="none" w:sz="0" w:space="0" w:color="auto"/>
                <w:right w:val="none" w:sz="0" w:space="0" w:color="auto"/>
              </w:divBdr>
              <w:divsChild>
                <w:div w:id="375356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i.org/10.2190/p4xj-egne-e157-g3qn" TargetMode="External"/><Relationship Id="rId21" Type="http://schemas.openxmlformats.org/officeDocument/2006/relationships/hyperlink" Target="https://doi.org/10.1177/0098303983012001001" TargetMode="External"/><Relationship Id="rId42" Type="http://schemas.openxmlformats.org/officeDocument/2006/relationships/hyperlink" Target="https://doi.org/https://doi.org/10.1016/S0962-1849(01)80014-7" TargetMode="External"/><Relationship Id="rId63" Type="http://schemas.openxmlformats.org/officeDocument/2006/relationships/hyperlink" Target="https://doi.org/10.10520/EJC156801" TargetMode="External"/><Relationship Id="rId84" Type="http://schemas.openxmlformats.org/officeDocument/2006/relationships/hyperlink" Target="https://www.ftc.gov/business-guidance/resources/complying-funeral-rule" TargetMode="External"/><Relationship Id="rId138" Type="http://schemas.openxmlformats.org/officeDocument/2006/relationships/hyperlink" Target="https://doi.org/10.1080/13576275.2015.1100160" TargetMode="External"/><Relationship Id="rId159" Type="http://schemas.openxmlformats.org/officeDocument/2006/relationships/hyperlink" Target="https://doi.org/10.1300/J082v08n02_02" TargetMode="External"/><Relationship Id="rId170" Type="http://schemas.openxmlformats.org/officeDocument/2006/relationships/hyperlink" Target="http://www.jstor.org/stable/27500293" TargetMode="External"/><Relationship Id="rId191" Type="http://schemas.openxmlformats.org/officeDocument/2006/relationships/hyperlink" Target="https://doi.org/10.1177/0265407506068261" TargetMode="External"/><Relationship Id="rId205" Type="http://schemas.openxmlformats.org/officeDocument/2006/relationships/hyperlink" Target="https://doi.org/10.1080/00664670701637669" TargetMode="External"/><Relationship Id="rId226" Type="http://schemas.openxmlformats.org/officeDocument/2006/relationships/fontTable" Target="fontTable.xml"/><Relationship Id="rId107" Type="http://schemas.openxmlformats.org/officeDocument/2006/relationships/hyperlink" Target="https://doi.org/10.1080/03637751.2019.1697891" TargetMode="External"/><Relationship Id="rId11" Type="http://schemas.openxmlformats.org/officeDocument/2006/relationships/hyperlink" Target="https://doi.org/10.1146/annurev-soc-073018-022332" TargetMode="External"/><Relationship Id="rId32" Type="http://schemas.openxmlformats.org/officeDocument/2006/relationships/hyperlink" Target="https://doi.org/10.1177/0030222817745430" TargetMode="External"/><Relationship Id="rId53" Type="http://schemas.openxmlformats.org/officeDocument/2006/relationships/hyperlink" Target="https://doi.org/10.1080/03637759709376403" TargetMode="External"/><Relationship Id="rId74" Type="http://schemas.openxmlformats.org/officeDocument/2006/relationships/hyperlink" Target="https://doi.org/10.2190/IL.20.2.d" TargetMode="External"/><Relationship Id="rId128" Type="http://schemas.openxmlformats.org/officeDocument/2006/relationships/hyperlink" Target="https://doi.org/10.1080/10410236.2019.1606136" TargetMode="External"/><Relationship Id="rId149" Type="http://schemas.openxmlformats.org/officeDocument/2006/relationships/hyperlink" Target="https://doi.org/10.1080/02500167.2016.1140666" TargetMode="External"/><Relationship Id="rId5" Type="http://schemas.openxmlformats.org/officeDocument/2006/relationships/webSettings" Target="webSettings.xml"/><Relationship Id="rId95" Type="http://schemas.openxmlformats.org/officeDocument/2006/relationships/hyperlink" Target="https://doi.org/10.1037/0022-3514.85.3.453" TargetMode="External"/><Relationship Id="rId160" Type="http://schemas.openxmlformats.org/officeDocument/2006/relationships/hyperlink" Target="https://doi.org/https://doi.org/10.1111/j.1756-2589.2010.00052.x" TargetMode="External"/><Relationship Id="rId181" Type="http://schemas.openxmlformats.org/officeDocument/2006/relationships/hyperlink" Target="https://doi.org/10.1080/03637750903300239" TargetMode="External"/><Relationship Id="rId216" Type="http://schemas.openxmlformats.org/officeDocument/2006/relationships/hyperlink" Target="https://www.bls.gov/ooh/personal-care-and-service/funeral-service-occupations.htm" TargetMode="External"/><Relationship Id="rId22" Type="http://schemas.openxmlformats.org/officeDocument/2006/relationships/hyperlink" Target="https://doi.org/10.1177/1750481311405590" TargetMode="External"/><Relationship Id="rId43" Type="http://schemas.openxmlformats.org/officeDocument/2006/relationships/hyperlink" Target="https://doi.org/10.1037/0022-3514.83.5.1150" TargetMode="External"/><Relationship Id="rId64" Type="http://schemas.openxmlformats.org/officeDocument/2006/relationships/hyperlink" Target="https://doi.org/10.1177/01968599221128533" TargetMode="External"/><Relationship Id="rId118" Type="http://schemas.openxmlformats.org/officeDocument/2006/relationships/hyperlink" Target="https://doi.org/10.2307/2060606" TargetMode="External"/><Relationship Id="rId139" Type="http://schemas.openxmlformats.org/officeDocument/2006/relationships/hyperlink" Target="https://doi.org/10.1111/j.1467-954X.1992.tb03384" TargetMode="External"/><Relationship Id="rId85" Type="http://schemas.openxmlformats.org/officeDocument/2006/relationships/hyperlink" Target="https://www.ftc.gov/about-ftc/history" TargetMode="External"/><Relationship Id="rId150" Type="http://schemas.openxmlformats.org/officeDocument/2006/relationships/hyperlink" Target="https://doi.org/10.2190/0CKD-PVQ0-T260-NTXU" TargetMode="External"/><Relationship Id="rId171" Type="http://schemas.openxmlformats.org/officeDocument/2006/relationships/hyperlink" Target="https://doi.org/10.1080/713685976" TargetMode="External"/><Relationship Id="rId192" Type="http://schemas.openxmlformats.org/officeDocument/2006/relationships/hyperlink" Target="https://doi.org/10.1016/0007-6813(86)90068-6" TargetMode="External"/><Relationship Id="rId206" Type="http://schemas.openxmlformats.org/officeDocument/2006/relationships/hyperlink" Target="https://doi.org/10.1080/00909882.2021.1991582" TargetMode="External"/><Relationship Id="rId227" Type="http://schemas.openxmlformats.org/officeDocument/2006/relationships/theme" Target="theme/theme1.xml"/><Relationship Id="rId12" Type="http://schemas.openxmlformats.org/officeDocument/2006/relationships/hyperlink" Target="https://doi.org/10.1177/1750481307079207" TargetMode="External"/><Relationship Id="rId33" Type="http://schemas.openxmlformats.org/officeDocument/2006/relationships/hyperlink" Target="https://doi.org/10.1177/00302228221111936" TargetMode="External"/><Relationship Id="rId108" Type="http://schemas.openxmlformats.org/officeDocument/2006/relationships/hyperlink" Target="https://doi.org/10.1177/02654075231194363" TargetMode="External"/><Relationship Id="rId129" Type="http://schemas.openxmlformats.org/officeDocument/2006/relationships/hyperlink" Target="http://www.jstor.org/stable/1465709" TargetMode="External"/><Relationship Id="rId54" Type="http://schemas.openxmlformats.org/officeDocument/2006/relationships/hyperlink" Target="https://doi.org/10.1080/08824090209384860" TargetMode="External"/><Relationship Id="rId75" Type="http://schemas.openxmlformats.org/officeDocument/2006/relationships/hyperlink" Target="https://doi.org/10.1177/026540759301000201" TargetMode="External"/><Relationship Id="rId96" Type="http://schemas.openxmlformats.org/officeDocument/2006/relationships/hyperlink" Target="https://doi.org/10.1086/498281" TargetMode="External"/><Relationship Id="rId140" Type="http://schemas.openxmlformats.org/officeDocument/2006/relationships/hyperlink" Target="http://www.jstor.org/stable/42855231" TargetMode="External"/><Relationship Id="rId161" Type="http://schemas.openxmlformats.org/officeDocument/2006/relationships/hyperlink" Target="http://www.jstor.org/stable/j.ctv39x64g.14" TargetMode="External"/><Relationship Id="rId182" Type="http://schemas.openxmlformats.org/officeDocument/2006/relationships/hyperlink" Target="https://doi.org/10.1177/0896920509103978" TargetMode="External"/><Relationship Id="rId217" Type="http://schemas.openxmlformats.org/officeDocument/2006/relationships/hyperlink" Target="https://doi.org/10.1080/07481187.2018.1522387" TargetMode="External"/><Relationship Id="rId6" Type="http://schemas.openxmlformats.org/officeDocument/2006/relationships/footnotes" Target="footnotes.xml"/><Relationship Id="rId23" Type="http://schemas.openxmlformats.org/officeDocument/2006/relationships/hyperlink" Target="https://doi.org/10.1177/0265407590071004" TargetMode="External"/><Relationship Id="rId119" Type="http://schemas.openxmlformats.org/officeDocument/2006/relationships/hyperlink" Target="https://doi.org/10.1177/1049909106290380" TargetMode="External"/><Relationship Id="rId44" Type="http://schemas.openxmlformats.org/officeDocument/2006/relationships/hyperlink" Target="https://doi.org/10.1037/0882-7974.19.2.260" TargetMode="External"/><Relationship Id="rId65" Type="http://schemas.openxmlformats.org/officeDocument/2006/relationships/hyperlink" Target="https://doi.org/10.2190/2T3W-MEL5-L4WL-VGG" TargetMode="External"/><Relationship Id="rId86" Type="http://schemas.openxmlformats.org/officeDocument/2006/relationships/hyperlink" Target="https://doi.org/https://doi.org/10.1016/j.copsyc.2021.05.004" TargetMode="External"/><Relationship Id="rId130" Type="http://schemas.openxmlformats.org/officeDocument/2006/relationships/hyperlink" Target="https://doi.org/10.1016/j.socscimed.2019.112671" TargetMode="External"/><Relationship Id="rId151" Type="http://schemas.openxmlformats.org/officeDocument/2006/relationships/hyperlink" Target="https://doi.org/10.1177/0018726708089000" TargetMode="External"/><Relationship Id="rId172" Type="http://schemas.openxmlformats.org/officeDocument/2006/relationships/hyperlink" Target="https://doi.org/10.1016/0001-8791(74)90106-7" TargetMode="External"/><Relationship Id="rId193" Type="http://schemas.openxmlformats.org/officeDocument/2006/relationships/hyperlink" Target="https://doi.org/10.1177/1461445614538566" TargetMode="External"/><Relationship Id="rId207" Type="http://schemas.openxmlformats.org/officeDocument/2006/relationships/hyperlink" Target="https://doi.org/10.2307/415006" TargetMode="External"/><Relationship Id="rId13" Type="http://schemas.openxmlformats.org/officeDocument/2006/relationships/hyperlink" Target="https://doi.org/10.1177/02654075231165700" TargetMode="External"/><Relationship Id="rId109" Type="http://schemas.openxmlformats.org/officeDocument/2006/relationships/hyperlink" Target="https://doi.org/https://doi.org/10.1016/j.pec.2007.11.016" TargetMode="External"/><Relationship Id="rId34" Type="http://schemas.openxmlformats.org/officeDocument/2006/relationships/hyperlink" Target="https://doi.org/https://doi.org/10.1016/j.chb.2021.106849" TargetMode="External"/><Relationship Id="rId55" Type="http://schemas.openxmlformats.org/officeDocument/2006/relationships/hyperlink" Target="https://doi.org/10.1111/j.1468-2885.2002.tb00276.x" TargetMode="External"/><Relationship Id="rId76" Type="http://schemas.openxmlformats.org/officeDocument/2006/relationships/hyperlink" Target="https://doi.org/10.1080/15267431.2017.1363045" TargetMode="External"/><Relationship Id="rId97" Type="http://schemas.openxmlformats.org/officeDocument/2006/relationships/hyperlink" Target="https://doi.org/10.1007/s10823-009-9108-8" TargetMode="External"/><Relationship Id="rId120" Type="http://schemas.openxmlformats.org/officeDocument/2006/relationships/hyperlink" Target="https://doi.org/10.2753/MTP1069-6679180106" TargetMode="External"/><Relationship Id="rId141" Type="http://schemas.openxmlformats.org/officeDocument/2006/relationships/hyperlink" Target="https://doi.org/10.1080/00909882.2014.911944" TargetMode="External"/><Relationship Id="rId7" Type="http://schemas.openxmlformats.org/officeDocument/2006/relationships/endnotes" Target="endnotes.xml"/><Relationship Id="rId162" Type="http://schemas.openxmlformats.org/officeDocument/2006/relationships/hyperlink" Target="https://doi.org/10.1177/009182966901600201" TargetMode="External"/><Relationship Id="rId183" Type="http://schemas.openxmlformats.org/officeDocument/2006/relationships/hyperlink" Target="https://doi.org/10.1177/1469540512456924" TargetMode="External"/><Relationship Id="rId218" Type="http://schemas.openxmlformats.org/officeDocument/2006/relationships/hyperlink" Target="https://doi.org/10.1080/713657768" TargetMode="External"/><Relationship Id="rId24" Type="http://schemas.openxmlformats.org/officeDocument/2006/relationships/hyperlink" Target="https://doi.org/10.1080/10417940209373223" TargetMode="External"/><Relationship Id="rId45" Type="http://schemas.openxmlformats.org/officeDocument/2006/relationships/hyperlink" Target="https://doi.org/10.1080/01463370701490232" TargetMode="External"/><Relationship Id="rId66" Type="http://schemas.openxmlformats.org/officeDocument/2006/relationships/hyperlink" Target="https://doi.org/10.2190/ryld-33xc-t9gp-9ju7" TargetMode="External"/><Relationship Id="rId87" Type="http://schemas.openxmlformats.org/officeDocument/2006/relationships/hyperlink" Target="https://doi.org/10.1080/15374417409532560" TargetMode="External"/><Relationship Id="rId110" Type="http://schemas.openxmlformats.org/officeDocument/2006/relationships/hyperlink" Target="https://doi.org/10.1080/10417940209373226" TargetMode="External"/><Relationship Id="rId131" Type="http://schemas.openxmlformats.org/officeDocument/2006/relationships/hyperlink" Target="https://doi.org/10.1080/108114401753197468" TargetMode="External"/><Relationship Id="rId152" Type="http://schemas.openxmlformats.org/officeDocument/2006/relationships/hyperlink" Target="https://doi.org/https://doi.org/10.1111/jftr.12205" TargetMode="External"/><Relationship Id="rId173" Type="http://schemas.openxmlformats.org/officeDocument/2006/relationships/hyperlink" Target="https://doi.org/10.1080/13576275.2023.2201421" TargetMode="External"/><Relationship Id="rId194" Type="http://schemas.openxmlformats.org/officeDocument/2006/relationships/hyperlink" Target="https://www.sci-corp.com/about/our-brands" TargetMode="External"/><Relationship Id="rId208" Type="http://schemas.openxmlformats.org/officeDocument/2006/relationships/hyperlink" Target="https://doi.org/10.1002/9781118901731.iecrm0269" TargetMode="External"/><Relationship Id="rId14" Type="http://schemas.openxmlformats.org/officeDocument/2006/relationships/hyperlink" Target="https://doi.org/10.1080/10410236.2013.815533" TargetMode="External"/><Relationship Id="rId35" Type="http://schemas.openxmlformats.org/officeDocument/2006/relationships/hyperlink" Target="https://doi.org/10.1097/00043764-199108000-00012" TargetMode="External"/><Relationship Id="rId56" Type="http://schemas.openxmlformats.org/officeDocument/2006/relationships/hyperlink" Target="https://doi.org/10.1177/017084068800900205" TargetMode="External"/><Relationship Id="rId77" Type="http://schemas.openxmlformats.org/officeDocument/2006/relationships/hyperlink" Target="https://doi.org/10.1007/BF01194368" TargetMode="External"/><Relationship Id="rId100" Type="http://schemas.openxmlformats.org/officeDocument/2006/relationships/hyperlink" Target="https://doi.org/10.1075/prag.5.1.03gun" TargetMode="External"/><Relationship Id="rId8" Type="http://schemas.openxmlformats.org/officeDocument/2006/relationships/header" Target="header1.xml"/><Relationship Id="rId98" Type="http://schemas.openxmlformats.org/officeDocument/2006/relationships/hyperlink" Target="https://doi.org/10.1080/10570319009374359" TargetMode="External"/><Relationship Id="rId121" Type="http://schemas.openxmlformats.org/officeDocument/2006/relationships/hyperlink" Target="https://doi.org/10.1509/jppm.30.1.100" TargetMode="External"/><Relationship Id="rId142" Type="http://schemas.openxmlformats.org/officeDocument/2006/relationships/hyperlink" Target="https://doi.org/10.1177/026540759301000203" TargetMode="External"/><Relationship Id="rId163" Type="http://schemas.openxmlformats.org/officeDocument/2006/relationships/hyperlink" Target="https://doi.org/10.2307/799558" TargetMode="External"/><Relationship Id="rId184" Type="http://schemas.openxmlformats.org/officeDocument/2006/relationships/hyperlink" Target="https://doi.org/10.1016/S0738-3991(00)00110-5" TargetMode="External"/><Relationship Id="rId219" Type="http://schemas.openxmlformats.org/officeDocument/2006/relationships/hyperlink" Target="https://doi.org/10.1080/13576270500178369" TargetMode="External"/><Relationship Id="rId3" Type="http://schemas.openxmlformats.org/officeDocument/2006/relationships/styles" Target="styles.xml"/><Relationship Id="rId214" Type="http://schemas.openxmlformats.org/officeDocument/2006/relationships/hyperlink" Target="https://doi.org/10.3917/rfs.485.0003" TargetMode="External"/><Relationship Id="rId25" Type="http://schemas.openxmlformats.org/officeDocument/2006/relationships/hyperlink" Target="https://doi.org/10.1080/00909880216576" TargetMode="External"/><Relationship Id="rId46" Type="http://schemas.openxmlformats.org/officeDocument/2006/relationships/hyperlink" Target="https://doi.org/10.1007/s11089-009-0264-0" TargetMode="External"/><Relationship Id="rId67" Type="http://schemas.openxmlformats.org/officeDocument/2006/relationships/hyperlink" Target="https://www.cremationassociation.org/page/HistoryOfCremation" TargetMode="External"/><Relationship Id="rId116" Type="http://schemas.openxmlformats.org/officeDocument/2006/relationships/hyperlink" Target="https://doi.org/10.1177/10499091211019298" TargetMode="External"/><Relationship Id="rId137" Type="http://schemas.openxmlformats.org/officeDocument/2006/relationships/hyperlink" Target="https://www.us-funerals.com/2023-us-cremation-rate/" TargetMode="External"/><Relationship Id="rId158" Type="http://schemas.openxmlformats.org/officeDocument/2006/relationships/hyperlink" Target="https://doi.org/10.1080/01463373.2011.583502" TargetMode="External"/><Relationship Id="rId20" Type="http://schemas.openxmlformats.org/officeDocument/2006/relationships/hyperlink" Target="https://doi.org/10.1080/03637759409376321" TargetMode="External"/><Relationship Id="rId41" Type="http://schemas.openxmlformats.org/officeDocument/2006/relationships/hyperlink" Target="https://doi.org/10.11114/ijsss.v4i1.1221" TargetMode="External"/><Relationship Id="rId62" Type="http://schemas.openxmlformats.org/officeDocument/2006/relationships/hyperlink" Target="https://doi.org/10.1525/eth.2005.33.2.180" TargetMode="External"/><Relationship Id="rId83" Type="http://schemas.openxmlformats.org/officeDocument/2006/relationships/hyperlink" Target="https://www.ftc.gov/news-events/news/press-releases/2013/12/ftc-puts-conditions-service-corporation-internationals-proposed-14-billion-acquisition-rival-funeral" TargetMode="External"/><Relationship Id="rId88" Type="http://schemas.openxmlformats.org/officeDocument/2006/relationships/hyperlink" Target="https://doi.org/10.1177/001872675400700202" TargetMode="External"/><Relationship Id="rId111" Type="http://schemas.openxmlformats.org/officeDocument/2006/relationships/hyperlink" Target="https://doi.org/https://doi.org/10.1002/pon.837" TargetMode="External"/><Relationship Id="rId132" Type="http://schemas.openxmlformats.org/officeDocument/2006/relationships/hyperlink" Target="https://doi.org/10.1176/ajp.101.2.141" TargetMode="External"/><Relationship Id="rId153" Type="http://schemas.openxmlformats.org/officeDocument/2006/relationships/hyperlink" Target="https://www.okcommerce.gov/doing-business/data-reports/reports/oklahomas-fortune-500-report/" TargetMode="External"/><Relationship Id="rId174" Type="http://schemas.openxmlformats.org/officeDocument/2006/relationships/hyperlink" Target="https://doi.org/10.1146/annurev.so.09.080183.001203" TargetMode="External"/><Relationship Id="rId179" Type="http://schemas.openxmlformats.org/officeDocument/2006/relationships/hyperlink" Target="https://doi.org/10.1037/0012-1649.44.1.91" TargetMode="External"/><Relationship Id="rId195" Type="http://schemas.openxmlformats.org/officeDocument/2006/relationships/hyperlink" Target="https://www.sci-corp.com/about/history" TargetMode="External"/><Relationship Id="rId209" Type="http://schemas.openxmlformats.org/officeDocument/2006/relationships/hyperlink" Target="https://doi.org/10.1177/0265407520911104" TargetMode="External"/><Relationship Id="rId190" Type="http://schemas.openxmlformats.org/officeDocument/2006/relationships/hyperlink" Target="https://doi.org/10.1177/0265407520918668" TargetMode="External"/><Relationship Id="rId204" Type="http://schemas.openxmlformats.org/officeDocument/2006/relationships/hyperlink" Target="https://doi.org/10.1111/comt.12117" TargetMode="External"/><Relationship Id="rId220" Type="http://schemas.openxmlformats.org/officeDocument/2006/relationships/hyperlink" Target="https://doi.org/10.1016/B978-0-08-097086-8.32037-2" TargetMode="External"/><Relationship Id="rId225" Type="http://schemas.openxmlformats.org/officeDocument/2006/relationships/header" Target="header4.xml"/><Relationship Id="rId15" Type="http://schemas.openxmlformats.org/officeDocument/2006/relationships/hyperlink" Target="https://doi.org/10.1080/00909882.2016.1225164" TargetMode="External"/><Relationship Id="rId36" Type="http://schemas.openxmlformats.org/officeDocument/2006/relationships/hyperlink" Target="https://doi.org/10.1111/j.1468-2958.1975.tb00258.x" TargetMode="External"/><Relationship Id="rId57" Type="http://schemas.openxmlformats.org/officeDocument/2006/relationships/hyperlink" Target="https://doi.org/10.1525/si.1999.22.2.105" TargetMode="External"/><Relationship Id="rId106" Type="http://schemas.openxmlformats.org/officeDocument/2006/relationships/hyperlink" Target="http://www.jstor.org/stable/1225699" TargetMode="External"/><Relationship Id="rId127" Type="http://schemas.openxmlformats.org/officeDocument/2006/relationships/hyperlink" Target="https://doi.org/10.1108/JSM-03-2015-0132" TargetMode="External"/><Relationship Id="rId10" Type="http://schemas.openxmlformats.org/officeDocument/2006/relationships/header" Target="header3.xml"/><Relationship Id="rId31" Type="http://schemas.openxmlformats.org/officeDocument/2006/relationships/hyperlink" Target="https://doi.org/10.1177/0030222815612605" TargetMode="External"/><Relationship Id="rId52" Type="http://schemas.openxmlformats.org/officeDocument/2006/relationships/hyperlink" Target="https://doi.org/doi:10.1126/science.2063206" TargetMode="External"/><Relationship Id="rId73" Type="http://schemas.openxmlformats.org/officeDocument/2006/relationships/hyperlink" Target="https://doi.org/10.1080/23808985.1990.11678743" TargetMode="External"/><Relationship Id="rId78" Type="http://schemas.openxmlformats.org/officeDocument/2006/relationships/hyperlink" Target="https://doi.org/10.1080/03637758409390197" TargetMode="External"/><Relationship Id="rId94" Type="http://schemas.openxmlformats.org/officeDocument/2006/relationships/hyperlink" Target="https://doi.org/https://doi.org/10.1525/jlin.2005.15.1.23" TargetMode="External"/><Relationship Id="rId99" Type="http://schemas.openxmlformats.org/officeDocument/2006/relationships/hyperlink" Target="https://doi.org/10.1007/BF01915918" TargetMode="External"/><Relationship Id="rId101" Type="http://schemas.openxmlformats.org/officeDocument/2006/relationships/hyperlink" Target="https://doi.org/10.17730/humo.22.2.t602u17535701hh3" TargetMode="External"/><Relationship Id="rId122" Type="http://schemas.openxmlformats.org/officeDocument/2006/relationships/hyperlink" Target="https://doi.org/10.1177/0265407596134007" TargetMode="External"/><Relationship Id="rId143" Type="http://schemas.openxmlformats.org/officeDocument/2006/relationships/hyperlink" Target="https://doi.org/10.1177/0893318905276558" TargetMode="External"/><Relationship Id="rId148" Type="http://schemas.openxmlformats.org/officeDocument/2006/relationships/hyperlink" Target="https://doi.org/10.1111/j.1467-8721.2009.01666.x" TargetMode="External"/><Relationship Id="rId164" Type="http://schemas.openxmlformats.org/officeDocument/2006/relationships/hyperlink" Target="https://doi.org/10.1080/00909880802592631" TargetMode="External"/><Relationship Id="rId169" Type="http://schemas.openxmlformats.org/officeDocument/2006/relationships/hyperlink" Target="https://www.jstor.org/stable/41762397" TargetMode="External"/><Relationship Id="rId185" Type="http://schemas.openxmlformats.org/officeDocument/2006/relationships/hyperlink" Target="https://doi.org/10.1080/13576270601088319" TargetMode="External"/><Relationship Id="rId4" Type="http://schemas.openxmlformats.org/officeDocument/2006/relationships/settings" Target="settings.xml"/><Relationship Id="rId9" Type="http://schemas.openxmlformats.org/officeDocument/2006/relationships/header" Target="header2.xml"/><Relationship Id="rId180" Type="http://schemas.openxmlformats.org/officeDocument/2006/relationships/hyperlink" Target="https://doi.org/10.1332/0305573002501009" TargetMode="External"/><Relationship Id="rId210" Type="http://schemas.openxmlformats.org/officeDocument/2006/relationships/hyperlink" Target="https://doi.org/10.1080/03634523.2017.1388527" TargetMode="External"/><Relationship Id="rId215" Type="http://schemas.openxmlformats.org/officeDocument/2006/relationships/hyperlink" Target="https://doi.org/10.1177/009365090017004002" TargetMode="External"/><Relationship Id="rId26" Type="http://schemas.openxmlformats.org/officeDocument/2006/relationships/hyperlink" Target="https://doi.org/j.1468-2958.1986.tb00088.x" TargetMode="External"/><Relationship Id="rId47" Type="http://schemas.openxmlformats.org/officeDocument/2006/relationships/hyperlink" Target="https://doi.org/10.1177/0265407595122002" TargetMode="External"/><Relationship Id="rId68" Type="http://schemas.openxmlformats.org/officeDocument/2006/relationships/hyperlink" Target="https://www.cremation.com/consumer-resources/glossary-of-funeral-terms" TargetMode="External"/><Relationship Id="rId89" Type="http://schemas.openxmlformats.org/officeDocument/2006/relationships/hyperlink" Target="https://doi.org/10.2190/5HDB-9MWY-WKDJ-L9PX" TargetMode="External"/><Relationship Id="rId112" Type="http://schemas.openxmlformats.org/officeDocument/2006/relationships/hyperlink" Target="https://doi.org/10.4135/9781526421036789623" TargetMode="External"/><Relationship Id="rId133" Type="http://schemas.openxmlformats.org/officeDocument/2006/relationships/hyperlink" Target="http://www.jstor.org/stable/23594584" TargetMode="External"/><Relationship Id="rId154" Type="http://schemas.openxmlformats.org/officeDocument/2006/relationships/hyperlink" Target="https://doi.org/10.5465/amr.1990.4308156" TargetMode="External"/><Relationship Id="rId175" Type="http://schemas.openxmlformats.org/officeDocument/2006/relationships/hyperlink" Target="https://doi.org/10.1111/j.1542-734X.1983.0601_100.x" TargetMode="External"/><Relationship Id="rId196" Type="http://schemas.openxmlformats.org/officeDocument/2006/relationships/hyperlink" Target="https://doi.org/10.1146/annurev.psych.53.100901.135213" TargetMode="External"/><Relationship Id="rId200" Type="http://schemas.openxmlformats.org/officeDocument/2006/relationships/hyperlink" Target="https://edis.ifas.ufl.edu/publication/FY1466" TargetMode="External"/><Relationship Id="rId16" Type="http://schemas.openxmlformats.org/officeDocument/2006/relationships/hyperlink" Target="https://doi.org/10.2307/2711889" TargetMode="External"/><Relationship Id="rId221" Type="http://schemas.openxmlformats.org/officeDocument/2006/relationships/hyperlink" Target="https://doi.org/10.2190/OM.64.4.a" TargetMode="External"/><Relationship Id="rId37" Type="http://schemas.openxmlformats.org/officeDocument/2006/relationships/hyperlink" Target="https://doi.org/10.1080/1041794X.2021.1941222" TargetMode="External"/><Relationship Id="rId58" Type="http://schemas.openxmlformats.org/officeDocument/2006/relationships/hyperlink" Target="https://doi.org/10.2307/2695852" TargetMode="External"/><Relationship Id="rId79" Type="http://schemas.openxmlformats.org/officeDocument/2006/relationships/hyperlink" Target="https://doi.org/10.1007/BF00114661" TargetMode="External"/><Relationship Id="rId102" Type="http://schemas.openxmlformats.org/officeDocument/2006/relationships/hyperlink" Target="https://doi.org/https://doi.org/10.1075/jaic.1.3.03ham" TargetMode="External"/><Relationship Id="rId123" Type="http://schemas.openxmlformats.org/officeDocument/2006/relationships/hyperlink" Target="https://doi.org/https://doi.org/10.1037/0022-3514.74.2.360" TargetMode="External"/><Relationship Id="rId144" Type="http://schemas.openxmlformats.org/officeDocument/2006/relationships/hyperlink" Target="https://doi.org/10.1177/1532708616679144" TargetMode="External"/><Relationship Id="rId90" Type="http://schemas.openxmlformats.org/officeDocument/2006/relationships/hyperlink" Target="https://doi.org/10.2190/OM.64.2.d" TargetMode="External"/><Relationship Id="rId165" Type="http://schemas.openxmlformats.org/officeDocument/2006/relationships/hyperlink" Target="https://doi.org/10.1080/15267430802561667" TargetMode="External"/><Relationship Id="rId186" Type="http://schemas.openxmlformats.org/officeDocument/2006/relationships/hyperlink" Target="https://doi.org/10.1080/13576275.2012.731724" TargetMode="External"/><Relationship Id="rId211" Type="http://schemas.openxmlformats.org/officeDocument/2006/relationships/hyperlink" Target="https://ufdcimages.uflib.ufl.edu/IR/00/00/25/54/00001/HE79700.pdf" TargetMode="External"/><Relationship Id="rId27" Type="http://schemas.openxmlformats.org/officeDocument/2006/relationships/hyperlink" Target="https://doi.org/10.1177/0265407599165001" TargetMode="External"/><Relationship Id="rId48" Type="http://schemas.openxmlformats.org/officeDocument/2006/relationships/hyperlink" Target="https://doi.org/10.1080/10510979809368523" TargetMode="External"/><Relationship Id="rId69" Type="http://schemas.openxmlformats.org/officeDocument/2006/relationships/hyperlink" Target="https://doi.org/10.1037/0033-2909.134.5.648" TargetMode="External"/><Relationship Id="rId113" Type="http://schemas.openxmlformats.org/officeDocument/2006/relationships/hyperlink" Target="https://doi.org/10.1080/07481189508253393" TargetMode="External"/><Relationship Id="rId134" Type="http://schemas.openxmlformats.org/officeDocument/2006/relationships/hyperlink" Target="https://doi.org/10.1177/02654075211050429" TargetMode="External"/><Relationship Id="rId80" Type="http://schemas.openxmlformats.org/officeDocument/2006/relationships/hyperlink" Target="https://doi.org/10.1111/j.1468-2958.1983.tb00699.x" TargetMode="External"/><Relationship Id="rId155" Type="http://schemas.openxmlformats.org/officeDocument/2006/relationships/hyperlink" Target="https://doi.org/10.1146/annurev.an.13.100184.002125" TargetMode="External"/><Relationship Id="rId176" Type="http://schemas.openxmlformats.org/officeDocument/2006/relationships/hyperlink" Target="https://doi.org/10.2190/d41t-yfnn-109k-wr4c" TargetMode="External"/><Relationship Id="rId197" Type="http://schemas.openxmlformats.org/officeDocument/2006/relationships/hyperlink" Target="https://doi.org/10.1525/si.1993.16.4.411" TargetMode="External"/><Relationship Id="rId201" Type="http://schemas.openxmlformats.org/officeDocument/2006/relationships/hyperlink" Target="https://doi.org/10.2190/OM.61.4.b" TargetMode="External"/><Relationship Id="rId222" Type="http://schemas.openxmlformats.org/officeDocument/2006/relationships/hyperlink" Target="https://doi.org/10.1080/10410236.2022.2128157" TargetMode="External"/><Relationship Id="rId17" Type="http://schemas.openxmlformats.org/officeDocument/2006/relationships/hyperlink" Target="https://doi.org/10.1111/j.0022-3840.1981.00701.x" TargetMode="External"/><Relationship Id="rId38" Type="http://schemas.openxmlformats.org/officeDocument/2006/relationships/hyperlink" Target="https://doi.org/10.1080/10510974.2022.2149583" TargetMode="External"/><Relationship Id="rId59" Type="http://schemas.openxmlformats.org/officeDocument/2006/relationships/hyperlink" Target="https://doi.org/10.1080/17475750701737090" TargetMode="External"/><Relationship Id="rId103" Type="http://schemas.openxmlformats.org/officeDocument/2006/relationships/hyperlink" Target="https://doi.org/10.1353/ks.2016.0002" TargetMode="External"/><Relationship Id="rId124" Type="http://schemas.openxmlformats.org/officeDocument/2006/relationships/hyperlink" Target="https://doi.org/10.1111/j.1745-6606.2007.00083.x" TargetMode="External"/><Relationship Id="rId70" Type="http://schemas.openxmlformats.org/officeDocument/2006/relationships/hyperlink" Target="https://doi.org/10.1177/0002764218756921" TargetMode="External"/><Relationship Id="rId91" Type="http://schemas.openxmlformats.org/officeDocument/2006/relationships/hyperlink" Target="https://doi.org/10.2190/7n5f-x6qr-y8xq-pyda" TargetMode="External"/><Relationship Id="rId145" Type="http://schemas.openxmlformats.org/officeDocument/2006/relationships/hyperlink" Target="https://www.nasdaq.com/market-activity/stocks/sci/advanced-charting" TargetMode="External"/><Relationship Id="rId166" Type="http://schemas.openxmlformats.org/officeDocument/2006/relationships/hyperlink" Target="https://doi.org/10.1080/19416520.2016.1162421" TargetMode="External"/><Relationship Id="rId187" Type="http://schemas.openxmlformats.org/officeDocument/2006/relationships/hyperlink" Target="https://doi.org/10.1080/10410236.2020.1712523" TargetMode="External"/><Relationship Id="rId1" Type="http://schemas.openxmlformats.org/officeDocument/2006/relationships/customXml" Target="../customXml/item1.xml"/><Relationship Id="rId212" Type="http://schemas.openxmlformats.org/officeDocument/2006/relationships/hyperlink" Target="https://doi.org/10.1080/13576275.2017.1415319" TargetMode="External"/><Relationship Id="rId28" Type="http://schemas.openxmlformats.org/officeDocument/2006/relationships/hyperlink" Target="https://doi.org/10.1080/15267430902963342" TargetMode="External"/><Relationship Id="rId49" Type="http://schemas.openxmlformats.org/officeDocument/2006/relationships/hyperlink" Target="https://doi.org/10.1111/j.1460-2466.2001.tb02892.x" TargetMode="External"/><Relationship Id="rId114" Type="http://schemas.openxmlformats.org/officeDocument/2006/relationships/hyperlink" Target="https://doi.org/10.2190/OM.63.1.e" TargetMode="External"/><Relationship Id="rId60" Type="http://schemas.openxmlformats.org/officeDocument/2006/relationships/hyperlink" Target="https://doi.org/10.1080/17405904.2012.656372" TargetMode="External"/><Relationship Id="rId81" Type="http://schemas.openxmlformats.org/officeDocument/2006/relationships/hyperlink" Target="https://doi.org/10.1111/j.1468-2885.2004.tb00301.x" TargetMode="External"/><Relationship Id="rId135" Type="http://schemas.openxmlformats.org/officeDocument/2006/relationships/hyperlink" Target="https://doi.org/10.31920/2634-3649/2021/v11n4a6" TargetMode="External"/><Relationship Id="rId156" Type="http://schemas.openxmlformats.org/officeDocument/2006/relationships/hyperlink" Target="https://doi.org/10.1080/1357627021000063133" TargetMode="External"/><Relationship Id="rId177" Type="http://schemas.openxmlformats.org/officeDocument/2006/relationships/hyperlink" Target="https://doi.org/10.1016/j.chb.2019.06.011" TargetMode="External"/><Relationship Id="rId198" Type="http://schemas.openxmlformats.org/officeDocument/2006/relationships/hyperlink" Target="https://doi.org/10.2307/1389230" TargetMode="External"/><Relationship Id="rId202" Type="http://schemas.openxmlformats.org/officeDocument/2006/relationships/hyperlink" Target="https://doi.org/10.1111/1467-8721.00191" TargetMode="External"/><Relationship Id="rId223" Type="http://schemas.openxmlformats.org/officeDocument/2006/relationships/hyperlink" Target="https://doi.org/10.1080/07481187.2017.1325419" TargetMode="External"/><Relationship Id="rId18" Type="http://schemas.openxmlformats.org/officeDocument/2006/relationships/hyperlink" Target="https://doi.org/10.1080/13576275.2010.496613" TargetMode="External"/><Relationship Id="rId39" Type="http://schemas.openxmlformats.org/officeDocument/2006/relationships/hyperlink" Target="https://doi.org/10.1177/105960118100600404" TargetMode="External"/><Relationship Id="rId50" Type="http://schemas.openxmlformats.org/officeDocument/2006/relationships/hyperlink" Target="https://doi.org/10.1191/1478088706qp063oa" TargetMode="External"/><Relationship Id="rId104" Type="http://schemas.openxmlformats.org/officeDocument/2006/relationships/hyperlink" Target="https://doi.org/10.1080/00909882.2021.1898656" TargetMode="External"/><Relationship Id="rId125" Type="http://schemas.openxmlformats.org/officeDocument/2006/relationships/hyperlink" Target="https://doi.org/10.1111/j.1745-6606.2006.00072.x" TargetMode="External"/><Relationship Id="rId146" Type="http://schemas.openxmlformats.org/officeDocument/2006/relationships/hyperlink" Target="https://nfda.org/news/statistics" TargetMode="External"/><Relationship Id="rId167" Type="http://schemas.openxmlformats.org/officeDocument/2006/relationships/hyperlink" Target="https://doi.org/10.2307/455359" TargetMode="External"/><Relationship Id="rId188" Type="http://schemas.openxmlformats.org/officeDocument/2006/relationships/hyperlink" Target="https://doi.org/10.1111/pere.12356" TargetMode="External"/><Relationship Id="rId71" Type="http://schemas.openxmlformats.org/officeDocument/2006/relationships/hyperlink" Target="https://doi.org/10.1080/08824090209384839" TargetMode="External"/><Relationship Id="rId92" Type="http://schemas.openxmlformats.org/officeDocument/2006/relationships/hyperlink" Target="https://doi.org/10.2190/6kym-f9eb-vy1j-fqwe" TargetMode="External"/><Relationship Id="rId213" Type="http://schemas.openxmlformats.org/officeDocument/2006/relationships/hyperlink" Target="https://doi.org/10.1080/00028533.1985.11951297" TargetMode="External"/><Relationship Id="rId2" Type="http://schemas.openxmlformats.org/officeDocument/2006/relationships/numbering" Target="numbering.xml"/><Relationship Id="rId29" Type="http://schemas.openxmlformats.org/officeDocument/2006/relationships/hyperlink" Target="https://doi.org/10.1177/0265407597145005" TargetMode="External"/><Relationship Id="rId40" Type="http://schemas.openxmlformats.org/officeDocument/2006/relationships/hyperlink" Target="https://doi.org/10.1080/00332747.1966.11023480" TargetMode="External"/><Relationship Id="rId115" Type="http://schemas.openxmlformats.org/officeDocument/2006/relationships/hyperlink" Target="https://doi.org/10.1179/rut.2.1.16mwl6nj0up5kp36" TargetMode="External"/><Relationship Id="rId136" Type="http://schemas.openxmlformats.org/officeDocument/2006/relationships/hyperlink" Target="https://doi.org/10.15760/mcnair.2006.186" TargetMode="External"/><Relationship Id="rId157" Type="http://schemas.openxmlformats.org/officeDocument/2006/relationships/hyperlink" Target="https://doi.org/10.1080/13576275.2012.675228" TargetMode="External"/><Relationship Id="rId178" Type="http://schemas.openxmlformats.org/officeDocument/2006/relationships/hyperlink" Target="http://purl.umn.edu/189690" TargetMode="External"/><Relationship Id="rId61" Type="http://schemas.openxmlformats.org/officeDocument/2006/relationships/hyperlink" Target="https://doi.org/10.1080/15267431.2011.629970" TargetMode="External"/><Relationship Id="rId82" Type="http://schemas.openxmlformats.org/officeDocument/2006/relationships/hyperlink" Target="https://doi.org/10.1080/10510974.2013.778892" TargetMode="External"/><Relationship Id="rId199" Type="http://schemas.openxmlformats.org/officeDocument/2006/relationships/hyperlink" Target="https://doi.org/10.2307/350447" TargetMode="External"/><Relationship Id="rId203" Type="http://schemas.openxmlformats.org/officeDocument/2006/relationships/hyperlink" Target="https://doi.org/10.1080/03637751.2017.1375131" TargetMode="External"/><Relationship Id="rId19" Type="http://schemas.openxmlformats.org/officeDocument/2006/relationships/hyperlink" Target="https://doi.org/10.1080/03634523.2010.496867" TargetMode="External"/><Relationship Id="rId224" Type="http://schemas.openxmlformats.org/officeDocument/2006/relationships/hyperlink" Target="https://doi.org/10.1177/0265407513508726" TargetMode="External"/><Relationship Id="rId30" Type="http://schemas.openxmlformats.org/officeDocument/2006/relationships/hyperlink" Target="https://doi.org/10.1111/jftr.12405" TargetMode="External"/><Relationship Id="rId105" Type="http://schemas.openxmlformats.org/officeDocument/2006/relationships/hyperlink" Target="https://doi.org/10.1080/03637759809376439" TargetMode="External"/><Relationship Id="rId126" Type="http://schemas.openxmlformats.org/officeDocument/2006/relationships/hyperlink" Target="https://doi.org/10.1080/15332969.2021.1987611" TargetMode="External"/><Relationship Id="rId147" Type="http://schemas.openxmlformats.org/officeDocument/2006/relationships/hyperlink" Target="https://nfda.org/news/funeral-service-101" TargetMode="External"/><Relationship Id="rId168" Type="http://schemas.openxmlformats.org/officeDocument/2006/relationships/hyperlink" Target="https://doi.org/10.1111/jomf.12828" TargetMode="External"/><Relationship Id="rId51" Type="http://schemas.openxmlformats.org/officeDocument/2006/relationships/hyperlink" Target="https://doi.org/10.4324/9781315723747.ch38" TargetMode="External"/><Relationship Id="rId72" Type="http://schemas.openxmlformats.org/officeDocument/2006/relationships/hyperlink" Target="https://doi.org/10.1080/15456870.2013.773483" TargetMode="External"/><Relationship Id="rId93" Type="http://schemas.openxmlformats.org/officeDocument/2006/relationships/hyperlink" Target="https://www.okhistory.org/publications/enc/entry?entry=RE030" TargetMode="External"/><Relationship Id="rId189" Type="http://schemas.openxmlformats.org/officeDocument/2006/relationships/hyperlink" Target="https://doi.org/10.1080/15267431.2015.11112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1816C38-0866-E543-A415-A74F5C69C9F7}">
  <we:reference id="wa200001011" version="1.2.0.0" store="en-US" storeType="OMEX"/>
  <we:alternateReferences>
    <we:reference id="wa200001011" version="1.2.0.0" store="wa20000101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09FAD1-DCC7-7E43-948E-5410D6F0A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463</TotalTime>
  <Pages>147</Pages>
  <Words>96678</Words>
  <Characters>551070</Characters>
  <Application>Microsoft Office Word</Application>
  <DocSecurity>0</DocSecurity>
  <Lines>4592</Lines>
  <Paragraphs>1292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 Da</dc:creator>
  <cp:keywords/>
  <dc:description/>
  <cp:lastModifiedBy>Bi, Da</cp:lastModifiedBy>
  <cp:revision>216</cp:revision>
  <dcterms:created xsi:type="dcterms:W3CDTF">2024-03-12T18:03:00Z</dcterms:created>
  <dcterms:modified xsi:type="dcterms:W3CDTF">2024-04-23T19:00:00Z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documentId_892</vt:lpwstr>
  </property>
  <property fmtid="{D5CDD505-2E9C-101B-9397-08002B2CF9AE}" pid="3" name="grammarly_documentContext">
    <vt:lpwstr>{"goals":[],"domain":"academic","emotions":["neutral","confident"],"dialect":"american","audience":"knowledgeable","style":"neutral"}</vt:lpwstr>
  </property>
</Properties>
</file>