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drawings/drawing1.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2.xml" ContentType="application/vnd.openxmlformats-officedocument.drawingml.chartshapes+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charts/chart4.xml" ContentType="application/vnd.openxmlformats-officedocument.drawingml.chart+xml"/>
  <Override PartName="/word/drawings/drawing3.xml" ContentType="application/vnd.openxmlformats-officedocument.drawingml.chartshapes+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75E717" w14:textId="47EDC625" w:rsidR="00DA59DE" w:rsidRDefault="00C82F6F" w:rsidP="00DA59DE">
      <w:pPr>
        <w:pStyle w:val="NoSpacing"/>
        <w:jc w:val="center"/>
        <w:rPr>
          <w:rFonts w:ascii="Times New Roman" w:hAnsi="Times New Roman"/>
          <w:caps/>
        </w:rPr>
      </w:pPr>
      <w:r>
        <w:rPr>
          <w:rFonts w:ascii="Times New Roman" w:hAnsi="Times New Roman"/>
          <w:caps/>
        </w:rPr>
        <w:t>University of Oklahoma</w:t>
      </w:r>
    </w:p>
    <w:p w14:paraId="07D7444C" w14:textId="272B7374" w:rsidR="00C82F6F" w:rsidRDefault="00C82F6F" w:rsidP="00C82F6F">
      <w:pPr>
        <w:pStyle w:val="NoSpacing"/>
        <w:jc w:val="center"/>
        <w:rPr>
          <w:rFonts w:ascii="Times New Roman" w:hAnsi="Times New Roman"/>
          <w:caps/>
        </w:rPr>
      </w:pPr>
    </w:p>
    <w:p w14:paraId="48F902AE" w14:textId="13E8A960" w:rsidR="00C82F6F" w:rsidRPr="00C82F6F" w:rsidRDefault="00C82F6F" w:rsidP="00C82F6F">
      <w:pPr>
        <w:pStyle w:val="NoSpacing"/>
        <w:jc w:val="center"/>
        <w:rPr>
          <w:rFonts w:ascii="Times New Roman" w:hAnsi="Times New Roman"/>
          <w:caps/>
        </w:rPr>
      </w:pPr>
      <w:r>
        <w:rPr>
          <w:rFonts w:ascii="Times New Roman" w:hAnsi="Times New Roman"/>
          <w:caps/>
        </w:rPr>
        <w:t xml:space="preserve">Graduate College </w:t>
      </w:r>
    </w:p>
    <w:p w14:paraId="722F2DFA" w14:textId="77777777" w:rsidR="00DA59DE" w:rsidRPr="0008176F" w:rsidRDefault="00DA59DE" w:rsidP="00DA59DE">
      <w:pPr>
        <w:pStyle w:val="NoSpacing"/>
        <w:jc w:val="center"/>
        <w:rPr>
          <w:caps/>
        </w:rPr>
      </w:pPr>
    </w:p>
    <w:p w14:paraId="1703D1C0" w14:textId="77777777" w:rsidR="00DA59DE" w:rsidRPr="0008176F" w:rsidRDefault="00DA59DE" w:rsidP="00DA59DE">
      <w:pPr>
        <w:pStyle w:val="NoSpacing"/>
        <w:jc w:val="center"/>
        <w:rPr>
          <w:caps/>
        </w:rPr>
      </w:pPr>
    </w:p>
    <w:p w14:paraId="08926508" w14:textId="77777777" w:rsidR="00DA59DE" w:rsidRPr="0008176F" w:rsidRDefault="00DA59DE" w:rsidP="00DA59DE">
      <w:pPr>
        <w:pStyle w:val="NoSpacing"/>
        <w:jc w:val="center"/>
        <w:rPr>
          <w:caps/>
        </w:rPr>
      </w:pPr>
    </w:p>
    <w:p w14:paraId="733A92CF" w14:textId="77777777" w:rsidR="00DA59DE" w:rsidRPr="0008176F" w:rsidRDefault="00DA59DE" w:rsidP="00DA59DE">
      <w:pPr>
        <w:pStyle w:val="NoSpacing"/>
        <w:jc w:val="center"/>
        <w:rPr>
          <w:caps/>
        </w:rPr>
      </w:pPr>
    </w:p>
    <w:sdt>
      <w:sdtPr>
        <w:rPr>
          <w:caps/>
        </w:rPr>
        <w:alias w:val="Click to enter thesis title"/>
        <w:tag w:val="Click to enter thesis title"/>
        <w:id w:val="30091832"/>
        <w:placeholder>
          <w:docPart w:val="096D2B700A4B164C910A7E1A4E00FD53"/>
        </w:placeholder>
      </w:sdtPr>
      <w:sdtEndPr>
        <w:rPr>
          <w:rFonts w:ascii="Times New Roman" w:hAnsi="Times New Roman"/>
        </w:rPr>
      </w:sdtEndPr>
      <w:sdtContent>
        <w:p w14:paraId="04BCDE18" w14:textId="77777777" w:rsidR="00DA59DE" w:rsidRPr="00FA53EA" w:rsidRDefault="00DA59DE" w:rsidP="00E171D3">
          <w:pPr>
            <w:pStyle w:val="NoSpacing"/>
            <w:spacing w:line="480" w:lineRule="auto"/>
            <w:jc w:val="center"/>
            <w:rPr>
              <w:rFonts w:ascii="Times New Roman" w:hAnsi="Times New Roman"/>
              <w:caps/>
            </w:rPr>
          </w:pPr>
          <w:r w:rsidRPr="00FA53EA">
            <w:rPr>
              <w:rFonts w:ascii="Times New Roman" w:hAnsi="Times New Roman"/>
              <w:caps/>
            </w:rPr>
            <w:t xml:space="preserve">Billions of Dollars Lost Along the Checkpoints? </w:t>
          </w:r>
        </w:p>
        <w:p w14:paraId="291F042A" w14:textId="2386F036" w:rsidR="00DA59DE" w:rsidRPr="00FA53EA" w:rsidRDefault="00DA59DE" w:rsidP="00E171D3">
          <w:pPr>
            <w:pStyle w:val="NoSpacing"/>
            <w:spacing w:line="480" w:lineRule="auto"/>
            <w:jc w:val="center"/>
            <w:rPr>
              <w:rFonts w:ascii="Times New Roman" w:hAnsi="Times New Roman"/>
              <w:caps/>
            </w:rPr>
          </w:pPr>
          <w:r w:rsidRPr="00FA53EA">
            <w:rPr>
              <w:rFonts w:ascii="Times New Roman" w:hAnsi="Times New Roman"/>
              <w:caps/>
            </w:rPr>
            <w:t>An Econometric analysis of labor mobility, economic development, and violence in the israeli-palestinian conflict</w:t>
          </w:r>
        </w:p>
      </w:sdtContent>
    </w:sdt>
    <w:p w14:paraId="25EF8791" w14:textId="77777777" w:rsidR="00DA59DE" w:rsidRPr="0008176F" w:rsidRDefault="00DA59DE" w:rsidP="00E171D3">
      <w:pPr>
        <w:pStyle w:val="NoSpacing"/>
        <w:spacing w:line="480" w:lineRule="auto"/>
        <w:jc w:val="center"/>
        <w:rPr>
          <w:caps/>
        </w:rPr>
      </w:pPr>
    </w:p>
    <w:p w14:paraId="71308403" w14:textId="77777777" w:rsidR="00DA59DE" w:rsidRDefault="00DA59DE" w:rsidP="00DA59DE">
      <w:pPr>
        <w:pStyle w:val="NoSpacing"/>
        <w:jc w:val="center"/>
        <w:rPr>
          <w:caps/>
        </w:rPr>
      </w:pPr>
    </w:p>
    <w:p w14:paraId="37E58B1A" w14:textId="77777777" w:rsidR="00C82F6F" w:rsidRDefault="00C82F6F" w:rsidP="00DA59DE">
      <w:pPr>
        <w:pStyle w:val="NoSpacing"/>
        <w:jc w:val="center"/>
        <w:rPr>
          <w:caps/>
        </w:rPr>
      </w:pPr>
    </w:p>
    <w:p w14:paraId="7C164746" w14:textId="77777777" w:rsidR="00C82F6F" w:rsidRDefault="00C82F6F" w:rsidP="00DA59DE">
      <w:pPr>
        <w:pStyle w:val="NoSpacing"/>
        <w:jc w:val="center"/>
        <w:rPr>
          <w:caps/>
        </w:rPr>
      </w:pPr>
    </w:p>
    <w:p w14:paraId="7DB938AB" w14:textId="77777777" w:rsidR="00C82F6F" w:rsidRDefault="00C82F6F" w:rsidP="00DA59DE">
      <w:pPr>
        <w:pStyle w:val="NoSpacing"/>
        <w:jc w:val="center"/>
        <w:rPr>
          <w:caps/>
        </w:rPr>
      </w:pPr>
    </w:p>
    <w:p w14:paraId="6D456C16" w14:textId="77777777" w:rsidR="00DA59DE" w:rsidRPr="0008176F" w:rsidRDefault="00DA59DE" w:rsidP="00DA59DE">
      <w:pPr>
        <w:pStyle w:val="NoSpacing"/>
        <w:jc w:val="center"/>
        <w:rPr>
          <w:caps/>
        </w:rPr>
      </w:pPr>
    </w:p>
    <w:p w14:paraId="1B5071B8" w14:textId="77777777" w:rsidR="00DA59DE" w:rsidRPr="0008176F" w:rsidRDefault="00DA59DE" w:rsidP="00DA59DE">
      <w:pPr>
        <w:pStyle w:val="NoSpacing"/>
        <w:jc w:val="center"/>
        <w:rPr>
          <w:caps/>
        </w:rPr>
      </w:pPr>
    </w:p>
    <w:p w14:paraId="78275EB5" w14:textId="1CE44C49" w:rsidR="00DA59DE" w:rsidRDefault="00C82F6F" w:rsidP="00DA59DE">
      <w:pPr>
        <w:pStyle w:val="NoSpacing"/>
        <w:jc w:val="center"/>
        <w:rPr>
          <w:rFonts w:ascii="Times New Roman" w:hAnsi="Times New Roman"/>
          <w:caps/>
        </w:rPr>
      </w:pPr>
      <w:r>
        <w:rPr>
          <w:rFonts w:ascii="Times New Roman" w:hAnsi="Times New Roman"/>
          <w:caps/>
        </w:rPr>
        <w:t>A Thesis</w:t>
      </w:r>
    </w:p>
    <w:p w14:paraId="0C75C3C6" w14:textId="77777777" w:rsidR="00C82F6F" w:rsidRDefault="00C82F6F" w:rsidP="00DA59DE">
      <w:pPr>
        <w:pStyle w:val="NoSpacing"/>
        <w:jc w:val="center"/>
        <w:rPr>
          <w:rFonts w:ascii="Times New Roman" w:hAnsi="Times New Roman"/>
          <w:caps/>
        </w:rPr>
      </w:pPr>
    </w:p>
    <w:p w14:paraId="7D4F5FB0" w14:textId="2BE706EA" w:rsidR="00C82F6F" w:rsidRDefault="00C82F6F" w:rsidP="00DA59DE">
      <w:pPr>
        <w:pStyle w:val="NoSpacing"/>
        <w:jc w:val="center"/>
        <w:rPr>
          <w:rFonts w:ascii="Times New Roman" w:hAnsi="Times New Roman"/>
          <w:caps/>
        </w:rPr>
      </w:pPr>
      <w:r>
        <w:rPr>
          <w:rFonts w:ascii="Times New Roman" w:hAnsi="Times New Roman"/>
          <w:caps/>
        </w:rPr>
        <w:t>submitted to the graduate faculty</w:t>
      </w:r>
    </w:p>
    <w:p w14:paraId="6916D49A" w14:textId="77777777" w:rsidR="00C82F6F" w:rsidRDefault="00C82F6F" w:rsidP="00DA59DE">
      <w:pPr>
        <w:pStyle w:val="NoSpacing"/>
        <w:jc w:val="center"/>
        <w:rPr>
          <w:rFonts w:ascii="Times New Roman" w:hAnsi="Times New Roman"/>
          <w:caps/>
        </w:rPr>
      </w:pPr>
    </w:p>
    <w:p w14:paraId="59011938" w14:textId="2D2BAF1E" w:rsidR="00C82F6F" w:rsidRDefault="00C82F6F" w:rsidP="00DA59DE">
      <w:pPr>
        <w:pStyle w:val="NoSpacing"/>
        <w:jc w:val="center"/>
        <w:rPr>
          <w:rFonts w:ascii="Times New Roman" w:hAnsi="Times New Roman"/>
          <w:caps/>
        </w:rPr>
      </w:pPr>
      <w:r>
        <w:rPr>
          <w:rFonts w:ascii="Times New Roman" w:hAnsi="Times New Roman"/>
        </w:rPr>
        <w:t xml:space="preserve">in partial fulfillment of the requirements for the </w:t>
      </w:r>
    </w:p>
    <w:p w14:paraId="1A316DDC" w14:textId="77777777" w:rsidR="00C82F6F" w:rsidRDefault="00C82F6F" w:rsidP="00DA59DE">
      <w:pPr>
        <w:pStyle w:val="NoSpacing"/>
        <w:jc w:val="center"/>
        <w:rPr>
          <w:rFonts w:ascii="Times New Roman" w:hAnsi="Times New Roman"/>
          <w:caps/>
        </w:rPr>
      </w:pPr>
    </w:p>
    <w:p w14:paraId="6B89F019" w14:textId="25D001E6" w:rsidR="00C82F6F" w:rsidRDefault="00C82F6F" w:rsidP="00C82F6F">
      <w:pPr>
        <w:pStyle w:val="NoSpacing"/>
        <w:jc w:val="center"/>
        <w:rPr>
          <w:rFonts w:ascii="Times New Roman" w:hAnsi="Times New Roman"/>
          <w:caps/>
        </w:rPr>
      </w:pPr>
      <w:r>
        <w:rPr>
          <w:rFonts w:ascii="Times New Roman" w:hAnsi="Times New Roman"/>
        </w:rPr>
        <w:t xml:space="preserve">Degree of </w:t>
      </w:r>
    </w:p>
    <w:p w14:paraId="3975D9AE" w14:textId="77777777" w:rsidR="00C82F6F" w:rsidRDefault="00C82F6F" w:rsidP="00C82F6F">
      <w:pPr>
        <w:pStyle w:val="NoSpacing"/>
        <w:jc w:val="center"/>
        <w:rPr>
          <w:rFonts w:ascii="Times New Roman" w:hAnsi="Times New Roman"/>
          <w:caps/>
        </w:rPr>
      </w:pPr>
    </w:p>
    <w:p w14:paraId="4220A0CC" w14:textId="78C57B29" w:rsidR="00C82F6F" w:rsidRPr="00C82F6F" w:rsidRDefault="00C82F6F" w:rsidP="00C82F6F">
      <w:pPr>
        <w:pStyle w:val="NoSpacing"/>
        <w:jc w:val="center"/>
        <w:rPr>
          <w:rFonts w:ascii="Times New Roman" w:hAnsi="Times New Roman"/>
          <w:caps/>
        </w:rPr>
      </w:pPr>
      <w:r>
        <w:rPr>
          <w:rFonts w:ascii="Times New Roman" w:hAnsi="Times New Roman"/>
          <w:caps/>
        </w:rPr>
        <w:t>MASTER OF ARTS IN INTERNATIONAL STUDIES</w:t>
      </w:r>
    </w:p>
    <w:p w14:paraId="19692ECE" w14:textId="77777777" w:rsidR="00DA59DE" w:rsidRPr="0008176F" w:rsidRDefault="00DA59DE" w:rsidP="00DA59DE">
      <w:pPr>
        <w:pStyle w:val="NoSpacing"/>
        <w:jc w:val="center"/>
        <w:rPr>
          <w:caps/>
        </w:rPr>
      </w:pPr>
    </w:p>
    <w:p w14:paraId="6094FFC2" w14:textId="77777777" w:rsidR="00DA59DE" w:rsidRDefault="00DA59DE" w:rsidP="00DA59DE">
      <w:pPr>
        <w:pStyle w:val="NoSpacing"/>
        <w:jc w:val="center"/>
      </w:pPr>
    </w:p>
    <w:p w14:paraId="6EBC191A" w14:textId="77777777" w:rsidR="00DA59DE" w:rsidRDefault="00DA59DE" w:rsidP="00DA59DE">
      <w:pPr>
        <w:pStyle w:val="NoSpacing"/>
        <w:jc w:val="center"/>
      </w:pPr>
    </w:p>
    <w:p w14:paraId="411BEB10" w14:textId="77777777" w:rsidR="00DA59DE" w:rsidRDefault="00DA59DE" w:rsidP="00DA59DE">
      <w:pPr>
        <w:pStyle w:val="NoSpacing"/>
        <w:jc w:val="center"/>
      </w:pPr>
    </w:p>
    <w:p w14:paraId="1F212F3B" w14:textId="77777777" w:rsidR="00C82F6F" w:rsidRDefault="00C82F6F" w:rsidP="00DA59DE">
      <w:pPr>
        <w:pStyle w:val="NoSpacing"/>
        <w:jc w:val="center"/>
      </w:pPr>
    </w:p>
    <w:p w14:paraId="571DA1CE" w14:textId="77777777" w:rsidR="00C82F6F" w:rsidRDefault="00C82F6F" w:rsidP="00DA59DE">
      <w:pPr>
        <w:pStyle w:val="NoSpacing"/>
        <w:jc w:val="center"/>
      </w:pPr>
    </w:p>
    <w:p w14:paraId="67159EF3" w14:textId="77777777" w:rsidR="00DA59DE" w:rsidRDefault="00DA59DE" w:rsidP="00DA59DE">
      <w:pPr>
        <w:pStyle w:val="NoSpacing"/>
        <w:jc w:val="center"/>
      </w:pPr>
    </w:p>
    <w:p w14:paraId="342A2C07" w14:textId="77777777" w:rsidR="00C82F6F" w:rsidRDefault="00C82F6F" w:rsidP="00DA59DE">
      <w:pPr>
        <w:pStyle w:val="NoSpacing"/>
        <w:jc w:val="center"/>
      </w:pPr>
    </w:p>
    <w:p w14:paraId="5C3C42B3" w14:textId="77777777" w:rsidR="00C82F6F" w:rsidRDefault="00C82F6F" w:rsidP="00C82F6F">
      <w:pPr>
        <w:pStyle w:val="NoSpacing"/>
        <w:rPr>
          <w:rFonts w:ascii="Times New Roman" w:hAnsi="Times New Roman"/>
        </w:rPr>
      </w:pPr>
    </w:p>
    <w:p w14:paraId="0ED7C152" w14:textId="77777777" w:rsidR="00C82F6F" w:rsidRDefault="00C82F6F" w:rsidP="00DA59DE">
      <w:pPr>
        <w:pStyle w:val="NoSpacing"/>
        <w:jc w:val="center"/>
        <w:rPr>
          <w:rFonts w:ascii="Times New Roman" w:hAnsi="Times New Roman"/>
        </w:rPr>
      </w:pPr>
      <w:r>
        <w:rPr>
          <w:rFonts w:ascii="Times New Roman" w:hAnsi="Times New Roman"/>
        </w:rPr>
        <w:t>By</w:t>
      </w:r>
    </w:p>
    <w:p w14:paraId="18127A96" w14:textId="77777777" w:rsidR="00C82F6F" w:rsidRDefault="00C82F6F" w:rsidP="00DA59DE">
      <w:pPr>
        <w:pStyle w:val="NoSpacing"/>
        <w:jc w:val="center"/>
        <w:rPr>
          <w:rFonts w:ascii="Times New Roman" w:hAnsi="Times New Roman"/>
        </w:rPr>
      </w:pPr>
    </w:p>
    <w:p w14:paraId="17F58584" w14:textId="77777777" w:rsidR="00C82F6F" w:rsidRDefault="00C82F6F" w:rsidP="00DA59DE">
      <w:pPr>
        <w:pStyle w:val="NoSpacing"/>
        <w:jc w:val="center"/>
        <w:rPr>
          <w:rFonts w:ascii="Times New Roman" w:hAnsi="Times New Roman"/>
        </w:rPr>
      </w:pPr>
      <w:r>
        <w:rPr>
          <w:rFonts w:ascii="Times New Roman" w:hAnsi="Times New Roman"/>
        </w:rPr>
        <w:t>DANIEL MOSES</w:t>
      </w:r>
    </w:p>
    <w:p w14:paraId="2A9D92E5" w14:textId="77777777" w:rsidR="00C82F6F" w:rsidRDefault="00C82F6F" w:rsidP="00C82F6F">
      <w:pPr>
        <w:pStyle w:val="NoSpacing"/>
        <w:jc w:val="center"/>
        <w:rPr>
          <w:rFonts w:ascii="Times New Roman" w:hAnsi="Times New Roman"/>
        </w:rPr>
      </w:pPr>
      <w:r>
        <w:rPr>
          <w:rFonts w:ascii="Times New Roman" w:hAnsi="Times New Roman"/>
        </w:rPr>
        <w:t>Norman, Oklahoma</w:t>
      </w:r>
    </w:p>
    <w:p w14:paraId="396A6DCC" w14:textId="337BEC6F" w:rsidR="00DA59DE" w:rsidRPr="00C82F6F" w:rsidRDefault="00C82F6F" w:rsidP="00C82F6F">
      <w:pPr>
        <w:pStyle w:val="NoSpacing"/>
        <w:jc w:val="center"/>
        <w:rPr>
          <w:rFonts w:ascii="Times New Roman" w:hAnsi="Times New Roman"/>
        </w:rPr>
      </w:pPr>
      <w:r>
        <w:rPr>
          <w:rFonts w:ascii="Times New Roman" w:hAnsi="Times New Roman"/>
        </w:rPr>
        <w:t>2016</w:t>
      </w:r>
      <w:r w:rsidR="00DA59DE">
        <w:br w:type="page"/>
      </w:r>
    </w:p>
    <w:p w14:paraId="43030AA5" w14:textId="77777777" w:rsidR="00DA59DE" w:rsidRDefault="00DA59DE" w:rsidP="00DA59DE">
      <w:pPr>
        <w:pStyle w:val="NoSpacing"/>
        <w:jc w:val="center"/>
      </w:pPr>
    </w:p>
    <w:p w14:paraId="66BC261E" w14:textId="77777777" w:rsidR="00DA59DE" w:rsidRDefault="00DA59DE" w:rsidP="00DA59DE">
      <w:pPr>
        <w:pStyle w:val="NoSpacing"/>
        <w:jc w:val="center"/>
      </w:pPr>
    </w:p>
    <w:p w14:paraId="5B0F465B" w14:textId="77777777" w:rsidR="00DA59DE" w:rsidRDefault="00DA59DE" w:rsidP="00DA59DE">
      <w:pPr>
        <w:pStyle w:val="NoSpacing"/>
        <w:jc w:val="center"/>
      </w:pPr>
    </w:p>
    <w:p w14:paraId="740AFBC1" w14:textId="77777777" w:rsidR="00DA59DE" w:rsidRDefault="00DA59DE" w:rsidP="00DA59DE">
      <w:pPr>
        <w:pStyle w:val="NoSpacing"/>
        <w:jc w:val="center"/>
      </w:pPr>
    </w:p>
    <w:p w14:paraId="64690E20" w14:textId="77777777" w:rsidR="00DA59DE" w:rsidRPr="00C82F6F" w:rsidRDefault="00DA59DE" w:rsidP="00DA59DE">
      <w:pPr>
        <w:pStyle w:val="NoSpacing"/>
        <w:jc w:val="center"/>
        <w:rPr>
          <w:rFonts w:ascii="Times New Roman" w:hAnsi="Times New Roman"/>
        </w:rPr>
      </w:pPr>
    </w:p>
    <w:sdt>
      <w:sdtPr>
        <w:rPr>
          <w:rFonts w:ascii="Times New Roman" w:hAnsi="Times New Roman"/>
          <w:caps/>
        </w:rPr>
        <w:alias w:val="Click to enter thesis title"/>
        <w:tag w:val="Click to enter thesis title"/>
        <w:id w:val="-382402157"/>
        <w:placeholder>
          <w:docPart w:val="269F07AAC8D8A44B96FA62F6D19C4F0D"/>
        </w:placeholder>
      </w:sdtPr>
      <w:sdtEndPr/>
      <w:sdtContent>
        <w:p w14:paraId="4FADA634" w14:textId="77777777" w:rsidR="00DA59DE" w:rsidRPr="00C82F6F" w:rsidRDefault="00DA59DE" w:rsidP="00E171D3">
          <w:pPr>
            <w:pStyle w:val="NoSpacing"/>
            <w:jc w:val="center"/>
            <w:rPr>
              <w:rFonts w:ascii="Times New Roman" w:hAnsi="Times New Roman"/>
              <w:caps/>
            </w:rPr>
          </w:pPr>
          <w:r w:rsidRPr="00C82F6F">
            <w:rPr>
              <w:rFonts w:ascii="Times New Roman" w:hAnsi="Times New Roman"/>
              <w:caps/>
            </w:rPr>
            <w:t xml:space="preserve">Billions of Dollars Lost Along the Checkpoints? </w:t>
          </w:r>
        </w:p>
        <w:p w14:paraId="53CE0324" w14:textId="77777777" w:rsidR="00DA59DE" w:rsidRPr="00C82F6F" w:rsidRDefault="00DA59DE" w:rsidP="00E171D3">
          <w:pPr>
            <w:pStyle w:val="NoSpacing"/>
            <w:jc w:val="center"/>
            <w:rPr>
              <w:rFonts w:ascii="Times New Roman" w:hAnsi="Times New Roman"/>
              <w:caps/>
            </w:rPr>
          </w:pPr>
          <w:r w:rsidRPr="00C82F6F">
            <w:rPr>
              <w:rFonts w:ascii="Times New Roman" w:hAnsi="Times New Roman"/>
              <w:caps/>
            </w:rPr>
            <w:t>An Econometric analysis of labor mobility, economic development, and violence in the israeli-palestinian conflict</w:t>
          </w:r>
        </w:p>
      </w:sdtContent>
    </w:sdt>
    <w:p w14:paraId="215B50C0" w14:textId="77777777" w:rsidR="00DA59DE" w:rsidRDefault="00DA59DE" w:rsidP="00DA59DE">
      <w:pPr>
        <w:pStyle w:val="NoSpacing"/>
        <w:jc w:val="center"/>
        <w:rPr>
          <w:caps/>
        </w:rPr>
      </w:pPr>
    </w:p>
    <w:p w14:paraId="61CB3ABA" w14:textId="77777777" w:rsidR="003B1DCB" w:rsidRDefault="003B1DCB" w:rsidP="00DA59DE">
      <w:pPr>
        <w:pStyle w:val="NoSpacing"/>
        <w:jc w:val="center"/>
        <w:rPr>
          <w:caps/>
        </w:rPr>
      </w:pPr>
    </w:p>
    <w:p w14:paraId="4C98D680" w14:textId="77777777" w:rsidR="003B1DCB" w:rsidRDefault="003B1DCB" w:rsidP="00DA59DE">
      <w:pPr>
        <w:pStyle w:val="NoSpacing"/>
        <w:jc w:val="center"/>
        <w:rPr>
          <w:caps/>
        </w:rPr>
      </w:pPr>
    </w:p>
    <w:p w14:paraId="1E69B9AE" w14:textId="77777777" w:rsidR="003B1DCB" w:rsidRDefault="003B1DCB" w:rsidP="00DA59DE">
      <w:pPr>
        <w:pStyle w:val="NoSpacing"/>
        <w:jc w:val="center"/>
        <w:rPr>
          <w:caps/>
        </w:rPr>
      </w:pPr>
    </w:p>
    <w:p w14:paraId="5904FF22" w14:textId="77777777" w:rsidR="003B1DCB" w:rsidRPr="0008176F" w:rsidRDefault="003B1DCB" w:rsidP="00DA59DE">
      <w:pPr>
        <w:pStyle w:val="NoSpacing"/>
        <w:jc w:val="center"/>
        <w:rPr>
          <w:caps/>
        </w:rPr>
      </w:pPr>
    </w:p>
    <w:p w14:paraId="63245262" w14:textId="77777777" w:rsidR="00DA59DE" w:rsidRPr="00730F0A" w:rsidRDefault="00DA59DE" w:rsidP="00DA59DE">
      <w:pPr>
        <w:pStyle w:val="NoSpacing"/>
        <w:jc w:val="center"/>
        <w:rPr>
          <w:caps/>
        </w:rPr>
      </w:pPr>
    </w:p>
    <w:sdt>
      <w:sdtPr>
        <w:rPr>
          <w:caps/>
        </w:rPr>
        <w:id w:val="30091875"/>
        <w:lock w:val="contentLocked"/>
        <w:placeholder>
          <w:docPart w:val="096D2B700A4B164C910A7E1A4E00FD53"/>
        </w:placeholder>
        <w:group/>
      </w:sdtPr>
      <w:sdtEndPr/>
      <w:sdtContent>
        <w:p w14:paraId="0379722A" w14:textId="77777777" w:rsidR="00DA59DE" w:rsidRPr="00730F0A" w:rsidRDefault="00DA59DE" w:rsidP="00DA59DE">
          <w:pPr>
            <w:pStyle w:val="NoSpacing"/>
            <w:jc w:val="center"/>
            <w:rPr>
              <w:caps/>
            </w:rPr>
          </w:pPr>
          <w:r w:rsidRPr="00730F0A">
            <w:rPr>
              <w:caps/>
            </w:rPr>
            <w:t>A thesis approved for the</w:t>
          </w:r>
        </w:p>
      </w:sdtContent>
    </w:sdt>
    <w:p w14:paraId="0B1797F2" w14:textId="320807C7" w:rsidR="00DA59DE" w:rsidRDefault="00DA59DE" w:rsidP="00DA59DE">
      <w:pPr>
        <w:pStyle w:val="NoSpacing"/>
        <w:jc w:val="center"/>
        <w:rPr>
          <w:caps/>
        </w:rPr>
      </w:pPr>
      <w:r>
        <w:rPr>
          <w:caps/>
        </w:rPr>
        <w:t>college of international studies</w:t>
      </w:r>
    </w:p>
    <w:p w14:paraId="286D5BF5" w14:textId="77777777" w:rsidR="00DA59DE" w:rsidRDefault="00DA59DE" w:rsidP="00DA59DE">
      <w:pPr>
        <w:pStyle w:val="NoSpacing"/>
        <w:jc w:val="center"/>
        <w:rPr>
          <w:caps/>
        </w:rPr>
      </w:pPr>
    </w:p>
    <w:p w14:paraId="066D815A" w14:textId="77777777" w:rsidR="00DA59DE" w:rsidRPr="00730F0A" w:rsidRDefault="00DA59DE" w:rsidP="00DA59DE">
      <w:pPr>
        <w:pStyle w:val="NoSpacing"/>
        <w:jc w:val="center"/>
        <w:rPr>
          <w:caps/>
        </w:rPr>
      </w:pPr>
    </w:p>
    <w:p w14:paraId="232CD23E" w14:textId="77777777" w:rsidR="00DA59DE" w:rsidRPr="00730F0A" w:rsidRDefault="00DA59DE" w:rsidP="00DA59DE">
      <w:pPr>
        <w:pStyle w:val="NoSpacing"/>
        <w:jc w:val="center"/>
        <w:rPr>
          <w:caps/>
        </w:rPr>
      </w:pPr>
    </w:p>
    <w:p w14:paraId="098A5843" w14:textId="77777777" w:rsidR="00DA59DE" w:rsidRDefault="00DA59DE" w:rsidP="00DA59DE">
      <w:pPr>
        <w:pStyle w:val="NoSpacing"/>
        <w:jc w:val="center"/>
        <w:rPr>
          <w:caps/>
        </w:rPr>
      </w:pPr>
    </w:p>
    <w:p w14:paraId="2B87A5C5" w14:textId="77777777" w:rsidR="00DA59DE" w:rsidRPr="00730F0A" w:rsidRDefault="00DA59DE" w:rsidP="00DA59DE">
      <w:pPr>
        <w:pStyle w:val="NoSpacing"/>
        <w:jc w:val="center"/>
        <w:rPr>
          <w:caps/>
        </w:rPr>
      </w:pPr>
    </w:p>
    <w:sdt>
      <w:sdtPr>
        <w:rPr>
          <w:caps/>
          <w:color w:val="808080"/>
        </w:rPr>
        <w:id w:val="30091876"/>
        <w:lock w:val="contentLocked"/>
        <w:placeholder>
          <w:docPart w:val="096D2B700A4B164C910A7E1A4E00FD53"/>
        </w:placeholder>
        <w:group/>
      </w:sdtPr>
      <w:sdtEndPr/>
      <w:sdtContent>
        <w:p w14:paraId="0DEF53B5" w14:textId="77777777" w:rsidR="00DA59DE" w:rsidRPr="00730F0A" w:rsidRDefault="00DA59DE" w:rsidP="00DA59DE">
          <w:pPr>
            <w:pStyle w:val="NoSpacing"/>
            <w:jc w:val="center"/>
            <w:rPr>
              <w:caps/>
            </w:rPr>
          </w:pPr>
          <w:r w:rsidRPr="00730F0A">
            <w:rPr>
              <w:caps/>
            </w:rPr>
            <w:t>By</w:t>
          </w:r>
        </w:p>
      </w:sdtContent>
    </w:sdt>
    <w:p w14:paraId="316AF1C4" w14:textId="77777777" w:rsidR="00DA59DE" w:rsidRDefault="00DA59DE" w:rsidP="00DA59DE">
      <w:pPr>
        <w:pStyle w:val="NoSpacing"/>
        <w:jc w:val="center"/>
      </w:pPr>
    </w:p>
    <w:p w14:paraId="6EC9A9B7" w14:textId="77777777" w:rsidR="00DA59DE" w:rsidRDefault="00DA59DE" w:rsidP="00DA59DE">
      <w:pPr>
        <w:pStyle w:val="NoSpacing"/>
        <w:jc w:val="center"/>
      </w:pPr>
    </w:p>
    <w:p w14:paraId="2674D4EF" w14:textId="77777777" w:rsidR="00DA59DE" w:rsidRDefault="00DA59DE" w:rsidP="00DA59DE">
      <w:pPr>
        <w:pStyle w:val="NoSpacing"/>
        <w:jc w:val="center"/>
      </w:pPr>
    </w:p>
    <w:p w14:paraId="4980D68E" w14:textId="77777777" w:rsidR="00DA59DE" w:rsidRDefault="00DA59DE" w:rsidP="00DA59DE">
      <w:pPr>
        <w:pStyle w:val="NoSpacing"/>
        <w:jc w:val="center"/>
      </w:pPr>
    </w:p>
    <w:p w14:paraId="2F34F162" w14:textId="77777777" w:rsidR="00DA59DE" w:rsidRPr="00EB6F9B" w:rsidRDefault="00DA59DE" w:rsidP="00DA59DE">
      <w:pPr>
        <w:pStyle w:val="NoSpacing"/>
        <w:jc w:val="right"/>
      </w:pPr>
      <w:r>
        <w:t>______________________________</w:t>
      </w:r>
    </w:p>
    <w:p w14:paraId="1D1D11CC" w14:textId="77777777" w:rsidR="00DA59DE" w:rsidRDefault="00DA59DE" w:rsidP="00DA59DE">
      <w:pPr>
        <w:pStyle w:val="NoSpacing"/>
        <w:jc w:val="right"/>
      </w:pPr>
      <w:r>
        <w:t>Dr. Robin Grier, Chair</w:t>
      </w:r>
    </w:p>
    <w:p w14:paraId="7F4086BD" w14:textId="77777777" w:rsidR="00DA59DE" w:rsidRDefault="00DA59DE" w:rsidP="00DA59DE">
      <w:pPr>
        <w:pStyle w:val="NoSpacing"/>
        <w:jc w:val="right"/>
      </w:pPr>
    </w:p>
    <w:p w14:paraId="697DF360" w14:textId="77777777" w:rsidR="00DA59DE" w:rsidRDefault="00DA59DE" w:rsidP="00DA59DE">
      <w:pPr>
        <w:pStyle w:val="NoSpacing"/>
        <w:jc w:val="right"/>
      </w:pPr>
    </w:p>
    <w:p w14:paraId="1FEE8750" w14:textId="77777777" w:rsidR="00DA59DE" w:rsidRPr="00EB6F9B" w:rsidRDefault="00DA59DE" w:rsidP="00DA59DE">
      <w:pPr>
        <w:pStyle w:val="NoSpacing"/>
        <w:jc w:val="right"/>
      </w:pPr>
      <w:r>
        <w:t>______________________________</w:t>
      </w:r>
    </w:p>
    <w:p w14:paraId="1CC9CEF2" w14:textId="77777777" w:rsidR="00DA59DE" w:rsidRDefault="00DA59DE" w:rsidP="00DA59DE">
      <w:pPr>
        <w:pStyle w:val="NoSpacing"/>
        <w:jc w:val="right"/>
      </w:pPr>
      <w:r>
        <w:t xml:space="preserve">Dr. D. Gershon Lewental </w:t>
      </w:r>
    </w:p>
    <w:p w14:paraId="0514ED50" w14:textId="77777777" w:rsidR="00DA59DE" w:rsidRDefault="00DA59DE" w:rsidP="00DA59DE">
      <w:pPr>
        <w:pStyle w:val="NoSpacing"/>
        <w:jc w:val="right"/>
      </w:pPr>
    </w:p>
    <w:p w14:paraId="72E07A9E" w14:textId="77777777" w:rsidR="00E73FAF" w:rsidRDefault="00E73FAF" w:rsidP="00DA59DE">
      <w:pPr>
        <w:pStyle w:val="NoSpacing"/>
        <w:jc w:val="right"/>
      </w:pPr>
    </w:p>
    <w:p w14:paraId="0EE0CFE9" w14:textId="77777777" w:rsidR="00DA59DE" w:rsidRPr="00EB6F9B" w:rsidRDefault="00DA59DE" w:rsidP="00DA59DE">
      <w:pPr>
        <w:pStyle w:val="NoSpacing"/>
        <w:jc w:val="right"/>
      </w:pPr>
      <w:r>
        <w:t>______________________________</w:t>
      </w:r>
    </w:p>
    <w:p w14:paraId="6194D9CF" w14:textId="77777777" w:rsidR="00DA59DE" w:rsidRDefault="00DA59DE" w:rsidP="00DA59DE">
      <w:pPr>
        <w:pStyle w:val="NoSpacing"/>
        <w:jc w:val="right"/>
      </w:pPr>
      <w:r>
        <w:t>Dr. Joshua Landis</w:t>
      </w:r>
    </w:p>
    <w:p w14:paraId="01EA1F5E" w14:textId="7A65D1F7" w:rsidR="00DA59DE" w:rsidRDefault="00DA59DE" w:rsidP="00DA59DE">
      <w:pPr>
        <w:pStyle w:val="NoSpacing"/>
        <w:jc w:val="right"/>
      </w:pPr>
    </w:p>
    <w:p w14:paraId="0DC1FB3F" w14:textId="77777777" w:rsidR="00DA59DE" w:rsidRDefault="00DA59DE" w:rsidP="00DA59DE">
      <w:pPr>
        <w:pStyle w:val="NoSpacing"/>
        <w:jc w:val="center"/>
      </w:pPr>
      <w:r>
        <w:br w:type="page"/>
      </w:r>
    </w:p>
    <w:p w14:paraId="65D045CD" w14:textId="77777777" w:rsidR="00DA59DE" w:rsidRDefault="00DA59DE" w:rsidP="00DA59DE">
      <w:pPr>
        <w:pStyle w:val="NoSpacing"/>
        <w:jc w:val="center"/>
      </w:pPr>
    </w:p>
    <w:p w14:paraId="0212B6DF" w14:textId="77777777" w:rsidR="00DA59DE" w:rsidRDefault="00DA59DE" w:rsidP="00DA59DE">
      <w:pPr>
        <w:pStyle w:val="NoSpacing"/>
        <w:jc w:val="center"/>
      </w:pPr>
    </w:p>
    <w:p w14:paraId="22FE43FB" w14:textId="77777777" w:rsidR="00DA59DE" w:rsidRDefault="00DA59DE" w:rsidP="00DA59DE">
      <w:pPr>
        <w:pStyle w:val="NoSpacing"/>
        <w:jc w:val="center"/>
      </w:pPr>
    </w:p>
    <w:p w14:paraId="0F82CC28" w14:textId="77777777" w:rsidR="00DA59DE" w:rsidRDefault="00DA59DE" w:rsidP="00DA59DE">
      <w:pPr>
        <w:pStyle w:val="NoSpacing"/>
        <w:jc w:val="center"/>
      </w:pPr>
    </w:p>
    <w:p w14:paraId="27DEC817" w14:textId="77777777" w:rsidR="00DA59DE" w:rsidRDefault="00DA59DE" w:rsidP="00DA59DE">
      <w:pPr>
        <w:pStyle w:val="NoSpacing"/>
        <w:jc w:val="center"/>
      </w:pPr>
    </w:p>
    <w:p w14:paraId="28AEDE9E" w14:textId="77777777" w:rsidR="00DA59DE" w:rsidRDefault="00DA59DE" w:rsidP="00DA59DE">
      <w:pPr>
        <w:pStyle w:val="NoSpacing"/>
        <w:jc w:val="center"/>
      </w:pPr>
    </w:p>
    <w:p w14:paraId="579F1915" w14:textId="77777777" w:rsidR="00DA59DE" w:rsidRDefault="00DA59DE" w:rsidP="00DA59DE">
      <w:pPr>
        <w:pStyle w:val="NoSpacing"/>
        <w:jc w:val="center"/>
      </w:pPr>
    </w:p>
    <w:p w14:paraId="0D9211A0" w14:textId="77777777" w:rsidR="00DA59DE" w:rsidRDefault="00DA59DE" w:rsidP="00DA59DE">
      <w:pPr>
        <w:pStyle w:val="NoSpacing"/>
        <w:jc w:val="center"/>
      </w:pPr>
    </w:p>
    <w:p w14:paraId="37BAD62E" w14:textId="77777777" w:rsidR="00DA59DE" w:rsidRDefault="00DA59DE" w:rsidP="00DA59DE">
      <w:pPr>
        <w:pStyle w:val="NoSpacing"/>
        <w:jc w:val="center"/>
      </w:pPr>
    </w:p>
    <w:p w14:paraId="15B77F40" w14:textId="77777777" w:rsidR="00DA59DE" w:rsidRDefault="00DA59DE" w:rsidP="00DA59DE">
      <w:pPr>
        <w:pStyle w:val="NoSpacing"/>
        <w:jc w:val="center"/>
      </w:pPr>
    </w:p>
    <w:p w14:paraId="3B997A3D" w14:textId="77777777" w:rsidR="00DA59DE" w:rsidRDefault="00DA59DE" w:rsidP="00DA59DE">
      <w:pPr>
        <w:pStyle w:val="NoSpacing"/>
        <w:jc w:val="center"/>
      </w:pPr>
    </w:p>
    <w:p w14:paraId="09F354A6" w14:textId="77777777" w:rsidR="00DA59DE" w:rsidRDefault="00DA59DE" w:rsidP="00DA59DE">
      <w:pPr>
        <w:pStyle w:val="NoSpacing"/>
        <w:jc w:val="center"/>
      </w:pPr>
    </w:p>
    <w:p w14:paraId="570319A7" w14:textId="77777777" w:rsidR="00DA59DE" w:rsidRDefault="00DA59DE" w:rsidP="00DA59DE">
      <w:pPr>
        <w:pStyle w:val="NoSpacing"/>
        <w:jc w:val="center"/>
      </w:pPr>
    </w:p>
    <w:p w14:paraId="2CFC0219" w14:textId="77777777" w:rsidR="00DA59DE" w:rsidRDefault="00DA59DE" w:rsidP="00DA59DE">
      <w:pPr>
        <w:pStyle w:val="NoSpacing"/>
        <w:jc w:val="center"/>
      </w:pPr>
    </w:p>
    <w:p w14:paraId="5AE9382C" w14:textId="77777777" w:rsidR="00DA59DE" w:rsidRDefault="00DA59DE" w:rsidP="00DA59DE">
      <w:pPr>
        <w:pStyle w:val="NoSpacing"/>
        <w:jc w:val="center"/>
      </w:pPr>
    </w:p>
    <w:p w14:paraId="401CC793" w14:textId="77777777" w:rsidR="00DA59DE" w:rsidRDefault="00DA59DE" w:rsidP="00DA59DE">
      <w:pPr>
        <w:pStyle w:val="NoSpacing"/>
        <w:jc w:val="center"/>
      </w:pPr>
    </w:p>
    <w:p w14:paraId="2B213935" w14:textId="77777777" w:rsidR="00DA59DE" w:rsidRDefault="00DA59DE" w:rsidP="00DA59DE">
      <w:pPr>
        <w:pStyle w:val="NoSpacing"/>
        <w:jc w:val="center"/>
      </w:pPr>
    </w:p>
    <w:p w14:paraId="349C61D3" w14:textId="77777777" w:rsidR="00DA59DE" w:rsidRDefault="00DA59DE" w:rsidP="00DA59DE">
      <w:pPr>
        <w:pStyle w:val="NoSpacing"/>
        <w:jc w:val="center"/>
      </w:pPr>
    </w:p>
    <w:p w14:paraId="6E619EA3" w14:textId="77777777" w:rsidR="00DA59DE" w:rsidRDefault="00DA59DE" w:rsidP="00DA59DE">
      <w:pPr>
        <w:pStyle w:val="NoSpacing"/>
        <w:jc w:val="center"/>
      </w:pPr>
    </w:p>
    <w:p w14:paraId="320FBBE4" w14:textId="77777777" w:rsidR="00DA59DE" w:rsidRDefault="00DA59DE" w:rsidP="00DA59DE">
      <w:pPr>
        <w:pStyle w:val="NoSpacing"/>
        <w:jc w:val="center"/>
      </w:pPr>
    </w:p>
    <w:p w14:paraId="20A7EA3A" w14:textId="77777777" w:rsidR="00DA59DE" w:rsidRDefault="00DA59DE" w:rsidP="00DA59DE">
      <w:pPr>
        <w:pStyle w:val="NoSpacing"/>
        <w:jc w:val="center"/>
      </w:pPr>
    </w:p>
    <w:p w14:paraId="64D18916" w14:textId="77777777" w:rsidR="00DA59DE" w:rsidRDefault="00DA59DE" w:rsidP="00DA59DE">
      <w:pPr>
        <w:pStyle w:val="NoSpacing"/>
        <w:jc w:val="center"/>
      </w:pPr>
    </w:p>
    <w:p w14:paraId="5584FEE9" w14:textId="77777777" w:rsidR="00DA59DE" w:rsidRDefault="00DA59DE" w:rsidP="00DA59DE">
      <w:pPr>
        <w:pStyle w:val="NoSpacing"/>
        <w:jc w:val="center"/>
      </w:pPr>
    </w:p>
    <w:p w14:paraId="6A341C64" w14:textId="77777777" w:rsidR="00DA59DE" w:rsidRDefault="00DA59DE" w:rsidP="00DA59DE">
      <w:pPr>
        <w:pStyle w:val="NoSpacing"/>
        <w:jc w:val="center"/>
      </w:pPr>
    </w:p>
    <w:p w14:paraId="6C3209CF" w14:textId="77777777" w:rsidR="00DA59DE" w:rsidRDefault="00DA59DE" w:rsidP="00DA59DE">
      <w:pPr>
        <w:pStyle w:val="NoSpacing"/>
        <w:jc w:val="center"/>
      </w:pPr>
    </w:p>
    <w:p w14:paraId="56AF301A" w14:textId="77777777" w:rsidR="00DA59DE" w:rsidRDefault="00DA59DE" w:rsidP="00DA59DE">
      <w:pPr>
        <w:pStyle w:val="NoSpacing"/>
        <w:jc w:val="center"/>
      </w:pPr>
    </w:p>
    <w:p w14:paraId="19D5307C" w14:textId="77777777" w:rsidR="00DA59DE" w:rsidRDefault="00DA59DE" w:rsidP="00DA59DE">
      <w:pPr>
        <w:pStyle w:val="NoSpacing"/>
        <w:jc w:val="center"/>
      </w:pPr>
    </w:p>
    <w:p w14:paraId="22B1D320" w14:textId="77777777" w:rsidR="00DA59DE" w:rsidRDefault="00DA59DE" w:rsidP="00DA59DE">
      <w:pPr>
        <w:pStyle w:val="NoSpacing"/>
        <w:jc w:val="center"/>
      </w:pPr>
    </w:p>
    <w:p w14:paraId="1AFD3072" w14:textId="77777777" w:rsidR="00DA59DE" w:rsidRDefault="00DA59DE" w:rsidP="00DA59DE">
      <w:pPr>
        <w:pStyle w:val="NoSpacing"/>
        <w:jc w:val="center"/>
      </w:pPr>
    </w:p>
    <w:p w14:paraId="7E383344" w14:textId="77777777" w:rsidR="00DA59DE" w:rsidRDefault="00DA59DE" w:rsidP="00DA59DE">
      <w:pPr>
        <w:pStyle w:val="NoSpacing"/>
        <w:jc w:val="center"/>
      </w:pPr>
    </w:p>
    <w:p w14:paraId="4D13BE33" w14:textId="77777777" w:rsidR="00DA59DE" w:rsidRDefault="00DA59DE" w:rsidP="00DA59DE">
      <w:pPr>
        <w:pStyle w:val="NoSpacing"/>
        <w:jc w:val="center"/>
      </w:pPr>
    </w:p>
    <w:p w14:paraId="0974862B" w14:textId="77777777" w:rsidR="00DA59DE" w:rsidRDefault="00DA59DE" w:rsidP="00DA59DE">
      <w:pPr>
        <w:pStyle w:val="NoSpacing"/>
        <w:jc w:val="center"/>
      </w:pPr>
    </w:p>
    <w:p w14:paraId="564BD8B7" w14:textId="77777777" w:rsidR="00DA59DE" w:rsidRDefault="00DA59DE" w:rsidP="00DA59DE">
      <w:pPr>
        <w:pStyle w:val="NoSpacing"/>
        <w:jc w:val="center"/>
      </w:pPr>
    </w:p>
    <w:p w14:paraId="36C5CE0E" w14:textId="77777777" w:rsidR="00DA59DE" w:rsidRDefault="00DA59DE" w:rsidP="00DA59DE">
      <w:pPr>
        <w:pStyle w:val="NoSpacing"/>
        <w:jc w:val="center"/>
      </w:pPr>
    </w:p>
    <w:p w14:paraId="5D7EC64D" w14:textId="77777777" w:rsidR="00DA59DE" w:rsidRDefault="00DA59DE" w:rsidP="00DA59DE">
      <w:pPr>
        <w:pStyle w:val="NoSpacing"/>
        <w:jc w:val="center"/>
      </w:pPr>
    </w:p>
    <w:p w14:paraId="638A624B" w14:textId="77777777" w:rsidR="00DA59DE" w:rsidRDefault="00DA59DE" w:rsidP="00DA59DE">
      <w:pPr>
        <w:pStyle w:val="NoSpacing"/>
        <w:jc w:val="center"/>
      </w:pPr>
    </w:p>
    <w:p w14:paraId="4EE9CDC8" w14:textId="77777777" w:rsidR="00DA59DE" w:rsidRDefault="00DA59DE" w:rsidP="00DA59DE">
      <w:pPr>
        <w:pStyle w:val="NoSpacing"/>
        <w:jc w:val="center"/>
      </w:pPr>
    </w:p>
    <w:p w14:paraId="7A885921" w14:textId="77777777" w:rsidR="00DA59DE" w:rsidRDefault="00DA59DE" w:rsidP="00DA59DE">
      <w:pPr>
        <w:pStyle w:val="NoSpacing"/>
        <w:jc w:val="center"/>
      </w:pPr>
    </w:p>
    <w:p w14:paraId="5BD04145" w14:textId="77777777" w:rsidR="00DA59DE" w:rsidRDefault="00DA59DE" w:rsidP="00DA59DE">
      <w:pPr>
        <w:pStyle w:val="NoSpacing"/>
        <w:jc w:val="center"/>
      </w:pPr>
    </w:p>
    <w:p w14:paraId="5F64DEB0" w14:textId="77777777" w:rsidR="00DA59DE" w:rsidRDefault="00DA59DE" w:rsidP="00DA59DE">
      <w:pPr>
        <w:pStyle w:val="NoSpacing"/>
        <w:jc w:val="center"/>
      </w:pPr>
    </w:p>
    <w:p w14:paraId="3BBFF1FC" w14:textId="77777777" w:rsidR="00DA59DE" w:rsidRDefault="00DA59DE" w:rsidP="00DA59DE">
      <w:pPr>
        <w:pStyle w:val="NoSpacing"/>
        <w:jc w:val="center"/>
      </w:pPr>
    </w:p>
    <w:p w14:paraId="55B73219" w14:textId="77777777" w:rsidR="00E73FAF" w:rsidRDefault="00E73FAF" w:rsidP="00DC2F86">
      <w:pPr>
        <w:pStyle w:val="NoSpacing"/>
      </w:pPr>
    </w:p>
    <w:p w14:paraId="6D00AE8C" w14:textId="51484107" w:rsidR="00DA59DE" w:rsidRDefault="00500133" w:rsidP="00DA59DE">
      <w:pPr>
        <w:pStyle w:val="NoSpacing"/>
        <w:jc w:val="center"/>
      </w:pPr>
      <w:sdt>
        <w:sdtPr>
          <w:id w:val="30091877"/>
          <w:lock w:val="contentLocked"/>
          <w:placeholder>
            <w:docPart w:val="096D2B700A4B164C910A7E1A4E00FD53"/>
          </w:placeholder>
          <w:group/>
        </w:sdtPr>
        <w:sdtEndPr/>
        <w:sdtContent>
          <w:r w:rsidR="00DA59DE">
            <w:t>© Copyright by</w:t>
          </w:r>
        </w:sdtContent>
      </w:sdt>
      <w:r w:rsidR="00DA59DE">
        <w:t xml:space="preserve"> </w:t>
      </w:r>
      <w:r w:rsidR="00DA59DE">
        <w:rPr>
          <w:caps/>
        </w:rPr>
        <w:t>daniel moses 2016</w:t>
      </w:r>
    </w:p>
    <w:p w14:paraId="4E3533C2" w14:textId="51484107" w:rsidR="00DA59DE" w:rsidRDefault="00DA59DE" w:rsidP="00DA59DE">
      <w:pPr>
        <w:pStyle w:val="NoSpacing"/>
        <w:jc w:val="center"/>
      </w:pPr>
      <w:r>
        <w:t>All Rights Reserved.</w:t>
      </w:r>
    </w:p>
    <w:p w14:paraId="1CDE994D" w14:textId="77777777" w:rsidR="00AA0BB7" w:rsidRDefault="00DA59DE" w:rsidP="00DA59DE">
      <w:r>
        <w:br w:type="page"/>
      </w:r>
    </w:p>
    <w:p w14:paraId="624B521D" w14:textId="6B015E90" w:rsidR="00DA59DE" w:rsidRDefault="00AA0BB7" w:rsidP="00DA59DE">
      <w:r>
        <w:lastRenderedPageBreak/>
        <w:t>This thesis is dedicated to</w:t>
      </w:r>
      <w:r w:rsidR="000D276F">
        <w:t xml:space="preserve"> my family and</w:t>
      </w:r>
      <w:r>
        <w:t xml:space="preserve"> the village that helped raise me, most of all my grandparents Jimmie and Nevada Moses</w:t>
      </w:r>
      <w:r w:rsidR="00C6532B">
        <w:t xml:space="preserve"> and my great-grandmother Alyce Brewer</w:t>
      </w:r>
      <w:r>
        <w:t xml:space="preserve">. </w:t>
      </w:r>
      <w:r w:rsidR="00C6532B">
        <w:t xml:space="preserve">I don’t have the words to adequately express my respect, gratitude, and admiration for you.  </w:t>
      </w:r>
      <w:r w:rsidR="00C954EF">
        <w:br w:type="page"/>
      </w:r>
    </w:p>
    <w:p w14:paraId="0D3A2F3B" w14:textId="77777777" w:rsidR="00D14100" w:rsidRDefault="00D14100" w:rsidP="000D276F">
      <w:pPr>
        <w:pStyle w:val="Heading1"/>
        <w:sectPr w:rsidR="00D14100" w:rsidSect="00D14100">
          <w:footerReference w:type="even" r:id="rId9"/>
          <w:footerReference w:type="first" r:id="rId10"/>
          <w:type w:val="continuous"/>
          <w:pgSz w:w="12240" w:h="15840" w:code="1"/>
          <w:pgMar w:top="1440" w:right="1440" w:bottom="1440" w:left="2304" w:header="720" w:footer="720" w:gutter="0"/>
          <w:pgNumType w:fmt="lowerRoman"/>
          <w:cols w:space="720"/>
          <w:docGrid w:linePitch="360"/>
        </w:sectPr>
      </w:pPr>
      <w:bookmarkStart w:id="0" w:name="_Toc310579464"/>
      <w:bookmarkStart w:id="1" w:name="_Toc315681358"/>
    </w:p>
    <w:p w14:paraId="06427EBD" w14:textId="0A08C354" w:rsidR="000D276F" w:rsidRDefault="000D276F" w:rsidP="000D276F">
      <w:pPr>
        <w:pStyle w:val="Heading1"/>
      </w:pPr>
      <w:bookmarkStart w:id="2" w:name="_Toc324423940"/>
      <w:r>
        <w:lastRenderedPageBreak/>
        <w:t>Acknowledgements</w:t>
      </w:r>
      <w:bookmarkEnd w:id="0"/>
      <w:bookmarkEnd w:id="1"/>
      <w:bookmarkEnd w:id="2"/>
    </w:p>
    <w:p w14:paraId="3EC03794" w14:textId="77777777" w:rsidR="00E73FAF" w:rsidRDefault="00E73FAF" w:rsidP="00DA59DE">
      <w:pPr>
        <w:sectPr w:rsidR="00E73FAF" w:rsidSect="00E83B03">
          <w:footerReference w:type="default" r:id="rId11"/>
          <w:type w:val="continuous"/>
          <w:pgSz w:w="12240" w:h="15840" w:code="1"/>
          <w:pgMar w:top="1440" w:right="1440" w:bottom="1440" w:left="2304" w:header="720" w:footer="720" w:gutter="0"/>
          <w:pgNumType w:fmt="lowerRoman" w:start="4"/>
          <w:cols w:space="720"/>
          <w:docGrid w:linePitch="360"/>
        </w:sectPr>
      </w:pPr>
    </w:p>
    <w:p w14:paraId="3B9E2D72" w14:textId="77777777" w:rsidR="007F1DC3" w:rsidRPr="007F1DC3" w:rsidRDefault="007F1DC3" w:rsidP="007F1DC3">
      <w:pPr>
        <w:spacing w:line="240" w:lineRule="auto"/>
      </w:pPr>
    </w:p>
    <w:p w14:paraId="560ED859" w14:textId="64995110" w:rsidR="002F4D3B" w:rsidRDefault="002F4D3B" w:rsidP="001E14FE">
      <w:r>
        <w:tab/>
        <w:t xml:space="preserve">First, I would like to thank my thesis committee for their unwavering support and guidance. </w:t>
      </w:r>
      <w:r w:rsidR="00410D17">
        <w:t xml:space="preserve">Thank you for letting me get in over my head but not letting me drown! </w:t>
      </w:r>
      <w:r>
        <w:t xml:space="preserve">Dr. Robin Grier, Dr. Joshua Landis, and Dr. D Gershon Lewental, I cannot thank you enough for guiding my research and teaching me so much about issues </w:t>
      </w:r>
      <w:r w:rsidR="00C6532B">
        <w:t>for which I care deeply.</w:t>
      </w:r>
    </w:p>
    <w:p w14:paraId="24DD4B7A" w14:textId="0164C772" w:rsidR="00C2482A" w:rsidRDefault="00C6532B" w:rsidP="001E14FE">
      <w:r>
        <w:tab/>
        <w:t>This thesis</w:t>
      </w:r>
      <w:r w:rsidR="002F4D3B">
        <w:t xml:space="preserve"> is the culmination of my formal education, and there are countless people who have shaped who I am today both academically and personally. </w:t>
      </w:r>
      <w:r w:rsidR="00410D17">
        <w:t xml:space="preserve">I cannot thank my </w:t>
      </w:r>
      <w:r>
        <w:t xml:space="preserve">entire </w:t>
      </w:r>
      <w:r w:rsidR="00410D17">
        <w:t xml:space="preserve">family enough for </w:t>
      </w:r>
      <w:r w:rsidR="00CC6ED3">
        <w:t xml:space="preserve">loving and supporting me, even when I want to do things that might seem crazy (like moving to Hebron for a summer). </w:t>
      </w:r>
      <w:r w:rsidR="002F4D3B">
        <w:t>Thank you to Dean Suzette Grillott and Assistant Dean Rebecca Cruise for sparking my interest in international activism during the 2011 President’s Le</w:t>
      </w:r>
      <w:r w:rsidR="00410D17">
        <w:t>adership Class trip to Italy. Most of all, thank you</w:t>
      </w:r>
      <w:r w:rsidR="002F4D3B">
        <w:t xml:space="preserve"> for supporting me throughout my time as an OU student. </w:t>
      </w:r>
      <w:r w:rsidR="00410D17">
        <w:t>Thank you to Dr. Kevin Grier for guiding my early research on this project and o</w:t>
      </w:r>
      <w:r w:rsidR="000D276F">
        <w:t>ffering valuable feedback. T</w:t>
      </w:r>
      <w:r w:rsidR="00410D17">
        <w:t>hank you to Dr. Daniel Hicks for taking an interest in my work and offering valuable feedback</w:t>
      </w:r>
      <w:r w:rsidR="000D276F">
        <w:t xml:space="preserve"> near the completion of this study</w:t>
      </w:r>
      <w:r w:rsidR="00410D17">
        <w:t xml:space="preserve">. Thank you to all the people who helped me conceptualize and explain the economic model in this study. </w:t>
      </w:r>
    </w:p>
    <w:p w14:paraId="7440C9C2" w14:textId="06D9B5D7" w:rsidR="001E14FE" w:rsidRPr="001E14FE" w:rsidRDefault="00C2482A" w:rsidP="001E14FE">
      <w:r>
        <w:tab/>
        <w:t xml:space="preserve">Lastly, thank you to the </w:t>
      </w:r>
      <w:r w:rsidR="00C6532B">
        <w:t xml:space="preserve">people and institutions that supported me financially as I pursued my degrees. </w:t>
      </w:r>
      <w:r>
        <w:t>A college education was little more than a dream for me when I was young, but the Gates-Millennium Scholarship equipped me with the financial support that I needed to actualize this dream.</w:t>
      </w:r>
      <w:r w:rsidR="00C6532B">
        <w:t xml:space="preserve"> Receiving the Gates scholarship changed my life. T</w:t>
      </w:r>
      <w:r>
        <w:t>hank you to the University of Oklahoma for the numerous scholarships that have enable</w:t>
      </w:r>
      <w:r w:rsidR="00C6532B">
        <w:t xml:space="preserve">d my international experiences and for a great college experience. </w:t>
      </w:r>
      <w:r w:rsidR="00DA59DE">
        <w:br w:type="page"/>
      </w:r>
    </w:p>
    <w:sdt>
      <w:sdtPr>
        <w:rPr>
          <w:rFonts w:ascii="Times New Roman" w:eastAsiaTheme="minorEastAsia" w:hAnsi="Times New Roman" w:cs="Times New Roman"/>
          <w:bCs w:val="0"/>
          <w:color w:val="auto"/>
          <w:sz w:val="24"/>
          <w:szCs w:val="24"/>
        </w:rPr>
        <w:id w:val="364954615"/>
        <w:docPartObj>
          <w:docPartGallery w:val="Table of Contents"/>
          <w:docPartUnique/>
        </w:docPartObj>
      </w:sdtPr>
      <w:sdtEndPr>
        <w:rPr>
          <w:b/>
          <w:noProof/>
        </w:rPr>
      </w:sdtEndPr>
      <w:sdtContent>
        <w:p w14:paraId="57ABB1B9" w14:textId="4350B946" w:rsidR="005A707C" w:rsidRPr="00E83B03" w:rsidRDefault="005A707C">
          <w:pPr>
            <w:pStyle w:val="TOCHeading"/>
            <w:rPr>
              <w:rFonts w:ascii="Times New Roman" w:hAnsi="Times New Roman" w:cs="Times New Roman"/>
              <w:b/>
              <w:color w:val="auto"/>
              <w:szCs w:val="24"/>
            </w:rPr>
          </w:pPr>
          <w:r w:rsidRPr="00E83B03">
            <w:rPr>
              <w:rFonts w:ascii="Times New Roman" w:hAnsi="Times New Roman" w:cs="Times New Roman"/>
              <w:b/>
              <w:color w:val="auto"/>
              <w:szCs w:val="24"/>
            </w:rPr>
            <w:t>Table of Contents</w:t>
          </w:r>
        </w:p>
        <w:p w14:paraId="516D2419" w14:textId="77777777" w:rsidR="00E83B03" w:rsidRPr="00E83B03" w:rsidRDefault="005A707C">
          <w:pPr>
            <w:pStyle w:val="TOC1"/>
            <w:tabs>
              <w:tab w:val="right" w:leader="dot" w:pos="8486"/>
            </w:tabs>
            <w:rPr>
              <w:rFonts w:ascii="Times New Roman" w:hAnsi="Times New Roman"/>
              <w:b w:val="0"/>
              <w:noProof/>
              <w:lang w:eastAsia="ja-JP"/>
            </w:rPr>
          </w:pPr>
          <w:r w:rsidRPr="00E83B03">
            <w:rPr>
              <w:rFonts w:ascii="Times New Roman" w:hAnsi="Times New Roman"/>
              <w:b w:val="0"/>
            </w:rPr>
            <w:fldChar w:fldCharType="begin"/>
          </w:r>
          <w:r w:rsidRPr="00E83B03">
            <w:rPr>
              <w:rFonts w:ascii="Times New Roman" w:hAnsi="Times New Roman"/>
            </w:rPr>
            <w:instrText xml:space="preserve"> TOC \o "1-3" \h \z \u </w:instrText>
          </w:r>
          <w:r w:rsidRPr="00E83B03">
            <w:rPr>
              <w:rFonts w:ascii="Times New Roman" w:hAnsi="Times New Roman"/>
              <w:b w:val="0"/>
            </w:rPr>
            <w:fldChar w:fldCharType="separate"/>
          </w:r>
          <w:r w:rsidR="00E83B03" w:rsidRPr="00E83B03">
            <w:rPr>
              <w:rFonts w:ascii="Times New Roman" w:hAnsi="Times New Roman"/>
              <w:noProof/>
            </w:rPr>
            <w:t>Acknowledgements</w:t>
          </w:r>
          <w:r w:rsidR="00E83B03" w:rsidRPr="00E83B03">
            <w:rPr>
              <w:rFonts w:ascii="Times New Roman" w:hAnsi="Times New Roman"/>
              <w:noProof/>
            </w:rPr>
            <w:tab/>
          </w:r>
          <w:r w:rsidR="00E83B03" w:rsidRPr="00E83B03">
            <w:rPr>
              <w:rFonts w:ascii="Times New Roman" w:hAnsi="Times New Roman"/>
              <w:noProof/>
            </w:rPr>
            <w:fldChar w:fldCharType="begin"/>
          </w:r>
          <w:r w:rsidR="00E83B03" w:rsidRPr="00E83B03">
            <w:rPr>
              <w:rFonts w:ascii="Times New Roman" w:hAnsi="Times New Roman"/>
              <w:noProof/>
            </w:rPr>
            <w:instrText xml:space="preserve"> PAGEREF _Toc324423940 \h </w:instrText>
          </w:r>
          <w:r w:rsidR="00E83B03" w:rsidRPr="00E83B03">
            <w:rPr>
              <w:rFonts w:ascii="Times New Roman" w:hAnsi="Times New Roman"/>
              <w:noProof/>
            </w:rPr>
          </w:r>
          <w:r w:rsidR="00E83B03" w:rsidRPr="00E83B03">
            <w:rPr>
              <w:rFonts w:ascii="Times New Roman" w:hAnsi="Times New Roman"/>
              <w:noProof/>
            </w:rPr>
            <w:fldChar w:fldCharType="separate"/>
          </w:r>
          <w:r w:rsidR="00500133">
            <w:rPr>
              <w:rFonts w:ascii="Times New Roman" w:hAnsi="Times New Roman"/>
              <w:noProof/>
            </w:rPr>
            <w:t>iv</w:t>
          </w:r>
          <w:r w:rsidR="00E83B03" w:rsidRPr="00E83B03">
            <w:rPr>
              <w:rFonts w:ascii="Times New Roman" w:hAnsi="Times New Roman"/>
              <w:noProof/>
            </w:rPr>
            <w:fldChar w:fldCharType="end"/>
          </w:r>
        </w:p>
        <w:p w14:paraId="630EAC65" w14:textId="77777777" w:rsidR="00E83B03" w:rsidRPr="00E83B03" w:rsidRDefault="00E83B03">
          <w:pPr>
            <w:pStyle w:val="TOC1"/>
            <w:tabs>
              <w:tab w:val="right" w:leader="dot" w:pos="8486"/>
            </w:tabs>
            <w:rPr>
              <w:rFonts w:ascii="Times New Roman" w:hAnsi="Times New Roman"/>
              <w:b w:val="0"/>
              <w:noProof/>
              <w:lang w:eastAsia="ja-JP"/>
            </w:rPr>
          </w:pPr>
          <w:r w:rsidRPr="00E83B03">
            <w:rPr>
              <w:rFonts w:ascii="Times New Roman" w:hAnsi="Times New Roman"/>
              <w:noProof/>
            </w:rPr>
            <w:t>List of Tables</w:t>
          </w:r>
          <w:r w:rsidRPr="00E83B03">
            <w:rPr>
              <w:rFonts w:ascii="Times New Roman" w:hAnsi="Times New Roman"/>
              <w:noProof/>
            </w:rPr>
            <w:tab/>
          </w:r>
          <w:r w:rsidRPr="00E83B03">
            <w:rPr>
              <w:rFonts w:ascii="Times New Roman" w:hAnsi="Times New Roman"/>
              <w:noProof/>
            </w:rPr>
            <w:fldChar w:fldCharType="begin"/>
          </w:r>
          <w:r w:rsidRPr="00E83B03">
            <w:rPr>
              <w:rFonts w:ascii="Times New Roman" w:hAnsi="Times New Roman"/>
              <w:noProof/>
            </w:rPr>
            <w:instrText xml:space="preserve"> PAGEREF _Toc324423941 \h </w:instrText>
          </w:r>
          <w:r w:rsidRPr="00E83B03">
            <w:rPr>
              <w:rFonts w:ascii="Times New Roman" w:hAnsi="Times New Roman"/>
              <w:noProof/>
            </w:rPr>
          </w:r>
          <w:r w:rsidRPr="00E83B03">
            <w:rPr>
              <w:rFonts w:ascii="Times New Roman" w:hAnsi="Times New Roman"/>
              <w:noProof/>
            </w:rPr>
            <w:fldChar w:fldCharType="separate"/>
          </w:r>
          <w:r w:rsidR="00500133">
            <w:rPr>
              <w:rFonts w:ascii="Times New Roman" w:hAnsi="Times New Roman"/>
              <w:noProof/>
            </w:rPr>
            <w:t>vii</w:t>
          </w:r>
          <w:r w:rsidRPr="00E83B03">
            <w:rPr>
              <w:rFonts w:ascii="Times New Roman" w:hAnsi="Times New Roman"/>
              <w:noProof/>
            </w:rPr>
            <w:fldChar w:fldCharType="end"/>
          </w:r>
        </w:p>
        <w:p w14:paraId="44F88C50" w14:textId="77777777" w:rsidR="00E83B03" w:rsidRPr="00E83B03" w:rsidRDefault="00E83B03">
          <w:pPr>
            <w:pStyle w:val="TOC1"/>
            <w:tabs>
              <w:tab w:val="right" w:leader="dot" w:pos="8486"/>
            </w:tabs>
            <w:rPr>
              <w:rFonts w:ascii="Times New Roman" w:hAnsi="Times New Roman"/>
              <w:b w:val="0"/>
              <w:noProof/>
              <w:lang w:eastAsia="ja-JP"/>
            </w:rPr>
          </w:pPr>
          <w:r w:rsidRPr="00E83B03">
            <w:rPr>
              <w:rFonts w:ascii="Times New Roman" w:hAnsi="Times New Roman"/>
              <w:noProof/>
            </w:rPr>
            <w:t>List of Figures</w:t>
          </w:r>
          <w:r w:rsidRPr="00E83B03">
            <w:rPr>
              <w:rFonts w:ascii="Times New Roman" w:hAnsi="Times New Roman"/>
              <w:noProof/>
            </w:rPr>
            <w:tab/>
          </w:r>
          <w:r w:rsidRPr="00E83B03">
            <w:rPr>
              <w:rFonts w:ascii="Times New Roman" w:hAnsi="Times New Roman"/>
              <w:noProof/>
            </w:rPr>
            <w:fldChar w:fldCharType="begin"/>
          </w:r>
          <w:r w:rsidRPr="00E83B03">
            <w:rPr>
              <w:rFonts w:ascii="Times New Roman" w:hAnsi="Times New Roman"/>
              <w:noProof/>
            </w:rPr>
            <w:instrText xml:space="preserve"> PAGEREF _Toc324423942 \h </w:instrText>
          </w:r>
          <w:r w:rsidRPr="00E83B03">
            <w:rPr>
              <w:rFonts w:ascii="Times New Roman" w:hAnsi="Times New Roman"/>
              <w:noProof/>
            </w:rPr>
          </w:r>
          <w:r w:rsidRPr="00E83B03">
            <w:rPr>
              <w:rFonts w:ascii="Times New Roman" w:hAnsi="Times New Roman"/>
              <w:noProof/>
            </w:rPr>
            <w:fldChar w:fldCharType="separate"/>
          </w:r>
          <w:r w:rsidR="00500133">
            <w:rPr>
              <w:rFonts w:ascii="Times New Roman" w:hAnsi="Times New Roman"/>
              <w:noProof/>
            </w:rPr>
            <w:t>viii</w:t>
          </w:r>
          <w:r w:rsidRPr="00E83B03">
            <w:rPr>
              <w:rFonts w:ascii="Times New Roman" w:hAnsi="Times New Roman"/>
              <w:noProof/>
            </w:rPr>
            <w:fldChar w:fldCharType="end"/>
          </w:r>
        </w:p>
        <w:p w14:paraId="0E2BA8F0" w14:textId="77777777" w:rsidR="00E83B03" w:rsidRPr="00E83B03" w:rsidRDefault="00E83B03">
          <w:pPr>
            <w:pStyle w:val="TOC1"/>
            <w:tabs>
              <w:tab w:val="right" w:leader="dot" w:pos="8486"/>
            </w:tabs>
            <w:rPr>
              <w:rFonts w:ascii="Times New Roman" w:hAnsi="Times New Roman"/>
              <w:b w:val="0"/>
              <w:noProof/>
              <w:lang w:eastAsia="ja-JP"/>
            </w:rPr>
          </w:pPr>
          <w:r w:rsidRPr="00E83B03">
            <w:rPr>
              <w:rFonts w:ascii="Times New Roman" w:hAnsi="Times New Roman"/>
              <w:noProof/>
            </w:rPr>
            <w:t>Abstract</w:t>
          </w:r>
          <w:r w:rsidRPr="00E83B03">
            <w:rPr>
              <w:rFonts w:ascii="Times New Roman" w:hAnsi="Times New Roman"/>
              <w:noProof/>
            </w:rPr>
            <w:tab/>
          </w:r>
          <w:r w:rsidRPr="00E83B03">
            <w:rPr>
              <w:rFonts w:ascii="Times New Roman" w:hAnsi="Times New Roman"/>
              <w:noProof/>
            </w:rPr>
            <w:fldChar w:fldCharType="begin"/>
          </w:r>
          <w:r w:rsidRPr="00E83B03">
            <w:rPr>
              <w:rFonts w:ascii="Times New Roman" w:hAnsi="Times New Roman"/>
              <w:noProof/>
            </w:rPr>
            <w:instrText xml:space="preserve"> PAGEREF _Toc324423943 \h </w:instrText>
          </w:r>
          <w:r w:rsidRPr="00E83B03">
            <w:rPr>
              <w:rFonts w:ascii="Times New Roman" w:hAnsi="Times New Roman"/>
              <w:noProof/>
            </w:rPr>
          </w:r>
          <w:r w:rsidRPr="00E83B03">
            <w:rPr>
              <w:rFonts w:ascii="Times New Roman" w:hAnsi="Times New Roman"/>
              <w:noProof/>
            </w:rPr>
            <w:fldChar w:fldCharType="separate"/>
          </w:r>
          <w:r w:rsidR="00500133">
            <w:rPr>
              <w:rFonts w:ascii="Times New Roman" w:hAnsi="Times New Roman"/>
              <w:noProof/>
            </w:rPr>
            <w:t>ix</w:t>
          </w:r>
          <w:r w:rsidRPr="00E83B03">
            <w:rPr>
              <w:rFonts w:ascii="Times New Roman" w:hAnsi="Times New Roman"/>
              <w:noProof/>
            </w:rPr>
            <w:fldChar w:fldCharType="end"/>
          </w:r>
        </w:p>
        <w:p w14:paraId="3BFCCACA" w14:textId="77777777" w:rsidR="00E83B03" w:rsidRPr="00E83B03" w:rsidRDefault="00E83B03">
          <w:pPr>
            <w:pStyle w:val="TOC1"/>
            <w:tabs>
              <w:tab w:val="right" w:leader="dot" w:pos="8486"/>
            </w:tabs>
            <w:rPr>
              <w:rFonts w:ascii="Times New Roman" w:hAnsi="Times New Roman"/>
              <w:b w:val="0"/>
              <w:noProof/>
              <w:lang w:eastAsia="ja-JP"/>
            </w:rPr>
          </w:pPr>
          <w:r w:rsidRPr="00E83B03">
            <w:rPr>
              <w:rFonts w:ascii="Times New Roman" w:hAnsi="Times New Roman"/>
              <w:noProof/>
            </w:rPr>
            <w:t>Introduction</w:t>
          </w:r>
          <w:r w:rsidRPr="00E83B03">
            <w:rPr>
              <w:rFonts w:ascii="Times New Roman" w:hAnsi="Times New Roman"/>
              <w:noProof/>
            </w:rPr>
            <w:tab/>
          </w:r>
          <w:r w:rsidRPr="00E83B03">
            <w:rPr>
              <w:rFonts w:ascii="Times New Roman" w:hAnsi="Times New Roman"/>
              <w:noProof/>
            </w:rPr>
            <w:fldChar w:fldCharType="begin"/>
          </w:r>
          <w:r w:rsidRPr="00E83B03">
            <w:rPr>
              <w:rFonts w:ascii="Times New Roman" w:hAnsi="Times New Roman"/>
              <w:noProof/>
            </w:rPr>
            <w:instrText xml:space="preserve"> PAGEREF _Toc324423944 \h </w:instrText>
          </w:r>
          <w:r w:rsidRPr="00E83B03">
            <w:rPr>
              <w:rFonts w:ascii="Times New Roman" w:hAnsi="Times New Roman"/>
              <w:noProof/>
            </w:rPr>
          </w:r>
          <w:r w:rsidRPr="00E83B03">
            <w:rPr>
              <w:rFonts w:ascii="Times New Roman" w:hAnsi="Times New Roman"/>
              <w:noProof/>
            </w:rPr>
            <w:fldChar w:fldCharType="separate"/>
          </w:r>
          <w:r w:rsidR="00500133">
            <w:rPr>
              <w:rFonts w:ascii="Times New Roman" w:hAnsi="Times New Roman"/>
              <w:noProof/>
            </w:rPr>
            <w:t>1</w:t>
          </w:r>
          <w:r w:rsidRPr="00E83B03">
            <w:rPr>
              <w:rFonts w:ascii="Times New Roman" w:hAnsi="Times New Roman"/>
              <w:noProof/>
            </w:rPr>
            <w:fldChar w:fldCharType="end"/>
          </w:r>
        </w:p>
        <w:p w14:paraId="6BFC8BC9" w14:textId="77777777" w:rsidR="00E83B03" w:rsidRPr="00E83B03" w:rsidRDefault="00E83B03">
          <w:pPr>
            <w:pStyle w:val="TOC1"/>
            <w:tabs>
              <w:tab w:val="right" w:leader="dot" w:pos="8486"/>
            </w:tabs>
            <w:rPr>
              <w:rFonts w:ascii="Times New Roman" w:hAnsi="Times New Roman"/>
              <w:b w:val="0"/>
              <w:noProof/>
              <w:lang w:eastAsia="ja-JP"/>
            </w:rPr>
          </w:pPr>
          <w:r w:rsidRPr="00E83B03">
            <w:rPr>
              <w:rFonts w:ascii="Times New Roman" w:hAnsi="Times New Roman"/>
              <w:noProof/>
            </w:rPr>
            <w:t>Chapter 1: Establishing a Cycle of Violence: Israel’s Economic and Political Relations with the Palestinian Territories (1967-1993)</w:t>
          </w:r>
          <w:r w:rsidRPr="00E83B03">
            <w:rPr>
              <w:rFonts w:ascii="Times New Roman" w:hAnsi="Times New Roman"/>
              <w:noProof/>
            </w:rPr>
            <w:tab/>
          </w:r>
          <w:r w:rsidRPr="00E83B03">
            <w:rPr>
              <w:rFonts w:ascii="Times New Roman" w:hAnsi="Times New Roman"/>
              <w:noProof/>
            </w:rPr>
            <w:fldChar w:fldCharType="begin"/>
          </w:r>
          <w:r w:rsidRPr="00E83B03">
            <w:rPr>
              <w:rFonts w:ascii="Times New Roman" w:hAnsi="Times New Roman"/>
              <w:noProof/>
            </w:rPr>
            <w:instrText xml:space="preserve"> PAGEREF _Toc324423945 \h </w:instrText>
          </w:r>
          <w:r w:rsidRPr="00E83B03">
            <w:rPr>
              <w:rFonts w:ascii="Times New Roman" w:hAnsi="Times New Roman"/>
              <w:noProof/>
            </w:rPr>
          </w:r>
          <w:r w:rsidRPr="00E83B03">
            <w:rPr>
              <w:rFonts w:ascii="Times New Roman" w:hAnsi="Times New Roman"/>
              <w:noProof/>
            </w:rPr>
            <w:fldChar w:fldCharType="separate"/>
          </w:r>
          <w:r w:rsidR="00500133">
            <w:rPr>
              <w:rFonts w:ascii="Times New Roman" w:hAnsi="Times New Roman"/>
              <w:noProof/>
            </w:rPr>
            <w:t>8</w:t>
          </w:r>
          <w:r w:rsidRPr="00E83B03">
            <w:rPr>
              <w:rFonts w:ascii="Times New Roman" w:hAnsi="Times New Roman"/>
              <w:noProof/>
            </w:rPr>
            <w:fldChar w:fldCharType="end"/>
          </w:r>
        </w:p>
        <w:p w14:paraId="528B8725" w14:textId="77777777" w:rsidR="00E83B03" w:rsidRPr="00E83B03" w:rsidRDefault="00E83B03">
          <w:pPr>
            <w:pStyle w:val="TOC2"/>
            <w:tabs>
              <w:tab w:val="right" w:leader="dot" w:pos="8486"/>
            </w:tabs>
            <w:rPr>
              <w:rFonts w:ascii="Times New Roman" w:hAnsi="Times New Roman"/>
              <w:b w:val="0"/>
              <w:noProof/>
              <w:sz w:val="24"/>
              <w:szCs w:val="24"/>
              <w:lang w:eastAsia="ja-JP"/>
            </w:rPr>
          </w:pPr>
          <w:r w:rsidRPr="00E83B03">
            <w:rPr>
              <w:rFonts w:ascii="Times New Roman" w:hAnsi="Times New Roman"/>
              <w:noProof/>
              <w:sz w:val="24"/>
              <w:szCs w:val="24"/>
            </w:rPr>
            <w:t>1.1 Literature Review</w:t>
          </w:r>
          <w:r w:rsidRPr="00E83B03">
            <w:rPr>
              <w:rFonts w:ascii="Times New Roman" w:hAnsi="Times New Roman"/>
              <w:noProof/>
              <w:sz w:val="24"/>
              <w:szCs w:val="24"/>
            </w:rPr>
            <w:tab/>
          </w:r>
          <w:r w:rsidRPr="00E83B03">
            <w:rPr>
              <w:rFonts w:ascii="Times New Roman" w:hAnsi="Times New Roman"/>
              <w:noProof/>
              <w:sz w:val="24"/>
              <w:szCs w:val="24"/>
            </w:rPr>
            <w:fldChar w:fldCharType="begin"/>
          </w:r>
          <w:r w:rsidRPr="00E83B03">
            <w:rPr>
              <w:rFonts w:ascii="Times New Roman" w:hAnsi="Times New Roman"/>
              <w:noProof/>
              <w:sz w:val="24"/>
              <w:szCs w:val="24"/>
            </w:rPr>
            <w:instrText xml:space="preserve"> PAGEREF _Toc324423946 \h </w:instrText>
          </w:r>
          <w:r w:rsidRPr="00E83B03">
            <w:rPr>
              <w:rFonts w:ascii="Times New Roman" w:hAnsi="Times New Roman"/>
              <w:noProof/>
              <w:sz w:val="24"/>
              <w:szCs w:val="24"/>
            </w:rPr>
          </w:r>
          <w:r w:rsidRPr="00E83B03">
            <w:rPr>
              <w:rFonts w:ascii="Times New Roman" w:hAnsi="Times New Roman"/>
              <w:noProof/>
              <w:sz w:val="24"/>
              <w:szCs w:val="24"/>
            </w:rPr>
            <w:fldChar w:fldCharType="separate"/>
          </w:r>
          <w:r w:rsidR="00500133">
            <w:rPr>
              <w:rFonts w:ascii="Times New Roman" w:hAnsi="Times New Roman"/>
              <w:noProof/>
              <w:sz w:val="24"/>
              <w:szCs w:val="24"/>
            </w:rPr>
            <w:t>8</w:t>
          </w:r>
          <w:r w:rsidRPr="00E83B03">
            <w:rPr>
              <w:rFonts w:ascii="Times New Roman" w:hAnsi="Times New Roman"/>
              <w:noProof/>
              <w:sz w:val="24"/>
              <w:szCs w:val="24"/>
            </w:rPr>
            <w:fldChar w:fldCharType="end"/>
          </w:r>
        </w:p>
        <w:p w14:paraId="4DCC6A49" w14:textId="77777777" w:rsidR="00E83B03" w:rsidRPr="00E83B03" w:rsidRDefault="00E83B03">
          <w:pPr>
            <w:pStyle w:val="TOC2"/>
            <w:tabs>
              <w:tab w:val="right" w:leader="dot" w:pos="8486"/>
            </w:tabs>
            <w:rPr>
              <w:rFonts w:ascii="Times New Roman" w:hAnsi="Times New Roman"/>
              <w:b w:val="0"/>
              <w:noProof/>
              <w:sz w:val="24"/>
              <w:szCs w:val="24"/>
              <w:lang w:eastAsia="ja-JP"/>
            </w:rPr>
          </w:pPr>
          <w:r w:rsidRPr="00E83B03">
            <w:rPr>
              <w:rFonts w:ascii="Times New Roman" w:hAnsi="Times New Roman"/>
              <w:noProof/>
              <w:sz w:val="24"/>
              <w:szCs w:val="24"/>
            </w:rPr>
            <w:t>1.2 Israel’s Economic Management of the Palestinian Territories: 1967-1993</w:t>
          </w:r>
          <w:r w:rsidRPr="00E83B03">
            <w:rPr>
              <w:rFonts w:ascii="Times New Roman" w:hAnsi="Times New Roman"/>
              <w:noProof/>
              <w:sz w:val="24"/>
              <w:szCs w:val="24"/>
            </w:rPr>
            <w:tab/>
          </w:r>
          <w:r w:rsidRPr="00E83B03">
            <w:rPr>
              <w:rFonts w:ascii="Times New Roman" w:hAnsi="Times New Roman"/>
              <w:noProof/>
              <w:sz w:val="24"/>
              <w:szCs w:val="24"/>
            </w:rPr>
            <w:fldChar w:fldCharType="begin"/>
          </w:r>
          <w:r w:rsidRPr="00E83B03">
            <w:rPr>
              <w:rFonts w:ascii="Times New Roman" w:hAnsi="Times New Roman"/>
              <w:noProof/>
              <w:sz w:val="24"/>
              <w:szCs w:val="24"/>
            </w:rPr>
            <w:instrText xml:space="preserve"> PAGEREF _Toc324423947 \h </w:instrText>
          </w:r>
          <w:r w:rsidRPr="00E83B03">
            <w:rPr>
              <w:rFonts w:ascii="Times New Roman" w:hAnsi="Times New Roman"/>
              <w:noProof/>
              <w:sz w:val="24"/>
              <w:szCs w:val="24"/>
            </w:rPr>
          </w:r>
          <w:r w:rsidRPr="00E83B03">
            <w:rPr>
              <w:rFonts w:ascii="Times New Roman" w:hAnsi="Times New Roman"/>
              <w:noProof/>
              <w:sz w:val="24"/>
              <w:szCs w:val="24"/>
            </w:rPr>
            <w:fldChar w:fldCharType="separate"/>
          </w:r>
          <w:r w:rsidR="00500133">
            <w:rPr>
              <w:rFonts w:ascii="Times New Roman" w:hAnsi="Times New Roman"/>
              <w:noProof/>
              <w:sz w:val="24"/>
              <w:szCs w:val="24"/>
            </w:rPr>
            <w:t>13</w:t>
          </w:r>
          <w:r w:rsidRPr="00E83B03">
            <w:rPr>
              <w:rFonts w:ascii="Times New Roman" w:hAnsi="Times New Roman"/>
              <w:noProof/>
              <w:sz w:val="24"/>
              <w:szCs w:val="24"/>
            </w:rPr>
            <w:fldChar w:fldCharType="end"/>
          </w:r>
        </w:p>
        <w:p w14:paraId="3616562D" w14:textId="77777777" w:rsidR="00E83B03" w:rsidRPr="00E83B03" w:rsidRDefault="00E83B03">
          <w:pPr>
            <w:pStyle w:val="TOC2"/>
            <w:tabs>
              <w:tab w:val="right" w:leader="dot" w:pos="8486"/>
            </w:tabs>
            <w:rPr>
              <w:rFonts w:ascii="Times New Roman" w:hAnsi="Times New Roman"/>
              <w:b w:val="0"/>
              <w:noProof/>
              <w:sz w:val="24"/>
              <w:szCs w:val="24"/>
              <w:lang w:eastAsia="ja-JP"/>
            </w:rPr>
          </w:pPr>
          <w:r w:rsidRPr="00E83B03">
            <w:rPr>
              <w:rFonts w:ascii="Times New Roman" w:hAnsi="Times New Roman"/>
              <w:noProof/>
              <w:sz w:val="24"/>
              <w:szCs w:val="24"/>
            </w:rPr>
            <w:t>1.3 A Necessary Evil: The Determinants and Consequences of Extraordinary Defense Spending in Israel</w:t>
          </w:r>
          <w:r w:rsidRPr="00E83B03">
            <w:rPr>
              <w:rFonts w:ascii="Times New Roman" w:hAnsi="Times New Roman"/>
              <w:noProof/>
              <w:sz w:val="24"/>
              <w:szCs w:val="24"/>
            </w:rPr>
            <w:tab/>
          </w:r>
          <w:r w:rsidRPr="00E83B03">
            <w:rPr>
              <w:rFonts w:ascii="Times New Roman" w:hAnsi="Times New Roman"/>
              <w:noProof/>
              <w:sz w:val="24"/>
              <w:szCs w:val="24"/>
            </w:rPr>
            <w:fldChar w:fldCharType="begin"/>
          </w:r>
          <w:r w:rsidRPr="00E83B03">
            <w:rPr>
              <w:rFonts w:ascii="Times New Roman" w:hAnsi="Times New Roman"/>
              <w:noProof/>
              <w:sz w:val="24"/>
              <w:szCs w:val="24"/>
            </w:rPr>
            <w:instrText xml:space="preserve"> PAGEREF _Toc324423948 \h </w:instrText>
          </w:r>
          <w:r w:rsidRPr="00E83B03">
            <w:rPr>
              <w:rFonts w:ascii="Times New Roman" w:hAnsi="Times New Roman"/>
              <w:noProof/>
              <w:sz w:val="24"/>
              <w:szCs w:val="24"/>
            </w:rPr>
          </w:r>
          <w:r w:rsidRPr="00E83B03">
            <w:rPr>
              <w:rFonts w:ascii="Times New Roman" w:hAnsi="Times New Roman"/>
              <w:noProof/>
              <w:sz w:val="24"/>
              <w:szCs w:val="24"/>
            </w:rPr>
            <w:fldChar w:fldCharType="separate"/>
          </w:r>
          <w:r w:rsidR="00500133">
            <w:rPr>
              <w:rFonts w:ascii="Times New Roman" w:hAnsi="Times New Roman"/>
              <w:noProof/>
              <w:sz w:val="24"/>
              <w:szCs w:val="24"/>
            </w:rPr>
            <w:t>25</w:t>
          </w:r>
          <w:r w:rsidRPr="00E83B03">
            <w:rPr>
              <w:rFonts w:ascii="Times New Roman" w:hAnsi="Times New Roman"/>
              <w:noProof/>
              <w:sz w:val="24"/>
              <w:szCs w:val="24"/>
            </w:rPr>
            <w:fldChar w:fldCharType="end"/>
          </w:r>
        </w:p>
        <w:p w14:paraId="11F4C628" w14:textId="77777777" w:rsidR="00E83B03" w:rsidRPr="00E83B03" w:rsidRDefault="00E83B03">
          <w:pPr>
            <w:pStyle w:val="TOC3"/>
            <w:tabs>
              <w:tab w:val="right" w:leader="dot" w:pos="8486"/>
            </w:tabs>
            <w:rPr>
              <w:rFonts w:ascii="Times New Roman" w:hAnsi="Times New Roman"/>
              <w:noProof/>
              <w:sz w:val="24"/>
              <w:szCs w:val="24"/>
              <w:lang w:eastAsia="ja-JP"/>
            </w:rPr>
          </w:pPr>
          <w:r w:rsidRPr="00E83B03">
            <w:rPr>
              <w:rFonts w:ascii="Times New Roman" w:hAnsi="Times New Roman"/>
              <w:i/>
              <w:noProof/>
              <w:sz w:val="24"/>
              <w:szCs w:val="24"/>
            </w:rPr>
            <w:t>The Social Costs of Israel’s Extraordinary Defense Burden</w:t>
          </w:r>
          <w:r w:rsidRPr="00E83B03">
            <w:rPr>
              <w:rFonts w:ascii="Times New Roman" w:hAnsi="Times New Roman"/>
              <w:noProof/>
              <w:sz w:val="24"/>
              <w:szCs w:val="24"/>
            </w:rPr>
            <w:tab/>
          </w:r>
          <w:r w:rsidRPr="00E83B03">
            <w:rPr>
              <w:rFonts w:ascii="Times New Roman" w:hAnsi="Times New Roman"/>
              <w:noProof/>
              <w:sz w:val="24"/>
              <w:szCs w:val="24"/>
            </w:rPr>
            <w:fldChar w:fldCharType="begin"/>
          </w:r>
          <w:r w:rsidRPr="00E83B03">
            <w:rPr>
              <w:rFonts w:ascii="Times New Roman" w:hAnsi="Times New Roman"/>
              <w:noProof/>
              <w:sz w:val="24"/>
              <w:szCs w:val="24"/>
            </w:rPr>
            <w:instrText xml:space="preserve"> PAGEREF _Toc324423949 \h </w:instrText>
          </w:r>
          <w:r w:rsidRPr="00E83B03">
            <w:rPr>
              <w:rFonts w:ascii="Times New Roman" w:hAnsi="Times New Roman"/>
              <w:noProof/>
              <w:sz w:val="24"/>
              <w:szCs w:val="24"/>
            </w:rPr>
          </w:r>
          <w:r w:rsidRPr="00E83B03">
            <w:rPr>
              <w:rFonts w:ascii="Times New Roman" w:hAnsi="Times New Roman"/>
              <w:noProof/>
              <w:sz w:val="24"/>
              <w:szCs w:val="24"/>
            </w:rPr>
            <w:fldChar w:fldCharType="separate"/>
          </w:r>
          <w:r w:rsidR="00500133">
            <w:rPr>
              <w:rFonts w:ascii="Times New Roman" w:hAnsi="Times New Roman"/>
              <w:noProof/>
              <w:sz w:val="24"/>
              <w:szCs w:val="24"/>
            </w:rPr>
            <w:t>32</w:t>
          </w:r>
          <w:r w:rsidRPr="00E83B03">
            <w:rPr>
              <w:rFonts w:ascii="Times New Roman" w:hAnsi="Times New Roman"/>
              <w:noProof/>
              <w:sz w:val="24"/>
              <w:szCs w:val="24"/>
            </w:rPr>
            <w:fldChar w:fldCharType="end"/>
          </w:r>
        </w:p>
        <w:p w14:paraId="76629CC8" w14:textId="77777777" w:rsidR="00E83B03" w:rsidRPr="00E83B03" w:rsidRDefault="00E83B03">
          <w:pPr>
            <w:pStyle w:val="TOC1"/>
            <w:tabs>
              <w:tab w:val="right" w:leader="dot" w:pos="8486"/>
            </w:tabs>
            <w:rPr>
              <w:rFonts w:ascii="Times New Roman" w:hAnsi="Times New Roman"/>
              <w:b w:val="0"/>
              <w:noProof/>
              <w:lang w:eastAsia="ja-JP"/>
            </w:rPr>
          </w:pPr>
          <w:r w:rsidRPr="00E83B03">
            <w:rPr>
              <w:rFonts w:ascii="Times New Roman" w:hAnsi="Times New Roman"/>
              <w:noProof/>
            </w:rPr>
            <w:t>Chapter 2: The Israeli Control Regime After the Oslo Accords: Cyclical Violence in Lieu of Peace</w:t>
          </w:r>
          <w:r w:rsidRPr="00E83B03">
            <w:rPr>
              <w:rFonts w:ascii="Times New Roman" w:hAnsi="Times New Roman"/>
              <w:noProof/>
            </w:rPr>
            <w:tab/>
          </w:r>
          <w:r w:rsidRPr="00E83B03">
            <w:rPr>
              <w:rFonts w:ascii="Times New Roman" w:hAnsi="Times New Roman"/>
              <w:noProof/>
            </w:rPr>
            <w:fldChar w:fldCharType="begin"/>
          </w:r>
          <w:r w:rsidRPr="00E83B03">
            <w:rPr>
              <w:rFonts w:ascii="Times New Roman" w:hAnsi="Times New Roman"/>
              <w:noProof/>
            </w:rPr>
            <w:instrText xml:space="preserve"> PAGEREF _Toc324423950 \h </w:instrText>
          </w:r>
          <w:r w:rsidRPr="00E83B03">
            <w:rPr>
              <w:rFonts w:ascii="Times New Roman" w:hAnsi="Times New Roman"/>
              <w:noProof/>
            </w:rPr>
          </w:r>
          <w:r w:rsidRPr="00E83B03">
            <w:rPr>
              <w:rFonts w:ascii="Times New Roman" w:hAnsi="Times New Roman"/>
              <w:noProof/>
            </w:rPr>
            <w:fldChar w:fldCharType="separate"/>
          </w:r>
          <w:r w:rsidR="00500133">
            <w:rPr>
              <w:rFonts w:ascii="Times New Roman" w:hAnsi="Times New Roman"/>
              <w:noProof/>
            </w:rPr>
            <w:t>40</w:t>
          </w:r>
          <w:r w:rsidRPr="00E83B03">
            <w:rPr>
              <w:rFonts w:ascii="Times New Roman" w:hAnsi="Times New Roman"/>
              <w:noProof/>
            </w:rPr>
            <w:fldChar w:fldCharType="end"/>
          </w:r>
        </w:p>
        <w:p w14:paraId="4025A3F6" w14:textId="77777777" w:rsidR="00E83B03" w:rsidRPr="00E83B03" w:rsidRDefault="00E83B03">
          <w:pPr>
            <w:pStyle w:val="TOC2"/>
            <w:tabs>
              <w:tab w:val="right" w:leader="dot" w:pos="8486"/>
            </w:tabs>
            <w:rPr>
              <w:rFonts w:ascii="Times New Roman" w:hAnsi="Times New Roman"/>
              <w:b w:val="0"/>
              <w:noProof/>
              <w:sz w:val="24"/>
              <w:szCs w:val="24"/>
              <w:lang w:eastAsia="ja-JP"/>
            </w:rPr>
          </w:pPr>
          <w:r w:rsidRPr="00E83B03">
            <w:rPr>
              <w:rFonts w:ascii="Times New Roman" w:hAnsi="Times New Roman"/>
              <w:noProof/>
              <w:sz w:val="24"/>
              <w:szCs w:val="24"/>
            </w:rPr>
            <w:t>2.1 Unrealized Peace Dividends: the Oslo Accords and the Potential Benefits of Peace</w:t>
          </w:r>
          <w:r w:rsidRPr="00E83B03">
            <w:rPr>
              <w:rFonts w:ascii="Times New Roman" w:hAnsi="Times New Roman"/>
              <w:noProof/>
              <w:sz w:val="24"/>
              <w:szCs w:val="24"/>
            </w:rPr>
            <w:tab/>
          </w:r>
          <w:r w:rsidRPr="00E83B03">
            <w:rPr>
              <w:rFonts w:ascii="Times New Roman" w:hAnsi="Times New Roman"/>
              <w:noProof/>
              <w:sz w:val="24"/>
              <w:szCs w:val="24"/>
            </w:rPr>
            <w:fldChar w:fldCharType="begin"/>
          </w:r>
          <w:r w:rsidRPr="00E83B03">
            <w:rPr>
              <w:rFonts w:ascii="Times New Roman" w:hAnsi="Times New Roman"/>
              <w:noProof/>
              <w:sz w:val="24"/>
              <w:szCs w:val="24"/>
            </w:rPr>
            <w:instrText xml:space="preserve"> PAGEREF _Toc324423951 \h </w:instrText>
          </w:r>
          <w:r w:rsidRPr="00E83B03">
            <w:rPr>
              <w:rFonts w:ascii="Times New Roman" w:hAnsi="Times New Roman"/>
              <w:noProof/>
              <w:sz w:val="24"/>
              <w:szCs w:val="24"/>
            </w:rPr>
          </w:r>
          <w:r w:rsidRPr="00E83B03">
            <w:rPr>
              <w:rFonts w:ascii="Times New Roman" w:hAnsi="Times New Roman"/>
              <w:noProof/>
              <w:sz w:val="24"/>
              <w:szCs w:val="24"/>
            </w:rPr>
            <w:fldChar w:fldCharType="separate"/>
          </w:r>
          <w:r w:rsidR="00500133">
            <w:rPr>
              <w:rFonts w:ascii="Times New Roman" w:hAnsi="Times New Roman"/>
              <w:noProof/>
              <w:sz w:val="24"/>
              <w:szCs w:val="24"/>
            </w:rPr>
            <w:t>40</w:t>
          </w:r>
          <w:r w:rsidRPr="00E83B03">
            <w:rPr>
              <w:rFonts w:ascii="Times New Roman" w:hAnsi="Times New Roman"/>
              <w:noProof/>
              <w:sz w:val="24"/>
              <w:szCs w:val="24"/>
            </w:rPr>
            <w:fldChar w:fldCharType="end"/>
          </w:r>
        </w:p>
        <w:p w14:paraId="7F0FDF38" w14:textId="77777777" w:rsidR="00E83B03" w:rsidRPr="00E83B03" w:rsidRDefault="00E83B03">
          <w:pPr>
            <w:pStyle w:val="TOC2"/>
            <w:tabs>
              <w:tab w:val="right" w:leader="dot" w:pos="8486"/>
            </w:tabs>
            <w:rPr>
              <w:rFonts w:ascii="Times New Roman" w:hAnsi="Times New Roman"/>
              <w:b w:val="0"/>
              <w:noProof/>
              <w:sz w:val="24"/>
              <w:szCs w:val="24"/>
              <w:lang w:eastAsia="ja-JP"/>
            </w:rPr>
          </w:pPr>
          <w:r w:rsidRPr="00E83B03">
            <w:rPr>
              <w:rFonts w:ascii="Times New Roman" w:hAnsi="Times New Roman"/>
              <w:noProof/>
              <w:sz w:val="24"/>
              <w:szCs w:val="24"/>
            </w:rPr>
            <w:t>2.2 Cyclical Violence After the Oslo Accords and The Israeli Closure Regime</w:t>
          </w:r>
          <w:r w:rsidRPr="00E83B03">
            <w:rPr>
              <w:rFonts w:ascii="Times New Roman" w:hAnsi="Times New Roman"/>
              <w:noProof/>
              <w:sz w:val="24"/>
              <w:szCs w:val="24"/>
            </w:rPr>
            <w:tab/>
          </w:r>
          <w:r w:rsidRPr="00E83B03">
            <w:rPr>
              <w:rFonts w:ascii="Times New Roman" w:hAnsi="Times New Roman"/>
              <w:noProof/>
              <w:sz w:val="24"/>
              <w:szCs w:val="24"/>
            </w:rPr>
            <w:fldChar w:fldCharType="begin"/>
          </w:r>
          <w:r w:rsidRPr="00E83B03">
            <w:rPr>
              <w:rFonts w:ascii="Times New Roman" w:hAnsi="Times New Roman"/>
              <w:noProof/>
              <w:sz w:val="24"/>
              <w:szCs w:val="24"/>
            </w:rPr>
            <w:instrText xml:space="preserve"> PAGEREF _Toc324423952 \h </w:instrText>
          </w:r>
          <w:r w:rsidRPr="00E83B03">
            <w:rPr>
              <w:rFonts w:ascii="Times New Roman" w:hAnsi="Times New Roman"/>
              <w:noProof/>
              <w:sz w:val="24"/>
              <w:szCs w:val="24"/>
            </w:rPr>
          </w:r>
          <w:r w:rsidRPr="00E83B03">
            <w:rPr>
              <w:rFonts w:ascii="Times New Roman" w:hAnsi="Times New Roman"/>
              <w:noProof/>
              <w:sz w:val="24"/>
              <w:szCs w:val="24"/>
            </w:rPr>
            <w:fldChar w:fldCharType="separate"/>
          </w:r>
          <w:r w:rsidR="00500133">
            <w:rPr>
              <w:rFonts w:ascii="Times New Roman" w:hAnsi="Times New Roman"/>
              <w:noProof/>
              <w:sz w:val="24"/>
              <w:szCs w:val="24"/>
            </w:rPr>
            <w:t>44</w:t>
          </w:r>
          <w:r w:rsidRPr="00E83B03">
            <w:rPr>
              <w:rFonts w:ascii="Times New Roman" w:hAnsi="Times New Roman"/>
              <w:noProof/>
              <w:sz w:val="24"/>
              <w:szCs w:val="24"/>
            </w:rPr>
            <w:fldChar w:fldCharType="end"/>
          </w:r>
        </w:p>
        <w:p w14:paraId="1EF352CB" w14:textId="77777777" w:rsidR="00E83B03" w:rsidRPr="00E83B03" w:rsidRDefault="00E83B03">
          <w:pPr>
            <w:pStyle w:val="TOC3"/>
            <w:tabs>
              <w:tab w:val="right" w:leader="dot" w:pos="8486"/>
            </w:tabs>
            <w:rPr>
              <w:rFonts w:ascii="Times New Roman" w:hAnsi="Times New Roman"/>
              <w:noProof/>
              <w:sz w:val="24"/>
              <w:szCs w:val="24"/>
              <w:lang w:eastAsia="ja-JP"/>
            </w:rPr>
          </w:pPr>
          <w:r w:rsidRPr="00E83B03">
            <w:rPr>
              <w:rFonts w:ascii="Times New Roman" w:hAnsi="Times New Roman"/>
              <w:i/>
              <w:noProof/>
              <w:sz w:val="24"/>
              <w:szCs w:val="24"/>
            </w:rPr>
            <w:t>The Paris Protocol</w:t>
          </w:r>
          <w:r w:rsidRPr="00E83B03">
            <w:rPr>
              <w:rFonts w:ascii="Times New Roman" w:hAnsi="Times New Roman"/>
              <w:noProof/>
              <w:sz w:val="24"/>
              <w:szCs w:val="24"/>
            </w:rPr>
            <w:tab/>
          </w:r>
          <w:r w:rsidRPr="00E83B03">
            <w:rPr>
              <w:rFonts w:ascii="Times New Roman" w:hAnsi="Times New Roman"/>
              <w:noProof/>
              <w:sz w:val="24"/>
              <w:szCs w:val="24"/>
            </w:rPr>
            <w:fldChar w:fldCharType="begin"/>
          </w:r>
          <w:r w:rsidRPr="00E83B03">
            <w:rPr>
              <w:rFonts w:ascii="Times New Roman" w:hAnsi="Times New Roman"/>
              <w:noProof/>
              <w:sz w:val="24"/>
              <w:szCs w:val="24"/>
            </w:rPr>
            <w:instrText xml:space="preserve"> PAGEREF _Toc324423953 \h </w:instrText>
          </w:r>
          <w:r w:rsidRPr="00E83B03">
            <w:rPr>
              <w:rFonts w:ascii="Times New Roman" w:hAnsi="Times New Roman"/>
              <w:noProof/>
              <w:sz w:val="24"/>
              <w:szCs w:val="24"/>
            </w:rPr>
          </w:r>
          <w:r w:rsidRPr="00E83B03">
            <w:rPr>
              <w:rFonts w:ascii="Times New Roman" w:hAnsi="Times New Roman"/>
              <w:noProof/>
              <w:sz w:val="24"/>
              <w:szCs w:val="24"/>
            </w:rPr>
            <w:fldChar w:fldCharType="separate"/>
          </w:r>
          <w:r w:rsidR="00500133">
            <w:rPr>
              <w:rFonts w:ascii="Times New Roman" w:hAnsi="Times New Roman"/>
              <w:noProof/>
              <w:sz w:val="24"/>
              <w:szCs w:val="24"/>
            </w:rPr>
            <w:t>45</w:t>
          </w:r>
          <w:r w:rsidRPr="00E83B03">
            <w:rPr>
              <w:rFonts w:ascii="Times New Roman" w:hAnsi="Times New Roman"/>
              <w:noProof/>
              <w:sz w:val="24"/>
              <w:szCs w:val="24"/>
            </w:rPr>
            <w:fldChar w:fldCharType="end"/>
          </w:r>
        </w:p>
        <w:p w14:paraId="77BBFB80" w14:textId="77777777" w:rsidR="00E83B03" w:rsidRPr="00E83B03" w:rsidRDefault="00E83B03">
          <w:pPr>
            <w:pStyle w:val="TOC2"/>
            <w:tabs>
              <w:tab w:val="right" w:leader="dot" w:pos="8486"/>
            </w:tabs>
            <w:rPr>
              <w:rFonts w:ascii="Times New Roman" w:hAnsi="Times New Roman"/>
              <w:b w:val="0"/>
              <w:noProof/>
              <w:sz w:val="24"/>
              <w:szCs w:val="24"/>
              <w:lang w:eastAsia="ja-JP"/>
            </w:rPr>
          </w:pPr>
          <w:r w:rsidRPr="00E83B03">
            <w:rPr>
              <w:rFonts w:ascii="Times New Roman" w:hAnsi="Times New Roman"/>
              <w:noProof/>
              <w:sz w:val="24"/>
              <w:szCs w:val="24"/>
            </w:rPr>
            <w:t>2.3 Restricting Palestinian Mobility as Counter-Insurgency: The Oslo Accords, The Second Intifada, and Israel’s Use of Closure Policies</w:t>
          </w:r>
          <w:r w:rsidRPr="00E83B03">
            <w:rPr>
              <w:rFonts w:ascii="Times New Roman" w:hAnsi="Times New Roman"/>
              <w:noProof/>
              <w:sz w:val="24"/>
              <w:szCs w:val="24"/>
            </w:rPr>
            <w:tab/>
          </w:r>
          <w:r w:rsidRPr="00E83B03">
            <w:rPr>
              <w:rFonts w:ascii="Times New Roman" w:hAnsi="Times New Roman"/>
              <w:noProof/>
              <w:sz w:val="24"/>
              <w:szCs w:val="24"/>
            </w:rPr>
            <w:fldChar w:fldCharType="begin"/>
          </w:r>
          <w:r w:rsidRPr="00E83B03">
            <w:rPr>
              <w:rFonts w:ascii="Times New Roman" w:hAnsi="Times New Roman"/>
              <w:noProof/>
              <w:sz w:val="24"/>
              <w:szCs w:val="24"/>
            </w:rPr>
            <w:instrText xml:space="preserve"> PAGEREF _Toc324423954 \h </w:instrText>
          </w:r>
          <w:r w:rsidRPr="00E83B03">
            <w:rPr>
              <w:rFonts w:ascii="Times New Roman" w:hAnsi="Times New Roman"/>
              <w:noProof/>
              <w:sz w:val="24"/>
              <w:szCs w:val="24"/>
            </w:rPr>
          </w:r>
          <w:r w:rsidRPr="00E83B03">
            <w:rPr>
              <w:rFonts w:ascii="Times New Roman" w:hAnsi="Times New Roman"/>
              <w:noProof/>
              <w:sz w:val="24"/>
              <w:szCs w:val="24"/>
            </w:rPr>
            <w:fldChar w:fldCharType="separate"/>
          </w:r>
          <w:r w:rsidR="00500133">
            <w:rPr>
              <w:rFonts w:ascii="Times New Roman" w:hAnsi="Times New Roman"/>
              <w:noProof/>
              <w:sz w:val="24"/>
              <w:szCs w:val="24"/>
            </w:rPr>
            <w:t>48</w:t>
          </w:r>
          <w:r w:rsidRPr="00E83B03">
            <w:rPr>
              <w:rFonts w:ascii="Times New Roman" w:hAnsi="Times New Roman"/>
              <w:noProof/>
              <w:sz w:val="24"/>
              <w:szCs w:val="24"/>
            </w:rPr>
            <w:fldChar w:fldCharType="end"/>
          </w:r>
        </w:p>
        <w:p w14:paraId="01AC61D4" w14:textId="77777777" w:rsidR="00E83B03" w:rsidRPr="00E83B03" w:rsidRDefault="00E83B03">
          <w:pPr>
            <w:pStyle w:val="TOC2"/>
            <w:tabs>
              <w:tab w:val="right" w:leader="dot" w:pos="8486"/>
            </w:tabs>
            <w:rPr>
              <w:rFonts w:ascii="Times New Roman" w:hAnsi="Times New Roman"/>
              <w:b w:val="0"/>
              <w:noProof/>
              <w:sz w:val="24"/>
              <w:szCs w:val="24"/>
              <w:lang w:eastAsia="ja-JP"/>
            </w:rPr>
          </w:pPr>
          <w:r w:rsidRPr="00E83B03">
            <w:rPr>
              <w:rFonts w:ascii="Times New Roman" w:hAnsi="Times New Roman"/>
              <w:noProof/>
              <w:sz w:val="24"/>
              <w:szCs w:val="24"/>
            </w:rPr>
            <w:t>2.4 Unemployment and Violence After the Imposition of Mobility Restrictions</w:t>
          </w:r>
          <w:r w:rsidRPr="00E83B03">
            <w:rPr>
              <w:rFonts w:ascii="Times New Roman" w:hAnsi="Times New Roman"/>
              <w:noProof/>
              <w:sz w:val="24"/>
              <w:szCs w:val="24"/>
            </w:rPr>
            <w:tab/>
          </w:r>
          <w:r w:rsidRPr="00E83B03">
            <w:rPr>
              <w:rFonts w:ascii="Times New Roman" w:hAnsi="Times New Roman"/>
              <w:noProof/>
              <w:sz w:val="24"/>
              <w:szCs w:val="24"/>
            </w:rPr>
            <w:fldChar w:fldCharType="begin"/>
          </w:r>
          <w:r w:rsidRPr="00E83B03">
            <w:rPr>
              <w:rFonts w:ascii="Times New Roman" w:hAnsi="Times New Roman"/>
              <w:noProof/>
              <w:sz w:val="24"/>
              <w:szCs w:val="24"/>
            </w:rPr>
            <w:instrText xml:space="preserve"> PAGEREF _Toc324423955 \h </w:instrText>
          </w:r>
          <w:r w:rsidRPr="00E83B03">
            <w:rPr>
              <w:rFonts w:ascii="Times New Roman" w:hAnsi="Times New Roman"/>
              <w:noProof/>
              <w:sz w:val="24"/>
              <w:szCs w:val="24"/>
            </w:rPr>
          </w:r>
          <w:r w:rsidRPr="00E83B03">
            <w:rPr>
              <w:rFonts w:ascii="Times New Roman" w:hAnsi="Times New Roman"/>
              <w:noProof/>
              <w:sz w:val="24"/>
              <w:szCs w:val="24"/>
            </w:rPr>
            <w:fldChar w:fldCharType="separate"/>
          </w:r>
          <w:r w:rsidR="00500133">
            <w:rPr>
              <w:rFonts w:ascii="Times New Roman" w:hAnsi="Times New Roman"/>
              <w:noProof/>
              <w:sz w:val="24"/>
              <w:szCs w:val="24"/>
            </w:rPr>
            <w:t>54</w:t>
          </w:r>
          <w:r w:rsidRPr="00E83B03">
            <w:rPr>
              <w:rFonts w:ascii="Times New Roman" w:hAnsi="Times New Roman"/>
              <w:noProof/>
              <w:sz w:val="24"/>
              <w:szCs w:val="24"/>
            </w:rPr>
            <w:fldChar w:fldCharType="end"/>
          </w:r>
        </w:p>
        <w:p w14:paraId="4D31AD19" w14:textId="77777777" w:rsidR="00E83B03" w:rsidRPr="00E83B03" w:rsidRDefault="00E83B03">
          <w:pPr>
            <w:pStyle w:val="TOC1"/>
            <w:tabs>
              <w:tab w:val="right" w:leader="dot" w:pos="8486"/>
            </w:tabs>
            <w:rPr>
              <w:rFonts w:ascii="Times New Roman" w:hAnsi="Times New Roman"/>
              <w:b w:val="0"/>
              <w:noProof/>
              <w:lang w:eastAsia="ja-JP"/>
            </w:rPr>
          </w:pPr>
          <w:r w:rsidRPr="00E83B03">
            <w:rPr>
              <w:rFonts w:ascii="Times New Roman" w:hAnsi="Times New Roman"/>
              <w:noProof/>
            </w:rPr>
            <w:lastRenderedPageBreak/>
            <w:t>Chapter 3: Modeling the Effects of Integrating More Palestinians into the Israeli Labor Market</w:t>
          </w:r>
          <w:r w:rsidRPr="00E83B03">
            <w:rPr>
              <w:rFonts w:ascii="Times New Roman" w:hAnsi="Times New Roman"/>
              <w:noProof/>
            </w:rPr>
            <w:tab/>
          </w:r>
          <w:r w:rsidRPr="00E83B03">
            <w:rPr>
              <w:rFonts w:ascii="Times New Roman" w:hAnsi="Times New Roman"/>
              <w:noProof/>
            </w:rPr>
            <w:fldChar w:fldCharType="begin"/>
          </w:r>
          <w:r w:rsidRPr="00E83B03">
            <w:rPr>
              <w:rFonts w:ascii="Times New Roman" w:hAnsi="Times New Roman"/>
              <w:noProof/>
            </w:rPr>
            <w:instrText xml:space="preserve"> PAGEREF _Toc324423956 \h </w:instrText>
          </w:r>
          <w:r w:rsidRPr="00E83B03">
            <w:rPr>
              <w:rFonts w:ascii="Times New Roman" w:hAnsi="Times New Roman"/>
              <w:noProof/>
            </w:rPr>
          </w:r>
          <w:r w:rsidRPr="00E83B03">
            <w:rPr>
              <w:rFonts w:ascii="Times New Roman" w:hAnsi="Times New Roman"/>
              <w:noProof/>
            </w:rPr>
            <w:fldChar w:fldCharType="separate"/>
          </w:r>
          <w:r w:rsidR="00500133">
            <w:rPr>
              <w:rFonts w:ascii="Times New Roman" w:hAnsi="Times New Roman"/>
              <w:noProof/>
            </w:rPr>
            <w:t>61</w:t>
          </w:r>
          <w:r w:rsidRPr="00E83B03">
            <w:rPr>
              <w:rFonts w:ascii="Times New Roman" w:hAnsi="Times New Roman"/>
              <w:noProof/>
            </w:rPr>
            <w:fldChar w:fldCharType="end"/>
          </w:r>
        </w:p>
        <w:p w14:paraId="05CA82F0" w14:textId="77777777" w:rsidR="00E83B03" w:rsidRPr="00E83B03" w:rsidRDefault="00E83B03">
          <w:pPr>
            <w:pStyle w:val="TOC2"/>
            <w:tabs>
              <w:tab w:val="right" w:leader="dot" w:pos="8486"/>
            </w:tabs>
            <w:rPr>
              <w:rFonts w:ascii="Times New Roman" w:hAnsi="Times New Roman"/>
              <w:b w:val="0"/>
              <w:noProof/>
              <w:sz w:val="24"/>
              <w:szCs w:val="24"/>
              <w:lang w:eastAsia="ja-JP"/>
            </w:rPr>
          </w:pPr>
          <w:r w:rsidRPr="00E83B03">
            <w:rPr>
              <w:rFonts w:ascii="Times New Roman" w:hAnsi="Times New Roman"/>
              <w:noProof/>
              <w:sz w:val="24"/>
              <w:szCs w:val="24"/>
            </w:rPr>
            <w:t>3.1 Commuters or Migrants? The Unique Case of Palestinians Working in Israel</w:t>
          </w:r>
          <w:r w:rsidRPr="00E83B03">
            <w:rPr>
              <w:rFonts w:ascii="Times New Roman" w:hAnsi="Times New Roman"/>
              <w:noProof/>
              <w:sz w:val="24"/>
              <w:szCs w:val="24"/>
            </w:rPr>
            <w:tab/>
          </w:r>
          <w:r w:rsidRPr="00E83B03">
            <w:rPr>
              <w:rFonts w:ascii="Times New Roman" w:hAnsi="Times New Roman"/>
              <w:noProof/>
              <w:sz w:val="24"/>
              <w:szCs w:val="24"/>
            </w:rPr>
            <w:fldChar w:fldCharType="begin"/>
          </w:r>
          <w:r w:rsidRPr="00E83B03">
            <w:rPr>
              <w:rFonts w:ascii="Times New Roman" w:hAnsi="Times New Roman"/>
              <w:noProof/>
              <w:sz w:val="24"/>
              <w:szCs w:val="24"/>
            </w:rPr>
            <w:instrText xml:space="preserve"> PAGEREF _Toc324423957 \h </w:instrText>
          </w:r>
          <w:r w:rsidRPr="00E83B03">
            <w:rPr>
              <w:rFonts w:ascii="Times New Roman" w:hAnsi="Times New Roman"/>
              <w:noProof/>
              <w:sz w:val="24"/>
              <w:szCs w:val="24"/>
            </w:rPr>
          </w:r>
          <w:r w:rsidRPr="00E83B03">
            <w:rPr>
              <w:rFonts w:ascii="Times New Roman" w:hAnsi="Times New Roman"/>
              <w:noProof/>
              <w:sz w:val="24"/>
              <w:szCs w:val="24"/>
            </w:rPr>
            <w:fldChar w:fldCharType="separate"/>
          </w:r>
          <w:r w:rsidR="00500133">
            <w:rPr>
              <w:rFonts w:ascii="Times New Roman" w:hAnsi="Times New Roman"/>
              <w:noProof/>
              <w:sz w:val="24"/>
              <w:szCs w:val="24"/>
            </w:rPr>
            <w:t>62</w:t>
          </w:r>
          <w:r w:rsidRPr="00E83B03">
            <w:rPr>
              <w:rFonts w:ascii="Times New Roman" w:hAnsi="Times New Roman"/>
              <w:noProof/>
              <w:sz w:val="24"/>
              <w:szCs w:val="24"/>
            </w:rPr>
            <w:fldChar w:fldCharType="end"/>
          </w:r>
        </w:p>
        <w:p w14:paraId="450DD60D" w14:textId="77777777" w:rsidR="00E83B03" w:rsidRPr="00E83B03" w:rsidRDefault="00E83B03">
          <w:pPr>
            <w:pStyle w:val="TOC2"/>
            <w:tabs>
              <w:tab w:val="right" w:leader="dot" w:pos="8486"/>
            </w:tabs>
            <w:rPr>
              <w:rFonts w:ascii="Times New Roman" w:hAnsi="Times New Roman"/>
              <w:b w:val="0"/>
              <w:noProof/>
              <w:sz w:val="24"/>
              <w:szCs w:val="24"/>
              <w:lang w:eastAsia="ja-JP"/>
            </w:rPr>
          </w:pPr>
          <w:r w:rsidRPr="00E83B03">
            <w:rPr>
              <w:rFonts w:ascii="Times New Roman" w:hAnsi="Times New Roman"/>
              <w:noProof/>
              <w:sz w:val="24"/>
              <w:szCs w:val="24"/>
            </w:rPr>
            <w:t>3.2 Why An Agent-Based Dynamic Equilibrium Model?</w:t>
          </w:r>
          <w:r w:rsidRPr="00E83B03">
            <w:rPr>
              <w:rFonts w:ascii="Times New Roman" w:hAnsi="Times New Roman"/>
              <w:noProof/>
              <w:sz w:val="24"/>
              <w:szCs w:val="24"/>
            </w:rPr>
            <w:tab/>
          </w:r>
          <w:r w:rsidRPr="00E83B03">
            <w:rPr>
              <w:rFonts w:ascii="Times New Roman" w:hAnsi="Times New Roman"/>
              <w:noProof/>
              <w:sz w:val="24"/>
              <w:szCs w:val="24"/>
            </w:rPr>
            <w:fldChar w:fldCharType="begin"/>
          </w:r>
          <w:r w:rsidRPr="00E83B03">
            <w:rPr>
              <w:rFonts w:ascii="Times New Roman" w:hAnsi="Times New Roman"/>
              <w:noProof/>
              <w:sz w:val="24"/>
              <w:szCs w:val="24"/>
            </w:rPr>
            <w:instrText xml:space="preserve"> PAGEREF _Toc324423958 \h </w:instrText>
          </w:r>
          <w:r w:rsidRPr="00E83B03">
            <w:rPr>
              <w:rFonts w:ascii="Times New Roman" w:hAnsi="Times New Roman"/>
              <w:noProof/>
              <w:sz w:val="24"/>
              <w:szCs w:val="24"/>
            </w:rPr>
          </w:r>
          <w:r w:rsidRPr="00E83B03">
            <w:rPr>
              <w:rFonts w:ascii="Times New Roman" w:hAnsi="Times New Roman"/>
              <w:noProof/>
              <w:sz w:val="24"/>
              <w:szCs w:val="24"/>
            </w:rPr>
            <w:fldChar w:fldCharType="separate"/>
          </w:r>
          <w:r w:rsidR="00500133">
            <w:rPr>
              <w:rFonts w:ascii="Times New Roman" w:hAnsi="Times New Roman"/>
              <w:noProof/>
              <w:sz w:val="24"/>
              <w:szCs w:val="24"/>
            </w:rPr>
            <w:t>70</w:t>
          </w:r>
          <w:r w:rsidRPr="00E83B03">
            <w:rPr>
              <w:rFonts w:ascii="Times New Roman" w:hAnsi="Times New Roman"/>
              <w:noProof/>
              <w:sz w:val="24"/>
              <w:szCs w:val="24"/>
            </w:rPr>
            <w:fldChar w:fldCharType="end"/>
          </w:r>
        </w:p>
        <w:p w14:paraId="3ED998A6" w14:textId="77777777" w:rsidR="00E83B03" w:rsidRPr="00E83B03" w:rsidRDefault="00E83B03">
          <w:pPr>
            <w:pStyle w:val="TOC2"/>
            <w:tabs>
              <w:tab w:val="right" w:leader="dot" w:pos="8486"/>
            </w:tabs>
            <w:rPr>
              <w:rFonts w:ascii="Times New Roman" w:hAnsi="Times New Roman"/>
              <w:b w:val="0"/>
              <w:noProof/>
              <w:sz w:val="24"/>
              <w:szCs w:val="24"/>
              <w:lang w:eastAsia="ja-JP"/>
            </w:rPr>
          </w:pPr>
          <w:r w:rsidRPr="00E83B03">
            <w:rPr>
              <w:rFonts w:ascii="Times New Roman" w:hAnsi="Times New Roman"/>
              <w:noProof/>
              <w:sz w:val="24"/>
              <w:szCs w:val="24"/>
            </w:rPr>
            <w:t>3.3 Assumptions, Parameters, and Reasoning</w:t>
          </w:r>
          <w:r w:rsidRPr="00E83B03">
            <w:rPr>
              <w:rFonts w:ascii="Times New Roman" w:hAnsi="Times New Roman"/>
              <w:noProof/>
              <w:sz w:val="24"/>
              <w:szCs w:val="24"/>
            </w:rPr>
            <w:tab/>
          </w:r>
          <w:r w:rsidRPr="00E83B03">
            <w:rPr>
              <w:rFonts w:ascii="Times New Roman" w:hAnsi="Times New Roman"/>
              <w:noProof/>
              <w:sz w:val="24"/>
              <w:szCs w:val="24"/>
            </w:rPr>
            <w:fldChar w:fldCharType="begin"/>
          </w:r>
          <w:r w:rsidRPr="00E83B03">
            <w:rPr>
              <w:rFonts w:ascii="Times New Roman" w:hAnsi="Times New Roman"/>
              <w:noProof/>
              <w:sz w:val="24"/>
              <w:szCs w:val="24"/>
            </w:rPr>
            <w:instrText xml:space="preserve"> PAGEREF _Toc324423959 \h </w:instrText>
          </w:r>
          <w:r w:rsidRPr="00E83B03">
            <w:rPr>
              <w:rFonts w:ascii="Times New Roman" w:hAnsi="Times New Roman"/>
              <w:noProof/>
              <w:sz w:val="24"/>
              <w:szCs w:val="24"/>
            </w:rPr>
          </w:r>
          <w:r w:rsidRPr="00E83B03">
            <w:rPr>
              <w:rFonts w:ascii="Times New Roman" w:hAnsi="Times New Roman"/>
              <w:noProof/>
              <w:sz w:val="24"/>
              <w:szCs w:val="24"/>
            </w:rPr>
            <w:fldChar w:fldCharType="separate"/>
          </w:r>
          <w:r w:rsidR="00500133">
            <w:rPr>
              <w:rFonts w:ascii="Times New Roman" w:hAnsi="Times New Roman"/>
              <w:noProof/>
              <w:sz w:val="24"/>
              <w:szCs w:val="24"/>
            </w:rPr>
            <w:t>73</w:t>
          </w:r>
          <w:r w:rsidRPr="00E83B03">
            <w:rPr>
              <w:rFonts w:ascii="Times New Roman" w:hAnsi="Times New Roman"/>
              <w:noProof/>
              <w:sz w:val="24"/>
              <w:szCs w:val="24"/>
            </w:rPr>
            <w:fldChar w:fldCharType="end"/>
          </w:r>
        </w:p>
        <w:p w14:paraId="3CC1EFAC" w14:textId="77777777" w:rsidR="00E83B03" w:rsidRPr="00E83B03" w:rsidRDefault="00E83B03">
          <w:pPr>
            <w:pStyle w:val="TOC2"/>
            <w:tabs>
              <w:tab w:val="right" w:leader="dot" w:pos="8486"/>
            </w:tabs>
            <w:rPr>
              <w:rFonts w:ascii="Times New Roman" w:hAnsi="Times New Roman"/>
              <w:b w:val="0"/>
              <w:noProof/>
              <w:sz w:val="24"/>
              <w:szCs w:val="24"/>
              <w:lang w:eastAsia="ja-JP"/>
            </w:rPr>
          </w:pPr>
          <w:r w:rsidRPr="00E83B03">
            <w:rPr>
              <w:rFonts w:ascii="Times New Roman" w:hAnsi="Times New Roman"/>
              <w:noProof/>
              <w:sz w:val="24"/>
              <w:szCs w:val="24"/>
            </w:rPr>
            <w:t>3.4 Towards an Economic Model of Social Interaction</w:t>
          </w:r>
          <w:r w:rsidRPr="00E83B03">
            <w:rPr>
              <w:rFonts w:ascii="Times New Roman" w:hAnsi="Times New Roman"/>
              <w:noProof/>
              <w:sz w:val="24"/>
              <w:szCs w:val="24"/>
            </w:rPr>
            <w:tab/>
          </w:r>
          <w:r w:rsidRPr="00E83B03">
            <w:rPr>
              <w:rFonts w:ascii="Times New Roman" w:hAnsi="Times New Roman"/>
              <w:noProof/>
              <w:sz w:val="24"/>
              <w:szCs w:val="24"/>
            </w:rPr>
            <w:fldChar w:fldCharType="begin"/>
          </w:r>
          <w:r w:rsidRPr="00E83B03">
            <w:rPr>
              <w:rFonts w:ascii="Times New Roman" w:hAnsi="Times New Roman"/>
              <w:noProof/>
              <w:sz w:val="24"/>
              <w:szCs w:val="24"/>
            </w:rPr>
            <w:instrText xml:space="preserve"> PAGEREF _Toc324423960 \h </w:instrText>
          </w:r>
          <w:r w:rsidRPr="00E83B03">
            <w:rPr>
              <w:rFonts w:ascii="Times New Roman" w:hAnsi="Times New Roman"/>
              <w:noProof/>
              <w:sz w:val="24"/>
              <w:szCs w:val="24"/>
            </w:rPr>
          </w:r>
          <w:r w:rsidRPr="00E83B03">
            <w:rPr>
              <w:rFonts w:ascii="Times New Roman" w:hAnsi="Times New Roman"/>
              <w:noProof/>
              <w:sz w:val="24"/>
              <w:szCs w:val="24"/>
            </w:rPr>
            <w:fldChar w:fldCharType="separate"/>
          </w:r>
          <w:r w:rsidR="00500133">
            <w:rPr>
              <w:rFonts w:ascii="Times New Roman" w:hAnsi="Times New Roman"/>
              <w:noProof/>
              <w:sz w:val="24"/>
              <w:szCs w:val="24"/>
            </w:rPr>
            <w:t>77</w:t>
          </w:r>
          <w:r w:rsidRPr="00E83B03">
            <w:rPr>
              <w:rFonts w:ascii="Times New Roman" w:hAnsi="Times New Roman"/>
              <w:noProof/>
              <w:sz w:val="24"/>
              <w:szCs w:val="24"/>
            </w:rPr>
            <w:fldChar w:fldCharType="end"/>
          </w:r>
        </w:p>
        <w:p w14:paraId="77146B61" w14:textId="77777777" w:rsidR="00E83B03" w:rsidRPr="00E83B03" w:rsidRDefault="00E83B03">
          <w:pPr>
            <w:pStyle w:val="TOC2"/>
            <w:tabs>
              <w:tab w:val="right" w:leader="dot" w:pos="8486"/>
            </w:tabs>
            <w:rPr>
              <w:rFonts w:ascii="Times New Roman" w:hAnsi="Times New Roman"/>
              <w:b w:val="0"/>
              <w:noProof/>
              <w:sz w:val="24"/>
              <w:szCs w:val="24"/>
              <w:lang w:eastAsia="ja-JP"/>
            </w:rPr>
          </w:pPr>
          <w:r w:rsidRPr="00E83B03">
            <w:rPr>
              <w:rFonts w:ascii="Times New Roman" w:hAnsi="Times New Roman"/>
              <w:noProof/>
              <w:sz w:val="24"/>
              <w:szCs w:val="24"/>
            </w:rPr>
            <w:t>3.5 Modeling the Key Parameters</w:t>
          </w:r>
          <w:r w:rsidRPr="00E83B03">
            <w:rPr>
              <w:rFonts w:ascii="Times New Roman" w:hAnsi="Times New Roman"/>
              <w:noProof/>
              <w:sz w:val="24"/>
              <w:szCs w:val="24"/>
            </w:rPr>
            <w:tab/>
          </w:r>
          <w:r w:rsidRPr="00E83B03">
            <w:rPr>
              <w:rFonts w:ascii="Times New Roman" w:hAnsi="Times New Roman"/>
              <w:noProof/>
              <w:sz w:val="24"/>
              <w:szCs w:val="24"/>
            </w:rPr>
            <w:fldChar w:fldCharType="begin"/>
          </w:r>
          <w:r w:rsidRPr="00E83B03">
            <w:rPr>
              <w:rFonts w:ascii="Times New Roman" w:hAnsi="Times New Roman"/>
              <w:noProof/>
              <w:sz w:val="24"/>
              <w:szCs w:val="24"/>
            </w:rPr>
            <w:instrText xml:space="preserve"> PAGEREF _Toc324423961 \h </w:instrText>
          </w:r>
          <w:r w:rsidRPr="00E83B03">
            <w:rPr>
              <w:rFonts w:ascii="Times New Roman" w:hAnsi="Times New Roman"/>
              <w:noProof/>
              <w:sz w:val="24"/>
              <w:szCs w:val="24"/>
            </w:rPr>
          </w:r>
          <w:r w:rsidRPr="00E83B03">
            <w:rPr>
              <w:rFonts w:ascii="Times New Roman" w:hAnsi="Times New Roman"/>
              <w:noProof/>
              <w:sz w:val="24"/>
              <w:szCs w:val="24"/>
            </w:rPr>
            <w:fldChar w:fldCharType="separate"/>
          </w:r>
          <w:r w:rsidR="00500133">
            <w:rPr>
              <w:rFonts w:ascii="Times New Roman" w:hAnsi="Times New Roman"/>
              <w:noProof/>
              <w:sz w:val="24"/>
              <w:szCs w:val="24"/>
            </w:rPr>
            <w:t>80</w:t>
          </w:r>
          <w:r w:rsidRPr="00E83B03">
            <w:rPr>
              <w:rFonts w:ascii="Times New Roman" w:hAnsi="Times New Roman"/>
              <w:noProof/>
              <w:sz w:val="24"/>
              <w:szCs w:val="24"/>
            </w:rPr>
            <w:fldChar w:fldCharType="end"/>
          </w:r>
        </w:p>
        <w:p w14:paraId="65685688" w14:textId="77777777" w:rsidR="00E83B03" w:rsidRPr="00E83B03" w:rsidRDefault="00E83B03">
          <w:pPr>
            <w:pStyle w:val="TOC2"/>
            <w:tabs>
              <w:tab w:val="right" w:leader="dot" w:pos="8486"/>
            </w:tabs>
            <w:rPr>
              <w:rFonts w:ascii="Times New Roman" w:hAnsi="Times New Roman"/>
              <w:b w:val="0"/>
              <w:noProof/>
              <w:sz w:val="24"/>
              <w:szCs w:val="24"/>
              <w:lang w:eastAsia="ja-JP"/>
            </w:rPr>
          </w:pPr>
          <w:r w:rsidRPr="00E83B03">
            <w:rPr>
              <w:rFonts w:ascii="Times New Roman" w:hAnsi="Times New Roman"/>
              <w:noProof/>
              <w:sz w:val="24"/>
              <w:szCs w:val="24"/>
            </w:rPr>
            <w:t>3.6 Calibrating the Model on Current Evidence</w:t>
          </w:r>
          <w:r w:rsidRPr="00E83B03">
            <w:rPr>
              <w:rFonts w:ascii="Times New Roman" w:hAnsi="Times New Roman"/>
              <w:noProof/>
              <w:sz w:val="24"/>
              <w:szCs w:val="24"/>
            </w:rPr>
            <w:tab/>
          </w:r>
          <w:r w:rsidRPr="00E83B03">
            <w:rPr>
              <w:rFonts w:ascii="Times New Roman" w:hAnsi="Times New Roman"/>
              <w:noProof/>
              <w:sz w:val="24"/>
              <w:szCs w:val="24"/>
            </w:rPr>
            <w:fldChar w:fldCharType="begin"/>
          </w:r>
          <w:r w:rsidRPr="00E83B03">
            <w:rPr>
              <w:rFonts w:ascii="Times New Roman" w:hAnsi="Times New Roman"/>
              <w:noProof/>
              <w:sz w:val="24"/>
              <w:szCs w:val="24"/>
            </w:rPr>
            <w:instrText xml:space="preserve"> PAGEREF _Toc324423962 \h </w:instrText>
          </w:r>
          <w:r w:rsidRPr="00E83B03">
            <w:rPr>
              <w:rFonts w:ascii="Times New Roman" w:hAnsi="Times New Roman"/>
              <w:noProof/>
              <w:sz w:val="24"/>
              <w:szCs w:val="24"/>
            </w:rPr>
          </w:r>
          <w:r w:rsidRPr="00E83B03">
            <w:rPr>
              <w:rFonts w:ascii="Times New Roman" w:hAnsi="Times New Roman"/>
              <w:noProof/>
              <w:sz w:val="24"/>
              <w:szCs w:val="24"/>
            </w:rPr>
            <w:fldChar w:fldCharType="separate"/>
          </w:r>
          <w:r w:rsidR="00500133">
            <w:rPr>
              <w:rFonts w:ascii="Times New Roman" w:hAnsi="Times New Roman"/>
              <w:noProof/>
              <w:sz w:val="24"/>
              <w:szCs w:val="24"/>
            </w:rPr>
            <w:t>90</w:t>
          </w:r>
          <w:r w:rsidRPr="00E83B03">
            <w:rPr>
              <w:rFonts w:ascii="Times New Roman" w:hAnsi="Times New Roman"/>
              <w:noProof/>
              <w:sz w:val="24"/>
              <w:szCs w:val="24"/>
            </w:rPr>
            <w:fldChar w:fldCharType="end"/>
          </w:r>
        </w:p>
        <w:p w14:paraId="6ECC87A1" w14:textId="77777777" w:rsidR="00E83B03" w:rsidRPr="00E83B03" w:rsidRDefault="00E83B03">
          <w:pPr>
            <w:pStyle w:val="TOC2"/>
            <w:tabs>
              <w:tab w:val="right" w:leader="dot" w:pos="8486"/>
            </w:tabs>
            <w:rPr>
              <w:rFonts w:ascii="Times New Roman" w:hAnsi="Times New Roman"/>
              <w:b w:val="0"/>
              <w:noProof/>
              <w:sz w:val="24"/>
              <w:szCs w:val="24"/>
              <w:lang w:eastAsia="ja-JP"/>
            </w:rPr>
          </w:pPr>
          <w:r w:rsidRPr="00E83B03">
            <w:rPr>
              <w:rFonts w:ascii="Times New Roman" w:hAnsi="Times New Roman"/>
              <w:noProof/>
              <w:sz w:val="24"/>
              <w:szCs w:val="24"/>
            </w:rPr>
            <w:t>3.7 Calculating the Propensity for Violence (v)</w:t>
          </w:r>
          <w:r w:rsidRPr="00E83B03">
            <w:rPr>
              <w:rFonts w:ascii="Times New Roman" w:hAnsi="Times New Roman"/>
              <w:noProof/>
              <w:sz w:val="24"/>
              <w:szCs w:val="24"/>
            </w:rPr>
            <w:tab/>
          </w:r>
          <w:r w:rsidRPr="00E83B03">
            <w:rPr>
              <w:rFonts w:ascii="Times New Roman" w:hAnsi="Times New Roman"/>
              <w:noProof/>
              <w:sz w:val="24"/>
              <w:szCs w:val="24"/>
            </w:rPr>
            <w:fldChar w:fldCharType="begin"/>
          </w:r>
          <w:r w:rsidRPr="00E83B03">
            <w:rPr>
              <w:rFonts w:ascii="Times New Roman" w:hAnsi="Times New Roman"/>
              <w:noProof/>
              <w:sz w:val="24"/>
              <w:szCs w:val="24"/>
            </w:rPr>
            <w:instrText xml:space="preserve"> PAGEREF _Toc324423963 \h </w:instrText>
          </w:r>
          <w:r w:rsidRPr="00E83B03">
            <w:rPr>
              <w:rFonts w:ascii="Times New Roman" w:hAnsi="Times New Roman"/>
              <w:noProof/>
              <w:sz w:val="24"/>
              <w:szCs w:val="24"/>
            </w:rPr>
          </w:r>
          <w:r w:rsidRPr="00E83B03">
            <w:rPr>
              <w:rFonts w:ascii="Times New Roman" w:hAnsi="Times New Roman"/>
              <w:noProof/>
              <w:sz w:val="24"/>
              <w:szCs w:val="24"/>
            </w:rPr>
            <w:fldChar w:fldCharType="separate"/>
          </w:r>
          <w:r w:rsidR="00500133">
            <w:rPr>
              <w:rFonts w:ascii="Times New Roman" w:hAnsi="Times New Roman"/>
              <w:noProof/>
              <w:sz w:val="24"/>
              <w:szCs w:val="24"/>
            </w:rPr>
            <w:t>94</w:t>
          </w:r>
          <w:r w:rsidRPr="00E83B03">
            <w:rPr>
              <w:rFonts w:ascii="Times New Roman" w:hAnsi="Times New Roman"/>
              <w:noProof/>
              <w:sz w:val="24"/>
              <w:szCs w:val="24"/>
            </w:rPr>
            <w:fldChar w:fldCharType="end"/>
          </w:r>
        </w:p>
        <w:p w14:paraId="377C1EBB" w14:textId="77777777" w:rsidR="00E83B03" w:rsidRPr="00E83B03" w:rsidRDefault="00E83B03">
          <w:pPr>
            <w:pStyle w:val="TOC2"/>
            <w:tabs>
              <w:tab w:val="right" w:leader="dot" w:pos="8486"/>
            </w:tabs>
            <w:rPr>
              <w:rFonts w:ascii="Times New Roman" w:hAnsi="Times New Roman"/>
              <w:b w:val="0"/>
              <w:noProof/>
              <w:sz w:val="24"/>
              <w:szCs w:val="24"/>
              <w:lang w:eastAsia="ja-JP"/>
            </w:rPr>
          </w:pPr>
          <w:r w:rsidRPr="00E83B03">
            <w:rPr>
              <w:rFonts w:ascii="Times New Roman" w:hAnsi="Times New Roman"/>
              <w:noProof/>
              <w:sz w:val="24"/>
              <w:szCs w:val="24"/>
            </w:rPr>
            <w:t>3.8 Calculating the Pacification Rate (n)</w:t>
          </w:r>
          <w:r w:rsidRPr="00E83B03">
            <w:rPr>
              <w:rFonts w:ascii="Times New Roman" w:hAnsi="Times New Roman"/>
              <w:noProof/>
              <w:sz w:val="24"/>
              <w:szCs w:val="24"/>
            </w:rPr>
            <w:tab/>
          </w:r>
          <w:r w:rsidRPr="00E83B03">
            <w:rPr>
              <w:rFonts w:ascii="Times New Roman" w:hAnsi="Times New Roman"/>
              <w:noProof/>
              <w:sz w:val="24"/>
              <w:szCs w:val="24"/>
            </w:rPr>
            <w:fldChar w:fldCharType="begin"/>
          </w:r>
          <w:r w:rsidRPr="00E83B03">
            <w:rPr>
              <w:rFonts w:ascii="Times New Roman" w:hAnsi="Times New Roman"/>
              <w:noProof/>
              <w:sz w:val="24"/>
              <w:szCs w:val="24"/>
            </w:rPr>
            <w:instrText xml:space="preserve"> PAGEREF _Toc324423964 \h </w:instrText>
          </w:r>
          <w:r w:rsidRPr="00E83B03">
            <w:rPr>
              <w:rFonts w:ascii="Times New Roman" w:hAnsi="Times New Roman"/>
              <w:noProof/>
              <w:sz w:val="24"/>
              <w:szCs w:val="24"/>
            </w:rPr>
          </w:r>
          <w:r w:rsidRPr="00E83B03">
            <w:rPr>
              <w:rFonts w:ascii="Times New Roman" w:hAnsi="Times New Roman"/>
              <w:noProof/>
              <w:sz w:val="24"/>
              <w:szCs w:val="24"/>
            </w:rPr>
            <w:fldChar w:fldCharType="separate"/>
          </w:r>
          <w:r w:rsidR="00500133">
            <w:rPr>
              <w:rFonts w:ascii="Times New Roman" w:hAnsi="Times New Roman"/>
              <w:noProof/>
              <w:sz w:val="24"/>
              <w:szCs w:val="24"/>
            </w:rPr>
            <w:t>101</w:t>
          </w:r>
          <w:r w:rsidRPr="00E83B03">
            <w:rPr>
              <w:rFonts w:ascii="Times New Roman" w:hAnsi="Times New Roman"/>
              <w:noProof/>
              <w:sz w:val="24"/>
              <w:szCs w:val="24"/>
            </w:rPr>
            <w:fldChar w:fldCharType="end"/>
          </w:r>
        </w:p>
        <w:p w14:paraId="2FB3AD7F" w14:textId="77777777" w:rsidR="00E83B03" w:rsidRPr="00E83B03" w:rsidRDefault="00E83B03">
          <w:pPr>
            <w:pStyle w:val="TOC2"/>
            <w:tabs>
              <w:tab w:val="right" w:leader="dot" w:pos="8486"/>
            </w:tabs>
            <w:rPr>
              <w:rFonts w:ascii="Times New Roman" w:hAnsi="Times New Roman"/>
              <w:b w:val="0"/>
              <w:noProof/>
              <w:sz w:val="24"/>
              <w:szCs w:val="24"/>
              <w:lang w:eastAsia="ja-JP"/>
            </w:rPr>
          </w:pPr>
          <w:r w:rsidRPr="00E83B03">
            <w:rPr>
              <w:rFonts w:ascii="Times New Roman" w:hAnsi="Times New Roman"/>
              <w:noProof/>
              <w:sz w:val="24"/>
              <w:szCs w:val="24"/>
            </w:rPr>
            <w:t>3.9 Calculating the Agitation Rate (r)</w:t>
          </w:r>
          <w:r w:rsidRPr="00E83B03">
            <w:rPr>
              <w:rFonts w:ascii="Times New Roman" w:hAnsi="Times New Roman"/>
              <w:noProof/>
              <w:sz w:val="24"/>
              <w:szCs w:val="24"/>
            </w:rPr>
            <w:tab/>
          </w:r>
          <w:r w:rsidRPr="00E83B03">
            <w:rPr>
              <w:rFonts w:ascii="Times New Roman" w:hAnsi="Times New Roman"/>
              <w:noProof/>
              <w:sz w:val="24"/>
              <w:szCs w:val="24"/>
            </w:rPr>
            <w:fldChar w:fldCharType="begin"/>
          </w:r>
          <w:r w:rsidRPr="00E83B03">
            <w:rPr>
              <w:rFonts w:ascii="Times New Roman" w:hAnsi="Times New Roman"/>
              <w:noProof/>
              <w:sz w:val="24"/>
              <w:szCs w:val="24"/>
            </w:rPr>
            <w:instrText xml:space="preserve"> PAGEREF _Toc324423965 \h </w:instrText>
          </w:r>
          <w:r w:rsidRPr="00E83B03">
            <w:rPr>
              <w:rFonts w:ascii="Times New Roman" w:hAnsi="Times New Roman"/>
              <w:noProof/>
              <w:sz w:val="24"/>
              <w:szCs w:val="24"/>
            </w:rPr>
          </w:r>
          <w:r w:rsidRPr="00E83B03">
            <w:rPr>
              <w:rFonts w:ascii="Times New Roman" w:hAnsi="Times New Roman"/>
              <w:noProof/>
              <w:sz w:val="24"/>
              <w:szCs w:val="24"/>
            </w:rPr>
            <w:fldChar w:fldCharType="separate"/>
          </w:r>
          <w:r w:rsidR="00500133">
            <w:rPr>
              <w:rFonts w:ascii="Times New Roman" w:hAnsi="Times New Roman"/>
              <w:noProof/>
              <w:sz w:val="24"/>
              <w:szCs w:val="24"/>
            </w:rPr>
            <w:t>104</w:t>
          </w:r>
          <w:r w:rsidRPr="00E83B03">
            <w:rPr>
              <w:rFonts w:ascii="Times New Roman" w:hAnsi="Times New Roman"/>
              <w:noProof/>
              <w:sz w:val="24"/>
              <w:szCs w:val="24"/>
            </w:rPr>
            <w:fldChar w:fldCharType="end"/>
          </w:r>
        </w:p>
        <w:p w14:paraId="1B13B881" w14:textId="77777777" w:rsidR="00E83B03" w:rsidRPr="00E83B03" w:rsidRDefault="00E83B03">
          <w:pPr>
            <w:pStyle w:val="TOC2"/>
            <w:tabs>
              <w:tab w:val="right" w:leader="dot" w:pos="8486"/>
            </w:tabs>
            <w:rPr>
              <w:rFonts w:ascii="Times New Roman" w:hAnsi="Times New Roman"/>
              <w:b w:val="0"/>
              <w:noProof/>
              <w:sz w:val="24"/>
              <w:szCs w:val="24"/>
              <w:lang w:eastAsia="ja-JP"/>
            </w:rPr>
          </w:pPr>
          <w:r w:rsidRPr="00E83B03">
            <w:rPr>
              <w:rFonts w:ascii="Times New Roman" w:hAnsi="Times New Roman"/>
              <w:noProof/>
              <w:sz w:val="24"/>
              <w:szCs w:val="24"/>
            </w:rPr>
            <w:t>3.10 Results</w:t>
          </w:r>
          <w:r w:rsidRPr="00E83B03">
            <w:rPr>
              <w:rFonts w:ascii="Times New Roman" w:hAnsi="Times New Roman"/>
              <w:noProof/>
              <w:sz w:val="24"/>
              <w:szCs w:val="24"/>
            </w:rPr>
            <w:tab/>
          </w:r>
          <w:r w:rsidRPr="00E83B03">
            <w:rPr>
              <w:rFonts w:ascii="Times New Roman" w:hAnsi="Times New Roman"/>
              <w:noProof/>
              <w:sz w:val="24"/>
              <w:szCs w:val="24"/>
            </w:rPr>
            <w:fldChar w:fldCharType="begin"/>
          </w:r>
          <w:r w:rsidRPr="00E83B03">
            <w:rPr>
              <w:rFonts w:ascii="Times New Roman" w:hAnsi="Times New Roman"/>
              <w:noProof/>
              <w:sz w:val="24"/>
              <w:szCs w:val="24"/>
            </w:rPr>
            <w:instrText xml:space="preserve"> PAGEREF _Toc324423966 \h </w:instrText>
          </w:r>
          <w:r w:rsidRPr="00E83B03">
            <w:rPr>
              <w:rFonts w:ascii="Times New Roman" w:hAnsi="Times New Roman"/>
              <w:noProof/>
              <w:sz w:val="24"/>
              <w:szCs w:val="24"/>
            </w:rPr>
          </w:r>
          <w:r w:rsidRPr="00E83B03">
            <w:rPr>
              <w:rFonts w:ascii="Times New Roman" w:hAnsi="Times New Roman"/>
              <w:noProof/>
              <w:sz w:val="24"/>
              <w:szCs w:val="24"/>
            </w:rPr>
            <w:fldChar w:fldCharType="separate"/>
          </w:r>
          <w:r w:rsidR="00500133">
            <w:rPr>
              <w:rFonts w:ascii="Times New Roman" w:hAnsi="Times New Roman"/>
              <w:noProof/>
              <w:sz w:val="24"/>
              <w:szCs w:val="24"/>
            </w:rPr>
            <w:t>106</w:t>
          </w:r>
          <w:r w:rsidRPr="00E83B03">
            <w:rPr>
              <w:rFonts w:ascii="Times New Roman" w:hAnsi="Times New Roman"/>
              <w:noProof/>
              <w:sz w:val="24"/>
              <w:szCs w:val="24"/>
            </w:rPr>
            <w:fldChar w:fldCharType="end"/>
          </w:r>
        </w:p>
        <w:p w14:paraId="5E99FEC2" w14:textId="77777777" w:rsidR="00E83B03" w:rsidRPr="00E83B03" w:rsidRDefault="00E83B03">
          <w:pPr>
            <w:pStyle w:val="TOC3"/>
            <w:tabs>
              <w:tab w:val="right" w:leader="dot" w:pos="8486"/>
            </w:tabs>
            <w:rPr>
              <w:rFonts w:ascii="Times New Roman" w:hAnsi="Times New Roman"/>
              <w:noProof/>
              <w:sz w:val="24"/>
              <w:szCs w:val="24"/>
              <w:lang w:eastAsia="ja-JP"/>
            </w:rPr>
          </w:pPr>
          <w:r w:rsidRPr="00E83B03">
            <w:rPr>
              <w:rFonts w:ascii="Times New Roman" w:hAnsi="Times New Roman"/>
              <w:i/>
              <w:noProof/>
              <w:sz w:val="24"/>
              <w:szCs w:val="24"/>
            </w:rPr>
            <w:t>Robustness Checks</w:t>
          </w:r>
          <w:r w:rsidRPr="00E83B03">
            <w:rPr>
              <w:rFonts w:ascii="Times New Roman" w:hAnsi="Times New Roman"/>
              <w:noProof/>
              <w:sz w:val="24"/>
              <w:szCs w:val="24"/>
            </w:rPr>
            <w:tab/>
          </w:r>
          <w:r w:rsidRPr="00E83B03">
            <w:rPr>
              <w:rFonts w:ascii="Times New Roman" w:hAnsi="Times New Roman"/>
              <w:noProof/>
              <w:sz w:val="24"/>
              <w:szCs w:val="24"/>
            </w:rPr>
            <w:fldChar w:fldCharType="begin"/>
          </w:r>
          <w:r w:rsidRPr="00E83B03">
            <w:rPr>
              <w:rFonts w:ascii="Times New Roman" w:hAnsi="Times New Roman"/>
              <w:noProof/>
              <w:sz w:val="24"/>
              <w:szCs w:val="24"/>
            </w:rPr>
            <w:instrText xml:space="preserve"> PAGEREF _Toc324423967 \h </w:instrText>
          </w:r>
          <w:r w:rsidRPr="00E83B03">
            <w:rPr>
              <w:rFonts w:ascii="Times New Roman" w:hAnsi="Times New Roman"/>
              <w:noProof/>
              <w:sz w:val="24"/>
              <w:szCs w:val="24"/>
            </w:rPr>
          </w:r>
          <w:r w:rsidRPr="00E83B03">
            <w:rPr>
              <w:rFonts w:ascii="Times New Roman" w:hAnsi="Times New Roman"/>
              <w:noProof/>
              <w:sz w:val="24"/>
              <w:szCs w:val="24"/>
            </w:rPr>
            <w:fldChar w:fldCharType="separate"/>
          </w:r>
          <w:r w:rsidR="00500133">
            <w:rPr>
              <w:rFonts w:ascii="Times New Roman" w:hAnsi="Times New Roman"/>
              <w:noProof/>
              <w:sz w:val="24"/>
              <w:szCs w:val="24"/>
            </w:rPr>
            <w:t>108</w:t>
          </w:r>
          <w:r w:rsidRPr="00E83B03">
            <w:rPr>
              <w:rFonts w:ascii="Times New Roman" w:hAnsi="Times New Roman"/>
              <w:noProof/>
              <w:sz w:val="24"/>
              <w:szCs w:val="24"/>
            </w:rPr>
            <w:fldChar w:fldCharType="end"/>
          </w:r>
        </w:p>
        <w:p w14:paraId="54CF46C5" w14:textId="77777777" w:rsidR="00E83B03" w:rsidRPr="00E83B03" w:rsidRDefault="00E83B03">
          <w:pPr>
            <w:pStyle w:val="TOC1"/>
            <w:tabs>
              <w:tab w:val="right" w:leader="dot" w:pos="8486"/>
            </w:tabs>
            <w:rPr>
              <w:rFonts w:ascii="Times New Roman" w:hAnsi="Times New Roman"/>
              <w:b w:val="0"/>
              <w:noProof/>
              <w:lang w:eastAsia="ja-JP"/>
            </w:rPr>
          </w:pPr>
          <w:r w:rsidRPr="00E83B03">
            <w:rPr>
              <w:rFonts w:ascii="Times New Roman" w:hAnsi="Times New Roman"/>
              <w:noProof/>
            </w:rPr>
            <w:t>Conclusion</w:t>
          </w:r>
          <w:r w:rsidRPr="00E83B03">
            <w:rPr>
              <w:rFonts w:ascii="Times New Roman" w:hAnsi="Times New Roman"/>
              <w:noProof/>
            </w:rPr>
            <w:tab/>
          </w:r>
          <w:r w:rsidRPr="00E83B03">
            <w:rPr>
              <w:rFonts w:ascii="Times New Roman" w:hAnsi="Times New Roman"/>
              <w:noProof/>
            </w:rPr>
            <w:fldChar w:fldCharType="begin"/>
          </w:r>
          <w:r w:rsidRPr="00E83B03">
            <w:rPr>
              <w:rFonts w:ascii="Times New Roman" w:hAnsi="Times New Roman"/>
              <w:noProof/>
            </w:rPr>
            <w:instrText xml:space="preserve"> PAGEREF _Toc324423968 \h </w:instrText>
          </w:r>
          <w:r w:rsidRPr="00E83B03">
            <w:rPr>
              <w:rFonts w:ascii="Times New Roman" w:hAnsi="Times New Roman"/>
              <w:noProof/>
            </w:rPr>
          </w:r>
          <w:r w:rsidRPr="00E83B03">
            <w:rPr>
              <w:rFonts w:ascii="Times New Roman" w:hAnsi="Times New Roman"/>
              <w:noProof/>
            </w:rPr>
            <w:fldChar w:fldCharType="separate"/>
          </w:r>
          <w:r w:rsidR="00500133">
            <w:rPr>
              <w:rFonts w:ascii="Times New Roman" w:hAnsi="Times New Roman"/>
              <w:noProof/>
            </w:rPr>
            <w:t>114</w:t>
          </w:r>
          <w:r w:rsidRPr="00E83B03">
            <w:rPr>
              <w:rFonts w:ascii="Times New Roman" w:hAnsi="Times New Roman"/>
              <w:noProof/>
            </w:rPr>
            <w:fldChar w:fldCharType="end"/>
          </w:r>
        </w:p>
        <w:p w14:paraId="2EDADBCB" w14:textId="77777777" w:rsidR="00E83B03" w:rsidRPr="00E83B03" w:rsidRDefault="00E83B03">
          <w:pPr>
            <w:pStyle w:val="TOC1"/>
            <w:tabs>
              <w:tab w:val="right" w:leader="dot" w:pos="8486"/>
            </w:tabs>
            <w:rPr>
              <w:rFonts w:ascii="Times New Roman" w:hAnsi="Times New Roman"/>
              <w:b w:val="0"/>
              <w:noProof/>
              <w:lang w:eastAsia="ja-JP"/>
            </w:rPr>
          </w:pPr>
          <w:r w:rsidRPr="00E83B03">
            <w:rPr>
              <w:rFonts w:ascii="Times New Roman" w:hAnsi="Times New Roman"/>
              <w:noProof/>
            </w:rPr>
            <w:t>References</w:t>
          </w:r>
          <w:r w:rsidRPr="00E83B03">
            <w:rPr>
              <w:rFonts w:ascii="Times New Roman" w:hAnsi="Times New Roman"/>
              <w:noProof/>
            </w:rPr>
            <w:tab/>
          </w:r>
          <w:r w:rsidRPr="00E83B03">
            <w:rPr>
              <w:rFonts w:ascii="Times New Roman" w:hAnsi="Times New Roman"/>
              <w:noProof/>
            </w:rPr>
            <w:fldChar w:fldCharType="begin"/>
          </w:r>
          <w:r w:rsidRPr="00E83B03">
            <w:rPr>
              <w:rFonts w:ascii="Times New Roman" w:hAnsi="Times New Roman"/>
              <w:noProof/>
            </w:rPr>
            <w:instrText xml:space="preserve"> PAGEREF _Toc324423969 \h </w:instrText>
          </w:r>
          <w:r w:rsidRPr="00E83B03">
            <w:rPr>
              <w:rFonts w:ascii="Times New Roman" w:hAnsi="Times New Roman"/>
              <w:noProof/>
            </w:rPr>
          </w:r>
          <w:r w:rsidRPr="00E83B03">
            <w:rPr>
              <w:rFonts w:ascii="Times New Roman" w:hAnsi="Times New Roman"/>
              <w:noProof/>
            </w:rPr>
            <w:fldChar w:fldCharType="separate"/>
          </w:r>
          <w:r w:rsidR="00500133">
            <w:rPr>
              <w:rFonts w:ascii="Times New Roman" w:hAnsi="Times New Roman"/>
              <w:noProof/>
            </w:rPr>
            <w:t>116</w:t>
          </w:r>
          <w:r w:rsidRPr="00E83B03">
            <w:rPr>
              <w:rFonts w:ascii="Times New Roman" w:hAnsi="Times New Roman"/>
              <w:noProof/>
            </w:rPr>
            <w:fldChar w:fldCharType="end"/>
          </w:r>
        </w:p>
        <w:p w14:paraId="70CDF9BE" w14:textId="1BF5E4A1" w:rsidR="005A707C" w:rsidRPr="00E83B03" w:rsidRDefault="005A707C">
          <w:r w:rsidRPr="00E83B03">
            <w:rPr>
              <w:b/>
              <w:bCs/>
              <w:noProof/>
            </w:rPr>
            <w:fldChar w:fldCharType="end"/>
          </w:r>
        </w:p>
      </w:sdtContent>
    </w:sdt>
    <w:p w14:paraId="23298DAB" w14:textId="28A20DD2" w:rsidR="002C2531" w:rsidRPr="00E83B03" w:rsidRDefault="00807BCE" w:rsidP="002C2531">
      <w:pPr>
        <w:pStyle w:val="TableofFigures"/>
        <w:rPr>
          <w:rFonts w:ascii="Times New Roman" w:hAnsi="Times New Roman"/>
          <w:sz w:val="24"/>
          <w:szCs w:val="24"/>
        </w:rPr>
      </w:pPr>
      <w:r w:rsidRPr="00E83B03">
        <w:rPr>
          <w:rFonts w:ascii="Times New Roman" w:hAnsi="Times New Roman"/>
          <w:sz w:val="24"/>
          <w:szCs w:val="24"/>
        </w:rPr>
        <w:br w:type="page"/>
      </w:r>
      <w:r w:rsidR="00E73FAF" w:rsidRPr="00E83B03">
        <w:rPr>
          <w:rFonts w:ascii="Times New Roman" w:hAnsi="Times New Roman"/>
          <w:sz w:val="24"/>
          <w:szCs w:val="24"/>
        </w:rPr>
        <w:fldChar w:fldCharType="begin"/>
      </w:r>
      <w:r w:rsidR="00E73FAF" w:rsidRPr="00E83B03">
        <w:rPr>
          <w:rFonts w:ascii="Times New Roman" w:hAnsi="Times New Roman"/>
          <w:sz w:val="24"/>
          <w:szCs w:val="24"/>
        </w:rPr>
        <w:instrText xml:space="preserve"> TOC \c "Table" </w:instrText>
      </w:r>
      <w:r w:rsidR="00E73FAF" w:rsidRPr="00E83B03">
        <w:rPr>
          <w:rFonts w:ascii="Times New Roman" w:hAnsi="Times New Roman"/>
          <w:sz w:val="24"/>
          <w:szCs w:val="24"/>
        </w:rPr>
        <w:fldChar w:fldCharType="end"/>
      </w:r>
      <w:r w:rsidR="009D168E" w:rsidRPr="00E83B03">
        <w:rPr>
          <w:rFonts w:ascii="Times New Roman" w:hAnsi="Times New Roman"/>
          <w:sz w:val="24"/>
          <w:szCs w:val="24"/>
        </w:rPr>
        <w:fldChar w:fldCharType="begin"/>
      </w:r>
      <w:r w:rsidR="009D168E" w:rsidRPr="00E83B03">
        <w:rPr>
          <w:rFonts w:ascii="Times New Roman" w:hAnsi="Times New Roman"/>
          <w:sz w:val="24"/>
          <w:szCs w:val="24"/>
        </w:rPr>
        <w:instrText xml:space="preserve"> TOC \c "Figure" </w:instrText>
      </w:r>
      <w:r w:rsidR="009D168E" w:rsidRPr="00E83B03">
        <w:rPr>
          <w:rFonts w:ascii="Times New Roman" w:hAnsi="Times New Roman"/>
          <w:sz w:val="24"/>
          <w:szCs w:val="24"/>
        </w:rPr>
        <w:fldChar w:fldCharType="end"/>
      </w:r>
    </w:p>
    <w:p w14:paraId="2AAC45F5" w14:textId="68684E76" w:rsidR="00AE53F7" w:rsidRPr="00E83B03" w:rsidRDefault="00AE53F7" w:rsidP="00DC2F86">
      <w:pPr>
        <w:pStyle w:val="Heading1"/>
      </w:pPr>
      <w:bookmarkStart w:id="3" w:name="_Toc324423941"/>
      <w:r w:rsidRPr="00E83B03">
        <w:lastRenderedPageBreak/>
        <w:t>List of Tables</w:t>
      </w:r>
      <w:bookmarkEnd w:id="3"/>
    </w:p>
    <w:p w14:paraId="77FCA2B0" w14:textId="77777777" w:rsidR="00DC2F86" w:rsidRPr="000D276F" w:rsidRDefault="00DC2F86" w:rsidP="00DC2F86">
      <w:pPr>
        <w:spacing w:line="240" w:lineRule="auto"/>
      </w:pPr>
    </w:p>
    <w:p w14:paraId="31FA23BD" w14:textId="77777777" w:rsidR="00DC2F86" w:rsidRPr="000D276F" w:rsidRDefault="00DC2F86" w:rsidP="00DC2F86">
      <w:pPr>
        <w:spacing w:line="240" w:lineRule="auto"/>
        <w:sectPr w:rsidR="00DC2F86" w:rsidRPr="000D276F" w:rsidSect="00E73FAF">
          <w:footerReference w:type="even" r:id="rId12"/>
          <w:footerReference w:type="default" r:id="rId13"/>
          <w:type w:val="continuous"/>
          <w:pgSz w:w="12240" w:h="15840"/>
          <w:pgMar w:top="1440" w:right="1440" w:bottom="1440" w:left="2304" w:header="720" w:footer="720" w:gutter="0"/>
          <w:pgNumType w:fmt="lowerRoman" w:start="4"/>
          <w:cols w:space="720"/>
          <w:docGrid w:linePitch="360"/>
        </w:sectPr>
      </w:pPr>
    </w:p>
    <w:p w14:paraId="0D3EE296" w14:textId="3B32CC07" w:rsidR="00CA1B7D" w:rsidRPr="00CA1B7D" w:rsidRDefault="00CA1B7D">
      <w:pPr>
        <w:pStyle w:val="TableofFigures"/>
        <w:tabs>
          <w:tab w:val="right" w:leader="dot" w:pos="8486"/>
        </w:tabs>
        <w:rPr>
          <w:rFonts w:ascii="Times New Roman" w:hAnsi="Times New Roman"/>
          <w:smallCaps w:val="0"/>
          <w:noProof/>
          <w:sz w:val="24"/>
          <w:szCs w:val="24"/>
          <w:lang w:eastAsia="ja-JP"/>
        </w:rPr>
      </w:pPr>
      <w:r w:rsidRPr="00CA1B7D">
        <w:rPr>
          <w:rFonts w:ascii="Times New Roman" w:hAnsi="Times New Roman"/>
          <w:sz w:val="24"/>
          <w:szCs w:val="24"/>
        </w:rPr>
        <w:lastRenderedPageBreak/>
        <w:fldChar w:fldCharType="begin"/>
      </w:r>
      <w:r w:rsidRPr="00CA1B7D">
        <w:rPr>
          <w:rFonts w:ascii="Times New Roman" w:hAnsi="Times New Roman"/>
          <w:sz w:val="24"/>
          <w:szCs w:val="24"/>
        </w:rPr>
        <w:instrText xml:space="preserve"> TOC \t "Caption" \c </w:instrText>
      </w:r>
      <w:r w:rsidRPr="00CA1B7D">
        <w:rPr>
          <w:rFonts w:ascii="Times New Roman" w:hAnsi="Times New Roman"/>
          <w:sz w:val="24"/>
          <w:szCs w:val="24"/>
        </w:rPr>
        <w:fldChar w:fldCharType="separate"/>
      </w:r>
      <w:r w:rsidRPr="00CA1B7D">
        <w:rPr>
          <w:rFonts w:ascii="Times New Roman" w:hAnsi="Times New Roman"/>
          <w:noProof/>
          <w:sz w:val="24"/>
          <w:szCs w:val="24"/>
        </w:rPr>
        <w:t>1: The Palestinian Economies After the 1967 Six-Day War and Before the Oslo Accords (Selected Characteristics)</w:t>
      </w:r>
      <w:r w:rsidRPr="00CA1B7D">
        <w:rPr>
          <w:rFonts w:ascii="Times New Roman" w:hAnsi="Times New Roman"/>
          <w:noProof/>
          <w:sz w:val="24"/>
          <w:szCs w:val="24"/>
        </w:rPr>
        <w:tab/>
      </w:r>
      <w:r w:rsidRPr="00CA1B7D">
        <w:rPr>
          <w:rFonts w:ascii="Times New Roman" w:hAnsi="Times New Roman"/>
          <w:noProof/>
          <w:sz w:val="24"/>
          <w:szCs w:val="24"/>
        </w:rPr>
        <w:fldChar w:fldCharType="begin"/>
      </w:r>
      <w:r w:rsidRPr="00CA1B7D">
        <w:rPr>
          <w:rFonts w:ascii="Times New Roman" w:hAnsi="Times New Roman"/>
          <w:noProof/>
          <w:sz w:val="24"/>
          <w:szCs w:val="24"/>
        </w:rPr>
        <w:instrText xml:space="preserve"> PAGEREF _Toc324264445 \h </w:instrText>
      </w:r>
      <w:r w:rsidRPr="00CA1B7D">
        <w:rPr>
          <w:rFonts w:ascii="Times New Roman" w:hAnsi="Times New Roman"/>
          <w:noProof/>
          <w:sz w:val="24"/>
          <w:szCs w:val="24"/>
        </w:rPr>
      </w:r>
      <w:r w:rsidRPr="00CA1B7D">
        <w:rPr>
          <w:rFonts w:ascii="Times New Roman" w:hAnsi="Times New Roman"/>
          <w:noProof/>
          <w:sz w:val="24"/>
          <w:szCs w:val="24"/>
        </w:rPr>
        <w:fldChar w:fldCharType="separate"/>
      </w:r>
      <w:r w:rsidR="00500133">
        <w:rPr>
          <w:rFonts w:ascii="Times New Roman" w:hAnsi="Times New Roman"/>
          <w:noProof/>
          <w:sz w:val="24"/>
          <w:szCs w:val="24"/>
        </w:rPr>
        <w:t>23</w:t>
      </w:r>
      <w:r w:rsidRPr="00CA1B7D">
        <w:rPr>
          <w:rFonts w:ascii="Times New Roman" w:hAnsi="Times New Roman"/>
          <w:noProof/>
          <w:sz w:val="24"/>
          <w:szCs w:val="24"/>
        </w:rPr>
        <w:fldChar w:fldCharType="end"/>
      </w:r>
    </w:p>
    <w:p w14:paraId="40875C20" w14:textId="26CA0A8D" w:rsidR="00CA1B7D" w:rsidRPr="00CA1B7D" w:rsidRDefault="00CA1B7D">
      <w:pPr>
        <w:pStyle w:val="TableofFigures"/>
        <w:tabs>
          <w:tab w:val="right" w:leader="dot" w:pos="8486"/>
        </w:tabs>
        <w:rPr>
          <w:rFonts w:ascii="Times New Roman" w:hAnsi="Times New Roman"/>
          <w:smallCaps w:val="0"/>
          <w:noProof/>
          <w:sz w:val="24"/>
          <w:szCs w:val="24"/>
          <w:lang w:eastAsia="ja-JP"/>
        </w:rPr>
      </w:pPr>
      <w:r w:rsidRPr="00CA1B7D">
        <w:rPr>
          <w:rFonts w:ascii="Times New Roman" w:hAnsi="Times New Roman"/>
          <w:noProof/>
          <w:sz w:val="24"/>
          <w:szCs w:val="24"/>
        </w:rPr>
        <w:t>2: Industrial Origin of Gross Domestic Product at Factor Cost: The West Bank a</w:t>
      </w:r>
      <w:r>
        <w:rPr>
          <w:rFonts w:ascii="Times New Roman" w:hAnsi="Times New Roman"/>
          <w:noProof/>
          <w:sz w:val="24"/>
          <w:szCs w:val="24"/>
        </w:rPr>
        <w:t xml:space="preserve">nd Gaza Strip 1968-1986 </w:t>
      </w:r>
      <w:r w:rsidRPr="00CA1B7D">
        <w:rPr>
          <w:rFonts w:ascii="Times New Roman" w:hAnsi="Times New Roman"/>
          <w:noProof/>
          <w:sz w:val="24"/>
          <w:szCs w:val="24"/>
        </w:rPr>
        <w:t>(Millions USD at 1989 Prices and Percentages of GDP)</w:t>
      </w:r>
      <w:r w:rsidRPr="00CA1B7D">
        <w:rPr>
          <w:rFonts w:ascii="Times New Roman" w:hAnsi="Times New Roman"/>
          <w:noProof/>
          <w:sz w:val="24"/>
          <w:szCs w:val="24"/>
        </w:rPr>
        <w:tab/>
      </w:r>
      <w:r w:rsidRPr="00CA1B7D">
        <w:rPr>
          <w:rFonts w:ascii="Times New Roman" w:hAnsi="Times New Roman"/>
          <w:noProof/>
          <w:sz w:val="24"/>
          <w:szCs w:val="24"/>
        </w:rPr>
        <w:fldChar w:fldCharType="begin"/>
      </w:r>
      <w:r w:rsidRPr="00CA1B7D">
        <w:rPr>
          <w:rFonts w:ascii="Times New Roman" w:hAnsi="Times New Roman"/>
          <w:noProof/>
          <w:sz w:val="24"/>
          <w:szCs w:val="24"/>
        </w:rPr>
        <w:instrText xml:space="preserve"> PAGEREF _Toc324264446 \h </w:instrText>
      </w:r>
      <w:r w:rsidRPr="00CA1B7D">
        <w:rPr>
          <w:rFonts w:ascii="Times New Roman" w:hAnsi="Times New Roman"/>
          <w:noProof/>
          <w:sz w:val="24"/>
          <w:szCs w:val="24"/>
        </w:rPr>
      </w:r>
      <w:r w:rsidRPr="00CA1B7D">
        <w:rPr>
          <w:rFonts w:ascii="Times New Roman" w:hAnsi="Times New Roman"/>
          <w:noProof/>
          <w:sz w:val="24"/>
          <w:szCs w:val="24"/>
        </w:rPr>
        <w:fldChar w:fldCharType="separate"/>
      </w:r>
      <w:r w:rsidR="00500133">
        <w:rPr>
          <w:rFonts w:ascii="Times New Roman" w:hAnsi="Times New Roman"/>
          <w:noProof/>
          <w:sz w:val="24"/>
          <w:szCs w:val="24"/>
        </w:rPr>
        <w:t>24</w:t>
      </w:r>
      <w:r w:rsidRPr="00CA1B7D">
        <w:rPr>
          <w:rFonts w:ascii="Times New Roman" w:hAnsi="Times New Roman"/>
          <w:noProof/>
          <w:sz w:val="24"/>
          <w:szCs w:val="24"/>
        </w:rPr>
        <w:fldChar w:fldCharType="end"/>
      </w:r>
    </w:p>
    <w:p w14:paraId="31A3A9FD" w14:textId="30038D2E" w:rsidR="00CA1B7D" w:rsidRPr="00CA1B7D" w:rsidRDefault="00CA1B7D">
      <w:pPr>
        <w:pStyle w:val="TableofFigures"/>
        <w:tabs>
          <w:tab w:val="right" w:leader="dot" w:pos="8486"/>
        </w:tabs>
        <w:rPr>
          <w:rFonts w:ascii="Times New Roman" w:hAnsi="Times New Roman"/>
          <w:smallCaps w:val="0"/>
          <w:noProof/>
          <w:sz w:val="24"/>
          <w:szCs w:val="24"/>
          <w:lang w:eastAsia="ja-JP"/>
        </w:rPr>
      </w:pPr>
      <w:r w:rsidRPr="00CA1B7D">
        <w:rPr>
          <w:rFonts w:ascii="Times New Roman" w:hAnsi="Times New Roman"/>
          <w:noProof/>
          <w:sz w:val="24"/>
          <w:szCs w:val="24"/>
        </w:rPr>
        <w:t>3: Average Israeli and U.S. Defense Spending as a Percentage of GDP  (1960-2010)</w:t>
      </w:r>
      <w:r w:rsidRPr="00CA1B7D">
        <w:rPr>
          <w:rFonts w:ascii="Times New Roman" w:hAnsi="Times New Roman"/>
          <w:noProof/>
          <w:sz w:val="24"/>
          <w:szCs w:val="24"/>
        </w:rPr>
        <w:tab/>
      </w:r>
      <w:r w:rsidRPr="00CA1B7D">
        <w:rPr>
          <w:rFonts w:ascii="Times New Roman" w:hAnsi="Times New Roman"/>
          <w:noProof/>
          <w:sz w:val="24"/>
          <w:szCs w:val="24"/>
        </w:rPr>
        <w:fldChar w:fldCharType="begin"/>
      </w:r>
      <w:r w:rsidRPr="00CA1B7D">
        <w:rPr>
          <w:rFonts w:ascii="Times New Roman" w:hAnsi="Times New Roman"/>
          <w:noProof/>
          <w:sz w:val="24"/>
          <w:szCs w:val="24"/>
        </w:rPr>
        <w:instrText xml:space="preserve"> PAGEREF _Toc324264449 \h </w:instrText>
      </w:r>
      <w:r w:rsidRPr="00CA1B7D">
        <w:rPr>
          <w:rFonts w:ascii="Times New Roman" w:hAnsi="Times New Roman"/>
          <w:noProof/>
          <w:sz w:val="24"/>
          <w:szCs w:val="24"/>
        </w:rPr>
      </w:r>
      <w:r w:rsidRPr="00CA1B7D">
        <w:rPr>
          <w:rFonts w:ascii="Times New Roman" w:hAnsi="Times New Roman"/>
          <w:noProof/>
          <w:sz w:val="24"/>
          <w:szCs w:val="24"/>
        </w:rPr>
        <w:fldChar w:fldCharType="separate"/>
      </w:r>
      <w:r w:rsidR="00500133">
        <w:rPr>
          <w:rFonts w:ascii="Times New Roman" w:hAnsi="Times New Roman"/>
          <w:noProof/>
          <w:sz w:val="24"/>
          <w:szCs w:val="24"/>
        </w:rPr>
        <w:t>34</w:t>
      </w:r>
      <w:r w:rsidRPr="00CA1B7D">
        <w:rPr>
          <w:rFonts w:ascii="Times New Roman" w:hAnsi="Times New Roman"/>
          <w:noProof/>
          <w:sz w:val="24"/>
          <w:szCs w:val="24"/>
        </w:rPr>
        <w:fldChar w:fldCharType="end"/>
      </w:r>
    </w:p>
    <w:p w14:paraId="6978036E" w14:textId="134BDBE8" w:rsidR="00CA1B7D" w:rsidRPr="00CA1B7D" w:rsidRDefault="00CA1B7D">
      <w:pPr>
        <w:pStyle w:val="TableofFigures"/>
        <w:tabs>
          <w:tab w:val="right" w:leader="dot" w:pos="8486"/>
        </w:tabs>
        <w:rPr>
          <w:rFonts w:ascii="Times New Roman" w:hAnsi="Times New Roman"/>
          <w:smallCaps w:val="0"/>
          <w:noProof/>
          <w:sz w:val="24"/>
          <w:szCs w:val="24"/>
          <w:lang w:eastAsia="ja-JP"/>
        </w:rPr>
      </w:pPr>
      <w:r w:rsidRPr="00CA1B7D">
        <w:rPr>
          <w:rFonts w:ascii="Times New Roman" w:hAnsi="Times New Roman"/>
          <w:noProof/>
          <w:sz w:val="24"/>
          <w:szCs w:val="24"/>
        </w:rPr>
        <w:t>4: Average Defense Spending of the Five Largest Per Capita Spenders in Thousands of USD (1988-2014)</w:t>
      </w:r>
      <w:r w:rsidRPr="00CA1B7D">
        <w:rPr>
          <w:rFonts w:ascii="Times New Roman" w:hAnsi="Times New Roman"/>
          <w:noProof/>
          <w:sz w:val="24"/>
          <w:szCs w:val="24"/>
        </w:rPr>
        <w:tab/>
      </w:r>
      <w:r w:rsidRPr="00CA1B7D">
        <w:rPr>
          <w:rFonts w:ascii="Times New Roman" w:hAnsi="Times New Roman"/>
          <w:noProof/>
          <w:sz w:val="24"/>
          <w:szCs w:val="24"/>
        </w:rPr>
        <w:fldChar w:fldCharType="begin"/>
      </w:r>
      <w:r w:rsidRPr="00CA1B7D">
        <w:rPr>
          <w:rFonts w:ascii="Times New Roman" w:hAnsi="Times New Roman"/>
          <w:noProof/>
          <w:sz w:val="24"/>
          <w:szCs w:val="24"/>
        </w:rPr>
        <w:instrText xml:space="preserve"> PAGEREF _Toc324264451 \h </w:instrText>
      </w:r>
      <w:r w:rsidRPr="00CA1B7D">
        <w:rPr>
          <w:rFonts w:ascii="Times New Roman" w:hAnsi="Times New Roman"/>
          <w:noProof/>
          <w:sz w:val="24"/>
          <w:szCs w:val="24"/>
        </w:rPr>
      </w:r>
      <w:r w:rsidRPr="00CA1B7D">
        <w:rPr>
          <w:rFonts w:ascii="Times New Roman" w:hAnsi="Times New Roman"/>
          <w:noProof/>
          <w:sz w:val="24"/>
          <w:szCs w:val="24"/>
        </w:rPr>
        <w:fldChar w:fldCharType="separate"/>
      </w:r>
      <w:r w:rsidR="00500133">
        <w:rPr>
          <w:rFonts w:ascii="Times New Roman" w:hAnsi="Times New Roman"/>
          <w:noProof/>
          <w:sz w:val="24"/>
          <w:szCs w:val="24"/>
        </w:rPr>
        <w:t>37</w:t>
      </w:r>
      <w:r w:rsidRPr="00CA1B7D">
        <w:rPr>
          <w:rFonts w:ascii="Times New Roman" w:hAnsi="Times New Roman"/>
          <w:noProof/>
          <w:sz w:val="24"/>
          <w:szCs w:val="24"/>
        </w:rPr>
        <w:fldChar w:fldCharType="end"/>
      </w:r>
    </w:p>
    <w:p w14:paraId="3C287917" w14:textId="543CB4A7" w:rsidR="00CA1B7D" w:rsidRPr="00CA1B7D" w:rsidRDefault="00CA1B7D">
      <w:pPr>
        <w:pStyle w:val="TableofFigures"/>
        <w:tabs>
          <w:tab w:val="right" w:leader="dot" w:pos="8486"/>
        </w:tabs>
        <w:rPr>
          <w:rFonts w:ascii="Times New Roman" w:hAnsi="Times New Roman"/>
          <w:smallCaps w:val="0"/>
          <w:noProof/>
          <w:sz w:val="24"/>
          <w:szCs w:val="24"/>
          <w:lang w:eastAsia="ja-JP"/>
        </w:rPr>
      </w:pPr>
      <w:r w:rsidRPr="00CA1B7D">
        <w:rPr>
          <w:rFonts w:ascii="Times New Roman" w:hAnsi="Times New Roman"/>
          <w:noProof/>
          <w:sz w:val="24"/>
          <w:szCs w:val="24"/>
        </w:rPr>
        <w:t>5: Number of Border Closures Imposed on the Palestinian Territories  (1993-2000)</w:t>
      </w:r>
      <w:r w:rsidRPr="00CA1B7D">
        <w:rPr>
          <w:rFonts w:ascii="Times New Roman" w:hAnsi="Times New Roman"/>
          <w:noProof/>
          <w:sz w:val="24"/>
          <w:szCs w:val="24"/>
        </w:rPr>
        <w:tab/>
      </w:r>
      <w:r w:rsidRPr="00CA1B7D">
        <w:rPr>
          <w:rFonts w:ascii="Times New Roman" w:hAnsi="Times New Roman"/>
          <w:noProof/>
          <w:sz w:val="24"/>
          <w:szCs w:val="24"/>
        </w:rPr>
        <w:fldChar w:fldCharType="begin"/>
      </w:r>
      <w:r w:rsidRPr="00CA1B7D">
        <w:rPr>
          <w:rFonts w:ascii="Times New Roman" w:hAnsi="Times New Roman"/>
          <w:noProof/>
          <w:sz w:val="24"/>
          <w:szCs w:val="24"/>
        </w:rPr>
        <w:instrText xml:space="preserve"> PAGEREF _Toc324264452 \h </w:instrText>
      </w:r>
      <w:r w:rsidRPr="00CA1B7D">
        <w:rPr>
          <w:rFonts w:ascii="Times New Roman" w:hAnsi="Times New Roman"/>
          <w:noProof/>
          <w:sz w:val="24"/>
          <w:szCs w:val="24"/>
        </w:rPr>
      </w:r>
      <w:r w:rsidRPr="00CA1B7D">
        <w:rPr>
          <w:rFonts w:ascii="Times New Roman" w:hAnsi="Times New Roman"/>
          <w:noProof/>
          <w:sz w:val="24"/>
          <w:szCs w:val="24"/>
        </w:rPr>
        <w:fldChar w:fldCharType="separate"/>
      </w:r>
      <w:r w:rsidR="00500133">
        <w:rPr>
          <w:rFonts w:ascii="Times New Roman" w:hAnsi="Times New Roman"/>
          <w:noProof/>
          <w:sz w:val="24"/>
          <w:szCs w:val="24"/>
        </w:rPr>
        <w:t>58</w:t>
      </w:r>
      <w:r w:rsidRPr="00CA1B7D">
        <w:rPr>
          <w:rFonts w:ascii="Times New Roman" w:hAnsi="Times New Roman"/>
          <w:noProof/>
          <w:sz w:val="24"/>
          <w:szCs w:val="24"/>
        </w:rPr>
        <w:fldChar w:fldCharType="end"/>
      </w:r>
    </w:p>
    <w:p w14:paraId="3CF428E6" w14:textId="37EB3E37" w:rsidR="00CA1B7D" w:rsidRPr="00CA1B7D" w:rsidRDefault="00CA1B7D">
      <w:pPr>
        <w:pStyle w:val="TableofFigures"/>
        <w:tabs>
          <w:tab w:val="right" w:leader="dot" w:pos="8486"/>
        </w:tabs>
        <w:rPr>
          <w:rFonts w:ascii="Times New Roman" w:hAnsi="Times New Roman"/>
          <w:smallCaps w:val="0"/>
          <w:noProof/>
          <w:sz w:val="24"/>
          <w:szCs w:val="24"/>
          <w:lang w:eastAsia="ja-JP"/>
        </w:rPr>
      </w:pPr>
      <w:r w:rsidRPr="00CA1B7D">
        <w:rPr>
          <w:rFonts w:ascii="Times New Roman" w:hAnsi="Times New Roman"/>
          <w:noProof/>
          <w:sz w:val="24"/>
          <w:szCs w:val="24"/>
        </w:rPr>
        <w:t>6: Average Number of Palestinians Working in Israel and Average Percentage of Palestinian Labor Force Working in Israel by Decade (1970-2014)</w:t>
      </w:r>
      <w:r w:rsidRPr="00CA1B7D">
        <w:rPr>
          <w:rFonts w:ascii="Times New Roman" w:hAnsi="Times New Roman"/>
          <w:noProof/>
          <w:sz w:val="24"/>
          <w:szCs w:val="24"/>
        </w:rPr>
        <w:tab/>
      </w:r>
      <w:r w:rsidRPr="00CA1B7D">
        <w:rPr>
          <w:rFonts w:ascii="Times New Roman" w:hAnsi="Times New Roman"/>
          <w:noProof/>
          <w:sz w:val="24"/>
          <w:szCs w:val="24"/>
        </w:rPr>
        <w:fldChar w:fldCharType="begin"/>
      </w:r>
      <w:r w:rsidRPr="00CA1B7D">
        <w:rPr>
          <w:rFonts w:ascii="Times New Roman" w:hAnsi="Times New Roman"/>
          <w:noProof/>
          <w:sz w:val="24"/>
          <w:szCs w:val="24"/>
        </w:rPr>
        <w:instrText xml:space="preserve"> PAGEREF _Toc324264454 \h </w:instrText>
      </w:r>
      <w:r w:rsidRPr="00CA1B7D">
        <w:rPr>
          <w:rFonts w:ascii="Times New Roman" w:hAnsi="Times New Roman"/>
          <w:noProof/>
          <w:sz w:val="24"/>
          <w:szCs w:val="24"/>
        </w:rPr>
      </w:r>
      <w:r w:rsidRPr="00CA1B7D">
        <w:rPr>
          <w:rFonts w:ascii="Times New Roman" w:hAnsi="Times New Roman"/>
          <w:noProof/>
          <w:sz w:val="24"/>
          <w:szCs w:val="24"/>
        </w:rPr>
        <w:fldChar w:fldCharType="separate"/>
      </w:r>
      <w:r w:rsidR="00500133">
        <w:rPr>
          <w:rFonts w:ascii="Times New Roman" w:hAnsi="Times New Roman"/>
          <w:noProof/>
          <w:sz w:val="24"/>
          <w:szCs w:val="24"/>
        </w:rPr>
        <w:t>59</w:t>
      </w:r>
      <w:r w:rsidRPr="00CA1B7D">
        <w:rPr>
          <w:rFonts w:ascii="Times New Roman" w:hAnsi="Times New Roman"/>
          <w:noProof/>
          <w:sz w:val="24"/>
          <w:szCs w:val="24"/>
        </w:rPr>
        <w:fldChar w:fldCharType="end"/>
      </w:r>
    </w:p>
    <w:p w14:paraId="1B02DBDA" w14:textId="67049220" w:rsidR="00CA1B7D" w:rsidRPr="00CA1B7D" w:rsidRDefault="00CA1B7D">
      <w:pPr>
        <w:pStyle w:val="TableofFigures"/>
        <w:tabs>
          <w:tab w:val="right" w:leader="dot" w:pos="8486"/>
        </w:tabs>
        <w:rPr>
          <w:rFonts w:ascii="Times New Roman" w:hAnsi="Times New Roman"/>
          <w:smallCaps w:val="0"/>
          <w:noProof/>
          <w:sz w:val="24"/>
          <w:szCs w:val="24"/>
          <w:lang w:eastAsia="ja-JP"/>
        </w:rPr>
      </w:pPr>
      <w:r w:rsidRPr="00CA1B7D">
        <w:rPr>
          <w:rFonts w:ascii="Times New Roman" w:hAnsi="Times New Roman"/>
          <w:noProof/>
          <w:sz w:val="24"/>
          <w:szCs w:val="24"/>
        </w:rPr>
        <w:t>7: Known Measures in the Model</w:t>
      </w:r>
      <w:r w:rsidRPr="00CA1B7D">
        <w:rPr>
          <w:rFonts w:ascii="Times New Roman" w:hAnsi="Times New Roman"/>
          <w:noProof/>
          <w:sz w:val="24"/>
          <w:szCs w:val="24"/>
        </w:rPr>
        <w:tab/>
      </w:r>
      <w:r w:rsidRPr="00CA1B7D">
        <w:rPr>
          <w:rFonts w:ascii="Times New Roman" w:hAnsi="Times New Roman"/>
          <w:noProof/>
          <w:sz w:val="24"/>
          <w:szCs w:val="24"/>
        </w:rPr>
        <w:fldChar w:fldCharType="begin"/>
      </w:r>
      <w:r w:rsidRPr="00CA1B7D">
        <w:rPr>
          <w:rFonts w:ascii="Times New Roman" w:hAnsi="Times New Roman"/>
          <w:noProof/>
          <w:sz w:val="24"/>
          <w:szCs w:val="24"/>
        </w:rPr>
        <w:instrText xml:space="preserve"> PAGEREF _Toc324264459 \h </w:instrText>
      </w:r>
      <w:r w:rsidRPr="00CA1B7D">
        <w:rPr>
          <w:rFonts w:ascii="Times New Roman" w:hAnsi="Times New Roman"/>
          <w:noProof/>
          <w:sz w:val="24"/>
          <w:szCs w:val="24"/>
        </w:rPr>
      </w:r>
      <w:r w:rsidRPr="00CA1B7D">
        <w:rPr>
          <w:rFonts w:ascii="Times New Roman" w:hAnsi="Times New Roman"/>
          <w:noProof/>
          <w:sz w:val="24"/>
          <w:szCs w:val="24"/>
        </w:rPr>
        <w:fldChar w:fldCharType="separate"/>
      </w:r>
      <w:r w:rsidR="00500133">
        <w:rPr>
          <w:rFonts w:ascii="Times New Roman" w:hAnsi="Times New Roman"/>
          <w:noProof/>
          <w:sz w:val="24"/>
          <w:szCs w:val="24"/>
        </w:rPr>
        <w:t>93</w:t>
      </w:r>
      <w:r w:rsidRPr="00CA1B7D">
        <w:rPr>
          <w:rFonts w:ascii="Times New Roman" w:hAnsi="Times New Roman"/>
          <w:noProof/>
          <w:sz w:val="24"/>
          <w:szCs w:val="24"/>
        </w:rPr>
        <w:fldChar w:fldCharType="end"/>
      </w:r>
    </w:p>
    <w:p w14:paraId="57B90CFD" w14:textId="3566D11C" w:rsidR="00CA1B7D" w:rsidRPr="00CA1B7D" w:rsidRDefault="00CA1B7D">
      <w:pPr>
        <w:pStyle w:val="TableofFigures"/>
        <w:tabs>
          <w:tab w:val="right" w:leader="dot" w:pos="8486"/>
        </w:tabs>
        <w:rPr>
          <w:rFonts w:ascii="Times New Roman" w:hAnsi="Times New Roman"/>
          <w:smallCaps w:val="0"/>
          <w:noProof/>
          <w:sz w:val="24"/>
          <w:szCs w:val="24"/>
          <w:lang w:eastAsia="ja-JP"/>
        </w:rPr>
      </w:pPr>
      <w:r w:rsidRPr="00CA1B7D">
        <w:rPr>
          <w:rFonts w:ascii="Times New Roman" w:hAnsi="Times New Roman"/>
          <w:noProof/>
          <w:sz w:val="24"/>
          <w:szCs w:val="24"/>
        </w:rPr>
        <w:t>8: Number and Daily Rate of Israeli and Palestinian Fatalities During the Second Intifada, by Period</w:t>
      </w:r>
      <w:r w:rsidRPr="00CA1B7D">
        <w:rPr>
          <w:rFonts w:ascii="Times New Roman" w:hAnsi="Times New Roman"/>
          <w:noProof/>
          <w:sz w:val="24"/>
          <w:szCs w:val="24"/>
        </w:rPr>
        <w:tab/>
      </w:r>
      <w:r w:rsidRPr="00CA1B7D">
        <w:rPr>
          <w:rFonts w:ascii="Times New Roman" w:hAnsi="Times New Roman"/>
          <w:noProof/>
          <w:sz w:val="24"/>
          <w:szCs w:val="24"/>
        </w:rPr>
        <w:fldChar w:fldCharType="begin"/>
      </w:r>
      <w:r w:rsidRPr="00CA1B7D">
        <w:rPr>
          <w:rFonts w:ascii="Times New Roman" w:hAnsi="Times New Roman"/>
          <w:noProof/>
          <w:sz w:val="24"/>
          <w:szCs w:val="24"/>
        </w:rPr>
        <w:instrText xml:space="preserve"> PAGEREF _Toc324264460 \h </w:instrText>
      </w:r>
      <w:r w:rsidRPr="00CA1B7D">
        <w:rPr>
          <w:rFonts w:ascii="Times New Roman" w:hAnsi="Times New Roman"/>
          <w:noProof/>
          <w:sz w:val="24"/>
          <w:szCs w:val="24"/>
        </w:rPr>
      </w:r>
      <w:r w:rsidRPr="00CA1B7D">
        <w:rPr>
          <w:rFonts w:ascii="Times New Roman" w:hAnsi="Times New Roman"/>
          <w:noProof/>
          <w:sz w:val="24"/>
          <w:szCs w:val="24"/>
        </w:rPr>
        <w:fldChar w:fldCharType="separate"/>
      </w:r>
      <w:r w:rsidR="00500133">
        <w:rPr>
          <w:rFonts w:ascii="Times New Roman" w:hAnsi="Times New Roman"/>
          <w:noProof/>
          <w:sz w:val="24"/>
          <w:szCs w:val="24"/>
        </w:rPr>
        <w:t>99</w:t>
      </w:r>
      <w:r w:rsidRPr="00CA1B7D">
        <w:rPr>
          <w:rFonts w:ascii="Times New Roman" w:hAnsi="Times New Roman"/>
          <w:noProof/>
          <w:sz w:val="24"/>
          <w:szCs w:val="24"/>
        </w:rPr>
        <w:fldChar w:fldCharType="end"/>
      </w:r>
    </w:p>
    <w:p w14:paraId="71343B18" w14:textId="4470DFD6" w:rsidR="00CA1B7D" w:rsidRPr="00CA1B7D" w:rsidRDefault="00CA1B7D">
      <w:pPr>
        <w:pStyle w:val="TableofFigures"/>
        <w:tabs>
          <w:tab w:val="right" w:leader="dot" w:pos="8486"/>
        </w:tabs>
        <w:rPr>
          <w:rFonts w:ascii="Times New Roman" w:hAnsi="Times New Roman"/>
          <w:smallCaps w:val="0"/>
          <w:noProof/>
          <w:sz w:val="24"/>
          <w:szCs w:val="24"/>
          <w:lang w:eastAsia="ja-JP"/>
        </w:rPr>
      </w:pPr>
      <w:r w:rsidRPr="00CA1B7D">
        <w:rPr>
          <w:rFonts w:ascii="Times New Roman" w:hAnsi="Times New Roman"/>
          <w:noProof/>
          <w:sz w:val="24"/>
          <w:szCs w:val="24"/>
        </w:rPr>
        <w:t>9: Most Recent Number and Daily Rate of Israeli and Palestinian Fatalities</w:t>
      </w:r>
      <w:r w:rsidRPr="00CA1B7D">
        <w:rPr>
          <w:rFonts w:ascii="Times New Roman" w:hAnsi="Times New Roman"/>
          <w:noProof/>
          <w:sz w:val="24"/>
          <w:szCs w:val="24"/>
        </w:rPr>
        <w:tab/>
      </w:r>
      <w:r w:rsidRPr="00CA1B7D">
        <w:rPr>
          <w:rFonts w:ascii="Times New Roman" w:hAnsi="Times New Roman"/>
          <w:noProof/>
          <w:sz w:val="24"/>
          <w:szCs w:val="24"/>
        </w:rPr>
        <w:fldChar w:fldCharType="begin"/>
      </w:r>
      <w:r w:rsidRPr="00CA1B7D">
        <w:rPr>
          <w:rFonts w:ascii="Times New Roman" w:hAnsi="Times New Roman"/>
          <w:noProof/>
          <w:sz w:val="24"/>
          <w:szCs w:val="24"/>
        </w:rPr>
        <w:instrText xml:space="preserve"> PAGEREF _Toc324264461 \h </w:instrText>
      </w:r>
      <w:r w:rsidRPr="00CA1B7D">
        <w:rPr>
          <w:rFonts w:ascii="Times New Roman" w:hAnsi="Times New Roman"/>
          <w:noProof/>
          <w:sz w:val="24"/>
          <w:szCs w:val="24"/>
        </w:rPr>
      </w:r>
      <w:r w:rsidRPr="00CA1B7D">
        <w:rPr>
          <w:rFonts w:ascii="Times New Roman" w:hAnsi="Times New Roman"/>
          <w:noProof/>
          <w:sz w:val="24"/>
          <w:szCs w:val="24"/>
        </w:rPr>
        <w:fldChar w:fldCharType="separate"/>
      </w:r>
      <w:r w:rsidR="00500133">
        <w:rPr>
          <w:rFonts w:ascii="Times New Roman" w:hAnsi="Times New Roman"/>
          <w:noProof/>
          <w:sz w:val="24"/>
          <w:szCs w:val="24"/>
        </w:rPr>
        <w:t>100</w:t>
      </w:r>
      <w:r w:rsidRPr="00CA1B7D">
        <w:rPr>
          <w:rFonts w:ascii="Times New Roman" w:hAnsi="Times New Roman"/>
          <w:noProof/>
          <w:sz w:val="24"/>
          <w:szCs w:val="24"/>
        </w:rPr>
        <w:fldChar w:fldCharType="end"/>
      </w:r>
    </w:p>
    <w:p w14:paraId="5DD734CA" w14:textId="3947E537" w:rsidR="00CA1B7D" w:rsidRPr="00CA1B7D" w:rsidRDefault="00CA1B7D">
      <w:pPr>
        <w:pStyle w:val="TableofFigures"/>
        <w:tabs>
          <w:tab w:val="right" w:leader="dot" w:pos="8486"/>
        </w:tabs>
        <w:rPr>
          <w:rFonts w:ascii="Times New Roman" w:hAnsi="Times New Roman"/>
          <w:smallCaps w:val="0"/>
          <w:noProof/>
          <w:sz w:val="24"/>
          <w:szCs w:val="24"/>
          <w:lang w:eastAsia="ja-JP"/>
        </w:rPr>
      </w:pPr>
      <w:r w:rsidRPr="00CA1B7D">
        <w:rPr>
          <w:rFonts w:ascii="Times New Roman" w:hAnsi="Times New Roman"/>
          <w:noProof/>
          <w:sz w:val="24"/>
          <w:szCs w:val="24"/>
        </w:rPr>
        <w:t>10: The Dynamically Efficient Number of West Bank Palestinian Laborers That Should be Permitted to Work in Israel Given Plausible Parameter Measures</w:t>
      </w:r>
      <w:r w:rsidRPr="00CA1B7D">
        <w:rPr>
          <w:rFonts w:ascii="Times New Roman" w:hAnsi="Times New Roman"/>
          <w:noProof/>
          <w:sz w:val="24"/>
          <w:szCs w:val="24"/>
        </w:rPr>
        <w:tab/>
      </w:r>
      <w:r w:rsidRPr="00CA1B7D">
        <w:rPr>
          <w:rFonts w:ascii="Times New Roman" w:hAnsi="Times New Roman"/>
          <w:noProof/>
          <w:sz w:val="24"/>
          <w:szCs w:val="24"/>
        </w:rPr>
        <w:fldChar w:fldCharType="begin"/>
      </w:r>
      <w:r w:rsidRPr="00CA1B7D">
        <w:rPr>
          <w:rFonts w:ascii="Times New Roman" w:hAnsi="Times New Roman"/>
          <w:noProof/>
          <w:sz w:val="24"/>
          <w:szCs w:val="24"/>
        </w:rPr>
        <w:instrText xml:space="preserve"> PAGEREF _Toc324264463 \h </w:instrText>
      </w:r>
      <w:r w:rsidRPr="00CA1B7D">
        <w:rPr>
          <w:rFonts w:ascii="Times New Roman" w:hAnsi="Times New Roman"/>
          <w:noProof/>
          <w:sz w:val="24"/>
          <w:szCs w:val="24"/>
        </w:rPr>
      </w:r>
      <w:r w:rsidRPr="00CA1B7D">
        <w:rPr>
          <w:rFonts w:ascii="Times New Roman" w:hAnsi="Times New Roman"/>
          <w:noProof/>
          <w:sz w:val="24"/>
          <w:szCs w:val="24"/>
        </w:rPr>
        <w:fldChar w:fldCharType="separate"/>
      </w:r>
      <w:r w:rsidR="00500133">
        <w:rPr>
          <w:rFonts w:ascii="Times New Roman" w:hAnsi="Times New Roman"/>
          <w:noProof/>
          <w:sz w:val="24"/>
          <w:szCs w:val="24"/>
        </w:rPr>
        <w:t>113</w:t>
      </w:r>
      <w:r w:rsidRPr="00CA1B7D">
        <w:rPr>
          <w:rFonts w:ascii="Times New Roman" w:hAnsi="Times New Roman"/>
          <w:noProof/>
          <w:sz w:val="24"/>
          <w:szCs w:val="24"/>
        </w:rPr>
        <w:fldChar w:fldCharType="end"/>
      </w:r>
    </w:p>
    <w:p w14:paraId="216C933C" w14:textId="5D81D6F9" w:rsidR="001E14FE" w:rsidRPr="00B3233E" w:rsidRDefault="00CA1B7D" w:rsidP="00B3233E">
      <w:pPr>
        <w:pStyle w:val="TableofFigures"/>
        <w:spacing w:line="240" w:lineRule="auto"/>
        <w:jc w:val="center"/>
        <w:rPr>
          <w:b/>
          <w:sz w:val="22"/>
        </w:rPr>
      </w:pPr>
      <w:r w:rsidRPr="00CA1B7D">
        <w:rPr>
          <w:rFonts w:ascii="Times New Roman" w:hAnsi="Times New Roman"/>
          <w:sz w:val="24"/>
          <w:szCs w:val="24"/>
        </w:rPr>
        <w:lastRenderedPageBreak/>
        <w:fldChar w:fldCharType="end"/>
      </w:r>
    </w:p>
    <w:p w14:paraId="5325C639" w14:textId="034D28FB" w:rsidR="00CA1B7D" w:rsidRDefault="00CA1B7D" w:rsidP="00CA1B7D">
      <w:pPr>
        <w:pStyle w:val="Heading1"/>
        <w:sectPr w:rsidR="00CA1B7D" w:rsidSect="008F0A2B">
          <w:type w:val="continuous"/>
          <w:pgSz w:w="12240" w:h="15840"/>
          <w:pgMar w:top="1440" w:right="1440" w:bottom="1440" w:left="2304" w:header="720" w:footer="720" w:gutter="0"/>
          <w:pgNumType w:fmt="lowerRoman"/>
          <w:cols w:space="720"/>
          <w:docGrid w:linePitch="360"/>
        </w:sectPr>
      </w:pPr>
      <w:bookmarkStart w:id="4" w:name="_Toc324423942"/>
      <w:r>
        <w:t>List of Figures</w:t>
      </w:r>
      <w:bookmarkEnd w:id="4"/>
    </w:p>
    <w:p w14:paraId="4EF517BA" w14:textId="37A6F906" w:rsidR="00CA1B7D" w:rsidRPr="00CA1B7D" w:rsidRDefault="00CA1B7D" w:rsidP="00CA1B7D">
      <w:pPr>
        <w:pStyle w:val="TableofFigures"/>
        <w:tabs>
          <w:tab w:val="right" w:leader="dot" w:pos="8486"/>
        </w:tabs>
        <w:spacing w:line="240" w:lineRule="auto"/>
        <w:ind w:left="0" w:firstLine="0"/>
        <w:rPr>
          <w:rFonts w:ascii="Times New Roman" w:hAnsi="Times New Roman"/>
          <w:smallCaps w:val="0"/>
          <w:noProof/>
          <w:sz w:val="24"/>
          <w:szCs w:val="24"/>
          <w:lang w:eastAsia="ja-JP"/>
        </w:rPr>
      </w:pPr>
      <w:r>
        <w:lastRenderedPageBreak/>
        <w:fldChar w:fldCharType="begin"/>
      </w:r>
      <w:r>
        <w:instrText xml:space="preserve"> TOC \t "Caption" \c </w:instrText>
      </w:r>
      <w:r>
        <w:fldChar w:fldCharType="separate"/>
      </w:r>
    </w:p>
    <w:p w14:paraId="2B9C1144" w14:textId="77777777" w:rsidR="00CA1B7D" w:rsidRPr="00CA1B7D" w:rsidRDefault="00CA1B7D">
      <w:pPr>
        <w:pStyle w:val="TableofFigures"/>
        <w:tabs>
          <w:tab w:val="right" w:leader="dot" w:pos="8486"/>
        </w:tabs>
        <w:rPr>
          <w:rFonts w:ascii="Times New Roman" w:hAnsi="Times New Roman"/>
          <w:smallCaps w:val="0"/>
          <w:noProof/>
          <w:sz w:val="24"/>
          <w:szCs w:val="24"/>
          <w:lang w:eastAsia="ja-JP"/>
        </w:rPr>
      </w:pPr>
      <w:r w:rsidRPr="00CA1B7D">
        <w:rPr>
          <w:rFonts w:ascii="Times New Roman" w:hAnsi="Times New Roman"/>
          <w:noProof/>
          <w:sz w:val="24"/>
          <w:szCs w:val="24"/>
        </w:rPr>
        <w:t>Figure 1: Terrorist Attacks Against Israel (1970-2013)</w:t>
      </w:r>
      <w:r w:rsidRPr="00CA1B7D">
        <w:rPr>
          <w:rFonts w:ascii="Times New Roman" w:hAnsi="Times New Roman"/>
          <w:noProof/>
          <w:sz w:val="24"/>
          <w:szCs w:val="24"/>
        </w:rPr>
        <w:tab/>
      </w:r>
      <w:r w:rsidRPr="00CA1B7D">
        <w:rPr>
          <w:rFonts w:ascii="Times New Roman" w:hAnsi="Times New Roman"/>
          <w:noProof/>
          <w:sz w:val="24"/>
          <w:szCs w:val="24"/>
        </w:rPr>
        <w:fldChar w:fldCharType="begin"/>
      </w:r>
      <w:r w:rsidRPr="00CA1B7D">
        <w:rPr>
          <w:rFonts w:ascii="Times New Roman" w:hAnsi="Times New Roman"/>
          <w:noProof/>
          <w:sz w:val="24"/>
          <w:szCs w:val="24"/>
        </w:rPr>
        <w:instrText xml:space="preserve"> PAGEREF _Toc324264694 \h </w:instrText>
      </w:r>
      <w:r w:rsidRPr="00CA1B7D">
        <w:rPr>
          <w:rFonts w:ascii="Times New Roman" w:hAnsi="Times New Roman"/>
          <w:noProof/>
          <w:sz w:val="24"/>
          <w:szCs w:val="24"/>
        </w:rPr>
      </w:r>
      <w:r w:rsidRPr="00CA1B7D">
        <w:rPr>
          <w:rFonts w:ascii="Times New Roman" w:hAnsi="Times New Roman"/>
          <w:noProof/>
          <w:sz w:val="24"/>
          <w:szCs w:val="24"/>
        </w:rPr>
        <w:fldChar w:fldCharType="separate"/>
      </w:r>
      <w:r w:rsidR="00500133">
        <w:rPr>
          <w:rFonts w:ascii="Times New Roman" w:hAnsi="Times New Roman"/>
          <w:noProof/>
          <w:sz w:val="24"/>
          <w:szCs w:val="24"/>
        </w:rPr>
        <w:t>31</w:t>
      </w:r>
      <w:r w:rsidRPr="00CA1B7D">
        <w:rPr>
          <w:rFonts w:ascii="Times New Roman" w:hAnsi="Times New Roman"/>
          <w:noProof/>
          <w:sz w:val="24"/>
          <w:szCs w:val="24"/>
        </w:rPr>
        <w:fldChar w:fldCharType="end"/>
      </w:r>
    </w:p>
    <w:p w14:paraId="1D4F1740" w14:textId="77777777" w:rsidR="00CA1B7D" w:rsidRPr="00CA1B7D" w:rsidRDefault="00CA1B7D">
      <w:pPr>
        <w:pStyle w:val="TableofFigures"/>
        <w:tabs>
          <w:tab w:val="right" w:leader="dot" w:pos="8486"/>
        </w:tabs>
        <w:rPr>
          <w:rFonts w:ascii="Times New Roman" w:hAnsi="Times New Roman"/>
          <w:smallCaps w:val="0"/>
          <w:noProof/>
          <w:sz w:val="24"/>
          <w:szCs w:val="24"/>
          <w:lang w:eastAsia="ja-JP"/>
        </w:rPr>
      </w:pPr>
      <w:r w:rsidRPr="00CA1B7D">
        <w:rPr>
          <w:rFonts w:ascii="Times New Roman" w:hAnsi="Times New Roman"/>
          <w:noProof/>
          <w:sz w:val="24"/>
          <w:szCs w:val="24"/>
        </w:rPr>
        <w:t>Figure 2: Israeli and U.S. Defense Spending (1960-2014)</w:t>
      </w:r>
      <w:r w:rsidRPr="00CA1B7D">
        <w:rPr>
          <w:rFonts w:ascii="Times New Roman" w:hAnsi="Times New Roman"/>
          <w:noProof/>
          <w:sz w:val="24"/>
          <w:szCs w:val="24"/>
        </w:rPr>
        <w:tab/>
      </w:r>
      <w:r w:rsidRPr="00CA1B7D">
        <w:rPr>
          <w:rFonts w:ascii="Times New Roman" w:hAnsi="Times New Roman"/>
          <w:noProof/>
          <w:sz w:val="24"/>
          <w:szCs w:val="24"/>
        </w:rPr>
        <w:fldChar w:fldCharType="begin"/>
      </w:r>
      <w:r w:rsidRPr="00CA1B7D">
        <w:rPr>
          <w:rFonts w:ascii="Times New Roman" w:hAnsi="Times New Roman"/>
          <w:noProof/>
          <w:sz w:val="24"/>
          <w:szCs w:val="24"/>
        </w:rPr>
        <w:instrText xml:space="preserve"> PAGEREF _Toc324264695 \h </w:instrText>
      </w:r>
      <w:r w:rsidRPr="00CA1B7D">
        <w:rPr>
          <w:rFonts w:ascii="Times New Roman" w:hAnsi="Times New Roman"/>
          <w:noProof/>
          <w:sz w:val="24"/>
          <w:szCs w:val="24"/>
        </w:rPr>
      </w:r>
      <w:r w:rsidRPr="00CA1B7D">
        <w:rPr>
          <w:rFonts w:ascii="Times New Roman" w:hAnsi="Times New Roman"/>
          <w:noProof/>
          <w:sz w:val="24"/>
          <w:szCs w:val="24"/>
        </w:rPr>
        <w:fldChar w:fldCharType="separate"/>
      </w:r>
      <w:r w:rsidR="00500133">
        <w:rPr>
          <w:rFonts w:ascii="Times New Roman" w:hAnsi="Times New Roman"/>
          <w:noProof/>
          <w:sz w:val="24"/>
          <w:szCs w:val="24"/>
        </w:rPr>
        <w:t>34</w:t>
      </w:r>
      <w:r w:rsidRPr="00CA1B7D">
        <w:rPr>
          <w:rFonts w:ascii="Times New Roman" w:hAnsi="Times New Roman"/>
          <w:noProof/>
          <w:sz w:val="24"/>
          <w:szCs w:val="24"/>
        </w:rPr>
        <w:fldChar w:fldCharType="end"/>
      </w:r>
    </w:p>
    <w:p w14:paraId="54318122" w14:textId="77777777" w:rsidR="00CA1B7D" w:rsidRPr="00CA1B7D" w:rsidRDefault="00CA1B7D">
      <w:pPr>
        <w:pStyle w:val="TableofFigures"/>
        <w:tabs>
          <w:tab w:val="right" w:leader="dot" w:pos="8486"/>
        </w:tabs>
        <w:rPr>
          <w:rFonts w:ascii="Times New Roman" w:hAnsi="Times New Roman"/>
          <w:smallCaps w:val="0"/>
          <w:noProof/>
          <w:sz w:val="24"/>
          <w:szCs w:val="24"/>
          <w:lang w:eastAsia="ja-JP"/>
        </w:rPr>
      </w:pPr>
      <w:r w:rsidRPr="00CA1B7D">
        <w:rPr>
          <w:rFonts w:ascii="Times New Roman" w:hAnsi="Times New Roman"/>
          <w:noProof/>
          <w:sz w:val="24"/>
          <w:szCs w:val="24"/>
        </w:rPr>
        <w:t>Figure 3: Military Expenditures of the Five Largest Per Capita Spenders in Thousands of USD (1988-2014)</w:t>
      </w:r>
      <w:r w:rsidRPr="00CA1B7D">
        <w:rPr>
          <w:rFonts w:ascii="Times New Roman" w:hAnsi="Times New Roman"/>
          <w:noProof/>
          <w:sz w:val="24"/>
          <w:szCs w:val="24"/>
        </w:rPr>
        <w:tab/>
      </w:r>
      <w:r w:rsidRPr="00CA1B7D">
        <w:rPr>
          <w:rFonts w:ascii="Times New Roman" w:hAnsi="Times New Roman"/>
          <w:noProof/>
          <w:sz w:val="24"/>
          <w:szCs w:val="24"/>
        </w:rPr>
        <w:fldChar w:fldCharType="begin"/>
      </w:r>
      <w:r w:rsidRPr="00CA1B7D">
        <w:rPr>
          <w:rFonts w:ascii="Times New Roman" w:hAnsi="Times New Roman"/>
          <w:noProof/>
          <w:sz w:val="24"/>
          <w:szCs w:val="24"/>
        </w:rPr>
        <w:instrText xml:space="preserve"> PAGEREF _Toc324264697 \h </w:instrText>
      </w:r>
      <w:r w:rsidRPr="00CA1B7D">
        <w:rPr>
          <w:rFonts w:ascii="Times New Roman" w:hAnsi="Times New Roman"/>
          <w:noProof/>
          <w:sz w:val="24"/>
          <w:szCs w:val="24"/>
        </w:rPr>
      </w:r>
      <w:r w:rsidRPr="00CA1B7D">
        <w:rPr>
          <w:rFonts w:ascii="Times New Roman" w:hAnsi="Times New Roman"/>
          <w:noProof/>
          <w:sz w:val="24"/>
          <w:szCs w:val="24"/>
        </w:rPr>
        <w:fldChar w:fldCharType="separate"/>
      </w:r>
      <w:r w:rsidR="00500133">
        <w:rPr>
          <w:rFonts w:ascii="Times New Roman" w:hAnsi="Times New Roman"/>
          <w:noProof/>
          <w:sz w:val="24"/>
          <w:szCs w:val="24"/>
        </w:rPr>
        <w:t>36</w:t>
      </w:r>
      <w:r w:rsidRPr="00CA1B7D">
        <w:rPr>
          <w:rFonts w:ascii="Times New Roman" w:hAnsi="Times New Roman"/>
          <w:noProof/>
          <w:sz w:val="24"/>
          <w:szCs w:val="24"/>
        </w:rPr>
        <w:fldChar w:fldCharType="end"/>
      </w:r>
    </w:p>
    <w:p w14:paraId="3058A3CB" w14:textId="77777777" w:rsidR="00CA1B7D" w:rsidRPr="00CA1B7D" w:rsidRDefault="00CA1B7D">
      <w:pPr>
        <w:pStyle w:val="TableofFigures"/>
        <w:tabs>
          <w:tab w:val="right" w:leader="dot" w:pos="8486"/>
        </w:tabs>
        <w:rPr>
          <w:rFonts w:ascii="Times New Roman" w:hAnsi="Times New Roman"/>
          <w:smallCaps w:val="0"/>
          <w:noProof/>
          <w:sz w:val="24"/>
          <w:szCs w:val="24"/>
          <w:lang w:eastAsia="ja-JP"/>
        </w:rPr>
      </w:pPr>
      <w:r w:rsidRPr="00CA1B7D">
        <w:rPr>
          <w:rFonts w:ascii="Times New Roman" w:hAnsi="Times New Roman"/>
          <w:noProof/>
          <w:sz w:val="24"/>
          <w:szCs w:val="24"/>
        </w:rPr>
        <w:t>Figure 4: Comprehensive Border Closure Days and Unemployment in the West Bank (1995-2015)</w:t>
      </w:r>
      <w:r w:rsidRPr="00CA1B7D">
        <w:rPr>
          <w:rFonts w:ascii="Times New Roman" w:hAnsi="Times New Roman"/>
          <w:noProof/>
          <w:sz w:val="24"/>
          <w:szCs w:val="24"/>
        </w:rPr>
        <w:tab/>
      </w:r>
      <w:r w:rsidRPr="00CA1B7D">
        <w:rPr>
          <w:rFonts w:ascii="Times New Roman" w:hAnsi="Times New Roman"/>
          <w:noProof/>
          <w:sz w:val="24"/>
          <w:szCs w:val="24"/>
        </w:rPr>
        <w:fldChar w:fldCharType="begin"/>
      </w:r>
      <w:r w:rsidRPr="00CA1B7D">
        <w:rPr>
          <w:rFonts w:ascii="Times New Roman" w:hAnsi="Times New Roman"/>
          <w:noProof/>
          <w:sz w:val="24"/>
          <w:szCs w:val="24"/>
        </w:rPr>
        <w:instrText xml:space="preserve"> PAGEREF _Toc324264700 \h </w:instrText>
      </w:r>
      <w:r w:rsidRPr="00CA1B7D">
        <w:rPr>
          <w:rFonts w:ascii="Times New Roman" w:hAnsi="Times New Roman"/>
          <w:noProof/>
          <w:sz w:val="24"/>
          <w:szCs w:val="24"/>
        </w:rPr>
      </w:r>
      <w:r w:rsidRPr="00CA1B7D">
        <w:rPr>
          <w:rFonts w:ascii="Times New Roman" w:hAnsi="Times New Roman"/>
          <w:noProof/>
          <w:sz w:val="24"/>
          <w:szCs w:val="24"/>
        </w:rPr>
        <w:fldChar w:fldCharType="separate"/>
      </w:r>
      <w:r w:rsidR="00500133">
        <w:rPr>
          <w:rFonts w:ascii="Times New Roman" w:hAnsi="Times New Roman"/>
          <w:noProof/>
          <w:sz w:val="24"/>
          <w:szCs w:val="24"/>
        </w:rPr>
        <w:t>58</w:t>
      </w:r>
      <w:r w:rsidRPr="00CA1B7D">
        <w:rPr>
          <w:rFonts w:ascii="Times New Roman" w:hAnsi="Times New Roman"/>
          <w:noProof/>
          <w:sz w:val="24"/>
          <w:szCs w:val="24"/>
        </w:rPr>
        <w:fldChar w:fldCharType="end"/>
      </w:r>
    </w:p>
    <w:p w14:paraId="69F12DB0" w14:textId="77777777" w:rsidR="00CA1B7D" w:rsidRPr="00CA1B7D" w:rsidRDefault="00CA1B7D">
      <w:pPr>
        <w:pStyle w:val="TableofFigures"/>
        <w:tabs>
          <w:tab w:val="right" w:leader="dot" w:pos="8486"/>
        </w:tabs>
        <w:rPr>
          <w:rFonts w:ascii="Times New Roman" w:hAnsi="Times New Roman"/>
          <w:smallCaps w:val="0"/>
          <w:noProof/>
          <w:sz w:val="24"/>
          <w:szCs w:val="24"/>
          <w:lang w:eastAsia="ja-JP"/>
        </w:rPr>
      </w:pPr>
      <w:r w:rsidRPr="00CA1B7D">
        <w:rPr>
          <w:rFonts w:ascii="Times New Roman" w:hAnsi="Times New Roman"/>
          <w:noProof/>
          <w:sz w:val="24"/>
          <w:szCs w:val="24"/>
        </w:rPr>
        <w:t>Figure 5: Palestinian Labor in Israel (1970-2014)</w:t>
      </w:r>
      <w:r w:rsidRPr="00CA1B7D">
        <w:rPr>
          <w:rFonts w:ascii="Times New Roman" w:hAnsi="Times New Roman"/>
          <w:noProof/>
          <w:sz w:val="24"/>
          <w:szCs w:val="24"/>
        </w:rPr>
        <w:tab/>
      </w:r>
      <w:r w:rsidRPr="00CA1B7D">
        <w:rPr>
          <w:rFonts w:ascii="Times New Roman" w:hAnsi="Times New Roman"/>
          <w:noProof/>
          <w:sz w:val="24"/>
          <w:szCs w:val="24"/>
        </w:rPr>
        <w:fldChar w:fldCharType="begin"/>
      </w:r>
      <w:r w:rsidRPr="00CA1B7D">
        <w:rPr>
          <w:rFonts w:ascii="Times New Roman" w:hAnsi="Times New Roman"/>
          <w:noProof/>
          <w:sz w:val="24"/>
          <w:szCs w:val="24"/>
        </w:rPr>
        <w:instrText xml:space="preserve"> PAGEREF _Toc324264702 \h </w:instrText>
      </w:r>
      <w:r w:rsidRPr="00CA1B7D">
        <w:rPr>
          <w:rFonts w:ascii="Times New Roman" w:hAnsi="Times New Roman"/>
          <w:noProof/>
          <w:sz w:val="24"/>
          <w:szCs w:val="24"/>
        </w:rPr>
      </w:r>
      <w:r w:rsidRPr="00CA1B7D">
        <w:rPr>
          <w:rFonts w:ascii="Times New Roman" w:hAnsi="Times New Roman"/>
          <w:noProof/>
          <w:sz w:val="24"/>
          <w:szCs w:val="24"/>
        </w:rPr>
        <w:fldChar w:fldCharType="separate"/>
      </w:r>
      <w:r w:rsidR="00500133">
        <w:rPr>
          <w:rFonts w:ascii="Times New Roman" w:hAnsi="Times New Roman"/>
          <w:noProof/>
          <w:sz w:val="24"/>
          <w:szCs w:val="24"/>
        </w:rPr>
        <w:t>59</w:t>
      </w:r>
      <w:r w:rsidRPr="00CA1B7D">
        <w:rPr>
          <w:rFonts w:ascii="Times New Roman" w:hAnsi="Times New Roman"/>
          <w:noProof/>
          <w:sz w:val="24"/>
          <w:szCs w:val="24"/>
        </w:rPr>
        <w:fldChar w:fldCharType="end"/>
      </w:r>
    </w:p>
    <w:p w14:paraId="64729DCA" w14:textId="77777777" w:rsidR="00CA1B7D" w:rsidRPr="00CA1B7D" w:rsidRDefault="00CA1B7D">
      <w:pPr>
        <w:pStyle w:val="TableofFigures"/>
        <w:tabs>
          <w:tab w:val="right" w:leader="dot" w:pos="8486"/>
        </w:tabs>
        <w:rPr>
          <w:rFonts w:ascii="Times New Roman" w:hAnsi="Times New Roman"/>
          <w:smallCaps w:val="0"/>
          <w:noProof/>
          <w:sz w:val="24"/>
          <w:szCs w:val="24"/>
          <w:lang w:eastAsia="ja-JP"/>
        </w:rPr>
      </w:pPr>
      <w:r w:rsidRPr="00CA1B7D">
        <w:rPr>
          <w:rFonts w:ascii="Times New Roman" w:hAnsi="Times New Roman"/>
          <w:noProof/>
          <w:sz w:val="24"/>
          <w:szCs w:val="24"/>
        </w:rPr>
        <w:t>Figure 6: Palestinian Labor in Israel (1997-2007)</w:t>
      </w:r>
      <w:r w:rsidRPr="00CA1B7D">
        <w:rPr>
          <w:rFonts w:ascii="Times New Roman" w:hAnsi="Times New Roman"/>
          <w:noProof/>
          <w:sz w:val="24"/>
          <w:szCs w:val="24"/>
        </w:rPr>
        <w:tab/>
      </w:r>
      <w:r w:rsidRPr="00CA1B7D">
        <w:rPr>
          <w:rFonts w:ascii="Times New Roman" w:hAnsi="Times New Roman"/>
          <w:noProof/>
          <w:sz w:val="24"/>
          <w:szCs w:val="24"/>
        </w:rPr>
        <w:fldChar w:fldCharType="begin"/>
      </w:r>
      <w:r w:rsidRPr="00CA1B7D">
        <w:rPr>
          <w:rFonts w:ascii="Times New Roman" w:hAnsi="Times New Roman"/>
          <w:noProof/>
          <w:sz w:val="24"/>
          <w:szCs w:val="24"/>
        </w:rPr>
        <w:instrText xml:space="preserve"> PAGEREF _Toc324264703 \h </w:instrText>
      </w:r>
      <w:r w:rsidRPr="00CA1B7D">
        <w:rPr>
          <w:rFonts w:ascii="Times New Roman" w:hAnsi="Times New Roman"/>
          <w:noProof/>
          <w:sz w:val="24"/>
          <w:szCs w:val="24"/>
        </w:rPr>
      </w:r>
      <w:r w:rsidRPr="00CA1B7D">
        <w:rPr>
          <w:rFonts w:ascii="Times New Roman" w:hAnsi="Times New Roman"/>
          <w:noProof/>
          <w:sz w:val="24"/>
          <w:szCs w:val="24"/>
        </w:rPr>
        <w:fldChar w:fldCharType="separate"/>
      </w:r>
      <w:r w:rsidR="00500133">
        <w:rPr>
          <w:rFonts w:ascii="Times New Roman" w:hAnsi="Times New Roman"/>
          <w:noProof/>
          <w:sz w:val="24"/>
          <w:szCs w:val="24"/>
        </w:rPr>
        <w:t>60</w:t>
      </w:r>
      <w:r w:rsidRPr="00CA1B7D">
        <w:rPr>
          <w:rFonts w:ascii="Times New Roman" w:hAnsi="Times New Roman"/>
          <w:noProof/>
          <w:sz w:val="24"/>
          <w:szCs w:val="24"/>
        </w:rPr>
        <w:fldChar w:fldCharType="end"/>
      </w:r>
    </w:p>
    <w:p w14:paraId="1C1C3AF5" w14:textId="77777777" w:rsidR="00CA1B7D" w:rsidRPr="00CA1B7D" w:rsidRDefault="00CA1B7D">
      <w:pPr>
        <w:pStyle w:val="TableofFigures"/>
        <w:tabs>
          <w:tab w:val="right" w:leader="dot" w:pos="8486"/>
        </w:tabs>
        <w:rPr>
          <w:rFonts w:ascii="Times New Roman" w:hAnsi="Times New Roman"/>
          <w:smallCaps w:val="0"/>
          <w:noProof/>
          <w:sz w:val="24"/>
          <w:szCs w:val="24"/>
          <w:lang w:eastAsia="ja-JP"/>
        </w:rPr>
      </w:pPr>
      <w:r w:rsidRPr="00CA1B7D">
        <w:rPr>
          <w:rFonts w:ascii="Times New Roman" w:hAnsi="Times New Roman"/>
          <w:noProof/>
          <w:sz w:val="24"/>
          <w:szCs w:val="24"/>
        </w:rPr>
        <w:t>Figure 7: The General Aggression Model (GAM)</w:t>
      </w:r>
      <w:r w:rsidRPr="00CA1B7D">
        <w:rPr>
          <w:rFonts w:ascii="Times New Roman" w:hAnsi="Times New Roman"/>
          <w:noProof/>
          <w:sz w:val="24"/>
          <w:szCs w:val="24"/>
        </w:rPr>
        <w:tab/>
      </w:r>
      <w:r w:rsidRPr="00CA1B7D">
        <w:rPr>
          <w:rFonts w:ascii="Times New Roman" w:hAnsi="Times New Roman"/>
          <w:noProof/>
          <w:sz w:val="24"/>
          <w:szCs w:val="24"/>
        </w:rPr>
        <w:fldChar w:fldCharType="begin"/>
      </w:r>
      <w:r w:rsidRPr="00CA1B7D">
        <w:rPr>
          <w:rFonts w:ascii="Times New Roman" w:hAnsi="Times New Roman"/>
          <w:noProof/>
          <w:sz w:val="24"/>
          <w:szCs w:val="24"/>
        </w:rPr>
        <w:instrText xml:space="preserve"> PAGEREF _Toc324264704 \h </w:instrText>
      </w:r>
      <w:r w:rsidRPr="00CA1B7D">
        <w:rPr>
          <w:rFonts w:ascii="Times New Roman" w:hAnsi="Times New Roman"/>
          <w:noProof/>
          <w:sz w:val="24"/>
          <w:szCs w:val="24"/>
        </w:rPr>
      </w:r>
      <w:r w:rsidRPr="00CA1B7D">
        <w:rPr>
          <w:rFonts w:ascii="Times New Roman" w:hAnsi="Times New Roman"/>
          <w:noProof/>
          <w:sz w:val="24"/>
          <w:szCs w:val="24"/>
        </w:rPr>
        <w:fldChar w:fldCharType="separate"/>
      </w:r>
      <w:r w:rsidR="00500133">
        <w:rPr>
          <w:rFonts w:ascii="Times New Roman" w:hAnsi="Times New Roman"/>
          <w:noProof/>
          <w:sz w:val="24"/>
          <w:szCs w:val="24"/>
        </w:rPr>
        <w:t>79</w:t>
      </w:r>
      <w:r w:rsidRPr="00CA1B7D">
        <w:rPr>
          <w:rFonts w:ascii="Times New Roman" w:hAnsi="Times New Roman"/>
          <w:noProof/>
          <w:sz w:val="24"/>
          <w:szCs w:val="24"/>
        </w:rPr>
        <w:fldChar w:fldCharType="end"/>
      </w:r>
    </w:p>
    <w:p w14:paraId="5C327D7B" w14:textId="596CA873" w:rsidR="00CA1B7D" w:rsidRPr="00CA1B7D" w:rsidRDefault="00CA1B7D" w:rsidP="00CA1B7D">
      <w:pPr>
        <w:pStyle w:val="TableofFigures"/>
        <w:tabs>
          <w:tab w:val="right" w:leader="dot" w:pos="8486"/>
        </w:tabs>
        <w:rPr>
          <w:rFonts w:ascii="Times New Roman" w:hAnsi="Times New Roman"/>
          <w:smallCaps w:val="0"/>
          <w:noProof/>
          <w:sz w:val="24"/>
          <w:szCs w:val="24"/>
          <w:lang w:eastAsia="ja-JP"/>
        </w:rPr>
      </w:pPr>
      <w:r w:rsidRPr="00CA1B7D">
        <w:rPr>
          <w:rFonts w:ascii="Times New Roman" w:hAnsi="Times New Roman"/>
          <w:noProof/>
          <w:sz w:val="24"/>
          <w:szCs w:val="24"/>
        </w:rPr>
        <w:t>Figure 9: The Dynamic Gains and Losses in Production Resulting from Increasing the Number of WBPL Working in Israel</w:t>
      </w:r>
      <w:r w:rsidRPr="00CA1B7D">
        <w:rPr>
          <w:rFonts w:ascii="Times New Roman" w:hAnsi="Times New Roman"/>
          <w:noProof/>
          <w:sz w:val="24"/>
          <w:szCs w:val="24"/>
        </w:rPr>
        <w:tab/>
      </w:r>
      <w:r w:rsidRPr="00CA1B7D">
        <w:rPr>
          <w:rFonts w:ascii="Times New Roman" w:hAnsi="Times New Roman"/>
          <w:noProof/>
          <w:sz w:val="24"/>
          <w:szCs w:val="24"/>
        </w:rPr>
        <w:fldChar w:fldCharType="begin"/>
      </w:r>
      <w:r w:rsidRPr="00CA1B7D">
        <w:rPr>
          <w:rFonts w:ascii="Times New Roman" w:hAnsi="Times New Roman"/>
          <w:noProof/>
          <w:sz w:val="24"/>
          <w:szCs w:val="24"/>
        </w:rPr>
        <w:instrText xml:space="preserve"> PAGEREF _Toc324264705 \h </w:instrText>
      </w:r>
      <w:r w:rsidRPr="00CA1B7D">
        <w:rPr>
          <w:rFonts w:ascii="Times New Roman" w:hAnsi="Times New Roman"/>
          <w:noProof/>
          <w:sz w:val="24"/>
          <w:szCs w:val="24"/>
        </w:rPr>
      </w:r>
      <w:r w:rsidRPr="00CA1B7D">
        <w:rPr>
          <w:rFonts w:ascii="Times New Roman" w:hAnsi="Times New Roman"/>
          <w:noProof/>
          <w:sz w:val="24"/>
          <w:szCs w:val="24"/>
        </w:rPr>
        <w:fldChar w:fldCharType="separate"/>
      </w:r>
      <w:r w:rsidR="00500133">
        <w:rPr>
          <w:rFonts w:ascii="Times New Roman" w:hAnsi="Times New Roman"/>
          <w:noProof/>
          <w:sz w:val="24"/>
          <w:szCs w:val="24"/>
        </w:rPr>
        <w:t>88</w:t>
      </w:r>
      <w:r w:rsidRPr="00CA1B7D">
        <w:rPr>
          <w:rFonts w:ascii="Times New Roman" w:hAnsi="Times New Roman"/>
          <w:noProof/>
          <w:sz w:val="24"/>
          <w:szCs w:val="24"/>
        </w:rPr>
        <w:fldChar w:fldCharType="end"/>
      </w:r>
    </w:p>
    <w:p w14:paraId="1804AED4" w14:textId="77777777" w:rsidR="00CA1B7D" w:rsidRPr="00CA1B7D" w:rsidRDefault="00CA1B7D">
      <w:pPr>
        <w:pStyle w:val="TableofFigures"/>
        <w:tabs>
          <w:tab w:val="right" w:leader="dot" w:pos="8486"/>
        </w:tabs>
        <w:rPr>
          <w:rFonts w:ascii="Times New Roman" w:hAnsi="Times New Roman"/>
          <w:smallCaps w:val="0"/>
          <w:noProof/>
          <w:sz w:val="24"/>
          <w:szCs w:val="24"/>
          <w:lang w:eastAsia="ja-JP"/>
        </w:rPr>
      </w:pPr>
      <w:r w:rsidRPr="00CA1B7D">
        <w:rPr>
          <w:rFonts w:ascii="Times New Roman" w:hAnsi="Times New Roman"/>
          <w:noProof/>
          <w:sz w:val="24"/>
          <w:szCs w:val="24"/>
        </w:rPr>
        <w:t>Figure 10: The Dynamically Efficient Number of West Bank Palestinian Laborers Permitted to Work in Israel</w:t>
      </w:r>
      <w:r w:rsidRPr="00CA1B7D">
        <w:rPr>
          <w:rFonts w:ascii="Times New Roman" w:hAnsi="Times New Roman"/>
          <w:noProof/>
          <w:sz w:val="24"/>
          <w:szCs w:val="24"/>
        </w:rPr>
        <w:tab/>
      </w:r>
      <w:r w:rsidRPr="00CA1B7D">
        <w:rPr>
          <w:rFonts w:ascii="Times New Roman" w:hAnsi="Times New Roman"/>
          <w:noProof/>
          <w:sz w:val="24"/>
          <w:szCs w:val="24"/>
        </w:rPr>
        <w:fldChar w:fldCharType="begin"/>
      </w:r>
      <w:r w:rsidRPr="00CA1B7D">
        <w:rPr>
          <w:rFonts w:ascii="Times New Roman" w:hAnsi="Times New Roman"/>
          <w:noProof/>
          <w:sz w:val="24"/>
          <w:szCs w:val="24"/>
        </w:rPr>
        <w:instrText xml:space="preserve"> PAGEREF _Toc324264709 \h </w:instrText>
      </w:r>
      <w:r w:rsidRPr="00CA1B7D">
        <w:rPr>
          <w:rFonts w:ascii="Times New Roman" w:hAnsi="Times New Roman"/>
          <w:noProof/>
          <w:sz w:val="24"/>
          <w:szCs w:val="24"/>
        </w:rPr>
      </w:r>
      <w:r w:rsidRPr="00CA1B7D">
        <w:rPr>
          <w:rFonts w:ascii="Times New Roman" w:hAnsi="Times New Roman"/>
          <w:noProof/>
          <w:sz w:val="24"/>
          <w:szCs w:val="24"/>
        </w:rPr>
        <w:fldChar w:fldCharType="separate"/>
      </w:r>
      <w:r w:rsidR="00500133">
        <w:rPr>
          <w:rFonts w:ascii="Times New Roman" w:hAnsi="Times New Roman"/>
          <w:noProof/>
          <w:sz w:val="24"/>
          <w:szCs w:val="24"/>
        </w:rPr>
        <w:t>112</w:t>
      </w:r>
      <w:r w:rsidRPr="00CA1B7D">
        <w:rPr>
          <w:rFonts w:ascii="Times New Roman" w:hAnsi="Times New Roman"/>
          <w:noProof/>
          <w:sz w:val="24"/>
          <w:szCs w:val="24"/>
        </w:rPr>
        <w:fldChar w:fldCharType="end"/>
      </w:r>
    </w:p>
    <w:p w14:paraId="06B3B803" w14:textId="0CC54D6E" w:rsidR="00CA1B7D" w:rsidRDefault="00CA1B7D" w:rsidP="00CA1B7D">
      <w:pPr>
        <w:pStyle w:val="TableofFigures"/>
        <w:tabs>
          <w:tab w:val="right" w:leader="dot" w:pos="8486"/>
        </w:tabs>
        <w:ind w:left="0" w:firstLine="0"/>
        <w:rPr>
          <w:rFonts w:cstheme="minorBidi"/>
          <w:smallCaps w:val="0"/>
          <w:noProof/>
          <w:sz w:val="24"/>
          <w:szCs w:val="24"/>
          <w:lang w:eastAsia="ja-JP"/>
        </w:rPr>
      </w:pPr>
    </w:p>
    <w:p w14:paraId="6D6EB72A" w14:textId="77777777" w:rsidR="00CA1B7D" w:rsidRDefault="00CA1B7D" w:rsidP="000D276F">
      <w:pPr>
        <w:jc w:val="center"/>
      </w:pPr>
      <w:r>
        <w:fldChar w:fldCharType="end"/>
      </w:r>
    </w:p>
    <w:p w14:paraId="1C36BA70" w14:textId="2515DF57" w:rsidR="000D276F" w:rsidRPr="00AB7F02" w:rsidRDefault="000D276F" w:rsidP="000D276F">
      <w:pPr>
        <w:jc w:val="center"/>
      </w:pPr>
      <w:r>
        <w:br w:type="page"/>
      </w:r>
    </w:p>
    <w:p w14:paraId="04BA09C9" w14:textId="5AAB2571" w:rsidR="00AB7F02" w:rsidRDefault="00AB7F02" w:rsidP="006A2643">
      <w:pPr>
        <w:pStyle w:val="Heading1"/>
      </w:pPr>
      <w:bookmarkStart w:id="5" w:name="_Toc324423943"/>
      <w:r>
        <w:lastRenderedPageBreak/>
        <w:t>Abstract</w:t>
      </w:r>
      <w:bookmarkEnd w:id="5"/>
    </w:p>
    <w:p w14:paraId="2F136F9E" w14:textId="77777777" w:rsidR="006A2643" w:rsidRPr="006A2643" w:rsidRDefault="006A2643" w:rsidP="006A2643">
      <w:pPr>
        <w:spacing w:line="240" w:lineRule="auto"/>
      </w:pPr>
    </w:p>
    <w:p w14:paraId="66D90DBA" w14:textId="53B38262" w:rsidR="005D28B0" w:rsidRPr="005D28B0" w:rsidRDefault="005D28B0" w:rsidP="00A530BD">
      <w:pPr>
        <w:ind w:firstLine="720"/>
        <w:sectPr w:rsidR="005D28B0" w:rsidRPr="005D28B0" w:rsidSect="008F0A2B">
          <w:type w:val="continuous"/>
          <w:pgSz w:w="12240" w:h="15840"/>
          <w:pgMar w:top="1440" w:right="1440" w:bottom="1440" w:left="2304" w:header="720" w:footer="720" w:gutter="0"/>
          <w:pgNumType w:fmt="lowerRoman"/>
          <w:cols w:space="720"/>
          <w:docGrid w:linePitch="360"/>
        </w:sectPr>
      </w:pPr>
      <w:bookmarkStart w:id="6" w:name="_GoBack"/>
      <w:r>
        <w:t>The Israeli-Palestinian conflict has now persisted for nearly 70 years with little progress towards a solution, and the conflict continues to exact high costs on both societies year after year. Unfortunately, the failure o</w:t>
      </w:r>
      <w:r w:rsidR="00A530BD">
        <w:t>f the Middle East peace process—</w:t>
      </w:r>
      <w:r>
        <w:t>in pa</w:t>
      </w:r>
      <w:r w:rsidR="00A530BD">
        <w:t>rticular the Oslo Peace Process—</w:t>
      </w:r>
      <w:r>
        <w:t>has left little hope for a peaceful resolution to the conflict and has resulted in capricious violence within Israel and the</w:t>
      </w:r>
      <w:r w:rsidR="00A530BD">
        <w:t xml:space="preserve"> Palestinian Territories since the 1990s. This study argues that</w:t>
      </w:r>
      <w:r>
        <w:t xml:space="preserve"> economic development can reduce the magnitude</w:t>
      </w:r>
      <w:r w:rsidR="00A530BD">
        <w:t xml:space="preserve"> of violence in the short term, but </w:t>
      </w:r>
      <w:r>
        <w:t xml:space="preserve">politically motivated violence will persist in the absence of a resolution. </w:t>
      </w:r>
      <w:r w:rsidR="00A530BD">
        <w:t xml:space="preserve">A historical analysis of Israeli-Palestinian economic dynamics reveals that </w:t>
      </w:r>
      <w:r>
        <w:t>Israel’s stringent control of the Palestinian Territories has</w:t>
      </w:r>
      <w:r w:rsidR="00A530BD">
        <w:t xml:space="preserve"> exacted</w:t>
      </w:r>
      <w:r>
        <w:t xml:space="preserve"> high </w:t>
      </w:r>
      <w:r w:rsidR="00A530BD">
        <w:t xml:space="preserve">costs on the Israeli economy since the 1967 Six-Day War. This leads to the conclusion that increasing the number of West Bank Palestinians working in Israel is the best path towards peace given the current state of affairs in the conflict. However, increasing the number of Palestinians working in Israel might result in an increase in the rate of violence. Using an agent-based dynamic equilibrium model and the best available research on the relationship between economic development, politics, and violence, this study finds that Israel should not impose border closures on Palestinians with work permits unless the rate of violence reaches 4.2 fatalities per day over a given period of time. Israeli economic production will not be reduced by violence even if Israel doubles the number of West Bank Palestinians working in Israel to more than 200,000 people. </w:t>
      </w:r>
      <w:bookmarkEnd w:id="6"/>
    </w:p>
    <w:p w14:paraId="1FB6F7CA" w14:textId="0AE8B908" w:rsidR="00713252" w:rsidRDefault="00DA18DD" w:rsidP="006A2643">
      <w:pPr>
        <w:pStyle w:val="Heading1"/>
      </w:pPr>
      <w:bookmarkStart w:id="7" w:name="_Toc324423944"/>
      <w:r w:rsidRPr="002146AD">
        <w:lastRenderedPageBreak/>
        <w:t>Introduction</w:t>
      </w:r>
      <w:bookmarkEnd w:id="7"/>
    </w:p>
    <w:p w14:paraId="1F96ECE4" w14:textId="77777777" w:rsidR="005A707C" w:rsidRDefault="005A707C" w:rsidP="006A2643">
      <w:pPr>
        <w:spacing w:line="240" w:lineRule="auto"/>
      </w:pPr>
    </w:p>
    <w:p w14:paraId="193B2C32" w14:textId="77777777" w:rsidR="00C954EF" w:rsidRPr="005A707C" w:rsidRDefault="00C954EF" w:rsidP="006A2643">
      <w:pPr>
        <w:spacing w:line="240" w:lineRule="auto"/>
        <w:sectPr w:rsidR="00C954EF" w:rsidRPr="005A707C" w:rsidSect="00AB7F02">
          <w:pgSz w:w="12240" w:h="15840"/>
          <w:pgMar w:top="1440" w:right="1440" w:bottom="1440" w:left="2304" w:header="720" w:footer="720" w:gutter="0"/>
          <w:pgNumType w:start="1"/>
          <w:cols w:space="720"/>
          <w:docGrid w:linePitch="360"/>
        </w:sectPr>
      </w:pPr>
    </w:p>
    <w:p w14:paraId="78A6840A" w14:textId="2AB5E8F6" w:rsidR="00E975A6" w:rsidRPr="00AC5167" w:rsidRDefault="00E975A6" w:rsidP="005B4AD8">
      <w:pPr>
        <w:ind w:firstLine="720"/>
      </w:pPr>
      <w:r w:rsidRPr="00AC5167">
        <w:lastRenderedPageBreak/>
        <w:t>It may seem strange to invoke a work of fiction from Ryunosuke Akutagawa to explain the Israeli-Palestinian conflict, but his fictional tale “Rashomon” is surprisingly relevant. Akutagawa was a Japanese writer whose works enjoyed limited popularity in the early 20</w:t>
      </w:r>
      <w:r w:rsidRPr="00AC5167">
        <w:rPr>
          <w:vertAlign w:val="superscript"/>
        </w:rPr>
        <w:t>th</w:t>
      </w:r>
      <w:r>
        <w:t xml:space="preserve"> century. H</w:t>
      </w:r>
      <w:r w:rsidRPr="00AC5167">
        <w:t>is fictional tale “Rashomon” showed that the same story could be reinterpreted and recreated from different angles according to who is identified as the protagonist, which thereby produces different parcels of an evasive truth.</w:t>
      </w:r>
      <w:r w:rsidRPr="00AC5167">
        <w:rPr>
          <w:rStyle w:val="FootnoteReference"/>
          <w:b/>
        </w:rPr>
        <w:footnoteReference w:id="1"/>
      </w:r>
      <w:r w:rsidRPr="00AC5167">
        <w:t xml:space="preserve"> This phenomenon has come to be known as the Rashomon effect</w:t>
      </w:r>
      <w:r>
        <w:t>. You need no</w:t>
      </w:r>
      <w:r w:rsidRPr="00AC5167">
        <w:t>t look any further than the opinion pieces written on the Israeli-Palestinian conflict to see the multiplicity and divergence of interpretations at play in this context. The Rashomon effect has played a very important role in shaping the conflict, from its genesis roughly one hundred years ago until now.</w:t>
      </w:r>
      <w:r w:rsidRPr="00AC5167">
        <w:rPr>
          <w:rStyle w:val="FootnoteReference"/>
          <w:b/>
        </w:rPr>
        <w:footnoteReference w:id="2"/>
      </w:r>
      <w:r w:rsidRPr="00AC5167">
        <w:t xml:space="preserve"> Israelis and Palestinians have reflected and deflected a sort of mirror image upon each other as individual actors interpret the trauma and obfuscation of violent, tragic events that have periodically punctuated this protracted conflict.</w:t>
      </w:r>
      <w:r w:rsidRPr="00AC5167">
        <w:rPr>
          <w:rStyle w:val="FootnoteReference"/>
          <w:b/>
        </w:rPr>
        <w:footnoteReference w:id="3"/>
      </w:r>
      <w:r w:rsidRPr="00AC5167">
        <w:t xml:space="preserve"> </w:t>
      </w:r>
    </w:p>
    <w:p w14:paraId="2724630E" w14:textId="77777777" w:rsidR="00E975A6" w:rsidRPr="00AC5167" w:rsidRDefault="00E975A6" w:rsidP="005B4AD8">
      <w:pPr>
        <w:ind w:firstLine="720"/>
      </w:pPr>
      <w:r w:rsidRPr="00AC5167">
        <w:t>The feelings of confusion and alienation that are produced by tragic events have led to logical fallacies and a lack of empathy on both sides, which has kept peace at an impasse as self-fulfilling prophecies of ill-will perpetuate violence of varying magnitudes.</w:t>
      </w:r>
      <w:r w:rsidRPr="00AC5167">
        <w:rPr>
          <w:rStyle w:val="FootnoteReference"/>
          <w:b/>
        </w:rPr>
        <w:footnoteReference w:id="4"/>
      </w:r>
      <w:r w:rsidRPr="00AC5167">
        <w:t xml:space="preserve"> Writing towards the beginning of the Second Intifada (a period of intense violence in the early 2000’s), Robert Malley argued pointedly that “the way the two </w:t>
      </w:r>
      <w:r w:rsidRPr="00AC5167">
        <w:lastRenderedPageBreak/>
        <w:t>sides choose to view yesterday largely will determine how they behave tomorrow,” and, if unchallenged, “their respective interpretations will gradually harden into divergent realities” that make peace seem impossible.</w:t>
      </w:r>
      <w:r w:rsidRPr="00AC5167">
        <w:rPr>
          <w:rStyle w:val="FootnoteReference"/>
          <w:b/>
        </w:rPr>
        <w:footnoteReference w:id="5"/>
      </w:r>
      <w:r w:rsidRPr="00AC5167">
        <w:t xml:space="preserve"> Indeed, fifteen years later many experts have pointed out that a two-state solution to the conflict now seems more delusional than pragmatic, while also pointing out that a one-state solution threatens to undermine the democratic nature of Israel.</w:t>
      </w:r>
      <w:r w:rsidRPr="00AC5167">
        <w:rPr>
          <w:rStyle w:val="FootnoteReference"/>
          <w:b/>
        </w:rPr>
        <w:footnoteReference w:id="6"/>
      </w:r>
      <w:r w:rsidRPr="00AC5167">
        <w:t xml:space="preserve"> Meanwhile, the Obama administration and Israeli Prime M</w:t>
      </w:r>
      <w:r>
        <w:t>inister Benjamin Netanyahu have—at least in public statements—</w:t>
      </w:r>
      <w:r w:rsidRPr="00AC5167">
        <w:t>expressed commitment to a two-state solution despite the</w:t>
      </w:r>
      <w:r>
        <w:t xml:space="preserve"> repeated</w:t>
      </w:r>
      <w:r w:rsidRPr="00AC5167">
        <w:t xml:space="preserve"> failures of the Middle East peace process thus far.</w:t>
      </w:r>
      <w:r w:rsidRPr="00AC5167">
        <w:rPr>
          <w:rStyle w:val="FootnoteReference"/>
          <w:b/>
        </w:rPr>
        <w:footnoteReference w:id="7"/>
      </w:r>
      <w:r w:rsidRPr="00AC5167">
        <w:t xml:space="preserve">  </w:t>
      </w:r>
    </w:p>
    <w:p w14:paraId="1808B643" w14:textId="173EA230" w:rsidR="00E975A6" w:rsidRPr="00AC5167" w:rsidRDefault="00E975A6" w:rsidP="005A707C">
      <w:pPr>
        <w:ind w:firstLine="720"/>
      </w:pPr>
      <w:r w:rsidRPr="00AC5167">
        <w:t>While it is natural to view this conflict through Realist lenses, Israelis and Palestinians tend to forget or ignore their mutual interactions and interdependence as they interpret the world through the lens of their social reconstructions of reality. This has built figurative</w:t>
      </w:r>
      <w:r>
        <w:t>— and literal—</w:t>
      </w:r>
      <w:r w:rsidRPr="00AC5167">
        <w:t xml:space="preserve">barriers to peace that have made it seem as if the Israeli-Palestinian conflict is bound to continue indefinitely, but strategies that focus on economic development may offer a more hopeful alternative in a region that has rarely had hopeful outcomes. </w:t>
      </w:r>
      <w:r>
        <w:t xml:space="preserve">Economic development policies will not lead to a political solution on their own, but they will help to reduce the amount of political violence that arises from poor economic conditions in the Palestinian Territories. </w:t>
      </w:r>
      <w:r w:rsidRPr="00AC5167">
        <w:t>While this study makes no definite predictions about the timeline or nature of a final solution</w:t>
      </w:r>
      <w:r>
        <w:t xml:space="preserve"> to the conflict—or the lack thereof—</w:t>
      </w:r>
      <w:r w:rsidRPr="00AC5167">
        <w:t xml:space="preserve"> it does contribute to the literature on the economic </w:t>
      </w:r>
      <w:r w:rsidRPr="00AC5167">
        <w:lastRenderedPageBreak/>
        <w:t>relationship between Israel and the Palestinian Territories, which began in earnest after Israel took control of the West Bank and the Gaza Str</w:t>
      </w:r>
      <w:r w:rsidR="005A707C">
        <w:t xml:space="preserve">ip during the 1967 Six Day War. </w:t>
      </w:r>
      <w:r w:rsidRPr="00AC5167">
        <w:t>The analysis found in this study focuses on the nexus between economics, politics, and violence that has developed post-1967. Economic development has been seen as a vehicle towards pacification throughout the Israeli-Palestinian conflict, but thus far has not proven successful. The assumption und</w:t>
      </w:r>
      <w:r>
        <w:t xml:space="preserve">erlying this study is that the </w:t>
      </w:r>
      <w:r w:rsidRPr="00AC5167">
        <w:t>status quo is not likely to change in the near future due to the current political climate, but the status quo is not indefinitely sustainable. Current Israeli President Reuven Rivlin summarized this fundamenta</w:t>
      </w:r>
      <w:r>
        <w:t>l dilemma</w:t>
      </w:r>
      <w:r w:rsidRPr="00AC5167">
        <w:t>, saying, “we will not forever live by the sword, but we will forever have to live with the sword, and we must be ready and willing to protect the Zionist enterprise and the land of Israel,” despite the hostile attacks carried out by Palestinians in recent months.</w:t>
      </w:r>
      <w:r w:rsidRPr="00AC5167">
        <w:rPr>
          <w:rStyle w:val="FootnoteReference"/>
          <w:b/>
        </w:rPr>
        <w:footnoteReference w:id="8"/>
      </w:r>
      <w:r w:rsidRPr="00AC5167">
        <w:t xml:space="preserve"> </w:t>
      </w:r>
      <w:r>
        <w:t>The core argument of this work—</w:t>
      </w:r>
      <w:r w:rsidRPr="00AC5167">
        <w:t>that integrat</w:t>
      </w:r>
      <w:r>
        <w:t>ing more West Bank Palestinians into the Israeli labor force</w:t>
      </w:r>
      <w:r w:rsidRPr="00AC5167">
        <w:t xml:space="preserve"> will promote economic development and re</w:t>
      </w:r>
      <w:r>
        <w:t>duce the magnitude of violence—</w:t>
      </w:r>
      <w:r w:rsidRPr="00AC5167">
        <w:t xml:space="preserve">relates to capitalist peace theory. </w:t>
      </w:r>
    </w:p>
    <w:p w14:paraId="2144EB41" w14:textId="77777777" w:rsidR="00E975A6" w:rsidRDefault="00E975A6" w:rsidP="005B4AD8">
      <w:pPr>
        <w:ind w:firstLine="720"/>
      </w:pPr>
      <w:r>
        <w:t>B</w:t>
      </w:r>
      <w:r w:rsidRPr="00AC5167">
        <w:t>oth Israeli and Palestinian politicians have committed to capitalist peace policies over the past decade</w:t>
      </w:r>
      <w:r>
        <w:t>, though the goals of the economic development programs implemented by both sides have been quite different</w:t>
      </w:r>
      <w:r w:rsidRPr="00AC5167">
        <w:t>.</w:t>
      </w:r>
      <w:r w:rsidRPr="00AC5167">
        <w:rPr>
          <w:rStyle w:val="FootnoteReference"/>
          <w:b/>
        </w:rPr>
        <w:footnoteReference w:id="9"/>
      </w:r>
      <w:r w:rsidRPr="00AC5167">
        <w:t xml:space="preserve"> </w:t>
      </w:r>
      <w:r>
        <w:t xml:space="preserve">Israeli governments have pursued strategies to develop the West Bank economically since the aftermath of the 1967 Six-Day War when Moshe Dayan advocated for Israeli-Palestinian economic integration. Prime Minister Netanyahu renewed focus on Palestinian economic development after the 2009 election when he “created an administrative body whose mandate is to endorse </w:t>
      </w:r>
      <w:r>
        <w:lastRenderedPageBreak/>
        <w:t>economic peace in the West Bank through advancing around 25 economic initiatives” in coordination with the PA.</w:t>
      </w:r>
      <w:r>
        <w:rPr>
          <w:rStyle w:val="FootnoteReference"/>
          <w:b/>
        </w:rPr>
        <w:footnoteReference w:id="10"/>
      </w:r>
      <w:r>
        <w:t xml:space="preserve"> This directly followed the creation of economic development initiatives by </w:t>
      </w:r>
      <w:r w:rsidRPr="00AC5167">
        <w:t xml:space="preserve">the Palestinian Authority </w:t>
      </w:r>
      <w:r>
        <w:t xml:space="preserve">(PA). In 2007 </w:t>
      </w:r>
      <w:r w:rsidRPr="00AC5167">
        <w:t>then-PA Prime Minister Salam Fayyad implemented various neo-liberal approaches to</w:t>
      </w:r>
      <w:r>
        <w:t xml:space="preserve"> economic development and state building</w:t>
      </w:r>
      <w:r w:rsidRPr="00AC5167">
        <w:t>.</w:t>
      </w:r>
      <w:r w:rsidRPr="00AC5167">
        <w:rPr>
          <w:rStyle w:val="FootnoteReference"/>
          <w:b/>
        </w:rPr>
        <w:footnoteReference w:id="11"/>
      </w:r>
      <w:r>
        <w:t xml:space="preserve"> The stated goal of Fayyad’s economic development policies were “self-reliance and self-empowerment,” which were to be achieved by focusing on providing “good governance, economic opportunity, and the rule of law.”</w:t>
      </w:r>
      <w:r>
        <w:rPr>
          <w:rStyle w:val="FootnoteReference"/>
          <w:b/>
        </w:rPr>
        <w:footnoteReference w:id="12"/>
      </w:r>
      <w:r>
        <w:t xml:space="preserve"> These goals were meant, “to build strong state institutions capable of providing for the needs of [the Palestinians]” while under and/or despite Israeli authority.</w:t>
      </w:r>
      <w:r>
        <w:rPr>
          <w:rStyle w:val="FootnoteReference"/>
          <w:b/>
        </w:rPr>
        <w:footnoteReference w:id="13"/>
      </w:r>
      <w:r>
        <w:t xml:space="preserve"> The unstated goal of PA economic development programs might be to strengthen Palestinian initiatives at the UN, which has become an avenue through which Palestinians have sought to bypass the traditional peace process.</w:t>
      </w:r>
      <w:r>
        <w:rPr>
          <w:rStyle w:val="FootnoteReference"/>
          <w:b/>
        </w:rPr>
        <w:footnoteReference w:id="14"/>
      </w:r>
      <w:r>
        <w:t xml:space="preserve"> Both Israelis and Palestinians have prioritized economic development, but Israel has championed economic development as a method of containing violence in the absence of a political solution to the conflict, while the PA has championed economic development as a path towards increased autonomy in the hopes that this will increase Palestinian legitimacy in their bids to the UN.</w:t>
      </w:r>
      <w:r>
        <w:rPr>
          <w:rStyle w:val="FootnoteReference"/>
          <w:b/>
        </w:rPr>
        <w:footnoteReference w:id="15"/>
      </w:r>
      <w:r>
        <w:t xml:space="preserve">  </w:t>
      </w:r>
    </w:p>
    <w:p w14:paraId="6C01D7F4" w14:textId="77777777" w:rsidR="00E975A6" w:rsidRDefault="00E975A6" w:rsidP="005B4AD8">
      <w:pPr>
        <w:ind w:firstLine="720"/>
      </w:pPr>
      <w:r>
        <w:t xml:space="preserve">Despite the differences in the goals of Israeli and Palestinian economic development initiatives, the commitment to economic development in general makes integrating more West Bank Palestinians into the Israeli labor force politically </w:t>
      </w:r>
      <w:r>
        <w:lastRenderedPageBreak/>
        <w:t>pragmatic. I</w:t>
      </w:r>
      <w:r w:rsidRPr="00AC5167">
        <w:t>n January 2016</w:t>
      </w:r>
      <w:r>
        <w:t>,</w:t>
      </w:r>
      <w:r w:rsidRPr="00AC5167">
        <w:t xml:space="preserve"> the Israeli security cab</w:t>
      </w:r>
      <w:r>
        <w:t>inet approved the</w:t>
      </w:r>
      <w:r w:rsidRPr="00AC5167">
        <w:t xml:space="preserve"> military</w:t>
      </w:r>
      <w:r>
        <w:t xml:space="preserve">’s request </w:t>
      </w:r>
      <w:r w:rsidRPr="00AC5167">
        <w:t>that 30,000 more Palestinia</w:t>
      </w:r>
      <w:r>
        <w:t>ns be allowed to work in Israel</w:t>
      </w:r>
      <w:r w:rsidRPr="00AC5167">
        <w:t>.</w:t>
      </w:r>
      <w:r w:rsidRPr="00AC5167">
        <w:rPr>
          <w:rStyle w:val="FootnoteReference"/>
          <w:b/>
        </w:rPr>
        <w:footnoteReference w:id="16"/>
      </w:r>
      <w:r>
        <w:t xml:space="preserve"> The logic behind this move is simple: a partial reduction of the closure regime in the West Bank should improve economic standards of living, and economic growth should “weaken the tendency towards violence and ensure Palestinian acceptance of the political status quo.”</w:t>
      </w:r>
      <w:r>
        <w:rPr>
          <w:rStyle w:val="FootnoteReference"/>
          <w:b/>
        </w:rPr>
        <w:footnoteReference w:id="17"/>
      </w:r>
      <w:r>
        <w:t xml:space="preserve"> In this way Netanyahu’s economic peace initiatives diverge</w:t>
      </w:r>
      <w:r w:rsidRPr="00AC5167">
        <w:t xml:space="preserve"> from traditiona</w:t>
      </w:r>
      <w:r>
        <w:t>l capitalist peace perspectives:</w:t>
      </w:r>
      <w:r w:rsidRPr="00AC5167">
        <w:t xml:space="preserve"> economic development is not perceived as a path to a peaceful politic</w:t>
      </w:r>
      <w:r>
        <w:t>al solution</w:t>
      </w:r>
      <w:r w:rsidRPr="00AC5167">
        <w:t xml:space="preserve"> but is rather seen as </w:t>
      </w:r>
      <w:r>
        <w:t>“a convenient substitute for the political process.”</w:t>
      </w:r>
      <w:r>
        <w:rPr>
          <w:rStyle w:val="FootnoteReference"/>
          <w:b/>
        </w:rPr>
        <w:footnoteReference w:id="18"/>
      </w:r>
      <w:r>
        <w:t xml:space="preserve"> The cyclical violence that has emerged in the twenty years after the Oslo Accords suggests that the influence of Palestinian political ideologies and Palestinian nationalistic aspirations are too strong to be subdued by economic development alone. Keeping this in mind, this work diverges from traditional capitalist peace perspectives; economic development is not considered a replacement for a political process as Netanyahu might hope, but economic development is seen as a way to reduce the level of violence in the conflict in the short term in the hopes that a more trusting political climate for negotiations may be formed when and if negotiations renew. </w:t>
      </w:r>
    </w:p>
    <w:p w14:paraId="1DC6A673" w14:textId="77777777" w:rsidR="00E975A6" w:rsidRDefault="00E975A6" w:rsidP="005B4AD8">
      <w:pPr>
        <w:ind w:firstLine="720"/>
      </w:pPr>
      <w:r w:rsidRPr="00AC5167">
        <w:t>This work is organized topically rather than chronologically, but efforts ar</w:t>
      </w:r>
      <w:r>
        <w:t>e made to execute analysis</w:t>
      </w:r>
      <w:r w:rsidRPr="00AC5167">
        <w:t xml:space="preserve"> as chronological</w:t>
      </w:r>
      <w:r>
        <w:t>ly</w:t>
      </w:r>
      <w:r w:rsidRPr="00AC5167">
        <w:t xml:space="preserve"> as possible. Following this introduction is a </w:t>
      </w:r>
      <w:r>
        <w:t xml:space="preserve">general </w:t>
      </w:r>
      <w:r w:rsidRPr="00AC5167">
        <w:t>literature review that focuses on the various studies that have analyzed the Israeli-Palestinian conflict</w:t>
      </w:r>
      <w:r>
        <w:t xml:space="preserve"> </w:t>
      </w:r>
      <w:r w:rsidRPr="00AC5167">
        <w:t xml:space="preserve">with particular emphasis on the Middle East Peace Process </w:t>
      </w:r>
      <w:r w:rsidRPr="00AC5167">
        <w:lastRenderedPageBreak/>
        <w:t>and Capitalist Peace theory.</w:t>
      </w:r>
      <w:r>
        <w:t xml:space="preserve"> At various points throughout the study more literature is examined when particular subjects need clarification.  </w:t>
      </w:r>
    </w:p>
    <w:p w14:paraId="68EC5886" w14:textId="721FF8D3" w:rsidR="00E975A6" w:rsidRDefault="00E975A6" w:rsidP="002146AD">
      <w:r>
        <w:t xml:space="preserve"> </w:t>
      </w:r>
      <w:r w:rsidR="005B4AD8">
        <w:tab/>
      </w:r>
      <w:r>
        <w:t>Chapter 1 is a historical analysis of the political and ideological influences that shaped Israeli-Palestinian economics.</w:t>
      </w:r>
      <w:r w:rsidRPr="00AC5167">
        <w:t xml:space="preserve"> Analy</w:t>
      </w:r>
      <w:r>
        <w:t>sis begins after the 1967 Six-</w:t>
      </w:r>
      <w:r w:rsidRPr="00AC5167">
        <w:t xml:space="preserve">Day War, where the question of a one-state or two-state solution became prominent and the Middle East Peace Process truly took shape. The focus of this section will be the economic relationship between Israel and the Palestinian territories, specifically the movement of goods and people. </w:t>
      </w:r>
      <w:r>
        <w:t xml:space="preserve">This section should make it clear that Israeli economic policies have contributed to stagnant economic growth in the Palestinian Territories post-1967 and have thereby contributed to the precipitation of Palestinian political violence. </w:t>
      </w:r>
      <w:r w:rsidRPr="00AC5167">
        <w:t>The following section will focus</w:t>
      </w:r>
      <w:r>
        <w:t xml:space="preserve"> on Israel’s unique security challenges, </w:t>
      </w:r>
      <w:r w:rsidRPr="00AC5167">
        <w:t xml:space="preserve">which have </w:t>
      </w:r>
      <w:r>
        <w:t>necessitated high Israeli defense spending and have contributed to creating a number of unique socio-economic challenges.</w:t>
      </w:r>
      <w:r w:rsidRPr="00AC5167">
        <w:t xml:space="preserve"> </w:t>
      </w:r>
    </w:p>
    <w:p w14:paraId="4E0D0936" w14:textId="77777777" w:rsidR="00E975A6" w:rsidRPr="00F129EF" w:rsidRDefault="00E975A6" w:rsidP="002146AD">
      <w:r>
        <w:tab/>
        <w:t xml:space="preserve">Chapter 2 argues that peace is an undeniably preferential outcome for Israelis and Palestinians, but the failure of the Oslo Accords and the erratic labor flows that followed has contributed to Palestinian violence. This chapter explains how the economic relationship between Israel and the Palestinian Territories changed as a result of the Oslo peace process. The enforcement of a strict Israeli permit system for Palestinian workers and the imposition of border closures during times of violence are the defining features that have contributed to erratic Palestinian labor flows since 1993. The end of this chapter examines the impact of border closures on Palestinian violence and serves as a transition into the econometric analysis found in Chapter 3. </w:t>
      </w:r>
    </w:p>
    <w:p w14:paraId="7694103A" w14:textId="272562A5" w:rsidR="004F1A94" w:rsidRPr="004F1A94" w:rsidRDefault="00E975A6" w:rsidP="005B4AD8">
      <w:pPr>
        <w:ind w:firstLine="720"/>
      </w:pPr>
      <w:r w:rsidRPr="008D46A4">
        <w:lastRenderedPageBreak/>
        <w:t xml:space="preserve">Chapter 3 features an agent-based dynamic equilibrium model that evaluates the impacts of integrating more West Bank Palestinians into the Israeli economy. This chapter argues that allowing more West Bank Palestinians to work in Israel would benefit both Israelis and Palestinians in the short term by bolstering Palestinian economic development, thereby reducing the short-term likelihood of widespread political violence. This argument— and the counterargument that allowing more Palestinians to work in Israel would result in more violence— is tested using an agent-based economic model. Such a policy would not constitute a sizable shift from current practices, but would in fact better embody the official approaches adopted by the Israeli government and the Palestinian Authority. </w:t>
      </w:r>
      <w:r>
        <w:t>The model</w:t>
      </w:r>
      <w:r w:rsidRPr="008D46A4">
        <w:t xml:space="preserve"> show</w:t>
      </w:r>
      <w:r>
        <w:t>s</w:t>
      </w:r>
      <w:r w:rsidRPr="008D46A4">
        <w:t xml:space="preserve"> that Israel should not impose border closures on Palestinians with work permits unless the rate of violence reaches 4.2 fatalities per day over a given period of time, and Israeli economic production will not be reduced by violence even if Israel doubles the number of West Bank Palestinians working in Israel to above 200,000.</w:t>
      </w:r>
      <w:r w:rsidR="002146AD">
        <w:br w:type="page"/>
      </w:r>
    </w:p>
    <w:p w14:paraId="293F8578" w14:textId="73FEF412" w:rsidR="00E975A6" w:rsidRDefault="00F533F3" w:rsidP="00E73FAF">
      <w:pPr>
        <w:pStyle w:val="Heading1"/>
      </w:pPr>
      <w:bookmarkStart w:id="8" w:name="_Toc324423945"/>
      <w:r>
        <w:lastRenderedPageBreak/>
        <w:t>Chapter 1:</w:t>
      </w:r>
      <w:r w:rsidR="00E975A6" w:rsidRPr="002146AD">
        <w:t xml:space="preserve"> Establishing a Cycle of Violence: Israel’s Economic and Political Relations with the Palestinian Territories (1967-1993)</w:t>
      </w:r>
      <w:bookmarkEnd w:id="8"/>
      <w:r w:rsidR="00E5392D" w:rsidRPr="008D46A4">
        <w:t xml:space="preserve"> </w:t>
      </w:r>
    </w:p>
    <w:p w14:paraId="4B0DD6E1" w14:textId="77777777" w:rsidR="005A707C" w:rsidRPr="005A707C" w:rsidRDefault="005A707C" w:rsidP="005A707C">
      <w:pPr>
        <w:spacing w:line="240" w:lineRule="auto"/>
      </w:pPr>
    </w:p>
    <w:p w14:paraId="328028A3" w14:textId="5B84BD6B" w:rsidR="005A707C" w:rsidRPr="005A707C" w:rsidRDefault="00DA18DD" w:rsidP="00882E52">
      <w:pPr>
        <w:pStyle w:val="Heading2"/>
      </w:pPr>
      <w:bookmarkStart w:id="9" w:name="_Toc324423946"/>
      <w:r w:rsidRPr="00C54F68">
        <w:t>1.1 Literature Review</w:t>
      </w:r>
      <w:bookmarkEnd w:id="9"/>
    </w:p>
    <w:p w14:paraId="6CF9495B" w14:textId="77777777" w:rsidR="005A707C" w:rsidRDefault="005A707C" w:rsidP="005A707C">
      <w:pPr>
        <w:spacing w:line="240" w:lineRule="auto"/>
      </w:pPr>
    </w:p>
    <w:p w14:paraId="0E63A3FD" w14:textId="77777777" w:rsidR="005A707C" w:rsidRDefault="005A707C" w:rsidP="005A707C">
      <w:pPr>
        <w:spacing w:line="240" w:lineRule="auto"/>
        <w:sectPr w:rsidR="005A707C" w:rsidSect="002146AD">
          <w:type w:val="continuous"/>
          <w:pgSz w:w="12240" w:h="15840"/>
          <w:pgMar w:top="1440" w:right="1440" w:bottom="1440" w:left="2304" w:header="720" w:footer="720" w:gutter="0"/>
          <w:cols w:space="720"/>
          <w:docGrid w:linePitch="360"/>
        </w:sectPr>
      </w:pPr>
    </w:p>
    <w:p w14:paraId="3D136737" w14:textId="619C05BE" w:rsidR="00E975A6" w:rsidRPr="00AC5167" w:rsidRDefault="00E975A6" w:rsidP="002146AD">
      <w:pPr>
        <w:ind w:firstLine="720"/>
      </w:pPr>
      <w:r w:rsidRPr="00AC5167">
        <w:lastRenderedPageBreak/>
        <w:t>The approach utilized to study international issues is often deeply reflective of the elements present in that particular issue, so it should come as no surprise that most studies on the Middle East Peace Process fit within the Realist school of international relations (IR) theory. Realism was developed primarily during the Cold War period and consequently reflects the fundamental set of assumptions that characterized foreign policy during that conflictual time: states operating in an environment of anarchy must proliferate security capabilities in order to minimize the security dilemma facing their country.</w:t>
      </w:r>
      <w:r w:rsidRPr="00AC5167">
        <w:rPr>
          <w:rStyle w:val="FootnoteReference"/>
        </w:rPr>
        <w:footnoteReference w:id="19"/>
      </w:r>
      <w:r w:rsidRPr="00AC5167">
        <w:t xml:space="preserve"> The perpetual implementation of various modes of warfare in this conflict lends credence to a Realist interpretation, but this approach is incomplete. To echo IR scholar Robert Keohane, Realist explanations are “better at telling us why we are in such trouble than how to get out of it,” or in this context, Realist explanations help to establish why Israelis and Palestinians have continued to fight but do little in terms of offering potential solutions.</w:t>
      </w:r>
      <w:r w:rsidRPr="00AC5167">
        <w:rPr>
          <w:rStyle w:val="FootnoteReference"/>
        </w:rPr>
        <w:footnoteReference w:id="20"/>
      </w:r>
    </w:p>
    <w:p w14:paraId="2C6B6FB7" w14:textId="77777777" w:rsidR="00E975A6" w:rsidRPr="00AC5167" w:rsidRDefault="00E975A6" w:rsidP="00E975A6">
      <w:pPr>
        <w:ind w:firstLine="720"/>
      </w:pPr>
      <w:r w:rsidRPr="00AC5167">
        <w:t xml:space="preserve">Many scholars who </w:t>
      </w:r>
      <w:r>
        <w:t>seek potential</w:t>
      </w:r>
      <w:r w:rsidRPr="00AC5167">
        <w:t xml:space="preserve"> solutions choose to focus on the actual negotiations that have occurred in this conflict, but these studies fail to create complete understandings of the impediments to peace. Studies that explain the intricacies of the negotiation processes in this conflict are part of a subset of Realist IR scholarship that </w:t>
      </w:r>
      <w:r w:rsidRPr="00AC5167">
        <w:lastRenderedPageBreak/>
        <w:t>tends to focus on game theory and other types of bargaining rationale.</w:t>
      </w:r>
      <w:r w:rsidRPr="00AC5167">
        <w:rPr>
          <w:rStyle w:val="FootnoteReference"/>
        </w:rPr>
        <w:footnoteReference w:id="21"/>
      </w:r>
      <w:r w:rsidRPr="00AC5167">
        <w:t xml:space="preserve"> These studies tend to rely on Realist assumptions, which are useful because it allows observers of the Israeli-Palestinian conflict to interpret particular events according to established frameworks. While this can be useful, this approach does not focus exclusively on the unique set of factors that have characterized this particular conflict and therefore creates generalized analysis that lacks contextual nuance. In an attempt to create more nuanced and more focused studies of Israeli-Palestinian peace negotiations, many scholars have chosen to evaluate the influence that particular agents have had on the Peace Process.</w:t>
      </w:r>
      <w:r w:rsidRPr="00AC5167">
        <w:rPr>
          <w:rStyle w:val="FootnoteReference"/>
        </w:rPr>
        <w:footnoteReference w:id="22"/>
      </w:r>
      <w:r w:rsidRPr="00AC5167">
        <w:t xml:space="preserve"> These studies usually include evaluations of the Israeli and Palestinian leaders engaged in negotiation, though some focus more on the efficacy of the United States (and U.S. leaders) as a mediator.</w:t>
      </w:r>
      <w:r w:rsidRPr="00AC5167">
        <w:rPr>
          <w:rStyle w:val="FootnoteReference"/>
        </w:rPr>
        <w:footnoteReference w:id="23"/>
      </w:r>
      <w:r>
        <w:t xml:space="preserve"> T</w:t>
      </w:r>
      <w:r w:rsidRPr="00AC5167">
        <w:t>hese evaluations</w:t>
      </w:r>
      <w:r>
        <w:t xml:space="preserve"> </w:t>
      </w:r>
      <w:r w:rsidRPr="00AC5167">
        <w:t>do not sufficiently explain why parti</w:t>
      </w:r>
      <w:r>
        <w:t>cular issues are so contentious, but they do</w:t>
      </w:r>
      <w:r w:rsidRPr="00AC5167">
        <w:t xml:space="preserve"> offer a clear look at the intrica</w:t>
      </w:r>
      <w:r>
        <w:t>cies of the bargaining process.</w:t>
      </w:r>
    </w:p>
    <w:p w14:paraId="30A984F1" w14:textId="77777777" w:rsidR="00E975A6" w:rsidRPr="00AC5167" w:rsidRDefault="00E975A6" w:rsidP="00E975A6">
      <w:pPr>
        <w:ind w:firstLine="720"/>
      </w:pPr>
      <w:r w:rsidRPr="00AC5167">
        <w:t xml:space="preserve"> All of the previously mentioned studies add to the understanding of the Arab-Israeli conflict, but they do not aptly evaluate the nexus between politics, economics, and violence and therefore offer little in terms of potential solutions. This has prompted some scholars to focus on Capitalist Peace theories, which is a subset of Liberal IR </w:t>
      </w:r>
      <w:r w:rsidRPr="00AC5167">
        <w:lastRenderedPageBreak/>
        <w:t>scholarship that is closely related to Democratic Peace theories. Early theorists like Montesquieu, Bastiat, and Mill propounded ideas similar to the Capitalist Peace theory, but these ideas lost traction in the wake of two World Wars and throughout the Realist-dominated Cold War era.</w:t>
      </w:r>
      <w:r w:rsidRPr="00AC5167">
        <w:rPr>
          <w:rStyle w:val="FootnoteReference"/>
        </w:rPr>
        <w:footnoteReference w:id="24"/>
      </w:r>
      <w:r w:rsidRPr="00AC5167">
        <w:t xml:space="preserve"> Capitalist Peace remained alive through U.S. foreign policy strategies such as foreign aid and trade liberalization, but Capitalist Peace theories were not popularized until the post-Cold War era through the work of Erik Gartzke and others.</w:t>
      </w:r>
      <w:r w:rsidRPr="00AC5167">
        <w:rPr>
          <w:rStyle w:val="FootnoteReference"/>
        </w:rPr>
        <w:footnoteReference w:id="25"/>
      </w:r>
      <w:r w:rsidRPr="00AC5167">
        <w:t xml:space="preserve"> This study features a more simplistic conception of the Capitalist Peace theory, namely the assumption that economic development reduces the likelihood of </w:t>
      </w:r>
      <w:r>
        <w:t xml:space="preserve">violent </w:t>
      </w:r>
      <w:r w:rsidRPr="00AC5167">
        <w:t xml:space="preserve">conflict, but the Realist tendencies of this conflict are too pervasive to hope that economic development is enough to bring about peace independently. This prompts a closer look at the economic relationship between Israel and the Palestinian Territories, which reveals that labor economics among West Bank Palestinians is the most relevant for an evaluation influenced by Capitalist Peace theories. </w:t>
      </w:r>
      <w:r>
        <w:t>The politics and economics of the West Bank and the Gaza Strip are distinctly separate; the West Bank is much more integrated with Israel and is generally perceived as less radical politically, so West Bank Palestinians are the only laborers relevant to the analysis found in Chapter 3.</w:t>
      </w:r>
    </w:p>
    <w:p w14:paraId="725DD3A3" w14:textId="77777777" w:rsidR="00E975A6" w:rsidRPr="00AC5167" w:rsidRDefault="00E975A6" w:rsidP="00E975A6">
      <w:pPr>
        <w:ind w:firstLine="720"/>
      </w:pPr>
      <w:r w:rsidRPr="00AC5167">
        <w:t>Studies on the Israeli and Palestinian economies relate to a larger field of work that evaluates the economic costs of political conflict, which has been a subject of interest to economists for quite some time. Scholars have established that conflict negatively impacts economic development,</w:t>
      </w:r>
      <w:r w:rsidRPr="00AC5167">
        <w:rPr>
          <w:rStyle w:val="FootnoteReference"/>
        </w:rPr>
        <w:footnoteReference w:id="26"/>
      </w:r>
      <w:r w:rsidRPr="00AC5167">
        <w:t xml:space="preserve"> but the strand of literature concerning the </w:t>
      </w:r>
      <w:r w:rsidRPr="00AC5167">
        <w:lastRenderedPageBreak/>
        <w:t>relationship between economic conditions and violence has not been as conclusive. These studies hypothesize that poor economic conditions lower the opportunity cost of involvement in political violence,</w:t>
      </w:r>
      <w:r w:rsidRPr="00AC5167">
        <w:rPr>
          <w:rStyle w:val="FootnoteReference"/>
        </w:rPr>
        <w:t xml:space="preserve"> </w:t>
      </w:r>
      <w:r w:rsidRPr="00AC5167">
        <w:t>which thereby makes it easier to motivate participation in political violence among frustrated citizens who see no alternative path towards change.</w:t>
      </w:r>
      <w:r w:rsidRPr="00AC5167">
        <w:rPr>
          <w:rStyle w:val="FootnoteReference"/>
        </w:rPr>
        <w:footnoteReference w:id="27"/>
      </w:r>
      <w:r w:rsidRPr="00AC5167">
        <w:t xml:space="preserve"> Empirical studies have found that better economic conditions are associated with less violence,</w:t>
      </w:r>
      <w:r w:rsidRPr="00AC5167">
        <w:rPr>
          <w:rStyle w:val="FootnoteReference"/>
        </w:rPr>
        <w:footnoteReference w:id="28"/>
      </w:r>
      <w:r w:rsidRPr="00AC5167">
        <w:t xml:space="preserve"> the same level of violence,</w:t>
      </w:r>
      <w:r w:rsidRPr="00AC5167">
        <w:rPr>
          <w:rStyle w:val="FootnoteReference"/>
        </w:rPr>
        <w:footnoteReference w:id="29"/>
      </w:r>
      <w:r w:rsidRPr="00AC5167">
        <w:t xml:space="preserve"> and even more violence</w:t>
      </w:r>
      <w:r w:rsidRPr="00AC5167">
        <w:rPr>
          <w:rStyle w:val="FootnoteReference"/>
        </w:rPr>
        <w:footnoteReference w:id="30"/>
      </w:r>
      <w:r w:rsidRPr="00AC5167">
        <w:t xml:space="preserve"> than is observed in poorly developed areas. As a result, many scholars still debate whether violence is the creator or product of political ineptitude and economic stagnation. This debate has not been settled and for good reason: conflict is perpetuated by the nexus between violence, political ineptitude, and economic stagnation, with each part exerting different degrees of influence in different contexts. </w:t>
      </w:r>
      <w:r>
        <w:t>In the Palestinian context, economic development exacerbates violence by agitating hostile political attitudes.</w:t>
      </w:r>
    </w:p>
    <w:p w14:paraId="148CF600" w14:textId="078E355D" w:rsidR="00E975A6" w:rsidRPr="00423954" w:rsidRDefault="00E975A6" w:rsidP="00E975A6">
      <w:pPr>
        <w:ind w:firstLine="720"/>
        <w:rPr>
          <w:i/>
        </w:rPr>
      </w:pPr>
      <w:r w:rsidRPr="00AC5167">
        <w:t xml:space="preserve">Studies have shown that violence in the Palestinian context is epiphenomenal, which has important implications for peaceful conflict resolution. Several previous studies have linked poor economic conditions in the Palestinian territories to increased </w:t>
      </w:r>
      <w:r w:rsidRPr="00AC5167">
        <w:lastRenderedPageBreak/>
        <w:t>Palestinian involvement in the conflict with Israel.</w:t>
      </w:r>
      <w:r w:rsidRPr="00AC5167">
        <w:rPr>
          <w:rStyle w:val="FootnoteReference"/>
        </w:rPr>
        <w:footnoteReference w:id="31"/>
      </w:r>
      <w:r w:rsidRPr="00AC5167">
        <w:t xml:space="preserve"> It has been clearly established that Israel’s labor restrictive policies harm economic conditions in the Palestinian territories, but the narrow focus that is required to convincingly prove that these policies have a causal effect has resulted in scholars neglecting the implications this has for the conflict more broadly. This study will be unique in the way that it relates the observed effects of Israel’s labor restrictive policies to the prospects for peaceful conflict resolution moving forward. This is particularly important given the prevalence of policies that focus on Palestinian economic development in recent years. The beginning point fo</w:t>
      </w:r>
      <w:r>
        <w:t>r this analysis is the 1967 Six-Day War and the economic policies that followed Israeli control of the West Bank and the Gaza Strip.</w:t>
      </w:r>
      <w:r w:rsidR="00DA18DD">
        <w:t xml:space="preserve"> </w:t>
      </w:r>
    </w:p>
    <w:p w14:paraId="2179DD82" w14:textId="77777777" w:rsidR="00713252" w:rsidRDefault="00713252" w:rsidP="004F1A94">
      <w:pPr>
        <w:spacing w:line="240" w:lineRule="auto"/>
        <w:jc w:val="center"/>
        <w:rPr>
          <w:b/>
        </w:rPr>
        <w:sectPr w:rsidR="00713252" w:rsidSect="002146AD">
          <w:type w:val="continuous"/>
          <w:pgSz w:w="12240" w:h="15840"/>
          <w:pgMar w:top="1440" w:right="1440" w:bottom="1440" w:left="2304" w:header="720" w:footer="720" w:gutter="0"/>
          <w:cols w:space="720"/>
          <w:docGrid w:linePitch="360"/>
        </w:sectPr>
      </w:pPr>
    </w:p>
    <w:p w14:paraId="7EC6131F" w14:textId="5D9B14CD" w:rsidR="00E975A6" w:rsidRDefault="00E975A6" w:rsidP="00882E52">
      <w:pPr>
        <w:pStyle w:val="Heading2"/>
      </w:pPr>
      <w:bookmarkStart w:id="10" w:name="_Toc324423947"/>
      <w:r>
        <w:lastRenderedPageBreak/>
        <w:t>1.2 Israel’s Economic Management of the Palestinian Territories: 1967-1993</w:t>
      </w:r>
      <w:bookmarkEnd w:id="10"/>
    </w:p>
    <w:p w14:paraId="0FD88426" w14:textId="77777777" w:rsidR="00E975A6" w:rsidRPr="00175AFB" w:rsidRDefault="00E975A6" w:rsidP="00E975A6">
      <w:pPr>
        <w:spacing w:line="240" w:lineRule="auto"/>
        <w:jc w:val="center"/>
        <w:rPr>
          <w:b/>
        </w:rPr>
      </w:pPr>
    </w:p>
    <w:p w14:paraId="61CE9730" w14:textId="77777777" w:rsidR="00713252" w:rsidRDefault="00713252" w:rsidP="00E975A6">
      <w:pPr>
        <w:widowControl w:val="0"/>
        <w:autoSpaceDE w:val="0"/>
        <w:autoSpaceDN w:val="0"/>
        <w:adjustRightInd w:val="0"/>
        <w:ind w:firstLine="720"/>
        <w:sectPr w:rsidR="00713252" w:rsidSect="00713252">
          <w:type w:val="continuous"/>
          <w:pgSz w:w="12240" w:h="15840"/>
          <w:pgMar w:top="1440" w:right="1440" w:bottom="1440" w:left="2304" w:header="720" w:footer="720" w:gutter="0"/>
          <w:cols w:space="720"/>
          <w:docGrid w:linePitch="360"/>
        </w:sectPr>
      </w:pPr>
    </w:p>
    <w:p w14:paraId="00527143" w14:textId="5B338051" w:rsidR="00E975A6" w:rsidRPr="00DF284E" w:rsidRDefault="00E975A6" w:rsidP="00E975A6">
      <w:pPr>
        <w:widowControl w:val="0"/>
        <w:autoSpaceDE w:val="0"/>
        <w:autoSpaceDN w:val="0"/>
        <w:adjustRightInd w:val="0"/>
        <w:ind w:firstLine="720"/>
      </w:pPr>
      <w:r w:rsidRPr="00DF284E">
        <w:lastRenderedPageBreak/>
        <w:t>The economic dynamics between Israel and the Palestinian Territories were estab</w:t>
      </w:r>
      <w:r>
        <w:t>lished by the same event that complicated</w:t>
      </w:r>
      <w:r w:rsidRPr="00DF284E">
        <w:t xml:space="preserve"> the</w:t>
      </w:r>
      <w:r>
        <w:t xml:space="preserve"> pre-existing</w:t>
      </w:r>
      <w:r w:rsidRPr="00DF284E">
        <w:t xml:space="preserve"> one-state versus two-state dilemma: the 1967 Six-Day War.</w:t>
      </w:r>
      <w:r>
        <w:t xml:space="preserve"> </w:t>
      </w:r>
      <w:r w:rsidRPr="00DF284E">
        <w:t>While there were doubts about Israel’s ability to maintain control of the Palestinian territories, Israeli policymakers were more concerned with the implications of doing so.</w:t>
      </w:r>
      <w:r w:rsidRPr="00DF284E">
        <w:rPr>
          <w:rStyle w:val="FootnoteReference"/>
        </w:rPr>
        <w:footnoteReference w:id="32"/>
      </w:r>
      <w:r w:rsidRPr="00DF284E">
        <w:t xml:space="preserve"> Fully erasing the pre-1967 borders meant forming one geopolitical unit, thereby creating a new reality in which Palestinians were firmly within Israel’s political and economic sphere of responsibility. Conversely, allowing the pre-1967 borders to persist may have led to the establishment of two distinctly separate economic and political units within the narrow strip of land between the Jordan River and the Mediterranean Coast.</w:t>
      </w:r>
      <w:r w:rsidRPr="00DF284E">
        <w:rPr>
          <w:rStyle w:val="FootnoteReference"/>
        </w:rPr>
        <w:footnoteReference w:id="33"/>
      </w:r>
      <w:r w:rsidRPr="00DF284E">
        <w:t xml:space="preserve"> Both integration and separation threatened to undermine the strategic interests of Israel. This dilemma exposed the fundamental tensions between Israel’s Jewish religious influences and its democratic governance model.</w:t>
      </w:r>
      <w:r w:rsidRPr="00DF284E">
        <w:rPr>
          <w:rStyle w:val="FootnoteReference"/>
        </w:rPr>
        <w:footnoteReference w:id="34"/>
      </w:r>
      <w:r w:rsidRPr="00DF284E">
        <w:t xml:space="preserve"> The unusual economic relationship that emerged between Israel and the Palestinian Territories post-1967 has reflected the one-state or two-state dilemma that has persisted henceforth, and the economic policies that were implemented in the Palestinian Territories after 1967 were designed to serve Israeli political, military, and economic interests.</w:t>
      </w:r>
      <w:r w:rsidRPr="00DF284E">
        <w:rPr>
          <w:rStyle w:val="FootnoteReference"/>
        </w:rPr>
        <w:footnoteReference w:id="35"/>
      </w:r>
      <w:r w:rsidRPr="00DF284E">
        <w:t xml:space="preserve"> Unfortunately, Israel’s economic policies towards the Palestinians have more or less determined economic development within the West Bank and Gaza, and consequentially, the lack of economic development in the </w:t>
      </w:r>
      <w:r w:rsidRPr="00DF284E">
        <w:lastRenderedPageBreak/>
        <w:t xml:space="preserve">Territories has exacerbated political violence by compounding the feelings of relative deprivation that stoke the flames of sociopolitical unrest.  </w:t>
      </w:r>
    </w:p>
    <w:p w14:paraId="75CFC771" w14:textId="77777777" w:rsidR="00E975A6" w:rsidRPr="00DF284E" w:rsidRDefault="00E975A6" w:rsidP="00E975A6">
      <w:pPr>
        <w:widowControl w:val="0"/>
        <w:autoSpaceDE w:val="0"/>
        <w:autoSpaceDN w:val="0"/>
        <w:adjustRightInd w:val="0"/>
        <w:ind w:firstLine="720"/>
      </w:pPr>
      <w:r>
        <w:t>Even though the literature concerning the relationship between economics and violence is not conclusive, e</w:t>
      </w:r>
      <w:r w:rsidRPr="00DF284E">
        <w:t>conomists have consistently linked economic conditions to political viol</w:t>
      </w:r>
      <w:r>
        <w:t>ence in</w:t>
      </w:r>
      <w:r w:rsidRPr="00DF284E">
        <w:t xml:space="preserve"> empirical studies. As far back as 1973</w:t>
      </w:r>
      <w:r>
        <w:t>, Manoucher</w:t>
      </w:r>
      <w:r w:rsidRPr="00DF284E">
        <w:t xml:space="preserve"> Parvin noted the importance of economic factors as the “main explanatory variable of political violence.”</w:t>
      </w:r>
      <w:r w:rsidRPr="00DF284E">
        <w:rPr>
          <w:rStyle w:val="FootnoteReference"/>
        </w:rPr>
        <w:footnoteReference w:id="36"/>
      </w:r>
      <w:r w:rsidRPr="00DF284E">
        <w:t xml:space="preserve"> The results of his study indicated that income inequality, gross national product, and the growth rate of the economy could explain a significant percentage of variations in the level of political unrest in the 26 countries he analyzed. Other cross-country studies have found similar evidence. Nafziger and Auvinen found that their measures of conflict were inversely related to real GDP growth, GNP per capita, food output growth, and IMF funding.</w:t>
      </w:r>
      <w:r w:rsidRPr="00DF284E">
        <w:rPr>
          <w:rStyle w:val="FootnoteReference"/>
        </w:rPr>
        <w:footnoteReference w:id="37"/>
      </w:r>
      <w:r w:rsidRPr="00DF284E">
        <w:t xml:space="preserve"> In 2001</w:t>
      </w:r>
      <w:r>
        <w:t>,</w:t>
      </w:r>
      <w:r w:rsidRPr="00DF284E">
        <w:t xml:space="preserve"> Fearon and Laitin sought to include the influences of ethnic nationalism in their analysis of the determinants of civil wars. They found that the factors that explain which countries have been prone to experience civil war “were not their ethnic or religious characteristics” but rather “the conditions that favor insurgency.” The conditions they identified as favoring insurgency included “poverty and slow growth,” which in their findings “favor rebel recruitment and mark financially and bureaucratically weak states.”</w:t>
      </w:r>
      <w:r w:rsidRPr="00DF284E">
        <w:rPr>
          <w:rStyle w:val="FootnoteReference"/>
        </w:rPr>
        <w:footnoteReference w:id="38"/>
      </w:r>
      <w:r>
        <w:t xml:space="preserve"> These </w:t>
      </w:r>
      <w:r w:rsidRPr="00DF284E">
        <w:t>conditions</w:t>
      </w:r>
      <w:r>
        <w:t xml:space="preserve"> have</w:t>
      </w:r>
      <w:r w:rsidRPr="00DF284E">
        <w:t xml:space="preserve"> certainly characterize</w:t>
      </w:r>
      <w:r>
        <w:t>d</w:t>
      </w:r>
      <w:r w:rsidRPr="00DF284E">
        <w:t xml:space="preserve"> the Palestinian econ</w:t>
      </w:r>
      <w:r>
        <w:t xml:space="preserve">omies, which lend credence to the assertion that poor economic conditions can exacerbate political violence in some instances. </w:t>
      </w:r>
      <w:r w:rsidRPr="00DF284E">
        <w:t xml:space="preserve">The </w:t>
      </w:r>
      <w:r w:rsidRPr="00DF284E">
        <w:lastRenderedPageBreak/>
        <w:t>connection between violence and poor economic conditions is robust across a number of different empirical methods of analysis, but economics should not be seen as the only explanatory factor contributing to violent conflict.</w:t>
      </w:r>
      <w:r>
        <w:t xml:space="preserve"> There are certainly countries that exhibit “the conditions that favor insurgency” but experience less violence than would be expected.</w:t>
      </w:r>
      <w:r>
        <w:rPr>
          <w:rStyle w:val="FootnoteReference"/>
        </w:rPr>
        <w:footnoteReference w:id="39"/>
      </w:r>
      <w:r>
        <w:t xml:space="preserve"> </w:t>
      </w:r>
      <w:r w:rsidRPr="00DF284E">
        <w:t xml:space="preserve">However important economic determinants may be, both political and economic factors must be included in any analysis of the determinants </w:t>
      </w:r>
      <w:r>
        <w:t xml:space="preserve">of violence lest exceptions or extraordinary adherents to the rule become inexplicable. </w:t>
      </w:r>
    </w:p>
    <w:p w14:paraId="3F232B6B" w14:textId="77777777" w:rsidR="00E975A6" w:rsidRDefault="00E975A6" w:rsidP="00E975A6">
      <w:pPr>
        <w:widowControl w:val="0"/>
        <w:autoSpaceDE w:val="0"/>
        <w:autoSpaceDN w:val="0"/>
        <w:adjustRightInd w:val="0"/>
        <w:ind w:firstLine="720"/>
      </w:pPr>
      <w:r>
        <w:t>P</w:t>
      </w:r>
      <w:r w:rsidRPr="00DF284E">
        <w:t>oor economic conditions have contributed to violence by exacerbating political tensions</w:t>
      </w:r>
      <w:r>
        <w:t xml:space="preserve"> between Palestinians and between Palestinians and Israelis</w:t>
      </w:r>
      <w:r w:rsidRPr="00DF284E">
        <w:t>. In the period following the First and Second Intifada numerous studies have found that poor economic conditions explain periods of intense violence with a high degree of statistical significance, but these studies also note that economic conditions are not the sole determinants of political violence in the West Bank and the Gaza Strip.</w:t>
      </w:r>
      <w:r w:rsidRPr="00DF284E">
        <w:rPr>
          <w:rStyle w:val="FootnoteReference"/>
        </w:rPr>
        <w:footnoteReference w:id="40"/>
      </w:r>
      <w:r w:rsidRPr="00DF284E">
        <w:t xml:space="preserve"> Some of these studies note that perpetrators of violence do not</w:t>
      </w:r>
      <w:r>
        <w:t xml:space="preserve"> always</w:t>
      </w:r>
      <w:r w:rsidRPr="00DF284E">
        <w:t xml:space="preserve"> have poor backgrounds</w:t>
      </w:r>
      <w:r>
        <w:t>,</w:t>
      </w:r>
      <w:r w:rsidRPr="00DF284E">
        <w:t xml:space="preserve"> and in some cases</w:t>
      </w:r>
      <w:r>
        <w:t>,</w:t>
      </w:r>
      <w:r w:rsidRPr="00DF284E">
        <w:t xml:space="preserve"> relatively wealthy individuals have engaged in violent activities. Th</w:t>
      </w:r>
      <w:r>
        <w:t>ese cases can</w:t>
      </w:r>
      <w:r w:rsidRPr="00DF284E">
        <w:t xml:space="preserve"> be explained by political factors, such as the influence of Palestinian nationalism. The 1967 Six-Day War d</w:t>
      </w:r>
      <w:r>
        <w:t>ealt a blow to the support for secular nationalist and Arab s</w:t>
      </w:r>
      <w:r w:rsidRPr="00DF284E">
        <w:t xml:space="preserve">ocialist regimes throughout the Middle East, and as a result, the influence of Islamist ideology transformed the Palestinian political landscape by wedding </w:t>
      </w:r>
      <w:r w:rsidRPr="00DF284E">
        <w:lastRenderedPageBreak/>
        <w:t>Palestinian patriotism and Islamic revolutionary ideology.</w:t>
      </w:r>
      <w:r w:rsidRPr="00DF284E">
        <w:rPr>
          <w:rStyle w:val="FootnoteReference"/>
        </w:rPr>
        <w:footnoteReference w:id="41"/>
      </w:r>
      <w:r w:rsidRPr="00DF284E">
        <w:t xml:space="preserve"> Thi</w:t>
      </w:r>
      <w:r>
        <w:t xml:space="preserve">s process resulted in the strengthening of support for </w:t>
      </w:r>
      <w:r w:rsidRPr="00DF284E">
        <w:t>the PLO, Islamic Jihad, and eventually</w:t>
      </w:r>
      <w:r>
        <w:t xml:space="preserve"> the foundation of</w:t>
      </w:r>
      <w:r w:rsidRPr="00DF284E">
        <w:t xml:space="preserve"> Hamas. These Islamist nationalist movements have attracted varying degrees of support from a wide range of economic backgrounds, but this does not undermine the connection between economics and violence. </w:t>
      </w:r>
    </w:p>
    <w:p w14:paraId="4345895A" w14:textId="1B1B8B7E" w:rsidR="00E975A6" w:rsidRPr="00DF284E" w:rsidRDefault="00E975A6" w:rsidP="00E975A6">
      <w:pPr>
        <w:widowControl w:val="0"/>
        <w:autoSpaceDE w:val="0"/>
        <w:autoSpaceDN w:val="0"/>
        <w:adjustRightInd w:val="0"/>
        <w:ind w:firstLine="720"/>
      </w:pPr>
      <w:r w:rsidRPr="00DF284E">
        <w:t xml:space="preserve">In </w:t>
      </w:r>
      <w:r w:rsidR="00DA1C04">
        <w:t xml:space="preserve">his 1990 study that </w:t>
      </w:r>
      <w:r w:rsidRPr="00DF284E">
        <w:t>compared the First Intifada with</w:t>
      </w:r>
      <w:r w:rsidR="00DA1C04">
        <w:t xml:space="preserve"> the Arab Revolt of 1936, Stein</w:t>
      </w:r>
      <w:r w:rsidRPr="00DF284E">
        <w:t xml:space="preserve"> found that there was growing political frustration among Palestinian citizens in the period prior to both of these violent revolts. Crucially, Stein noted that in both cases this political frustration was fueled by “economic hardship” that was  “borne of unemployment and underemployment, the drying up of traditional sources of capital import, and dramatic price drops, particularly in agriculture.”</w:t>
      </w:r>
      <w:r w:rsidRPr="00DF284E">
        <w:rPr>
          <w:rStyle w:val="FootnoteReference"/>
        </w:rPr>
        <w:footnoteReference w:id="42"/>
      </w:r>
      <w:r w:rsidRPr="00DF284E">
        <w:t xml:space="preserve"> Stein notes that the poor economic conditions in both of these periods exposed intra-Palestinian dis</w:t>
      </w:r>
      <w:r>
        <w:t>putes over the best path towards sovereignty</w:t>
      </w:r>
      <w:r w:rsidRPr="00DF284E">
        <w:t xml:space="preserve"> and prevented the widespread coordination that may have made non-violent or violent revolt more effective in achieving their purposes. His comparison shows that Palestinian revolt has been cyclical and has always been influenced by economic factors to some extent. Stein’s analysis also shows that economic determinants are important, but the connection between economics and violence should</w:t>
      </w:r>
      <w:r>
        <w:t xml:space="preserve"> no</w:t>
      </w:r>
      <w:r w:rsidRPr="00DF284E">
        <w:t>t be interpreted erroneously. Improving economic conditions will not eliminate violence in the Israeli-Palestinian conflict altogether, but it will reduce it.</w:t>
      </w:r>
      <w:r w:rsidRPr="00DF284E">
        <w:rPr>
          <w:rStyle w:val="FootnoteReference"/>
        </w:rPr>
        <w:footnoteReference w:id="43"/>
      </w:r>
      <w:r w:rsidRPr="00DF284E">
        <w:t xml:space="preserve"> In order to understand how economic development may quell political violence, it is important to understand how the economic relationship between Israel and the </w:t>
      </w:r>
      <w:r w:rsidRPr="00DF284E">
        <w:lastRenderedPageBreak/>
        <w:t xml:space="preserve">Palestinian Territories developed after the 1967 Six-Day War. </w:t>
      </w:r>
    </w:p>
    <w:p w14:paraId="5DB32799" w14:textId="77777777" w:rsidR="00E975A6" w:rsidRPr="00DF284E" w:rsidRDefault="00E975A6" w:rsidP="00E975A6">
      <w:pPr>
        <w:widowControl w:val="0"/>
        <w:autoSpaceDE w:val="0"/>
        <w:autoSpaceDN w:val="0"/>
        <w:adjustRightInd w:val="0"/>
        <w:ind w:firstLine="720"/>
      </w:pPr>
      <w:r w:rsidRPr="00DF284E">
        <w:t>Labor flows and bilateral trade were at the core of Israeli economic decision-making directly following the Six-Day War, primarily because Israeli leaders recognized that these two elements would determine the welfare of the Palestinian people.</w:t>
      </w:r>
      <w:r w:rsidRPr="00DF284E">
        <w:rPr>
          <w:rStyle w:val="FootnoteReference"/>
        </w:rPr>
        <w:footnoteReference w:id="44"/>
      </w:r>
      <w:r w:rsidRPr="00DF284E">
        <w:t xml:space="preserve"> Prior to 1967, Egypt and Jordan administrated Gaza and the West Bank; Israeli leaders recognized that separating the Palestinian Territories from Egypt, Jordan, and Israel after 1967 would have led to a rapid deterioration of living standards, which was unacceptable to both the Israeli government and military.</w:t>
      </w:r>
      <w:r w:rsidRPr="00DF284E">
        <w:rPr>
          <w:rStyle w:val="FootnoteReference"/>
        </w:rPr>
        <w:footnoteReference w:id="45"/>
      </w:r>
      <w:r>
        <w:t xml:space="preserve"> This understanding—</w:t>
      </w:r>
      <w:r w:rsidRPr="00DF284E">
        <w:t xml:space="preserve"> that movement of either labor or goods had to be allowed between Israel a</w:t>
      </w:r>
      <w:r>
        <w:t>nd the Palestinian Territories —</w:t>
      </w:r>
      <w:r w:rsidRPr="00DF284E">
        <w:t xml:space="preserve">formed the foundations for the economic structure that emerged from Israeli debates following the Six-Day War. </w:t>
      </w:r>
    </w:p>
    <w:p w14:paraId="3D02F39F" w14:textId="77777777" w:rsidR="00E975A6" w:rsidRPr="00DF284E" w:rsidRDefault="00E975A6" w:rsidP="00E975A6">
      <w:pPr>
        <w:widowControl w:val="0"/>
        <w:autoSpaceDE w:val="0"/>
        <w:autoSpaceDN w:val="0"/>
        <w:adjustRightInd w:val="0"/>
        <w:ind w:firstLine="720"/>
      </w:pPr>
      <w:r>
        <w:t>D</w:t>
      </w:r>
      <w:r w:rsidRPr="00DF284E">
        <w:t>irectly after the Six-</w:t>
      </w:r>
      <w:r>
        <w:t>Day W</w:t>
      </w:r>
      <w:r w:rsidRPr="00DF284E">
        <w:t>ar</w:t>
      </w:r>
      <w:r>
        <w:t>,</w:t>
      </w:r>
      <w:r w:rsidRPr="00DF284E">
        <w:t xml:space="preserve"> </w:t>
      </w:r>
      <w:r>
        <w:t>d</w:t>
      </w:r>
      <w:r w:rsidRPr="00DF284E">
        <w:t xml:space="preserve">isagreements </w:t>
      </w:r>
      <w:r>
        <w:t xml:space="preserve">over </w:t>
      </w:r>
      <w:r w:rsidRPr="00DF284E">
        <w:t>the ideal level of integration slowed the development of a stable economic relationship between Israel and the Palestinian Territor</w:t>
      </w:r>
      <w:r>
        <w:t xml:space="preserve">ies. </w:t>
      </w:r>
      <w:r w:rsidRPr="00DF284E">
        <w:t>The unofficial leader of the integration camp was Israeli Defense Minister Moshe Dayan. Dayan’s policy was “to award the Palestinians individual subsistence without national dignity,” according to a former colleague.</w:t>
      </w:r>
      <w:r w:rsidRPr="00DF284E">
        <w:rPr>
          <w:rStyle w:val="FootnoteReference"/>
        </w:rPr>
        <w:footnoteReference w:id="46"/>
      </w:r>
      <w:r w:rsidRPr="00DF284E">
        <w:t xml:space="preserve"> Dayan argued that integrating Israel and the Palestinian Territories would produce a higher standard of living for Palestinians, which would bolster Israel’s security as economic development stymied Palestinian discontent and political aspirations.</w:t>
      </w:r>
      <w:r w:rsidRPr="00DF284E">
        <w:rPr>
          <w:rStyle w:val="FootnoteReference"/>
        </w:rPr>
        <w:footnoteReference w:id="47"/>
      </w:r>
      <w:r w:rsidRPr="00DF284E">
        <w:t xml:space="preserve"> </w:t>
      </w:r>
      <w:r>
        <w:t>Dayan’s view-</w:t>
      </w:r>
      <w:r w:rsidRPr="00DF284E">
        <w:t>that economic d</w:t>
      </w:r>
      <w:r>
        <w:t>evelopment will stem discontent-</w:t>
      </w:r>
      <w:r w:rsidRPr="00DF284E">
        <w:t xml:space="preserve">has been the dominant view by Israeli policymakers </w:t>
      </w:r>
      <w:r w:rsidRPr="00DF284E">
        <w:lastRenderedPageBreak/>
        <w:t>ever since, but Israeli policy has failed to consider the complexity of Palestinian politics and has therefore wrongly assumed that development would quell nationalistic aspirations altogether. The level of integration that Dayan propagated never materialized due to the influences of the anti-integration camp. Opponents of integration had two primary concerns: first, they worried that competition from Palestinian industries might be a threat to the Israeli economy, and second, they worried that integration of Palestinian labor would result in Israelis losing jobs. However, these concerns stemmed from the condition of the Israeli economy directly preceding the 1967 war (during a sharp recession in 1966 Israeli unemployment reached a record-high 10%).</w:t>
      </w:r>
      <w:r w:rsidRPr="00DF284E">
        <w:rPr>
          <w:rStyle w:val="FootnoteReference"/>
        </w:rPr>
        <w:footnoteReference w:id="48"/>
      </w:r>
      <w:r w:rsidRPr="00DF284E">
        <w:t xml:space="preserve"> By 1969</w:t>
      </w:r>
      <w:r>
        <w:t>,</w:t>
      </w:r>
      <w:r w:rsidRPr="00DF284E">
        <w:t xml:space="preserve"> Israeli economic conditions and the labor market were such that erasing labor borders was not met with much opposition from professional economists or government policy-makers.</w:t>
      </w:r>
      <w:r w:rsidRPr="00DF284E">
        <w:rPr>
          <w:rStyle w:val="FootnoteReference"/>
        </w:rPr>
        <w:footnoteReference w:id="49"/>
      </w:r>
      <w:r w:rsidRPr="00DF284E">
        <w:t xml:space="preserve"> The movement of goods, however, was not looked upon as favorably. After about 5 years a system developed in which labor flowed relatively freely between the Palestinian Territories and Israel, but the trade borders were delineated so that only a limited number of Palestinian goods could be sold in Israel with limitations designed to protect Israeli producers, especially in the agricultural sector.</w:t>
      </w:r>
      <w:r w:rsidRPr="00DF284E">
        <w:rPr>
          <w:rStyle w:val="FootnoteReference"/>
        </w:rPr>
        <w:footnoteReference w:id="50"/>
      </w:r>
    </w:p>
    <w:p w14:paraId="3548E8D7" w14:textId="7C060939" w:rsidR="00E975A6" w:rsidRPr="00DF284E" w:rsidRDefault="00E975A6" w:rsidP="00E975A6">
      <w:pPr>
        <w:widowControl w:val="0"/>
        <w:autoSpaceDE w:val="0"/>
        <w:autoSpaceDN w:val="0"/>
        <w:adjustRightInd w:val="0"/>
        <w:ind w:firstLine="720"/>
      </w:pPr>
      <w:r w:rsidRPr="00DF284E">
        <w:t>The trade regime that was established to manage both Israel and the Palestinian Territories was a quasi-customs union, but this customs union was a unilaterally shaped trade agreement in which Israel dictated terms according to Israeli needs.</w:t>
      </w:r>
      <w:r w:rsidRPr="00DF284E">
        <w:rPr>
          <w:rStyle w:val="FootnoteReference"/>
        </w:rPr>
        <w:footnoteReference w:id="51"/>
      </w:r>
      <w:r w:rsidRPr="00DF284E">
        <w:t xml:space="preserve"> Prior to </w:t>
      </w:r>
      <w:r w:rsidR="00DA1C04">
        <w:lastRenderedPageBreak/>
        <w:t xml:space="preserve">1967, </w:t>
      </w:r>
      <w:r w:rsidRPr="00DF284E">
        <w:t>the West Bank supplied neighboring Arab markets with a limited number of commodities and manufactured goods, and the Gaza Strip’s exports were well established in a number of European markets.</w:t>
      </w:r>
      <w:r w:rsidRPr="00DF284E">
        <w:rPr>
          <w:rStyle w:val="FootnoteReference"/>
        </w:rPr>
        <w:footnoteReference w:id="52"/>
      </w:r>
      <w:r w:rsidRPr="00DF284E">
        <w:t xml:space="preserve"> Unfortunately, existing institutions for external trade in the Palestinian Territories were slowly amended, replaced, or totally suspended between 1967 and 1989 in order to meet Israeli economic needs.</w:t>
      </w:r>
      <w:r w:rsidRPr="00DF284E">
        <w:rPr>
          <w:rStyle w:val="FootnoteReference"/>
        </w:rPr>
        <w:footnoteReference w:id="53"/>
      </w:r>
      <w:r w:rsidRPr="00DF284E">
        <w:t xml:space="preserve"> This resulted in a major trade deficit for the Palestinian Territories, as Israeli goods flowed into the Territories with no restrictions </w:t>
      </w:r>
      <w:r w:rsidR="00C65D27">
        <w:t>while</w:t>
      </w:r>
      <w:r w:rsidRPr="00DF284E">
        <w:t xml:space="preserve"> Palestinian productive capacity and external trade relations stagnated.</w:t>
      </w:r>
      <w:r w:rsidRPr="00DF284E">
        <w:rPr>
          <w:rStyle w:val="FootnoteReference"/>
        </w:rPr>
        <w:footnoteReference w:id="54"/>
      </w:r>
      <w:r w:rsidRPr="00DF284E">
        <w:t xml:space="preserve"> </w:t>
      </w:r>
    </w:p>
    <w:p w14:paraId="49193DEC" w14:textId="77777777" w:rsidR="00E975A6" w:rsidRPr="00DF284E" w:rsidRDefault="00E975A6" w:rsidP="00E975A6">
      <w:pPr>
        <w:widowControl w:val="0"/>
        <w:autoSpaceDE w:val="0"/>
        <w:autoSpaceDN w:val="0"/>
        <w:adjustRightInd w:val="0"/>
        <w:ind w:firstLine="720"/>
      </w:pPr>
      <w:r w:rsidRPr="00DF284E">
        <w:t>Israeli politics are to blame for the lack of developm</w:t>
      </w:r>
      <w:r>
        <w:t xml:space="preserve">ent in the Palestinian manufacturing sector, </w:t>
      </w:r>
      <w:r w:rsidRPr="00DF284E">
        <w:t>which normally should have grown to meet the deficit in the balance of payments that was created by excessive Israeli imports.</w:t>
      </w:r>
      <w:r w:rsidRPr="00DF284E">
        <w:rPr>
          <w:rStyle w:val="FootnoteReference"/>
        </w:rPr>
        <w:footnoteReference w:id="55"/>
      </w:r>
      <w:r w:rsidRPr="00DF284E">
        <w:t xml:space="preserve"> The movement of both agricultural and manufactured goods between Israel and the Territories was controlled early on, but over time the Israeli government used other methods to protect Israeli producers. For example, Palestinian entrepreneurs had to apply for licenses from the Israeli authorities for many of the economic activities they sought to initiate, which slowed and sometimes limited productive capacity.</w:t>
      </w:r>
      <w:r w:rsidRPr="00DF284E">
        <w:rPr>
          <w:rStyle w:val="FootnoteReference"/>
        </w:rPr>
        <w:footnoteReference w:id="56"/>
      </w:r>
      <w:r w:rsidRPr="00DF284E">
        <w:t xml:space="preserve"> The desire to protect Israeli producers was so great that Israel actively “attempted to prevent the establishment or reactivation of Arab-owned factories if there was any danger that their products might compete with Israeli products.”</w:t>
      </w:r>
      <w:r w:rsidRPr="00DF284E">
        <w:rPr>
          <w:rStyle w:val="FootnoteReference"/>
        </w:rPr>
        <w:footnoteReference w:id="57"/>
      </w:r>
      <w:r w:rsidRPr="00DF284E">
        <w:t xml:space="preserve"> Nevertheless, the lack of an industrial sector in the Palestinian Territories and the major trade deficit did not altogether prevent increases in </w:t>
      </w:r>
      <w:r w:rsidRPr="00DF284E">
        <w:lastRenderedPageBreak/>
        <w:t xml:space="preserve">the standard of living for many Palestinians during this period. </w:t>
      </w:r>
      <w:r>
        <w:t>For example, the GDP of the West Bank grew from 459 million NIS in 1968 to 1,726 million NIS by 1987 (1986 prices).</w:t>
      </w:r>
      <w:r>
        <w:rPr>
          <w:rStyle w:val="FootnoteReference"/>
        </w:rPr>
        <w:footnoteReference w:id="58"/>
      </w:r>
      <w:r>
        <w:t xml:space="preserve"> The movement of Palestinian labor explain</w:t>
      </w:r>
      <w:r w:rsidR="00C65D27">
        <w:t>s</w:t>
      </w:r>
      <w:r>
        <w:t xml:space="preserve"> much of this growth. </w:t>
      </w:r>
    </w:p>
    <w:p w14:paraId="68695AF4" w14:textId="77777777" w:rsidR="00E975A6" w:rsidRPr="00DF284E" w:rsidRDefault="00E975A6" w:rsidP="00E975A6">
      <w:pPr>
        <w:widowControl w:val="0"/>
        <w:autoSpaceDE w:val="0"/>
        <w:autoSpaceDN w:val="0"/>
        <w:adjustRightInd w:val="0"/>
        <w:ind w:firstLine="720"/>
      </w:pPr>
      <w:r w:rsidRPr="00DF284E">
        <w:t>This unique system of economic relations between Israel and the Territories persisted until the Oslo Accords: excessive imports flowing from Israel into the Palestinian Territories created a large deficit in the balance of payments, which was covered by the increase in Palestinian commuter/migrants working in Israel, unilateral transfers, and inflows of capital from abroad.</w:t>
      </w:r>
      <w:r w:rsidRPr="00DF284E">
        <w:rPr>
          <w:rStyle w:val="FootnoteReference"/>
        </w:rPr>
        <w:footnoteReference w:id="59"/>
      </w:r>
      <w:r w:rsidRPr="00DF284E">
        <w:t xml:space="preserve"> Income from Palestinian commuter/migrants working in Israel covered a large part of the deficit in the balance of payments and also contributed to a gradual growth in standards of living in both the West Bank and Gaza. As noted in Table 1, GNP growth per person in the West Bank averaged 4% annually from 1973 to 1979 and 6% in Gaza during the same time period. GNP growth per person averaged 2% annually for both Territories from 1980-1987.</w:t>
      </w:r>
      <w:r w:rsidRPr="00DF284E">
        <w:rPr>
          <w:rStyle w:val="FootnoteReference"/>
        </w:rPr>
        <w:footnoteReference w:id="60"/>
      </w:r>
      <w:r w:rsidRPr="00DF284E">
        <w:t xml:space="preserve"> Palestinians who worked in Israel earned wages much higher than Palestinians working in the Territories even though their pay was lower than that of Israelis.</w:t>
      </w:r>
      <w:r w:rsidRPr="00DF284E">
        <w:rPr>
          <w:rStyle w:val="FootnoteReference"/>
        </w:rPr>
        <w:footnoteReference w:id="61"/>
      </w:r>
      <w:r w:rsidRPr="00DF284E">
        <w:t xml:space="preserve"> In 1968 the ratio between Palestinian wages in the Israeli labor market and their “home” labor market was approximately 2:1. However, by 1972 this wage gap shrank considerably to 1.2:1 and it remained near to this level until the outbreak of the First Intifada in 1987.</w:t>
      </w:r>
      <w:r w:rsidRPr="00DF284E">
        <w:rPr>
          <w:rStyle w:val="FootnoteReference"/>
        </w:rPr>
        <w:footnoteReference w:id="62"/>
      </w:r>
      <w:r w:rsidRPr="00DF284E">
        <w:t xml:space="preserve"> Even though employment in Israel helped soften the blow of Israel’s economic policies by establishing Palestinian labor as an export, this did not replace the creation of a </w:t>
      </w:r>
      <w:r w:rsidRPr="00DF284E">
        <w:lastRenderedPageBreak/>
        <w:t xml:space="preserve">conventional economic system for the Palestinian territories. </w:t>
      </w:r>
    </w:p>
    <w:p w14:paraId="2CD322C6" w14:textId="77777777" w:rsidR="00E975A6" w:rsidRPr="00DF284E" w:rsidRDefault="00E975A6" w:rsidP="00E975A6">
      <w:pPr>
        <w:widowControl w:val="0"/>
        <w:autoSpaceDE w:val="0"/>
        <w:autoSpaceDN w:val="0"/>
        <w:adjustRightInd w:val="0"/>
        <w:ind w:firstLine="720"/>
      </w:pPr>
      <w:r w:rsidRPr="00DF284E">
        <w:t>Palestinian employment in Israel helped to develop the Israeli economy by providing a massive reservoir of cheap labor to produce</w:t>
      </w:r>
      <w:r>
        <w:t xml:space="preserve"> value-added goods, but Israel—</w:t>
      </w:r>
      <w:r w:rsidRPr="00DF284E">
        <w:t>in addition to preventing the development of a Palestinian</w:t>
      </w:r>
      <w:r>
        <w:t xml:space="preserve"> industrial sector—</w:t>
      </w:r>
      <w:r w:rsidRPr="00DF284E">
        <w:t xml:space="preserve"> also neglected to develop the institutional capacity of the Palestinian economies. Israel never created a macroeconomic policy designed to serve the needs of the Palestinian economy, and a Palestinian currency was never created, so neither was any monetary policy for the Palestinians.</w:t>
      </w:r>
      <w:r w:rsidRPr="00DF284E">
        <w:rPr>
          <w:rStyle w:val="FootnoteReference"/>
        </w:rPr>
        <w:footnoteReference w:id="63"/>
      </w:r>
      <w:r>
        <w:t xml:space="preserve"> The Palestinian banking system, which was really Jordanian to begin with, </w:t>
      </w:r>
      <w:r w:rsidRPr="00DF284E">
        <w:t xml:space="preserve">was closed by military order after 1967 and did not reopen until the 1980’s </w:t>
      </w:r>
      <w:r w:rsidR="00C65D27">
        <w:t>(</w:t>
      </w:r>
      <w:r w:rsidRPr="00DF284E">
        <w:t>and even then in a limited manner</w:t>
      </w:r>
      <w:r w:rsidR="00C65D27">
        <w:t>)</w:t>
      </w:r>
      <w:r w:rsidRPr="00DF284E">
        <w:t>. Financial institutions barely existed and would have been altogether nonexistent if not for a network of moneychangers working with the Jordanian banking system that carried out minimal financial transactions.</w:t>
      </w:r>
      <w:r w:rsidRPr="00DF284E">
        <w:rPr>
          <w:rStyle w:val="FootnoteReference"/>
        </w:rPr>
        <w:footnoteReference w:id="64"/>
      </w:r>
      <w:r w:rsidRPr="00DF284E">
        <w:t xml:space="preserve"> </w:t>
      </w:r>
    </w:p>
    <w:p w14:paraId="3AE9E17E" w14:textId="77777777" w:rsidR="00E975A6" w:rsidRDefault="00E975A6" w:rsidP="00E975A6">
      <w:pPr>
        <w:ind w:firstLine="720"/>
        <w:rPr>
          <w:b/>
        </w:rPr>
      </w:pPr>
      <w:r w:rsidRPr="00DF284E">
        <w:t>The Israeli economic policies implemented after 1967 resulted in a modern Palestinian economy that is industrially weak, underdeveloped, and heavily dependent on Israeli imports. Israeli economic policies towards the Territories</w:t>
      </w:r>
      <w:r>
        <w:t>, at least until the 1990</w:t>
      </w:r>
      <w:r w:rsidRPr="00DF284E">
        <w:t>s, were designed to slow down Palestinian economic development, and the result was the transformation of the Palestinian economy into a captive market for Israeli producers and a reservoir of cheap labor.</w:t>
      </w:r>
      <w:r w:rsidRPr="00DF284E">
        <w:rPr>
          <w:rStyle w:val="FootnoteReference"/>
        </w:rPr>
        <w:footnoteReference w:id="65"/>
      </w:r>
      <w:r w:rsidRPr="00DF284E">
        <w:t xml:space="preserve"> In the words of Isra</w:t>
      </w:r>
      <w:r>
        <w:t>eli Major General Schlomo Gazit—</w:t>
      </w:r>
      <w:r w:rsidRPr="00DF284E">
        <w:t xml:space="preserve"> the first Coordinator of Activities in th</w:t>
      </w:r>
      <w:r>
        <w:t>e Territories under Moshe Dayan—</w:t>
      </w:r>
      <w:r w:rsidRPr="00DF284E">
        <w:t xml:space="preserve"> “Israeli policies in the administered territories led to a strange combination of relative economic prosperity” that was achieved “ by the simple expedient of importing </w:t>
      </w:r>
      <w:r w:rsidRPr="00DF284E">
        <w:lastRenderedPageBreak/>
        <w:t>labor services from the territories into the Israeli economy.” While this improved standards of living for many Palestinians, “the Israeli authorities and military government did little to develop the economic infrastructure” in the Palestinian Territories.</w:t>
      </w:r>
      <w:r w:rsidRPr="00DF284E">
        <w:rPr>
          <w:rStyle w:val="FootnoteReference"/>
        </w:rPr>
        <w:footnoteReference w:id="66"/>
      </w:r>
      <w:r w:rsidRPr="00DF284E">
        <w:t xml:space="preserve"> </w:t>
      </w:r>
      <w:r>
        <w:rPr>
          <w:color w:val="000000"/>
          <w:shd w:val="clear" w:color="auto" w:fill="FFFFFF"/>
        </w:rPr>
        <w:t>Israel’s economic management of the Palestinian Territories has made work in Israel the most lucrative option for many Palestinians, which is a reflection of the limited self-determination that Palestinians have had under Israeli control, and the ongoing conflict has also damaged Israeli society by necessitating unusually high defense spending as threats have evolved from within the Palestinian Territories and abroad.</w:t>
      </w:r>
    </w:p>
    <w:p w14:paraId="397C7744" w14:textId="77777777" w:rsidR="00E975A6" w:rsidRDefault="00E975A6" w:rsidP="00E975A6">
      <w:pPr>
        <w:widowControl w:val="0"/>
        <w:autoSpaceDE w:val="0"/>
        <w:autoSpaceDN w:val="0"/>
        <w:adjustRightInd w:val="0"/>
        <w:ind w:firstLine="720"/>
      </w:pPr>
    </w:p>
    <w:p w14:paraId="76F83308" w14:textId="77777777" w:rsidR="00E975A6" w:rsidRDefault="00E975A6" w:rsidP="00E975A6">
      <w:pPr>
        <w:widowControl w:val="0"/>
        <w:autoSpaceDE w:val="0"/>
        <w:autoSpaceDN w:val="0"/>
        <w:adjustRightInd w:val="0"/>
        <w:ind w:firstLine="720"/>
      </w:pPr>
    </w:p>
    <w:p w14:paraId="2ACAB71D" w14:textId="77777777" w:rsidR="00E975A6" w:rsidRDefault="00E975A6" w:rsidP="00E975A6">
      <w:pPr>
        <w:widowControl w:val="0"/>
        <w:autoSpaceDE w:val="0"/>
        <w:autoSpaceDN w:val="0"/>
        <w:adjustRightInd w:val="0"/>
        <w:ind w:firstLine="720"/>
      </w:pPr>
    </w:p>
    <w:p w14:paraId="3DDF9B18" w14:textId="77777777" w:rsidR="00E975A6" w:rsidRDefault="00E975A6" w:rsidP="00E975A6">
      <w:pPr>
        <w:widowControl w:val="0"/>
        <w:autoSpaceDE w:val="0"/>
        <w:autoSpaceDN w:val="0"/>
        <w:adjustRightInd w:val="0"/>
        <w:ind w:firstLine="720"/>
      </w:pPr>
    </w:p>
    <w:p w14:paraId="464DAD1A" w14:textId="77777777" w:rsidR="00E975A6" w:rsidRDefault="00E975A6" w:rsidP="00E975A6">
      <w:pPr>
        <w:widowControl w:val="0"/>
        <w:autoSpaceDE w:val="0"/>
        <w:autoSpaceDN w:val="0"/>
        <w:adjustRightInd w:val="0"/>
        <w:ind w:firstLine="720"/>
      </w:pPr>
    </w:p>
    <w:p w14:paraId="2CF69FEE" w14:textId="77777777" w:rsidR="00E975A6" w:rsidRDefault="00E975A6" w:rsidP="00E975A6">
      <w:pPr>
        <w:widowControl w:val="0"/>
        <w:autoSpaceDE w:val="0"/>
        <w:autoSpaceDN w:val="0"/>
        <w:adjustRightInd w:val="0"/>
        <w:ind w:firstLine="720"/>
      </w:pPr>
    </w:p>
    <w:p w14:paraId="0C622D01" w14:textId="77777777" w:rsidR="00E975A6" w:rsidRDefault="00E975A6" w:rsidP="00E975A6">
      <w:pPr>
        <w:widowControl w:val="0"/>
        <w:autoSpaceDE w:val="0"/>
        <w:autoSpaceDN w:val="0"/>
        <w:adjustRightInd w:val="0"/>
        <w:sectPr w:rsidR="00E975A6" w:rsidSect="001A5EB6">
          <w:type w:val="continuous"/>
          <w:pgSz w:w="12240" w:h="15840"/>
          <w:pgMar w:top="1440" w:right="1440" w:bottom="1440" w:left="2304" w:header="720" w:footer="720" w:gutter="0"/>
          <w:cols w:space="720"/>
          <w:docGrid w:linePitch="360"/>
        </w:sectPr>
      </w:pPr>
    </w:p>
    <w:p w14:paraId="55DA40DD" w14:textId="6AC5C7AB" w:rsidR="002146AD" w:rsidRDefault="002146AD" w:rsidP="005A707C">
      <w:pPr>
        <w:widowControl w:val="0"/>
        <w:autoSpaceDE w:val="0"/>
        <w:autoSpaceDN w:val="0"/>
        <w:adjustRightInd w:val="0"/>
        <w:spacing w:line="240" w:lineRule="auto"/>
        <w:rPr>
          <w:b/>
        </w:rPr>
        <w:sectPr w:rsidR="002146AD" w:rsidSect="00F14AB5">
          <w:footerReference w:type="default" r:id="rId14"/>
          <w:pgSz w:w="15840" w:h="12240" w:orient="landscape"/>
          <w:pgMar w:top="1440" w:right="1440" w:bottom="1440" w:left="2304" w:header="720" w:footer="720" w:gutter="0"/>
          <w:cols w:space="720"/>
          <w:docGrid w:linePitch="360"/>
        </w:sectPr>
      </w:pPr>
    </w:p>
    <w:p w14:paraId="3FD4C721" w14:textId="77777777" w:rsidR="00C65D27" w:rsidRDefault="00C65D27" w:rsidP="005A707C">
      <w:pPr>
        <w:widowControl w:val="0"/>
        <w:autoSpaceDE w:val="0"/>
        <w:autoSpaceDN w:val="0"/>
        <w:adjustRightInd w:val="0"/>
        <w:spacing w:line="240" w:lineRule="auto"/>
        <w:rPr>
          <w:b/>
          <w:sz w:val="36"/>
        </w:rPr>
      </w:pPr>
    </w:p>
    <w:p w14:paraId="649729DB" w14:textId="77777777" w:rsidR="0074355D" w:rsidRPr="00F87A6C" w:rsidRDefault="0074355D" w:rsidP="005A707C">
      <w:pPr>
        <w:widowControl w:val="0"/>
        <w:autoSpaceDE w:val="0"/>
        <w:autoSpaceDN w:val="0"/>
        <w:adjustRightInd w:val="0"/>
        <w:spacing w:line="240" w:lineRule="auto"/>
        <w:rPr>
          <w:b/>
          <w:sz w:val="36"/>
        </w:rPr>
      </w:pPr>
    </w:p>
    <w:p w14:paraId="10A4E010" w14:textId="097CA8FA" w:rsidR="00D5245D" w:rsidRPr="00D5245D" w:rsidRDefault="00D5245D" w:rsidP="00D5245D">
      <w:pPr>
        <w:pStyle w:val="Caption"/>
        <w:keepNext/>
        <w:jc w:val="center"/>
        <w:rPr>
          <w:color w:val="auto"/>
          <w:sz w:val="24"/>
          <w:szCs w:val="24"/>
        </w:rPr>
      </w:pPr>
      <w:bookmarkStart w:id="11" w:name="_Toc323490969"/>
      <w:bookmarkStart w:id="12" w:name="_Toc324146556"/>
      <w:bookmarkStart w:id="13" w:name="_Toc324264445"/>
      <w:bookmarkStart w:id="14" w:name="_Toc324264692"/>
      <w:r w:rsidRPr="00D5245D">
        <w:rPr>
          <w:color w:val="auto"/>
          <w:sz w:val="24"/>
          <w:szCs w:val="24"/>
        </w:rPr>
        <w:t xml:space="preserve">Table </w:t>
      </w:r>
      <w:r w:rsidRPr="00D5245D">
        <w:rPr>
          <w:color w:val="auto"/>
          <w:sz w:val="24"/>
          <w:szCs w:val="24"/>
        </w:rPr>
        <w:fldChar w:fldCharType="begin"/>
      </w:r>
      <w:r w:rsidRPr="00D5245D">
        <w:rPr>
          <w:color w:val="auto"/>
          <w:sz w:val="24"/>
          <w:szCs w:val="24"/>
        </w:rPr>
        <w:instrText xml:space="preserve"> SEQ Table \* ARABIC </w:instrText>
      </w:r>
      <w:r w:rsidRPr="00D5245D">
        <w:rPr>
          <w:color w:val="auto"/>
          <w:sz w:val="24"/>
          <w:szCs w:val="24"/>
        </w:rPr>
        <w:fldChar w:fldCharType="separate"/>
      </w:r>
      <w:r w:rsidR="00500133">
        <w:rPr>
          <w:noProof/>
          <w:color w:val="auto"/>
          <w:sz w:val="24"/>
          <w:szCs w:val="24"/>
        </w:rPr>
        <w:t>1</w:t>
      </w:r>
      <w:r w:rsidRPr="00D5245D">
        <w:rPr>
          <w:color w:val="auto"/>
          <w:sz w:val="24"/>
          <w:szCs w:val="24"/>
        </w:rPr>
        <w:fldChar w:fldCharType="end"/>
      </w:r>
      <w:r w:rsidRPr="00D5245D">
        <w:rPr>
          <w:color w:val="auto"/>
          <w:sz w:val="24"/>
          <w:szCs w:val="24"/>
        </w:rPr>
        <w:t>: The Palestinian Economies After the 1967 Six-Day War and Before the Oslo Accords (Selected Characteristics)</w:t>
      </w:r>
      <w:bookmarkEnd w:id="11"/>
      <w:bookmarkEnd w:id="12"/>
      <w:bookmarkEnd w:id="13"/>
      <w:bookmarkEnd w:id="14"/>
    </w:p>
    <w:tbl>
      <w:tblPr>
        <w:tblStyle w:val="LightGrid"/>
        <w:tblW w:w="11430" w:type="dxa"/>
        <w:tblInd w:w="288" w:type="dxa"/>
        <w:tblLayout w:type="fixed"/>
        <w:tblLook w:val="04A0" w:firstRow="1" w:lastRow="0" w:firstColumn="1" w:lastColumn="0" w:noHBand="0" w:noVBand="1"/>
      </w:tblPr>
      <w:tblGrid>
        <w:gridCol w:w="1278"/>
        <w:gridCol w:w="702"/>
        <w:gridCol w:w="630"/>
        <w:gridCol w:w="630"/>
        <w:gridCol w:w="540"/>
        <w:gridCol w:w="606"/>
        <w:gridCol w:w="667"/>
        <w:gridCol w:w="617"/>
        <w:gridCol w:w="720"/>
        <w:gridCol w:w="720"/>
        <w:gridCol w:w="630"/>
        <w:gridCol w:w="630"/>
        <w:gridCol w:w="630"/>
        <w:gridCol w:w="630"/>
        <w:gridCol w:w="540"/>
        <w:gridCol w:w="630"/>
        <w:gridCol w:w="630"/>
      </w:tblGrid>
      <w:tr w:rsidR="00E975A6" w:rsidRPr="00301DFE" w14:paraId="7E06C7F9" w14:textId="77777777" w:rsidTr="005A707C">
        <w:trPr>
          <w:cnfStyle w:val="100000000000" w:firstRow="1" w:lastRow="0" w:firstColumn="0" w:lastColumn="0" w:oddVBand="0" w:evenVBand="0" w:oddHBand="0" w:evenHBand="0" w:firstRowFirstColumn="0" w:firstRowLastColumn="0" w:lastRowFirstColumn="0" w:lastRowLastColumn="0"/>
          <w:trHeight w:val="2213"/>
        </w:trPr>
        <w:tc>
          <w:tcPr>
            <w:cnfStyle w:val="001000000000" w:firstRow="0" w:lastRow="0" w:firstColumn="1" w:lastColumn="0" w:oddVBand="0" w:evenVBand="0" w:oddHBand="0" w:evenHBand="0" w:firstRowFirstColumn="0" w:firstRowLastColumn="0" w:lastRowFirstColumn="0" w:lastRowLastColumn="0"/>
            <w:tcW w:w="1278" w:type="dxa"/>
          </w:tcPr>
          <w:p w14:paraId="60E818A0" w14:textId="77777777" w:rsidR="00E975A6" w:rsidRPr="005E5DC9" w:rsidRDefault="00E975A6" w:rsidP="00C65D27">
            <w:pPr>
              <w:widowControl w:val="0"/>
              <w:autoSpaceDE w:val="0"/>
              <w:autoSpaceDN w:val="0"/>
              <w:adjustRightInd w:val="0"/>
              <w:spacing w:line="240" w:lineRule="auto"/>
              <w:ind w:left="-288" w:firstLine="90"/>
            </w:pPr>
          </w:p>
        </w:tc>
        <w:tc>
          <w:tcPr>
            <w:tcW w:w="1332" w:type="dxa"/>
            <w:gridSpan w:val="2"/>
          </w:tcPr>
          <w:p w14:paraId="43059195" w14:textId="77777777" w:rsidR="00E975A6" w:rsidRPr="005E5DC9" w:rsidRDefault="00E975A6" w:rsidP="00C65D27">
            <w:pPr>
              <w:widowControl w:val="0"/>
              <w:autoSpaceDE w:val="0"/>
              <w:autoSpaceDN w:val="0"/>
              <w:adjustRightInd w:val="0"/>
              <w:spacing w:line="240" w:lineRule="auto"/>
              <w:cnfStyle w:val="100000000000" w:firstRow="1" w:lastRow="0" w:firstColumn="0" w:lastColumn="0" w:oddVBand="0" w:evenVBand="0" w:oddHBand="0" w:evenHBand="0" w:firstRowFirstColumn="0" w:firstRowLastColumn="0" w:lastRowFirstColumn="0" w:lastRowLastColumn="0"/>
            </w:pPr>
            <w:r w:rsidRPr="005E5DC9">
              <w:t>GDP</w:t>
            </w:r>
          </w:p>
          <w:p w14:paraId="47AEEAB4" w14:textId="77777777" w:rsidR="00E975A6" w:rsidRPr="00C65D27" w:rsidRDefault="00E975A6" w:rsidP="00C65D27">
            <w:pPr>
              <w:widowControl w:val="0"/>
              <w:autoSpaceDE w:val="0"/>
              <w:autoSpaceDN w:val="0"/>
              <w:adjustRightInd w:val="0"/>
              <w:spacing w:line="240" w:lineRule="auto"/>
              <w:cnfStyle w:val="100000000000" w:firstRow="1" w:lastRow="0" w:firstColumn="0" w:lastColumn="0" w:oddVBand="0" w:evenVBand="0" w:oddHBand="0" w:evenHBand="0" w:firstRowFirstColumn="0" w:firstRowLastColumn="0" w:lastRowFirstColumn="0" w:lastRowLastColumn="0"/>
              <w:rPr>
                <w:b w:val="0"/>
              </w:rPr>
            </w:pPr>
            <w:r w:rsidRPr="00C65D27">
              <w:rPr>
                <w:b w:val="0"/>
                <w:sz w:val="20"/>
              </w:rPr>
              <w:t>(Annual average in 1994 prices- million $)</w:t>
            </w:r>
          </w:p>
        </w:tc>
        <w:tc>
          <w:tcPr>
            <w:tcW w:w="1170" w:type="dxa"/>
            <w:gridSpan w:val="2"/>
          </w:tcPr>
          <w:p w14:paraId="1C6ED29C" w14:textId="77777777" w:rsidR="00E975A6" w:rsidRPr="005E5DC9" w:rsidRDefault="00E975A6" w:rsidP="00C65D27">
            <w:pPr>
              <w:widowControl w:val="0"/>
              <w:autoSpaceDE w:val="0"/>
              <w:autoSpaceDN w:val="0"/>
              <w:adjustRightInd w:val="0"/>
              <w:spacing w:line="240" w:lineRule="auto"/>
              <w:cnfStyle w:val="100000000000" w:firstRow="1" w:lastRow="0" w:firstColumn="0" w:lastColumn="0" w:oddVBand="0" w:evenVBand="0" w:oddHBand="0" w:evenHBand="0" w:firstRowFirstColumn="0" w:firstRowLastColumn="0" w:lastRowFirstColumn="0" w:lastRowLastColumn="0"/>
            </w:pPr>
            <w:r w:rsidRPr="005E5DC9">
              <w:t xml:space="preserve">GDP Growth Rate </w:t>
            </w:r>
            <w:r w:rsidRPr="00C65D27">
              <w:rPr>
                <w:b w:val="0"/>
                <w:sz w:val="20"/>
              </w:rPr>
              <w:t>(Average annual % change)</w:t>
            </w:r>
          </w:p>
        </w:tc>
        <w:tc>
          <w:tcPr>
            <w:tcW w:w="1273" w:type="dxa"/>
            <w:gridSpan w:val="2"/>
          </w:tcPr>
          <w:p w14:paraId="62926EA1" w14:textId="77777777" w:rsidR="00E975A6" w:rsidRPr="005E5DC9" w:rsidRDefault="00E975A6" w:rsidP="00C65D27">
            <w:pPr>
              <w:widowControl w:val="0"/>
              <w:autoSpaceDE w:val="0"/>
              <w:autoSpaceDN w:val="0"/>
              <w:adjustRightInd w:val="0"/>
              <w:spacing w:line="240" w:lineRule="auto"/>
              <w:cnfStyle w:val="100000000000" w:firstRow="1" w:lastRow="0" w:firstColumn="0" w:lastColumn="0" w:oddVBand="0" w:evenVBand="0" w:oddHBand="0" w:evenHBand="0" w:firstRowFirstColumn="0" w:firstRowLastColumn="0" w:lastRowFirstColumn="0" w:lastRowLastColumn="0"/>
            </w:pPr>
            <w:r w:rsidRPr="005E5DC9">
              <w:t xml:space="preserve">GNP Per Capita Growth Rates </w:t>
            </w:r>
            <w:r w:rsidRPr="00C65D27">
              <w:rPr>
                <w:b w:val="0"/>
                <w:sz w:val="20"/>
              </w:rPr>
              <w:t>(Average annual % change)</w:t>
            </w:r>
          </w:p>
        </w:tc>
        <w:tc>
          <w:tcPr>
            <w:tcW w:w="1337" w:type="dxa"/>
            <w:gridSpan w:val="2"/>
          </w:tcPr>
          <w:p w14:paraId="26AB0D07" w14:textId="77777777" w:rsidR="00E975A6" w:rsidRPr="005E5DC9" w:rsidRDefault="00E975A6" w:rsidP="00C65D27">
            <w:pPr>
              <w:widowControl w:val="0"/>
              <w:autoSpaceDE w:val="0"/>
              <w:autoSpaceDN w:val="0"/>
              <w:adjustRightInd w:val="0"/>
              <w:spacing w:line="240" w:lineRule="auto"/>
              <w:cnfStyle w:val="100000000000" w:firstRow="1" w:lastRow="0" w:firstColumn="0" w:lastColumn="0" w:oddVBand="0" w:evenVBand="0" w:oddHBand="0" w:evenHBand="0" w:firstRowFirstColumn="0" w:firstRowLastColumn="0" w:lastRowFirstColumn="0" w:lastRowLastColumn="0"/>
            </w:pPr>
            <w:r w:rsidRPr="005E5DC9">
              <w:t xml:space="preserve">Employed in Israel </w:t>
            </w:r>
          </w:p>
          <w:p w14:paraId="0B1F86A9" w14:textId="77777777" w:rsidR="00E975A6" w:rsidRPr="00C65D27" w:rsidRDefault="00E975A6" w:rsidP="00C65D27">
            <w:pPr>
              <w:widowControl w:val="0"/>
              <w:autoSpaceDE w:val="0"/>
              <w:autoSpaceDN w:val="0"/>
              <w:adjustRightInd w:val="0"/>
              <w:spacing w:line="240" w:lineRule="auto"/>
              <w:cnfStyle w:val="100000000000" w:firstRow="1" w:lastRow="0" w:firstColumn="0" w:lastColumn="0" w:oddVBand="0" w:evenVBand="0" w:oddHBand="0" w:evenHBand="0" w:firstRowFirstColumn="0" w:firstRowLastColumn="0" w:lastRowFirstColumn="0" w:lastRowLastColumn="0"/>
              <w:rPr>
                <w:b w:val="0"/>
              </w:rPr>
            </w:pPr>
            <w:r w:rsidRPr="00C65D27">
              <w:rPr>
                <w:b w:val="0"/>
                <w:sz w:val="20"/>
              </w:rPr>
              <w:t>(% of total employment)</w:t>
            </w:r>
          </w:p>
        </w:tc>
        <w:tc>
          <w:tcPr>
            <w:tcW w:w="1350" w:type="dxa"/>
            <w:gridSpan w:val="2"/>
          </w:tcPr>
          <w:p w14:paraId="537DAEF3" w14:textId="77777777" w:rsidR="00E975A6" w:rsidRPr="005E5DC9" w:rsidRDefault="00E975A6" w:rsidP="00C65D27">
            <w:pPr>
              <w:widowControl w:val="0"/>
              <w:autoSpaceDE w:val="0"/>
              <w:autoSpaceDN w:val="0"/>
              <w:adjustRightInd w:val="0"/>
              <w:spacing w:line="240" w:lineRule="auto"/>
              <w:cnfStyle w:val="100000000000" w:firstRow="1" w:lastRow="0" w:firstColumn="0" w:lastColumn="0" w:oddVBand="0" w:evenVBand="0" w:oddHBand="0" w:evenHBand="0" w:firstRowFirstColumn="0" w:firstRowLastColumn="0" w:lastRowFirstColumn="0" w:lastRowLastColumn="0"/>
            </w:pPr>
            <w:r w:rsidRPr="005E5DC9">
              <w:t xml:space="preserve">Palestinian Income from Abroad </w:t>
            </w:r>
          </w:p>
          <w:p w14:paraId="17AD8AE7" w14:textId="77777777" w:rsidR="00E975A6" w:rsidRPr="00C65D27" w:rsidRDefault="00E975A6" w:rsidP="00C65D27">
            <w:pPr>
              <w:widowControl w:val="0"/>
              <w:autoSpaceDE w:val="0"/>
              <w:autoSpaceDN w:val="0"/>
              <w:adjustRightInd w:val="0"/>
              <w:spacing w:line="240" w:lineRule="auto"/>
              <w:cnfStyle w:val="100000000000" w:firstRow="1" w:lastRow="0" w:firstColumn="0" w:lastColumn="0" w:oddVBand="0" w:evenVBand="0" w:oddHBand="0" w:evenHBand="0" w:firstRowFirstColumn="0" w:firstRowLastColumn="0" w:lastRowFirstColumn="0" w:lastRowLastColumn="0"/>
              <w:rPr>
                <w:b w:val="0"/>
              </w:rPr>
            </w:pPr>
            <w:r w:rsidRPr="00C65D27">
              <w:rPr>
                <w:b w:val="0"/>
                <w:sz w:val="20"/>
              </w:rPr>
              <w:t>(% of GDP)</w:t>
            </w:r>
          </w:p>
        </w:tc>
        <w:tc>
          <w:tcPr>
            <w:tcW w:w="1260" w:type="dxa"/>
            <w:gridSpan w:val="2"/>
          </w:tcPr>
          <w:p w14:paraId="77B68599" w14:textId="77777777" w:rsidR="00E975A6" w:rsidRPr="005E5DC9" w:rsidRDefault="00E975A6" w:rsidP="00C65D27">
            <w:pPr>
              <w:widowControl w:val="0"/>
              <w:autoSpaceDE w:val="0"/>
              <w:autoSpaceDN w:val="0"/>
              <w:adjustRightInd w:val="0"/>
              <w:spacing w:line="240" w:lineRule="auto"/>
              <w:cnfStyle w:val="100000000000" w:firstRow="1" w:lastRow="0" w:firstColumn="0" w:lastColumn="0" w:oddVBand="0" w:evenVBand="0" w:oddHBand="0" w:evenHBand="0" w:firstRowFirstColumn="0" w:firstRowLastColumn="0" w:lastRowFirstColumn="0" w:lastRowLastColumn="0"/>
            </w:pPr>
            <w:r w:rsidRPr="005E5DC9">
              <w:t xml:space="preserve">Imports </w:t>
            </w:r>
          </w:p>
          <w:p w14:paraId="30303BF0" w14:textId="77777777" w:rsidR="00E975A6" w:rsidRPr="00C65D27" w:rsidRDefault="00E975A6" w:rsidP="00C65D27">
            <w:pPr>
              <w:widowControl w:val="0"/>
              <w:autoSpaceDE w:val="0"/>
              <w:autoSpaceDN w:val="0"/>
              <w:adjustRightInd w:val="0"/>
              <w:spacing w:line="240" w:lineRule="auto"/>
              <w:cnfStyle w:val="100000000000" w:firstRow="1" w:lastRow="0" w:firstColumn="0" w:lastColumn="0" w:oddVBand="0" w:evenVBand="0" w:oddHBand="0" w:evenHBand="0" w:firstRowFirstColumn="0" w:firstRowLastColumn="0" w:lastRowFirstColumn="0" w:lastRowLastColumn="0"/>
              <w:rPr>
                <w:b w:val="0"/>
              </w:rPr>
            </w:pPr>
            <w:r w:rsidRPr="00C65D27">
              <w:rPr>
                <w:b w:val="0"/>
                <w:sz w:val="20"/>
              </w:rPr>
              <w:t>(% of GDP)</w:t>
            </w:r>
          </w:p>
        </w:tc>
        <w:tc>
          <w:tcPr>
            <w:tcW w:w="1170" w:type="dxa"/>
            <w:gridSpan w:val="2"/>
          </w:tcPr>
          <w:p w14:paraId="45783BAE" w14:textId="77777777" w:rsidR="00E975A6" w:rsidRPr="005E5DC9" w:rsidRDefault="00E975A6" w:rsidP="00C65D27">
            <w:pPr>
              <w:widowControl w:val="0"/>
              <w:autoSpaceDE w:val="0"/>
              <w:autoSpaceDN w:val="0"/>
              <w:adjustRightInd w:val="0"/>
              <w:spacing w:line="240" w:lineRule="auto"/>
              <w:cnfStyle w:val="100000000000" w:firstRow="1" w:lastRow="0" w:firstColumn="0" w:lastColumn="0" w:oddVBand="0" w:evenVBand="0" w:oddHBand="0" w:evenHBand="0" w:firstRowFirstColumn="0" w:firstRowLastColumn="0" w:lastRowFirstColumn="0" w:lastRowLastColumn="0"/>
            </w:pPr>
            <w:r w:rsidRPr="005E5DC9">
              <w:t xml:space="preserve">Exports </w:t>
            </w:r>
          </w:p>
          <w:p w14:paraId="309665B8" w14:textId="77777777" w:rsidR="00E975A6" w:rsidRPr="00C65D27" w:rsidRDefault="00E975A6" w:rsidP="00C65D27">
            <w:pPr>
              <w:widowControl w:val="0"/>
              <w:autoSpaceDE w:val="0"/>
              <w:autoSpaceDN w:val="0"/>
              <w:adjustRightInd w:val="0"/>
              <w:spacing w:line="240" w:lineRule="auto"/>
              <w:cnfStyle w:val="100000000000" w:firstRow="1" w:lastRow="0" w:firstColumn="0" w:lastColumn="0" w:oddVBand="0" w:evenVBand="0" w:oddHBand="0" w:evenHBand="0" w:firstRowFirstColumn="0" w:firstRowLastColumn="0" w:lastRowFirstColumn="0" w:lastRowLastColumn="0"/>
              <w:rPr>
                <w:b w:val="0"/>
              </w:rPr>
            </w:pPr>
            <w:r w:rsidRPr="00C65D27">
              <w:rPr>
                <w:b w:val="0"/>
                <w:sz w:val="20"/>
              </w:rPr>
              <w:t>(% of GDP)</w:t>
            </w:r>
          </w:p>
        </w:tc>
        <w:tc>
          <w:tcPr>
            <w:tcW w:w="1260" w:type="dxa"/>
            <w:gridSpan w:val="2"/>
          </w:tcPr>
          <w:p w14:paraId="14C8FFB7" w14:textId="77777777" w:rsidR="00E975A6" w:rsidRPr="005E5DC9" w:rsidRDefault="00E975A6" w:rsidP="00C65D27">
            <w:pPr>
              <w:widowControl w:val="0"/>
              <w:autoSpaceDE w:val="0"/>
              <w:autoSpaceDN w:val="0"/>
              <w:adjustRightInd w:val="0"/>
              <w:spacing w:line="240" w:lineRule="auto"/>
              <w:cnfStyle w:val="100000000000" w:firstRow="1" w:lastRow="0" w:firstColumn="0" w:lastColumn="0" w:oddVBand="0" w:evenVBand="0" w:oddHBand="0" w:evenHBand="0" w:firstRowFirstColumn="0" w:firstRowLastColumn="0" w:lastRowFirstColumn="0" w:lastRowLastColumn="0"/>
            </w:pPr>
            <w:r w:rsidRPr="005E5DC9">
              <w:t>GDP as % of Israel’s GDP</w:t>
            </w:r>
          </w:p>
        </w:tc>
      </w:tr>
      <w:tr w:rsidR="00E975A6" w:rsidRPr="00301DFE" w14:paraId="53B75225" w14:textId="77777777" w:rsidTr="005A70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14:paraId="65329A02" w14:textId="77777777" w:rsidR="00E975A6" w:rsidRPr="00B47C52" w:rsidRDefault="00E975A6" w:rsidP="00C65D27">
            <w:pPr>
              <w:widowControl w:val="0"/>
              <w:autoSpaceDE w:val="0"/>
              <w:autoSpaceDN w:val="0"/>
              <w:adjustRightInd w:val="0"/>
              <w:spacing w:line="240" w:lineRule="auto"/>
            </w:pPr>
            <w:r w:rsidRPr="00B47C52">
              <w:t>Territory</w:t>
            </w:r>
          </w:p>
        </w:tc>
        <w:tc>
          <w:tcPr>
            <w:tcW w:w="702" w:type="dxa"/>
          </w:tcPr>
          <w:p w14:paraId="614B36FC" w14:textId="77777777" w:rsidR="00E975A6" w:rsidRPr="00B47C52" w:rsidRDefault="00E975A6" w:rsidP="00C65D27">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7C52">
              <w:t>WB</w:t>
            </w:r>
          </w:p>
        </w:tc>
        <w:tc>
          <w:tcPr>
            <w:tcW w:w="630" w:type="dxa"/>
          </w:tcPr>
          <w:p w14:paraId="1D894FD8" w14:textId="77777777" w:rsidR="00E975A6" w:rsidRPr="00B47C52" w:rsidRDefault="00E975A6" w:rsidP="00C65D27">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7C52">
              <w:t>GS</w:t>
            </w:r>
          </w:p>
        </w:tc>
        <w:tc>
          <w:tcPr>
            <w:tcW w:w="630" w:type="dxa"/>
          </w:tcPr>
          <w:p w14:paraId="37C8D355" w14:textId="77777777" w:rsidR="00E975A6" w:rsidRPr="00B47C52" w:rsidRDefault="00E975A6" w:rsidP="00C65D27">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7C52">
              <w:t>WB</w:t>
            </w:r>
          </w:p>
        </w:tc>
        <w:tc>
          <w:tcPr>
            <w:tcW w:w="540" w:type="dxa"/>
          </w:tcPr>
          <w:p w14:paraId="2E6030C2" w14:textId="77777777" w:rsidR="00E975A6" w:rsidRPr="00B47C52" w:rsidRDefault="00E975A6" w:rsidP="00C65D27">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7C52">
              <w:t>GS</w:t>
            </w:r>
          </w:p>
        </w:tc>
        <w:tc>
          <w:tcPr>
            <w:tcW w:w="606" w:type="dxa"/>
          </w:tcPr>
          <w:p w14:paraId="3B3B43E4" w14:textId="77777777" w:rsidR="00E975A6" w:rsidRPr="00B47C52" w:rsidRDefault="00E975A6" w:rsidP="00C65D27">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7C52">
              <w:t>WB</w:t>
            </w:r>
          </w:p>
        </w:tc>
        <w:tc>
          <w:tcPr>
            <w:tcW w:w="667" w:type="dxa"/>
          </w:tcPr>
          <w:p w14:paraId="6BA84B41" w14:textId="77777777" w:rsidR="00E975A6" w:rsidRPr="00B47C52" w:rsidRDefault="00E975A6" w:rsidP="00C65D27">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7C52">
              <w:t>GS</w:t>
            </w:r>
          </w:p>
        </w:tc>
        <w:tc>
          <w:tcPr>
            <w:tcW w:w="617" w:type="dxa"/>
          </w:tcPr>
          <w:p w14:paraId="325BFD1E" w14:textId="77777777" w:rsidR="00E975A6" w:rsidRPr="00B47C52" w:rsidRDefault="00E975A6" w:rsidP="00C65D27">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7C52">
              <w:t>WB</w:t>
            </w:r>
          </w:p>
        </w:tc>
        <w:tc>
          <w:tcPr>
            <w:tcW w:w="720" w:type="dxa"/>
          </w:tcPr>
          <w:p w14:paraId="0E0A2F29" w14:textId="77777777" w:rsidR="00E975A6" w:rsidRPr="00B47C52" w:rsidRDefault="00E975A6" w:rsidP="00C65D27">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7C52">
              <w:t>GS</w:t>
            </w:r>
          </w:p>
        </w:tc>
        <w:tc>
          <w:tcPr>
            <w:tcW w:w="720" w:type="dxa"/>
          </w:tcPr>
          <w:p w14:paraId="37BFE168" w14:textId="77777777" w:rsidR="00E975A6" w:rsidRPr="00B47C52" w:rsidRDefault="00E975A6" w:rsidP="00C65D27">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7C52">
              <w:t>WB</w:t>
            </w:r>
          </w:p>
        </w:tc>
        <w:tc>
          <w:tcPr>
            <w:tcW w:w="630" w:type="dxa"/>
          </w:tcPr>
          <w:p w14:paraId="57371E62" w14:textId="77777777" w:rsidR="00E975A6" w:rsidRPr="00B47C52" w:rsidRDefault="00E975A6" w:rsidP="00C65D27">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7C52">
              <w:t>GS</w:t>
            </w:r>
          </w:p>
        </w:tc>
        <w:tc>
          <w:tcPr>
            <w:tcW w:w="630" w:type="dxa"/>
          </w:tcPr>
          <w:p w14:paraId="78957A01" w14:textId="77777777" w:rsidR="00E975A6" w:rsidRDefault="00E975A6" w:rsidP="00C65D27">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7C52">
              <w:t>WB</w:t>
            </w:r>
          </w:p>
          <w:p w14:paraId="1976617E" w14:textId="77777777" w:rsidR="00E975A6" w:rsidRPr="00B47C52" w:rsidRDefault="00E975A6" w:rsidP="00C65D27">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p>
        </w:tc>
        <w:tc>
          <w:tcPr>
            <w:tcW w:w="630" w:type="dxa"/>
          </w:tcPr>
          <w:p w14:paraId="6D86CC41" w14:textId="77777777" w:rsidR="00E975A6" w:rsidRPr="00B47C52" w:rsidRDefault="00E975A6" w:rsidP="00C65D27">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7C52">
              <w:t>GS</w:t>
            </w:r>
          </w:p>
        </w:tc>
        <w:tc>
          <w:tcPr>
            <w:tcW w:w="630" w:type="dxa"/>
          </w:tcPr>
          <w:p w14:paraId="6756BD44" w14:textId="77777777" w:rsidR="00E975A6" w:rsidRPr="00B47C52" w:rsidRDefault="00E975A6" w:rsidP="00C65D27">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7C52">
              <w:t>WB</w:t>
            </w:r>
          </w:p>
        </w:tc>
        <w:tc>
          <w:tcPr>
            <w:tcW w:w="540" w:type="dxa"/>
          </w:tcPr>
          <w:p w14:paraId="05A7CA06" w14:textId="77777777" w:rsidR="00E975A6" w:rsidRPr="00B47C52" w:rsidRDefault="00E975A6" w:rsidP="00C65D27">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7C52">
              <w:t>GS</w:t>
            </w:r>
          </w:p>
        </w:tc>
        <w:tc>
          <w:tcPr>
            <w:tcW w:w="630" w:type="dxa"/>
          </w:tcPr>
          <w:p w14:paraId="10FE0660" w14:textId="77777777" w:rsidR="00E975A6" w:rsidRPr="00B47C52" w:rsidRDefault="00E975A6" w:rsidP="00C65D27">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7C52">
              <w:t>WB</w:t>
            </w:r>
          </w:p>
        </w:tc>
        <w:tc>
          <w:tcPr>
            <w:tcW w:w="630" w:type="dxa"/>
          </w:tcPr>
          <w:p w14:paraId="7C473B35" w14:textId="77777777" w:rsidR="00E975A6" w:rsidRPr="00B47C52" w:rsidRDefault="00E975A6" w:rsidP="00C65D27">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7C52">
              <w:t>GS</w:t>
            </w:r>
          </w:p>
        </w:tc>
      </w:tr>
      <w:tr w:rsidR="00E975A6" w:rsidRPr="00301DFE" w14:paraId="1513CAA2" w14:textId="77777777" w:rsidTr="005A707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14:paraId="3AD732E1" w14:textId="77777777" w:rsidR="00E975A6" w:rsidRPr="00B47C52" w:rsidRDefault="00E975A6" w:rsidP="00C65D27">
            <w:pPr>
              <w:widowControl w:val="0"/>
              <w:autoSpaceDE w:val="0"/>
              <w:autoSpaceDN w:val="0"/>
              <w:adjustRightInd w:val="0"/>
              <w:spacing w:line="240" w:lineRule="auto"/>
            </w:pPr>
            <w:r w:rsidRPr="00B47C52">
              <w:t>1968-1972</w:t>
            </w:r>
          </w:p>
        </w:tc>
        <w:tc>
          <w:tcPr>
            <w:tcW w:w="702" w:type="dxa"/>
          </w:tcPr>
          <w:p w14:paraId="6CC7A89E" w14:textId="77777777" w:rsidR="00E975A6" w:rsidRPr="00B47C52" w:rsidRDefault="00E975A6" w:rsidP="00C65D27">
            <w:pPr>
              <w:widowControl w:val="0"/>
              <w:autoSpaceDE w:val="0"/>
              <w:autoSpaceDN w:val="0"/>
              <w:adjustRightInd w:val="0"/>
              <w:spacing w:line="240" w:lineRule="auto"/>
              <w:cnfStyle w:val="000000010000" w:firstRow="0" w:lastRow="0" w:firstColumn="0" w:lastColumn="0" w:oddVBand="0" w:evenVBand="0" w:oddHBand="0" w:evenHBand="1" w:firstRowFirstColumn="0" w:firstRowLastColumn="0" w:lastRowFirstColumn="0" w:lastRowLastColumn="0"/>
            </w:pPr>
            <w:r w:rsidRPr="00B47C52">
              <w:t>522</w:t>
            </w:r>
          </w:p>
        </w:tc>
        <w:tc>
          <w:tcPr>
            <w:tcW w:w="630" w:type="dxa"/>
          </w:tcPr>
          <w:p w14:paraId="429CAF28" w14:textId="77777777" w:rsidR="00E975A6" w:rsidRPr="00B47C52" w:rsidRDefault="00E975A6" w:rsidP="00C65D27">
            <w:pPr>
              <w:widowControl w:val="0"/>
              <w:autoSpaceDE w:val="0"/>
              <w:autoSpaceDN w:val="0"/>
              <w:adjustRightInd w:val="0"/>
              <w:spacing w:line="240" w:lineRule="auto"/>
              <w:cnfStyle w:val="000000010000" w:firstRow="0" w:lastRow="0" w:firstColumn="0" w:lastColumn="0" w:oddVBand="0" w:evenVBand="0" w:oddHBand="0" w:evenHBand="1" w:firstRowFirstColumn="0" w:firstRowLastColumn="0" w:lastRowFirstColumn="0" w:lastRowLastColumn="0"/>
            </w:pPr>
            <w:r w:rsidRPr="00B47C52">
              <w:t>199</w:t>
            </w:r>
          </w:p>
        </w:tc>
        <w:tc>
          <w:tcPr>
            <w:tcW w:w="630" w:type="dxa"/>
          </w:tcPr>
          <w:p w14:paraId="0FF871D1" w14:textId="77777777" w:rsidR="00E975A6" w:rsidRPr="00B47C52" w:rsidRDefault="00E975A6" w:rsidP="00C65D27">
            <w:pPr>
              <w:widowControl w:val="0"/>
              <w:autoSpaceDE w:val="0"/>
              <w:autoSpaceDN w:val="0"/>
              <w:adjustRightInd w:val="0"/>
              <w:spacing w:line="240" w:lineRule="auto"/>
              <w:cnfStyle w:val="000000010000" w:firstRow="0" w:lastRow="0" w:firstColumn="0" w:lastColumn="0" w:oddVBand="0" w:evenVBand="0" w:oddHBand="0" w:evenHBand="1" w:firstRowFirstColumn="0" w:firstRowLastColumn="0" w:lastRowFirstColumn="0" w:lastRowLastColumn="0"/>
            </w:pPr>
            <w:r w:rsidRPr="00B47C52">
              <w:t>15</w:t>
            </w:r>
          </w:p>
        </w:tc>
        <w:tc>
          <w:tcPr>
            <w:tcW w:w="540" w:type="dxa"/>
          </w:tcPr>
          <w:p w14:paraId="49332210" w14:textId="77777777" w:rsidR="00E975A6" w:rsidRPr="00B47C52" w:rsidRDefault="00E975A6" w:rsidP="00C65D27">
            <w:pPr>
              <w:widowControl w:val="0"/>
              <w:autoSpaceDE w:val="0"/>
              <w:autoSpaceDN w:val="0"/>
              <w:adjustRightInd w:val="0"/>
              <w:spacing w:line="240" w:lineRule="auto"/>
              <w:cnfStyle w:val="000000010000" w:firstRow="0" w:lastRow="0" w:firstColumn="0" w:lastColumn="0" w:oddVBand="0" w:evenVBand="0" w:oddHBand="0" w:evenHBand="1" w:firstRowFirstColumn="0" w:firstRowLastColumn="0" w:lastRowFirstColumn="0" w:lastRowLastColumn="0"/>
            </w:pPr>
            <w:r w:rsidRPr="00B47C52">
              <w:t>11</w:t>
            </w:r>
          </w:p>
        </w:tc>
        <w:tc>
          <w:tcPr>
            <w:tcW w:w="606" w:type="dxa"/>
          </w:tcPr>
          <w:p w14:paraId="49AE900F" w14:textId="77777777" w:rsidR="00E975A6" w:rsidRPr="00B47C52" w:rsidRDefault="00E975A6" w:rsidP="00C65D27">
            <w:pPr>
              <w:widowControl w:val="0"/>
              <w:autoSpaceDE w:val="0"/>
              <w:autoSpaceDN w:val="0"/>
              <w:adjustRightInd w:val="0"/>
              <w:spacing w:line="240" w:lineRule="auto"/>
              <w:cnfStyle w:val="000000010000" w:firstRow="0" w:lastRow="0" w:firstColumn="0" w:lastColumn="0" w:oddVBand="0" w:evenVBand="0" w:oddHBand="0" w:evenHBand="1" w:firstRowFirstColumn="0" w:firstRowLastColumn="0" w:lastRowFirstColumn="0" w:lastRowLastColumn="0"/>
            </w:pPr>
            <w:r w:rsidRPr="00B47C52">
              <w:t>20</w:t>
            </w:r>
          </w:p>
        </w:tc>
        <w:tc>
          <w:tcPr>
            <w:tcW w:w="667" w:type="dxa"/>
          </w:tcPr>
          <w:p w14:paraId="48D97DE5" w14:textId="77777777" w:rsidR="00E975A6" w:rsidRPr="00B47C52" w:rsidRDefault="00E975A6" w:rsidP="00C65D27">
            <w:pPr>
              <w:widowControl w:val="0"/>
              <w:autoSpaceDE w:val="0"/>
              <w:autoSpaceDN w:val="0"/>
              <w:adjustRightInd w:val="0"/>
              <w:spacing w:line="240" w:lineRule="auto"/>
              <w:cnfStyle w:val="000000010000" w:firstRow="0" w:lastRow="0" w:firstColumn="0" w:lastColumn="0" w:oddVBand="0" w:evenVBand="0" w:oddHBand="0" w:evenHBand="1" w:firstRowFirstColumn="0" w:firstRowLastColumn="0" w:lastRowFirstColumn="0" w:lastRowLastColumn="0"/>
            </w:pPr>
            <w:r w:rsidRPr="00B47C52">
              <w:t>18</w:t>
            </w:r>
          </w:p>
        </w:tc>
        <w:tc>
          <w:tcPr>
            <w:tcW w:w="617" w:type="dxa"/>
          </w:tcPr>
          <w:p w14:paraId="5ABF89FD" w14:textId="77777777" w:rsidR="00E975A6" w:rsidRPr="00B47C52" w:rsidRDefault="00E975A6" w:rsidP="00C65D27">
            <w:pPr>
              <w:widowControl w:val="0"/>
              <w:autoSpaceDE w:val="0"/>
              <w:autoSpaceDN w:val="0"/>
              <w:adjustRightInd w:val="0"/>
              <w:spacing w:line="240" w:lineRule="auto"/>
              <w:cnfStyle w:val="000000010000" w:firstRow="0" w:lastRow="0" w:firstColumn="0" w:lastColumn="0" w:oddVBand="0" w:evenVBand="0" w:oddHBand="0" w:evenHBand="1" w:firstRowFirstColumn="0" w:firstRowLastColumn="0" w:lastRowFirstColumn="0" w:lastRowLastColumn="0"/>
            </w:pPr>
            <w:r w:rsidRPr="00B47C52">
              <w:t>21</w:t>
            </w:r>
          </w:p>
        </w:tc>
        <w:tc>
          <w:tcPr>
            <w:tcW w:w="720" w:type="dxa"/>
          </w:tcPr>
          <w:p w14:paraId="011D99E9" w14:textId="77777777" w:rsidR="00E975A6" w:rsidRPr="00B47C52" w:rsidRDefault="00E975A6" w:rsidP="00C65D27">
            <w:pPr>
              <w:widowControl w:val="0"/>
              <w:autoSpaceDE w:val="0"/>
              <w:autoSpaceDN w:val="0"/>
              <w:adjustRightInd w:val="0"/>
              <w:spacing w:line="240" w:lineRule="auto"/>
              <w:cnfStyle w:val="000000010000" w:firstRow="0" w:lastRow="0" w:firstColumn="0" w:lastColumn="0" w:oddVBand="0" w:evenVBand="0" w:oddHBand="0" w:evenHBand="1" w:firstRowFirstColumn="0" w:firstRowLastColumn="0" w:lastRowFirstColumn="0" w:lastRowLastColumn="0"/>
            </w:pPr>
            <w:r w:rsidRPr="00B47C52">
              <w:t>17</w:t>
            </w:r>
          </w:p>
        </w:tc>
        <w:tc>
          <w:tcPr>
            <w:tcW w:w="720" w:type="dxa"/>
          </w:tcPr>
          <w:p w14:paraId="67A641CE" w14:textId="77777777" w:rsidR="00E975A6" w:rsidRPr="00B47C52" w:rsidRDefault="00E975A6" w:rsidP="00C65D27">
            <w:pPr>
              <w:widowControl w:val="0"/>
              <w:autoSpaceDE w:val="0"/>
              <w:autoSpaceDN w:val="0"/>
              <w:adjustRightInd w:val="0"/>
              <w:spacing w:line="240" w:lineRule="auto"/>
              <w:cnfStyle w:val="000000010000" w:firstRow="0" w:lastRow="0" w:firstColumn="0" w:lastColumn="0" w:oddVBand="0" w:evenVBand="0" w:oddHBand="0" w:evenHBand="1" w:firstRowFirstColumn="0" w:firstRowLastColumn="0" w:lastRowFirstColumn="0" w:lastRowLastColumn="0"/>
            </w:pPr>
            <w:r w:rsidRPr="00B47C52">
              <w:t>20</w:t>
            </w:r>
          </w:p>
        </w:tc>
        <w:tc>
          <w:tcPr>
            <w:tcW w:w="630" w:type="dxa"/>
          </w:tcPr>
          <w:p w14:paraId="70376496" w14:textId="77777777" w:rsidR="00E975A6" w:rsidRPr="00B47C52" w:rsidRDefault="00E975A6" w:rsidP="00C65D27">
            <w:pPr>
              <w:widowControl w:val="0"/>
              <w:autoSpaceDE w:val="0"/>
              <w:autoSpaceDN w:val="0"/>
              <w:adjustRightInd w:val="0"/>
              <w:spacing w:line="240" w:lineRule="auto"/>
              <w:cnfStyle w:val="000000010000" w:firstRow="0" w:lastRow="0" w:firstColumn="0" w:lastColumn="0" w:oddVBand="0" w:evenVBand="0" w:oddHBand="0" w:evenHBand="1" w:firstRowFirstColumn="0" w:firstRowLastColumn="0" w:lastRowFirstColumn="0" w:lastRowLastColumn="0"/>
            </w:pPr>
            <w:r w:rsidRPr="00B47C52">
              <w:t>9</w:t>
            </w:r>
          </w:p>
        </w:tc>
        <w:tc>
          <w:tcPr>
            <w:tcW w:w="630" w:type="dxa"/>
          </w:tcPr>
          <w:p w14:paraId="181AB140" w14:textId="77777777" w:rsidR="00E975A6" w:rsidRPr="00B47C52" w:rsidRDefault="00E975A6" w:rsidP="00C65D27">
            <w:pPr>
              <w:widowControl w:val="0"/>
              <w:autoSpaceDE w:val="0"/>
              <w:autoSpaceDN w:val="0"/>
              <w:adjustRightInd w:val="0"/>
              <w:spacing w:line="240" w:lineRule="auto"/>
              <w:cnfStyle w:val="000000010000" w:firstRow="0" w:lastRow="0" w:firstColumn="0" w:lastColumn="0" w:oddVBand="0" w:evenVBand="0" w:oddHBand="0" w:evenHBand="1" w:firstRowFirstColumn="0" w:firstRowLastColumn="0" w:lastRowFirstColumn="0" w:lastRowLastColumn="0"/>
            </w:pPr>
            <w:r w:rsidRPr="00B47C52">
              <w:t>67</w:t>
            </w:r>
          </w:p>
        </w:tc>
        <w:tc>
          <w:tcPr>
            <w:tcW w:w="630" w:type="dxa"/>
          </w:tcPr>
          <w:p w14:paraId="530EA74F" w14:textId="77777777" w:rsidR="00E975A6" w:rsidRPr="00B47C52" w:rsidRDefault="00E975A6" w:rsidP="00C65D27">
            <w:pPr>
              <w:widowControl w:val="0"/>
              <w:autoSpaceDE w:val="0"/>
              <w:autoSpaceDN w:val="0"/>
              <w:adjustRightInd w:val="0"/>
              <w:spacing w:line="240" w:lineRule="auto"/>
              <w:cnfStyle w:val="000000010000" w:firstRow="0" w:lastRow="0" w:firstColumn="0" w:lastColumn="0" w:oddVBand="0" w:evenVBand="0" w:oddHBand="0" w:evenHBand="1" w:firstRowFirstColumn="0" w:firstRowLastColumn="0" w:lastRowFirstColumn="0" w:lastRowLastColumn="0"/>
            </w:pPr>
            <w:r w:rsidRPr="00B47C52">
              <w:t>64</w:t>
            </w:r>
          </w:p>
        </w:tc>
        <w:tc>
          <w:tcPr>
            <w:tcW w:w="630" w:type="dxa"/>
          </w:tcPr>
          <w:p w14:paraId="74357157" w14:textId="77777777" w:rsidR="00E975A6" w:rsidRPr="00B47C52" w:rsidRDefault="00E975A6" w:rsidP="00C65D27">
            <w:pPr>
              <w:widowControl w:val="0"/>
              <w:autoSpaceDE w:val="0"/>
              <w:autoSpaceDN w:val="0"/>
              <w:adjustRightInd w:val="0"/>
              <w:spacing w:line="240" w:lineRule="auto"/>
              <w:cnfStyle w:val="000000010000" w:firstRow="0" w:lastRow="0" w:firstColumn="0" w:lastColumn="0" w:oddVBand="0" w:evenVBand="0" w:oddHBand="0" w:evenHBand="1" w:firstRowFirstColumn="0" w:firstRowLastColumn="0" w:lastRowFirstColumn="0" w:lastRowLastColumn="0"/>
            </w:pPr>
            <w:r w:rsidRPr="00B47C52">
              <w:t>22</w:t>
            </w:r>
          </w:p>
        </w:tc>
        <w:tc>
          <w:tcPr>
            <w:tcW w:w="540" w:type="dxa"/>
          </w:tcPr>
          <w:p w14:paraId="414A092C" w14:textId="77777777" w:rsidR="00E975A6" w:rsidRPr="00B47C52" w:rsidRDefault="00E975A6" w:rsidP="00C65D27">
            <w:pPr>
              <w:widowControl w:val="0"/>
              <w:autoSpaceDE w:val="0"/>
              <w:autoSpaceDN w:val="0"/>
              <w:adjustRightInd w:val="0"/>
              <w:spacing w:line="240" w:lineRule="auto"/>
              <w:cnfStyle w:val="000000010000" w:firstRow="0" w:lastRow="0" w:firstColumn="0" w:lastColumn="0" w:oddVBand="0" w:evenVBand="0" w:oddHBand="0" w:evenHBand="1" w:firstRowFirstColumn="0" w:firstRowLastColumn="0" w:lastRowFirstColumn="0" w:lastRowLastColumn="0"/>
            </w:pPr>
            <w:r w:rsidRPr="00B47C52">
              <w:t>21</w:t>
            </w:r>
          </w:p>
        </w:tc>
        <w:tc>
          <w:tcPr>
            <w:tcW w:w="630" w:type="dxa"/>
          </w:tcPr>
          <w:p w14:paraId="504EAC7C" w14:textId="77777777" w:rsidR="00E975A6" w:rsidRPr="00B47C52" w:rsidRDefault="00E975A6" w:rsidP="00C65D27">
            <w:pPr>
              <w:widowControl w:val="0"/>
              <w:autoSpaceDE w:val="0"/>
              <w:autoSpaceDN w:val="0"/>
              <w:adjustRightInd w:val="0"/>
              <w:spacing w:line="240" w:lineRule="auto"/>
              <w:cnfStyle w:val="000000010000" w:firstRow="0" w:lastRow="0" w:firstColumn="0" w:lastColumn="0" w:oddVBand="0" w:evenVBand="0" w:oddHBand="0" w:evenHBand="1" w:firstRowFirstColumn="0" w:firstRowLastColumn="0" w:lastRowFirstColumn="0" w:lastRowLastColumn="0"/>
            </w:pPr>
            <w:r w:rsidRPr="00B47C52">
              <w:t>2.6</w:t>
            </w:r>
          </w:p>
        </w:tc>
        <w:tc>
          <w:tcPr>
            <w:tcW w:w="630" w:type="dxa"/>
          </w:tcPr>
          <w:p w14:paraId="753BE02B" w14:textId="77777777" w:rsidR="00E975A6" w:rsidRPr="00B47C52" w:rsidRDefault="00E975A6" w:rsidP="00C65D27">
            <w:pPr>
              <w:widowControl w:val="0"/>
              <w:autoSpaceDE w:val="0"/>
              <w:autoSpaceDN w:val="0"/>
              <w:adjustRightInd w:val="0"/>
              <w:spacing w:line="240" w:lineRule="auto"/>
              <w:cnfStyle w:val="000000010000" w:firstRow="0" w:lastRow="0" w:firstColumn="0" w:lastColumn="0" w:oddVBand="0" w:evenVBand="0" w:oddHBand="0" w:evenHBand="1" w:firstRowFirstColumn="0" w:firstRowLastColumn="0" w:lastRowFirstColumn="0" w:lastRowLastColumn="0"/>
            </w:pPr>
            <w:r w:rsidRPr="00B47C52">
              <w:t>1</w:t>
            </w:r>
          </w:p>
        </w:tc>
      </w:tr>
      <w:tr w:rsidR="00E975A6" w:rsidRPr="00301DFE" w14:paraId="448122AC" w14:textId="77777777" w:rsidTr="005A70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14:paraId="335169D1" w14:textId="77777777" w:rsidR="00E975A6" w:rsidRPr="00B47C52" w:rsidRDefault="00E975A6" w:rsidP="00C65D27">
            <w:pPr>
              <w:widowControl w:val="0"/>
              <w:autoSpaceDE w:val="0"/>
              <w:autoSpaceDN w:val="0"/>
              <w:adjustRightInd w:val="0"/>
              <w:spacing w:line="240" w:lineRule="auto"/>
            </w:pPr>
            <w:r w:rsidRPr="00B47C52">
              <w:t>1973-1979</w:t>
            </w:r>
          </w:p>
        </w:tc>
        <w:tc>
          <w:tcPr>
            <w:tcW w:w="702" w:type="dxa"/>
          </w:tcPr>
          <w:p w14:paraId="55553CE8" w14:textId="77777777" w:rsidR="00E975A6" w:rsidRPr="00B47C52" w:rsidRDefault="00E975A6" w:rsidP="00C65D27">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7C52">
              <w:t>904</w:t>
            </w:r>
          </w:p>
        </w:tc>
        <w:tc>
          <w:tcPr>
            <w:tcW w:w="630" w:type="dxa"/>
          </w:tcPr>
          <w:p w14:paraId="420E8326" w14:textId="77777777" w:rsidR="00E975A6" w:rsidRPr="00B47C52" w:rsidRDefault="00E975A6" w:rsidP="00C65D27">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7C52">
              <w:t>306</w:t>
            </w:r>
          </w:p>
        </w:tc>
        <w:tc>
          <w:tcPr>
            <w:tcW w:w="630" w:type="dxa"/>
          </w:tcPr>
          <w:p w14:paraId="41CA0DBD" w14:textId="77777777" w:rsidR="00E975A6" w:rsidRPr="00B47C52" w:rsidRDefault="00E975A6" w:rsidP="00C65D27">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7C52">
              <w:t>6</w:t>
            </w:r>
          </w:p>
        </w:tc>
        <w:tc>
          <w:tcPr>
            <w:tcW w:w="540" w:type="dxa"/>
          </w:tcPr>
          <w:p w14:paraId="7F7DE9B1" w14:textId="77777777" w:rsidR="00E975A6" w:rsidRPr="00B47C52" w:rsidRDefault="00E975A6" w:rsidP="00C65D27">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7C52">
              <w:t>7</w:t>
            </w:r>
          </w:p>
        </w:tc>
        <w:tc>
          <w:tcPr>
            <w:tcW w:w="606" w:type="dxa"/>
          </w:tcPr>
          <w:p w14:paraId="1C7B29EF" w14:textId="77777777" w:rsidR="00E975A6" w:rsidRPr="00B47C52" w:rsidRDefault="00E975A6" w:rsidP="00C65D27">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7C52">
              <w:t>4</w:t>
            </w:r>
          </w:p>
        </w:tc>
        <w:tc>
          <w:tcPr>
            <w:tcW w:w="667" w:type="dxa"/>
          </w:tcPr>
          <w:p w14:paraId="3C046867" w14:textId="77777777" w:rsidR="00E975A6" w:rsidRPr="00B47C52" w:rsidRDefault="00E975A6" w:rsidP="00C65D27">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7C52">
              <w:t>6</w:t>
            </w:r>
          </w:p>
        </w:tc>
        <w:tc>
          <w:tcPr>
            <w:tcW w:w="617" w:type="dxa"/>
          </w:tcPr>
          <w:p w14:paraId="10260233" w14:textId="77777777" w:rsidR="00E975A6" w:rsidRPr="00B47C52" w:rsidRDefault="00E975A6" w:rsidP="00C65D27">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7C52">
              <w:t>30</w:t>
            </w:r>
          </w:p>
        </w:tc>
        <w:tc>
          <w:tcPr>
            <w:tcW w:w="720" w:type="dxa"/>
          </w:tcPr>
          <w:p w14:paraId="1D2F1CA5" w14:textId="77777777" w:rsidR="00E975A6" w:rsidRPr="00B47C52" w:rsidRDefault="00E975A6" w:rsidP="00C65D27">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7C52">
              <w:t>37</w:t>
            </w:r>
          </w:p>
        </w:tc>
        <w:tc>
          <w:tcPr>
            <w:tcW w:w="720" w:type="dxa"/>
          </w:tcPr>
          <w:p w14:paraId="336AAFAC" w14:textId="77777777" w:rsidR="00E975A6" w:rsidRPr="00B47C52" w:rsidRDefault="00E975A6" w:rsidP="00C65D27">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7C52">
              <w:t>32</w:t>
            </w:r>
          </w:p>
        </w:tc>
        <w:tc>
          <w:tcPr>
            <w:tcW w:w="630" w:type="dxa"/>
          </w:tcPr>
          <w:p w14:paraId="1EE22923" w14:textId="77777777" w:rsidR="00E975A6" w:rsidRPr="00B47C52" w:rsidRDefault="00E975A6" w:rsidP="00C65D27">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7C52">
              <w:t>28</w:t>
            </w:r>
          </w:p>
        </w:tc>
        <w:tc>
          <w:tcPr>
            <w:tcW w:w="630" w:type="dxa"/>
          </w:tcPr>
          <w:p w14:paraId="6550DA69" w14:textId="77777777" w:rsidR="00E975A6" w:rsidRPr="00B47C52" w:rsidRDefault="00E975A6" w:rsidP="00C65D27">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7C52">
              <w:t>73</w:t>
            </w:r>
          </w:p>
        </w:tc>
        <w:tc>
          <w:tcPr>
            <w:tcW w:w="630" w:type="dxa"/>
          </w:tcPr>
          <w:p w14:paraId="69D7DEE9" w14:textId="77777777" w:rsidR="00E975A6" w:rsidRPr="00B47C52" w:rsidRDefault="00E975A6" w:rsidP="00C65D27">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7C52">
              <w:t>109</w:t>
            </w:r>
          </w:p>
        </w:tc>
        <w:tc>
          <w:tcPr>
            <w:tcW w:w="630" w:type="dxa"/>
          </w:tcPr>
          <w:p w14:paraId="198F78A6" w14:textId="77777777" w:rsidR="00E975A6" w:rsidRPr="00B47C52" w:rsidRDefault="00E975A6" w:rsidP="00C65D27">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7C52">
              <w:t>25</w:t>
            </w:r>
          </w:p>
        </w:tc>
        <w:tc>
          <w:tcPr>
            <w:tcW w:w="540" w:type="dxa"/>
          </w:tcPr>
          <w:p w14:paraId="30143047" w14:textId="77777777" w:rsidR="00E975A6" w:rsidRPr="00B47C52" w:rsidRDefault="00E975A6" w:rsidP="00C65D27">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7C52">
              <w:t>36</w:t>
            </w:r>
          </w:p>
        </w:tc>
        <w:tc>
          <w:tcPr>
            <w:tcW w:w="630" w:type="dxa"/>
          </w:tcPr>
          <w:p w14:paraId="118CE192" w14:textId="77777777" w:rsidR="00E975A6" w:rsidRPr="00B47C52" w:rsidRDefault="00E975A6" w:rsidP="00C65D27">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7C52">
              <w:t>3.1</w:t>
            </w:r>
          </w:p>
        </w:tc>
        <w:tc>
          <w:tcPr>
            <w:tcW w:w="630" w:type="dxa"/>
          </w:tcPr>
          <w:p w14:paraId="64B66658" w14:textId="77777777" w:rsidR="00E975A6" w:rsidRPr="00B47C52" w:rsidRDefault="00E975A6" w:rsidP="00C65D27">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7C52">
              <w:t>1.1</w:t>
            </w:r>
          </w:p>
        </w:tc>
      </w:tr>
      <w:tr w:rsidR="00E975A6" w:rsidRPr="00301DFE" w14:paraId="5C414C38" w14:textId="77777777" w:rsidTr="005A707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14:paraId="291BFF1F" w14:textId="77777777" w:rsidR="00E975A6" w:rsidRPr="00B47C52" w:rsidRDefault="00E975A6" w:rsidP="00C65D27">
            <w:pPr>
              <w:widowControl w:val="0"/>
              <w:autoSpaceDE w:val="0"/>
              <w:autoSpaceDN w:val="0"/>
              <w:adjustRightInd w:val="0"/>
              <w:spacing w:line="240" w:lineRule="auto"/>
            </w:pPr>
            <w:r w:rsidRPr="00B47C52">
              <w:t>1980-1987</w:t>
            </w:r>
          </w:p>
        </w:tc>
        <w:tc>
          <w:tcPr>
            <w:tcW w:w="702" w:type="dxa"/>
          </w:tcPr>
          <w:p w14:paraId="32170B8C" w14:textId="77777777" w:rsidR="00E975A6" w:rsidRPr="00B47C52" w:rsidRDefault="00E975A6" w:rsidP="00C65D27">
            <w:pPr>
              <w:widowControl w:val="0"/>
              <w:autoSpaceDE w:val="0"/>
              <w:autoSpaceDN w:val="0"/>
              <w:adjustRightInd w:val="0"/>
              <w:spacing w:line="240" w:lineRule="auto"/>
              <w:cnfStyle w:val="000000010000" w:firstRow="0" w:lastRow="0" w:firstColumn="0" w:lastColumn="0" w:oddVBand="0" w:evenVBand="0" w:oddHBand="0" w:evenHBand="1" w:firstRowFirstColumn="0" w:firstRowLastColumn="0" w:lastRowFirstColumn="0" w:lastRowLastColumn="0"/>
            </w:pPr>
            <w:r w:rsidRPr="00B47C52">
              <w:t>1344</w:t>
            </w:r>
          </w:p>
        </w:tc>
        <w:tc>
          <w:tcPr>
            <w:tcW w:w="630" w:type="dxa"/>
          </w:tcPr>
          <w:p w14:paraId="3922D80C" w14:textId="77777777" w:rsidR="00E975A6" w:rsidRPr="00B47C52" w:rsidRDefault="00E975A6" w:rsidP="00C65D27">
            <w:pPr>
              <w:widowControl w:val="0"/>
              <w:autoSpaceDE w:val="0"/>
              <w:autoSpaceDN w:val="0"/>
              <w:adjustRightInd w:val="0"/>
              <w:spacing w:line="240" w:lineRule="auto"/>
              <w:cnfStyle w:val="000000010000" w:firstRow="0" w:lastRow="0" w:firstColumn="0" w:lastColumn="0" w:oddVBand="0" w:evenVBand="0" w:oddHBand="0" w:evenHBand="1" w:firstRowFirstColumn="0" w:firstRowLastColumn="0" w:lastRowFirstColumn="0" w:lastRowLastColumn="0"/>
            </w:pPr>
            <w:r w:rsidRPr="00B47C52">
              <w:t>379</w:t>
            </w:r>
          </w:p>
        </w:tc>
        <w:tc>
          <w:tcPr>
            <w:tcW w:w="630" w:type="dxa"/>
          </w:tcPr>
          <w:p w14:paraId="08C70434" w14:textId="77777777" w:rsidR="00E975A6" w:rsidRPr="00B47C52" w:rsidRDefault="00E975A6" w:rsidP="00C65D27">
            <w:pPr>
              <w:widowControl w:val="0"/>
              <w:autoSpaceDE w:val="0"/>
              <w:autoSpaceDN w:val="0"/>
              <w:adjustRightInd w:val="0"/>
              <w:spacing w:line="240" w:lineRule="auto"/>
              <w:cnfStyle w:val="000000010000" w:firstRow="0" w:lastRow="0" w:firstColumn="0" w:lastColumn="0" w:oddVBand="0" w:evenVBand="0" w:oddHBand="0" w:evenHBand="1" w:firstRowFirstColumn="0" w:firstRowLastColumn="0" w:lastRowFirstColumn="0" w:lastRowLastColumn="0"/>
            </w:pPr>
            <w:r w:rsidRPr="00B47C52">
              <w:t>5</w:t>
            </w:r>
          </w:p>
        </w:tc>
        <w:tc>
          <w:tcPr>
            <w:tcW w:w="540" w:type="dxa"/>
          </w:tcPr>
          <w:p w14:paraId="55F8E913" w14:textId="77777777" w:rsidR="00E975A6" w:rsidRPr="00B47C52" w:rsidRDefault="00E975A6" w:rsidP="00C65D27">
            <w:pPr>
              <w:widowControl w:val="0"/>
              <w:autoSpaceDE w:val="0"/>
              <w:autoSpaceDN w:val="0"/>
              <w:adjustRightInd w:val="0"/>
              <w:spacing w:line="240" w:lineRule="auto"/>
              <w:cnfStyle w:val="000000010000" w:firstRow="0" w:lastRow="0" w:firstColumn="0" w:lastColumn="0" w:oddVBand="0" w:evenVBand="0" w:oddHBand="0" w:evenHBand="1" w:firstRowFirstColumn="0" w:firstRowLastColumn="0" w:lastRowFirstColumn="0" w:lastRowLastColumn="0"/>
            </w:pPr>
            <w:r w:rsidRPr="00B47C52">
              <w:t>3</w:t>
            </w:r>
          </w:p>
        </w:tc>
        <w:tc>
          <w:tcPr>
            <w:tcW w:w="606" w:type="dxa"/>
          </w:tcPr>
          <w:p w14:paraId="491261DB" w14:textId="77777777" w:rsidR="00E975A6" w:rsidRPr="00B47C52" w:rsidRDefault="00E975A6" w:rsidP="00C65D27">
            <w:pPr>
              <w:widowControl w:val="0"/>
              <w:autoSpaceDE w:val="0"/>
              <w:autoSpaceDN w:val="0"/>
              <w:adjustRightInd w:val="0"/>
              <w:spacing w:line="240" w:lineRule="auto"/>
              <w:cnfStyle w:val="000000010000" w:firstRow="0" w:lastRow="0" w:firstColumn="0" w:lastColumn="0" w:oddVBand="0" w:evenVBand="0" w:oddHBand="0" w:evenHBand="1" w:firstRowFirstColumn="0" w:firstRowLastColumn="0" w:lastRowFirstColumn="0" w:lastRowLastColumn="0"/>
            </w:pPr>
            <w:r w:rsidRPr="00B47C52">
              <w:t>2</w:t>
            </w:r>
          </w:p>
        </w:tc>
        <w:tc>
          <w:tcPr>
            <w:tcW w:w="667" w:type="dxa"/>
          </w:tcPr>
          <w:p w14:paraId="6140F43C" w14:textId="77777777" w:rsidR="00E975A6" w:rsidRPr="00B47C52" w:rsidRDefault="00E975A6" w:rsidP="00C65D27">
            <w:pPr>
              <w:widowControl w:val="0"/>
              <w:autoSpaceDE w:val="0"/>
              <w:autoSpaceDN w:val="0"/>
              <w:adjustRightInd w:val="0"/>
              <w:spacing w:line="240" w:lineRule="auto"/>
              <w:cnfStyle w:val="000000010000" w:firstRow="0" w:lastRow="0" w:firstColumn="0" w:lastColumn="0" w:oddVBand="0" w:evenVBand="0" w:oddHBand="0" w:evenHBand="1" w:firstRowFirstColumn="0" w:firstRowLastColumn="0" w:lastRowFirstColumn="0" w:lastRowLastColumn="0"/>
            </w:pPr>
            <w:r w:rsidRPr="00B47C52">
              <w:t>2</w:t>
            </w:r>
          </w:p>
        </w:tc>
        <w:tc>
          <w:tcPr>
            <w:tcW w:w="617" w:type="dxa"/>
          </w:tcPr>
          <w:p w14:paraId="13E68E4C" w14:textId="77777777" w:rsidR="00E975A6" w:rsidRPr="00B47C52" w:rsidRDefault="00E975A6" w:rsidP="00C65D27">
            <w:pPr>
              <w:widowControl w:val="0"/>
              <w:autoSpaceDE w:val="0"/>
              <w:autoSpaceDN w:val="0"/>
              <w:adjustRightInd w:val="0"/>
              <w:spacing w:line="240" w:lineRule="auto"/>
              <w:cnfStyle w:val="000000010000" w:firstRow="0" w:lastRow="0" w:firstColumn="0" w:lastColumn="0" w:oddVBand="0" w:evenVBand="0" w:oddHBand="0" w:evenHBand="1" w:firstRowFirstColumn="0" w:firstRowLastColumn="0" w:lastRowFirstColumn="0" w:lastRowLastColumn="0"/>
            </w:pPr>
            <w:r w:rsidRPr="00B47C52">
              <w:t>32</w:t>
            </w:r>
          </w:p>
        </w:tc>
        <w:tc>
          <w:tcPr>
            <w:tcW w:w="720" w:type="dxa"/>
          </w:tcPr>
          <w:p w14:paraId="0EEDADB0" w14:textId="77777777" w:rsidR="00E975A6" w:rsidRPr="00B47C52" w:rsidRDefault="00E975A6" w:rsidP="00C65D27">
            <w:pPr>
              <w:widowControl w:val="0"/>
              <w:autoSpaceDE w:val="0"/>
              <w:autoSpaceDN w:val="0"/>
              <w:adjustRightInd w:val="0"/>
              <w:spacing w:line="240" w:lineRule="auto"/>
              <w:cnfStyle w:val="000000010000" w:firstRow="0" w:lastRow="0" w:firstColumn="0" w:lastColumn="0" w:oddVBand="0" w:evenVBand="0" w:oddHBand="0" w:evenHBand="1" w:firstRowFirstColumn="0" w:firstRowLastColumn="0" w:lastRowFirstColumn="0" w:lastRowLastColumn="0"/>
            </w:pPr>
            <w:r w:rsidRPr="00B47C52">
              <w:t>45</w:t>
            </w:r>
          </w:p>
        </w:tc>
        <w:tc>
          <w:tcPr>
            <w:tcW w:w="720" w:type="dxa"/>
          </w:tcPr>
          <w:p w14:paraId="4F2CF5A1" w14:textId="77777777" w:rsidR="00E975A6" w:rsidRPr="00B47C52" w:rsidRDefault="00E975A6" w:rsidP="00C65D27">
            <w:pPr>
              <w:widowControl w:val="0"/>
              <w:autoSpaceDE w:val="0"/>
              <w:autoSpaceDN w:val="0"/>
              <w:adjustRightInd w:val="0"/>
              <w:spacing w:line="240" w:lineRule="auto"/>
              <w:cnfStyle w:val="000000010000" w:firstRow="0" w:lastRow="0" w:firstColumn="0" w:lastColumn="0" w:oddVBand="0" w:evenVBand="0" w:oddHBand="0" w:evenHBand="1" w:firstRowFirstColumn="0" w:firstRowLastColumn="0" w:lastRowFirstColumn="0" w:lastRowLastColumn="0"/>
            </w:pPr>
            <w:r w:rsidRPr="00B47C52">
              <w:t>28</w:t>
            </w:r>
          </w:p>
        </w:tc>
        <w:tc>
          <w:tcPr>
            <w:tcW w:w="630" w:type="dxa"/>
          </w:tcPr>
          <w:p w14:paraId="0AD80047" w14:textId="77777777" w:rsidR="00E975A6" w:rsidRPr="00B47C52" w:rsidRDefault="00E975A6" w:rsidP="00C65D27">
            <w:pPr>
              <w:widowControl w:val="0"/>
              <w:autoSpaceDE w:val="0"/>
              <w:autoSpaceDN w:val="0"/>
              <w:adjustRightInd w:val="0"/>
              <w:spacing w:line="240" w:lineRule="auto"/>
              <w:cnfStyle w:val="000000010000" w:firstRow="0" w:lastRow="0" w:firstColumn="0" w:lastColumn="0" w:oddVBand="0" w:evenVBand="0" w:oddHBand="0" w:evenHBand="1" w:firstRowFirstColumn="0" w:firstRowLastColumn="0" w:lastRowFirstColumn="0" w:lastRowLastColumn="0"/>
            </w:pPr>
            <w:r w:rsidRPr="00B47C52">
              <w:t>57</w:t>
            </w:r>
          </w:p>
        </w:tc>
        <w:tc>
          <w:tcPr>
            <w:tcW w:w="630" w:type="dxa"/>
          </w:tcPr>
          <w:p w14:paraId="1B8F4EA8" w14:textId="77777777" w:rsidR="00E975A6" w:rsidRPr="00B47C52" w:rsidRDefault="00E975A6" w:rsidP="00C65D27">
            <w:pPr>
              <w:widowControl w:val="0"/>
              <w:autoSpaceDE w:val="0"/>
              <w:autoSpaceDN w:val="0"/>
              <w:adjustRightInd w:val="0"/>
              <w:spacing w:line="240" w:lineRule="auto"/>
              <w:cnfStyle w:val="000000010000" w:firstRow="0" w:lastRow="0" w:firstColumn="0" w:lastColumn="0" w:oddVBand="0" w:evenVBand="0" w:oddHBand="0" w:evenHBand="1" w:firstRowFirstColumn="0" w:firstRowLastColumn="0" w:lastRowFirstColumn="0" w:lastRowLastColumn="0"/>
            </w:pPr>
            <w:r w:rsidRPr="00B47C52">
              <w:t>63</w:t>
            </w:r>
          </w:p>
        </w:tc>
        <w:tc>
          <w:tcPr>
            <w:tcW w:w="630" w:type="dxa"/>
          </w:tcPr>
          <w:p w14:paraId="63C9329C" w14:textId="77777777" w:rsidR="00E975A6" w:rsidRPr="00B47C52" w:rsidRDefault="00E975A6" w:rsidP="00C65D27">
            <w:pPr>
              <w:widowControl w:val="0"/>
              <w:autoSpaceDE w:val="0"/>
              <w:autoSpaceDN w:val="0"/>
              <w:adjustRightInd w:val="0"/>
              <w:spacing w:line="240" w:lineRule="auto"/>
              <w:cnfStyle w:val="000000010000" w:firstRow="0" w:lastRow="0" w:firstColumn="0" w:lastColumn="0" w:oddVBand="0" w:evenVBand="0" w:oddHBand="0" w:evenHBand="1" w:firstRowFirstColumn="0" w:firstRowLastColumn="0" w:lastRowFirstColumn="0" w:lastRowLastColumn="0"/>
            </w:pPr>
            <w:r w:rsidRPr="00B47C52">
              <w:t>123</w:t>
            </w:r>
          </w:p>
        </w:tc>
        <w:tc>
          <w:tcPr>
            <w:tcW w:w="630" w:type="dxa"/>
          </w:tcPr>
          <w:p w14:paraId="38A771A0" w14:textId="77777777" w:rsidR="00E975A6" w:rsidRPr="00B47C52" w:rsidRDefault="00E975A6" w:rsidP="00C65D27">
            <w:pPr>
              <w:widowControl w:val="0"/>
              <w:autoSpaceDE w:val="0"/>
              <w:autoSpaceDN w:val="0"/>
              <w:adjustRightInd w:val="0"/>
              <w:spacing w:line="240" w:lineRule="auto"/>
              <w:cnfStyle w:val="000000010000" w:firstRow="0" w:lastRow="0" w:firstColumn="0" w:lastColumn="0" w:oddVBand="0" w:evenVBand="0" w:oddHBand="0" w:evenHBand="1" w:firstRowFirstColumn="0" w:firstRowLastColumn="0" w:lastRowFirstColumn="0" w:lastRowLastColumn="0"/>
            </w:pPr>
            <w:r w:rsidRPr="00B47C52">
              <w:t>24</w:t>
            </w:r>
          </w:p>
        </w:tc>
        <w:tc>
          <w:tcPr>
            <w:tcW w:w="540" w:type="dxa"/>
          </w:tcPr>
          <w:p w14:paraId="0ABED0A2" w14:textId="77777777" w:rsidR="00E975A6" w:rsidRPr="00B47C52" w:rsidRDefault="00E975A6" w:rsidP="00C65D27">
            <w:pPr>
              <w:widowControl w:val="0"/>
              <w:autoSpaceDE w:val="0"/>
              <w:autoSpaceDN w:val="0"/>
              <w:adjustRightInd w:val="0"/>
              <w:spacing w:line="240" w:lineRule="auto"/>
              <w:cnfStyle w:val="000000010000" w:firstRow="0" w:lastRow="0" w:firstColumn="0" w:lastColumn="0" w:oddVBand="0" w:evenVBand="0" w:oddHBand="0" w:evenHBand="1" w:firstRowFirstColumn="0" w:firstRowLastColumn="0" w:lastRowFirstColumn="0" w:lastRowLastColumn="0"/>
            </w:pPr>
            <w:r w:rsidRPr="00B47C52">
              <w:t>43</w:t>
            </w:r>
          </w:p>
        </w:tc>
        <w:tc>
          <w:tcPr>
            <w:tcW w:w="630" w:type="dxa"/>
          </w:tcPr>
          <w:p w14:paraId="55569198" w14:textId="77777777" w:rsidR="00E975A6" w:rsidRPr="00B47C52" w:rsidRDefault="00E975A6" w:rsidP="00C65D27">
            <w:pPr>
              <w:widowControl w:val="0"/>
              <w:autoSpaceDE w:val="0"/>
              <w:autoSpaceDN w:val="0"/>
              <w:adjustRightInd w:val="0"/>
              <w:spacing w:line="240" w:lineRule="auto"/>
              <w:cnfStyle w:val="000000010000" w:firstRow="0" w:lastRow="0" w:firstColumn="0" w:lastColumn="0" w:oddVBand="0" w:evenVBand="0" w:oddHBand="0" w:evenHBand="1" w:firstRowFirstColumn="0" w:firstRowLastColumn="0" w:lastRowFirstColumn="0" w:lastRowLastColumn="0"/>
            </w:pPr>
            <w:r w:rsidRPr="00B47C52">
              <w:t>3.5</w:t>
            </w:r>
          </w:p>
        </w:tc>
        <w:tc>
          <w:tcPr>
            <w:tcW w:w="630" w:type="dxa"/>
          </w:tcPr>
          <w:p w14:paraId="751C5DA4" w14:textId="77777777" w:rsidR="00E975A6" w:rsidRPr="00B47C52" w:rsidRDefault="00E975A6" w:rsidP="00C65D27">
            <w:pPr>
              <w:widowControl w:val="0"/>
              <w:autoSpaceDE w:val="0"/>
              <w:autoSpaceDN w:val="0"/>
              <w:adjustRightInd w:val="0"/>
              <w:spacing w:line="240" w:lineRule="auto"/>
              <w:cnfStyle w:val="000000010000" w:firstRow="0" w:lastRow="0" w:firstColumn="0" w:lastColumn="0" w:oddVBand="0" w:evenVBand="0" w:oddHBand="0" w:evenHBand="1" w:firstRowFirstColumn="0" w:firstRowLastColumn="0" w:lastRowFirstColumn="0" w:lastRowLastColumn="0"/>
            </w:pPr>
            <w:r w:rsidRPr="00B47C52">
              <w:t>1</w:t>
            </w:r>
          </w:p>
        </w:tc>
      </w:tr>
      <w:tr w:rsidR="00E975A6" w:rsidRPr="00301DFE" w14:paraId="734D00F1" w14:textId="77777777" w:rsidTr="005A70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14:paraId="5015F30F" w14:textId="77777777" w:rsidR="00E975A6" w:rsidRPr="00B47C52" w:rsidRDefault="00E975A6" w:rsidP="00C65D27">
            <w:pPr>
              <w:widowControl w:val="0"/>
              <w:autoSpaceDE w:val="0"/>
              <w:autoSpaceDN w:val="0"/>
              <w:adjustRightInd w:val="0"/>
              <w:spacing w:line="240" w:lineRule="auto"/>
            </w:pPr>
            <w:r w:rsidRPr="00B47C52">
              <w:t>1989-1993</w:t>
            </w:r>
          </w:p>
        </w:tc>
        <w:tc>
          <w:tcPr>
            <w:tcW w:w="702" w:type="dxa"/>
          </w:tcPr>
          <w:p w14:paraId="751A63CF" w14:textId="77777777" w:rsidR="00E975A6" w:rsidRPr="00B47C52" w:rsidRDefault="00E975A6" w:rsidP="00C65D27">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7C52">
              <w:t>1951</w:t>
            </w:r>
          </w:p>
        </w:tc>
        <w:tc>
          <w:tcPr>
            <w:tcW w:w="630" w:type="dxa"/>
          </w:tcPr>
          <w:p w14:paraId="1073E27B" w14:textId="77777777" w:rsidR="00E975A6" w:rsidRPr="00B47C52" w:rsidRDefault="00E975A6" w:rsidP="00C65D27">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7C52">
              <w:t>574</w:t>
            </w:r>
          </w:p>
        </w:tc>
        <w:tc>
          <w:tcPr>
            <w:tcW w:w="630" w:type="dxa"/>
          </w:tcPr>
          <w:p w14:paraId="48C439E9" w14:textId="77777777" w:rsidR="00E975A6" w:rsidRPr="00B47C52" w:rsidRDefault="00E975A6" w:rsidP="00C65D27">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7C52">
              <w:t>8</w:t>
            </w:r>
          </w:p>
        </w:tc>
        <w:tc>
          <w:tcPr>
            <w:tcW w:w="540" w:type="dxa"/>
          </w:tcPr>
          <w:p w14:paraId="2AEE8673" w14:textId="77777777" w:rsidR="00E975A6" w:rsidRPr="00B47C52" w:rsidRDefault="00E975A6" w:rsidP="00C65D27">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7C52">
              <w:t>7</w:t>
            </w:r>
          </w:p>
        </w:tc>
        <w:tc>
          <w:tcPr>
            <w:tcW w:w="606" w:type="dxa"/>
          </w:tcPr>
          <w:p w14:paraId="1BA8A559" w14:textId="77777777" w:rsidR="00E975A6" w:rsidRPr="00B47C52" w:rsidRDefault="00E975A6" w:rsidP="00C65D27">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7C52">
              <w:t>5</w:t>
            </w:r>
          </w:p>
        </w:tc>
        <w:tc>
          <w:tcPr>
            <w:tcW w:w="667" w:type="dxa"/>
          </w:tcPr>
          <w:p w14:paraId="2FDC0A52" w14:textId="77777777" w:rsidR="00E975A6" w:rsidRPr="00B47C52" w:rsidRDefault="00E975A6" w:rsidP="00C65D27">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7C52">
              <w:t>5</w:t>
            </w:r>
          </w:p>
        </w:tc>
        <w:tc>
          <w:tcPr>
            <w:tcW w:w="617" w:type="dxa"/>
          </w:tcPr>
          <w:p w14:paraId="2784AE1A" w14:textId="77777777" w:rsidR="00E975A6" w:rsidRPr="00B47C52" w:rsidRDefault="00E975A6" w:rsidP="00C65D27">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7C52">
              <w:t>31</w:t>
            </w:r>
          </w:p>
        </w:tc>
        <w:tc>
          <w:tcPr>
            <w:tcW w:w="720" w:type="dxa"/>
          </w:tcPr>
          <w:p w14:paraId="2817EBC5" w14:textId="77777777" w:rsidR="00E975A6" w:rsidRPr="00B47C52" w:rsidRDefault="00E975A6" w:rsidP="00C65D27">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7C52">
              <w:t>34</w:t>
            </w:r>
          </w:p>
        </w:tc>
        <w:tc>
          <w:tcPr>
            <w:tcW w:w="720" w:type="dxa"/>
          </w:tcPr>
          <w:p w14:paraId="38BCB39E" w14:textId="77777777" w:rsidR="00E975A6" w:rsidRPr="00B47C52" w:rsidRDefault="00E975A6" w:rsidP="00C65D27">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7C52">
              <w:t>30</w:t>
            </w:r>
          </w:p>
        </w:tc>
        <w:tc>
          <w:tcPr>
            <w:tcW w:w="630" w:type="dxa"/>
          </w:tcPr>
          <w:p w14:paraId="3A438014" w14:textId="77777777" w:rsidR="00E975A6" w:rsidRPr="00B47C52" w:rsidRDefault="00E975A6" w:rsidP="00C65D27">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7C52">
              <w:t>46</w:t>
            </w:r>
          </w:p>
        </w:tc>
        <w:tc>
          <w:tcPr>
            <w:tcW w:w="630" w:type="dxa"/>
          </w:tcPr>
          <w:p w14:paraId="4A954446" w14:textId="77777777" w:rsidR="00E975A6" w:rsidRPr="00B47C52" w:rsidRDefault="00E975A6" w:rsidP="00C65D27">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7C52">
              <w:t>-</w:t>
            </w:r>
          </w:p>
        </w:tc>
        <w:tc>
          <w:tcPr>
            <w:tcW w:w="630" w:type="dxa"/>
          </w:tcPr>
          <w:p w14:paraId="5B69166F" w14:textId="77777777" w:rsidR="00E975A6" w:rsidRPr="00B47C52" w:rsidRDefault="00E975A6" w:rsidP="00C65D27">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7C52">
              <w:t>79</w:t>
            </w:r>
          </w:p>
        </w:tc>
        <w:tc>
          <w:tcPr>
            <w:tcW w:w="630" w:type="dxa"/>
          </w:tcPr>
          <w:p w14:paraId="698E7477" w14:textId="77777777" w:rsidR="00E975A6" w:rsidRPr="00B47C52" w:rsidRDefault="00E975A6" w:rsidP="00C65D27">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7C52">
              <w:t>-</w:t>
            </w:r>
          </w:p>
        </w:tc>
        <w:tc>
          <w:tcPr>
            <w:tcW w:w="540" w:type="dxa"/>
          </w:tcPr>
          <w:p w14:paraId="1916F8C3" w14:textId="77777777" w:rsidR="00E975A6" w:rsidRPr="00B47C52" w:rsidRDefault="00E975A6" w:rsidP="00C65D27">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7C52">
              <w:t>14</w:t>
            </w:r>
          </w:p>
        </w:tc>
        <w:tc>
          <w:tcPr>
            <w:tcW w:w="630" w:type="dxa"/>
          </w:tcPr>
          <w:p w14:paraId="21520A2A" w14:textId="77777777" w:rsidR="00E975A6" w:rsidRPr="00B47C52" w:rsidRDefault="00E975A6" w:rsidP="00C65D27">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7C52">
              <w:t>2.9</w:t>
            </w:r>
          </w:p>
        </w:tc>
        <w:tc>
          <w:tcPr>
            <w:tcW w:w="630" w:type="dxa"/>
          </w:tcPr>
          <w:p w14:paraId="635C9F02" w14:textId="77777777" w:rsidR="00E975A6" w:rsidRPr="00B47C52" w:rsidRDefault="00E975A6" w:rsidP="00C65D27">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7C52">
              <w:t>1.1</w:t>
            </w:r>
          </w:p>
        </w:tc>
      </w:tr>
    </w:tbl>
    <w:p w14:paraId="6C2A08FF" w14:textId="77777777" w:rsidR="00C65D27" w:rsidRPr="00C65D27" w:rsidRDefault="00E975A6" w:rsidP="004F1A94">
      <w:pPr>
        <w:widowControl w:val="0"/>
        <w:tabs>
          <w:tab w:val="left" w:pos="360"/>
        </w:tabs>
        <w:autoSpaceDE w:val="0"/>
        <w:autoSpaceDN w:val="0"/>
        <w:adjustRightInd w:val="0"/>
        <w:spacing w:line="240" w:lineRule="auto"/>
        <w:ind w:left="270" w:right="720"/>
        <w:rPr>
          <w:sz w:val="20"/>
          <w:szCs w:val="20"/>
        </w:rPr>
      </w:pPr>
      <w:r w:rsidRPr="00C65D27">
        <w:rPr>
          <w:b/>
          <w:sz w:val="20"/>
          <w:szCs w:val="20"/>
        </w:rPr>
        <w:t xml:space="preserve">Sources: </w:t>
      </w:r>
      <w:r w:rsidRPr="00C65D27">
        <w:rPr>
          <w:i/>
          <w:sz w:val="20"/>
          <w:szCs w:val="20"/>
        </w:rPr>
        <w:t>National Accounts Of Judea, Samaria And The Gaza Area 1968-1993,</w:t>
      </w:r>
      <w:r w:rsidRPr="00C65D27">
        <w:rPr>
          <w:sz w:val="20"/>
          <w:szCs w:val="20"/>
        </w:rPr>
        <w:t xml:space="preserve"> Israel Central Bureau Of Statistics: Special Report #1012, Jerusalem, 1996, </w:t>
      </w:r>
      <w:r w:rsidRPr="00C65D27">
        <w:rPr>
          <w:i/>
          <w:sz w:val="20"/>
          <w:szCs w:val="20"/>
        </w:rPr>
        <w:t xml:space="preserve">Judea, Samaria, And Gaza Area Statistics, </w:t>
      </w:r>
      <w:r w:rsidRPr="00C65D27">
        <w:rPr>
          <w:sz w:val="20"/>
          <w:szCs w:val="20"/>
        </w:rPr>
        <w:t xml:space="preserve">Israel Central Bureau Of Statistics, Jerusalem, Various Years, </w:t>
      </w:r>
      <w:r w:rsidRPr="00C65D27">
        <w:rPr>
          <w:i/>
          <w:sz w:val="20"/>
          <w:szCs w:val="20"/>
        </w:rPr>
        <w:t xml:space="preserve">Statistical Abstract Of Israel, </w:t>
      </w:r>
      <w:r w:rsidRPr="00C65D27">
        <w:rPr>
          <w:sz w:val="20"/>
          <w:szCs w:val="20"/>
        </w:rPr>
        <w:t>Israel Central Bureau Of Statistics, Jerusalem, Various Years</w:t>
      </w:r>
      <w:r w:rsidR="00C65D27">
        <w:rPr>
          <w:sz w:val="20"/>
          <w:szCs w:val="20"/>
        </w:rPr>
        <w:t>,</w:t>
      </w:r>
      <w:r w:rsidRPr="00C65D27">
        <w:rPr>
          <w:sz w:val="20"/>
          <w:szCs w:val="20"/>
        </w:rPr>
        <w:t xml:space="preserve"> Arnon, “Israeli Policy Towards,” 577, Personal Calculations</w:t>
      </w:r>
    </w:p>
    <w:p w14:paraId="4C4168C3" w14:textId="77777777" w:rsidR="007B6988" w:rsidRDefault="00C65D27" w:rsidP="004F1A94">
      <w:pPr>
        <w:widowControl w:val="0"/>
        <w:autoSpaceDE w:val="0"/>
        <w:autoSpaceDN w:val="0"/>
        <w:adjustRightInd w:val="0"/>
        <w:spacing w:line="240" w:lineRule="auto"/>
        <w:ind w:left="270" w:right="720"/>
        <w:rPr>
          <w:sz w:val="20"/>
          <w:szCs w:val="20"/>
        </w:rPr>
        <w:sectPr w:rsidR="007B6988" w:rsidSect="002146AD">
          <w:type w:val="continuous"/>
          <w:pgSz w:w="15840" w:h="12240" w:orient="landscape"/>
          <w:pgMar w:top="1440" w:right="1440" w:bottom="1440" w:left="2304" w:header="720" w:footer="720" w:gutter="0"/>
          <w:cols w:space="720"/>
          <w:docGrid w:linePitch="360"/>
        </w:sectPr>
      </w:pPr>
      <w:r>
        <w:rPr>
          <w:b/>
          <w:sz w:val="20"/>
          <w:szCs w:val="20"/>
        </w:rPr>
        <w:t xml:space="preserve">Notes: </w:t>
      </w:r>
      <w:r w:rsidR="00E975A6" w:rsidRPr="00C65D27">
        <w:rPr>
          <w:sz w:val="20"/>
          <w:szCs w:val="20"/>
        </w:rPr>
        <w:t>WB =West Bank, GS= Gaza Strip</w:t>
      </w:r>
    </w:p>
    <w:p w14:paraId="23A80AC3" w14:textId="20252677" w:rsidR="00E975A6" w:rsidRPr="00C65D27" w:rsidRDefault="00E975A6" w:rsidP="004F1A94">
      <w:pPr>
        <w:widowControl w:val="0"/>
        <w:autoSpaceDE w:val="0"/>
        <w:autoSpaceDN w:val="0"/>
        <w:adjustRightInd w:val="0"/>
        <w:spacing w:line="240" w:lineRule="auto"/>
        <w:ind w:left="270" w:right="720"/>
        <w:rPr>
          <w:sz w:val="20"/>
          <w:szCs w:val="20"/>
        </w:rPr>
      </w:pPr>
    </w:p>
    <w:p w14:paraId="2112FEB5" w14:textId="77777777" w:rsidR="00E975A6" w:rsidRDefault="00E975A6" w:rsidP="00FA53EA">
      <w:pPr>
        <w:widowControl w:val="0"/>
        <w:autoSpaceDE w:val="0"/>
        <w:autoSpaceDN w:val="0"/>
        <w:adjustRightInd w:val="0"/>
        <w:spacing w:line="240" w:lineRule="auto"/>
        <w:ind w:right="720"/>
        <w:rPr>
          <w:szCs w:val="20"/>
        </w:rPr>
      </w:pPr>
    </w:p>
    <w:p w14:paraId="6206B5D4" w14:textId="77777777" w:rsidR="00E975A6" w:rsidRDefault="00E975A6" w:rsidP="00E975A6">
      <w:pPr>
        <w:rPr>
          <w:szCs w:val="20"/>
        </w:rPr>
      </w:pPr>
    </w:p>
    <w:p w14:paraId="0BEED612" w14:textId="77777777" w:rsidR="0074355D" w:rsidRDefault="0074355D" w:rsidP="00E975A6">
      <w:pPr>
        <w:rPr>
          <w:sz w:val="20"/>
          <w:szCs w:val="20"/>
        </w:rPr>
      </w:pPr>
    </w:p>
    <w:p w14:paraId="3D1B9070" w14:textId="622DC8CD" w:rsidR="00D5245D" w:rsidRPr="00D5245D" w:rsidRDefault="00D5245D" w:rsidP="00D5245D">
      <w:pPr>
        <w:pStyle w:val="Caption"/>
        <w:keepNext/>
        <w:jc w:val="center"/>
        <w:rPr>
          <w:color w:val="auto"/>
          <w:sz w:val="24"/>
          <w:szCs w:val="24"/>
        </w:rPr>
      </w:pPr>
      <w:bookmarkStart w:id="15" w:name="_Toc323490970"/>
      <w:bookmarkStart w:id="16" w:name="_Toc324146557"/>
      <w:bookmarkStart w:id="17" w:name="_Toc324264446"/>
      <w:bookmarkStart w:id="18" w:name="_Toc324264693"/>
      <w:r w:rsidRPr="00D5245D">
        <w:rPr>
          <w:color w:val="auto"/>
          <w:sz w:val="24"/>
          <w:szCs w:val="24"/>
        </w:rPr>
        <w:lastRenderedPageBreak/>
        <w:t xml:space="preserve">Table </w:t>
      </w:r>
      <w:r w:rsidRPr="00D5245D">
        <w:rPr>
          <w:color w:val="auto"/>
          <w:sz w:val="24"/>
          <w:szCs w:val="24"/>
        </w:rPr>
        <w:fldChar w:fldCharType="begin"/>
      </w:r>
      <w:r w:rsidRPr="00D5245D">
        <w:rPr>
          <w:color w:val="auto"/>
          <w:sz w:val="24"/>
          <w:szCs w:val="24"/>
        </w:rPr>
        <w:instrText xml:space="preserve"> SEQ Table \* ARABIC </w:instrText>
      </w:r>
      <w:r w:rsidRPr="00D5245D">
        <w:rPr>
          <w:color w:val="auto"/>
          <w:sz w:val="24"/>
          <w:szCs w:val="24"/>
        </w:rPr>
        <w:fldChar w:fldCharType="separate"/>
      </w:r>
      <w:r w:rsidR="00500133">
        <w:rPr>
          <w:noProof/>
          <w:color w:val="auto"/>
          <w:sz w:val="24"/>
          <w:szCs w:val="24"/>
        </w:rPr>
        <w:t>2</w:t>
      </w:r>
      <w:r w:rsidRPr="00D5245D">
        <w:rPr>
          <w:color w:val="auto"/>
          <w:sz w:val="24"/>
          <w:szCs w:val="24"/>
        </w:rPr>
        <w:fldChar w:fldCharType="end"/>
      </w:r>
      <w:r w:rsidR="003B1DCB">
        <w:rPr>
          <w:color w:val="auto"/>
          <w:sz w:val="24"/>
          <w:szCs w:val="24"/>
        </w:rPr>
        <w:t>:</w:t>
      </w:r>
      <w:r w:rsidRPr="00D5245D">
        <w:rPr>
          <w:color w:val="auto"/>
          <w:sz w:val="24"/>
          <w:szCs w:val="24"/>
        </w:rPr>
        <w:t xml:space="preserve"> Industrial Origin of Gross Domestic Product at Factor Cost: The West Bank and Gaza Strip 1968-1986</w:t>
      </w:r>
      <w:r w:rsidR="00034D0F">
        <w:rPr>
          <w:color w:val="auto"/>
          <w:sz w:val="24"/>
          <w:szCs w:val="24"/>
        </w:rPr>
        <w:t xml:space="preserve">         </w:t>
      </w:r>
      <w:r w:rsidRPr="00D5245D">
        <w:rPr>
          <w:color w:val="auto"/>
          <w:sz w:val="24"/>
          <w:szCs w:val="24"/>
        </w:rPr>
        <w:t xml:space="preserve"> (Millions USD at 1989 Prices and Percentages of GDP)</w:t>
      </w:r>
      <w:bookmarkEnd w:id="15"/>
      <w:bookmarkEnd w:id="16"/>
      <w:bookmarkEnd w:id="17"/>
      <w:bookmarkEnd w:id="18"/>
    </w:p>
    <w:tbl>
      <w:tblPr>
        <w:tblStyle w:val="LightGrid"/>
        <w:tblW w:w="12510" w:type="dxa"/>
        <w:tblInd w:w="108" w:type="dxa"/>
        <w:tblLayout w:type="fixed"/>
        <w:tblLook w:val="04A0" w:firstRow="1" w:lastRow="0" w:firstColumn="1" w:lastColumn="0" w:noHBand="0" w:noVBand="1"/>
      </w:tblPr>
      <w:tblGrid>
        <w:gridCol w:w="1080"/>
        <w:gridCol w:w="900"/>
        <w:gridCol w:w="810"/>
        <w:gridCol w:w="720"/>
        <w:gridCol w:w="630"/>
        <w:gridCol w:w="810"/>
        <w:gridCol w:w="720"/>
        <w:gridCol w:w="900"/>
        <w:gridCol w:w="720"/>
        <w:gridCol w:w="810"/>
        <w:gridCol w:w="810"/>
        <w:gridCol w:w="810"/>
        <w:gridCol w:w="720"/>
        <w:gridCol w:w="990"/>
        <w:gridCol w:w="1080"/>
      </w:tblGrid>
      <w:tr w:rsidR="00E975A6" w:rsidRPr="00B47C52" w14:paraId="254D859D" w14:textId="77777777" w:rsidTr="00034D0F">
        <w:trPr>
          <w:cnfStyle w:val="100000000000" w:firstRow="1" w:lastRow="0" w:firstColumn="0" w:lastColumn="0" w:oddVBand="0" w:evenVBand="0" w:oddHBand="0" w:evenHBand="0" w:firstRowFirstColumn="0" w:firstRowLastColumn="0" w:lastRowFirstColumn="0" w:lastRowLastColumn="0"/>
          <w:trHeight w:val="683"/>
        </w:trPr>
        <w:tc>
          <w:tcPr>
            <w:cnfStyle w:val="001000000000" w:firstRow="0" w:lastRow="0" w:firstColumn="1" w:lastColumn="0" w:oddVBand="0" w:evenVBand="0" w:oddHBand="0" w:evenHBand="0" w:firstRowFirstColumn="0" w:firstRowLastColumn="0" w:lastRowFirstColumn="0" w:lastRowLastColumn="0"/>
            <w:tcW w:w="1080" w:type="dxa"/>
          </w:tcPr>
          <w:p w14:paraId="64DD3523" w14:textId="77777777" w:rsidR="00E975A6" w:rsidRPr="00B47C52" w:rsidRDefault="00E975A6" w:rsidP="00C65D27">
            <w:pPr>
              <w:widowControl w:val="0"/>
              <w:autoSpaceDE w:val="0"/>
              <w:autoSpaceDN w:val="0"/>
              <w:adjustRightInd w:val="0"/>
              <w:ind w:left="-288" w:firstLine="90"/>
            </w:pPr>
          </w:p>
        </w:tc>
        <w:tc>
          <w:tcPr>
            <w:tcW w:w="1710" w:type="dxa"/>
            <w:gridSpan w:val="2"/>
          </w:tcPr>
          <w:p w14:paraId="154C5DE7" w14:textId="77777777" w:rsidR="00E975A6" w:rsidRPr="00B47C52" w:rsidRDefault="00E975A6" w:rsidP="00C65D27">
            <w:pPr>
              <w:widowControl w:val="0"/>
              <w:autoSpaceDE w:val="0"/>
              <w:autoSpaceDN w:val="0"/>
              <w:adjustRightInd w:val="0"/>
              <w:spacing w:line="240" w:lineRule="auto"/>
              <w:cnfStyle w:val="100000000000" w:firstRow="1" w:lastRow="0" w:firstColumn="0" w:lastColumn="0" w:oddVBand="0" w:evenVBand="0" w:oddHBand="0" w:evenHBand="0" w:firstRowFirstColumn="0" w:firstRowLastColumn="0" w:lastRowFirstColumn="0" w:lastRowLastColumn="0"/>
            </w:pPr>
            <w:r w:rsidRPr="00B47C52">
              <w:t>Agriculture</w:t>
            </w:r>
          </w:p>
        </w:tc>
        <w:tc>
          <w:tcPr>
            <w:tcW w:w="1350" w:type="dxa"/>
            <w:gridSpan w:val="2"/>
          </w:tcPr>
          <w:p w14:paraId="2DBB26C2" w14:textId="77777777" w:rsidR="00E975A6" w:rsidRPr="00B47C52" w:rsidRDefault="00E975A6" w:rsidP="00C65D27">
            <w:pPr>
              <w:widowControl w:val="0"/>
              <w:autoSpaceDE w:val="0"/>
              <w:autoSpaceDN w:val="0"/>
              <w:adjustRightInd w:val="0"/>
              <w:spacing w:line="240" w:lineRule="auto"/>
              <w:cnfStyle w:val="100000000000" w:firstRow="1" w:lastRow="0" w:firstColumn="0" w:lastColumn="0" w:oddVBand="0" w:evenVBand="0" w:oddHBand="0" w:evenHBand="0" w:firstRowFirstColumn="0" w:firstRowLastColumn="0" w:lastRowFirstColumn="0" w:lastRowLastColumn="0"/>
            </w:pPr>
            <w:r w:rsidRPr="00B47C52">
              <w:t>Industry</w:t>
            </w:r>
          </w:p>
        </w:tc>
        <w:tc>
          <w:tcPr>
            <w:tcW w:w="1530" w:type="dxa"/>
            <w:gridSpan w:val="2"/>
          </w:tcPr>
          <w:p w14:paraId="7FCAB105" w14:textId="77777777" w:rsidR="00E975A6" w:rsidRPr="00B47C52" w:rsidRDefault="00E975A6" w:rsidP="00C65D27">
            <w:pPr>
              <w:widowControl w:val="0"/>
              <w:autoSpaceDE w:val="0"/>
              <w:autoSpaceDN w:val="0"/>
              <w:adjustRightInd w:val="0"/>
              <w:spacing w:line="240" w:lineRule="auto"/>
              <w:cnfStyle w:val="100000000000" w:firstRow="1" w:lastRow="0" w:firstColumn="0" w:lastColumn="0" w:oddVBand="0" w:evenVBand="0" w:oddHBand="0" w:evenHBand="0" w:firstRowFirstColumn="0" w:firstRowLastColumn="0" w:lastRowFirstColumn="0" w:lastRowLastColumn="0"/>
            </w:pPr>
            <w:r w:rsidRPr="00B47C52">
              <w:t>Construction</w:t>
            </w:r>
          </w:p>
        </w:tc>
        <w:tc>
          <w:tcPr>
            <w:tcW w:w="1620" w:type="dxa"/>
            <w:gridSpan w:val="2"/>
          </w:tcPr>
          <w:p w14:paraId="1DF61723" w14:textId="77777777" w:rsidR="00E975A6" w:rsidRPr="00B47C52" w:rsidRDefault="00E975A6" w:rsidP="00C65D27">
            <w:pPr>
              <w:widowControl w:val="0"/>
              <w:autoSpaceDE w:val="0"/>
              <w:autoSpaceDN w:val="0"/>
              <w:adjustRightInd w:val="0"/>
              <w:spacing w:line="240" w:lineRule="auto"/>
              <w:cnfStyle w:val="100000000000" w:firstRow="1" w:lastRow="0" w:firstColumn="0" w:lastColumn="0" w:oddVBand="0" w:evenVBand="0" w:oddHBand="0" w:evenHBand="0" w:firstRowFirstColumn="0" w:firstRowLastColumn="0" w:lastRowFirstColumn="0" w:lastRowLastColumn="0"/>
            </w:pPr>
            <w:r w:rsidRPr="00B47C52">
              <w:t>Public Service</w:t>
            </w:r>
          </w:p>
        </w:tc>
        <w:tc>
          <w:tcPr>
            <w:tcW w:w="1620" w:type="dxa"/>
            <w:gridSpan w:val="2"/>
          </w:tcPr>
          <w:p w14:paraId="04E2592F" w14:textId="77777777" w:rsidR="00E975A6" w:rsidRPr="00B47C52" w:rsidRDefault="00E975A6" w:rsidP="00C65D27">
            <w:pPr>
              <w:widowControl w:val="0"/>
              <w:autoSpaceDE w:val="0"/>
              <w:autoSpaceDN w:val="0"/>
              <w:adjustRightInd w:val="0"/>
              <w:spacing w:line="240" w:lineRule="auto"/>
              <w:cnfStyle w:val="100000000000" w:firstRow="1" w:lastRow="0" w:firstColumn="0" w:lastColumn="0" w:oddVBand="0" w:evenVBand="0" w:oddHBand="0" w:evenHBand="0" w:firstRowFirstColumn="0" w:firstRowLastColumn="0" w:lastRowFirstColumn="0" w:lastRowLastColumn="0"/>
            </w:pPr>
            <w:r w:rsidRPr="00B47C52">
              <w:t>Trade and Transport</w:t>
            </w:r>
          </w:p>
        </w:tc>
        <w:tc>
          <w:tcPr>
            <w:tcW w:w="1530" w:type="dxa"/>
            <w:gridSpan w:val="2"/>
          </w:tcPr>
          <w:p w14:paraId="7A840DC7" w14:textId="77777777" w:rsidR="00E975A6" w:rsidRPr="00B47C52" w:rsidRDefault="00E975A6" w:rsidP="00C65D27">
            <w:pPr>
              <w:widowControl w:val="0"/>
              <w:autoSpaceDE w:val="0"/>
              <w:autoSpaceDN w:val="0"/>
              <w:adjustRightInd w:val="0"/>
              <w:spacing w:line="240" w:lineRule="auto"/>
              <w:cnfStyle w:val="100000000000" w:firstRow="1" w:lastRow="0" w:firstColumn="0" w:lastColumn="0" w:oddVBand="0" w:evenVBand="0" w:oddHBand="0" w:evenHBand="0" w:firstRowFirstColumn="0" w:firstRowLastColumn="0" w:lastRowFirstColumn="0" w:lastRowLastColumn="0"/>
            </w:pPr>
            <w:r w:rsidRPr="00B47C52">
              <w:t>GDP Total</w:t>
            </w:r>
          </w:p>
        </w:tc>
        <w:tc>
          <w:tcPr>
            <w:tcW w:w="990" w:type="dxa"/>
          </w:tcPr>
          <w:p w14:paraId="371183DA" w14:textId="77777777" w:rsidR="00E975A6" w:rsidRPr="00B47C52" w:rsidRDefault="00E975A6" w:rsidP="00C65D27">
            <w:pPr>
              <w:widowControl w:val="0"/>
              <w:autoSpaceDE w:val="0"/>
              <w:autoSpaceDN w:val="0"/>
              <w:adjustRightInd w:val="0"/>
              <w:spacing w:line="240" w:lineRule="auto"/>
              <w:cnfStyle w:val="100000000000" w:firstRow="1" w:lastRow="0" w:firstColumn="0" w:lastColumn="0" w:oddVBand="0" w:evenVBand="0" w:oddHBand="0" w:evenHBand="0" w:firstRowFirstColumn="0" w:firstRowLastColumn="0" w:lastRowFirstColumn="0" w:lastRowLastColumn="0"/>
            </w:pPr>
            <w:r w:rsidRPr="00B47C52">
              <w:t>GNP</w:t>
            </w:r>
          </w:p>
        </w:tc>
        <w:tc>
          <w:tcPr>
            <w:tcW w:w="1080" w:type="dxa"/>
          </w:tcPr>
          <w:p w14:paraId="35FC2613" w14:textId="77777777" w:rsidR="00E975A6" w:rsidRPr="00B47C52" w:rsidRDefault="00E975A6" w:rsidP="00C65D27">
            <w:pPr>
              <w:widowControl w:val="0"/>
              <w:autoSpaceDE w:val="0"/>
              <w:autoSpaceDN w:val="0"/>
              <w:adjustRightInd w:val="0"/>
              <w:spacing w:line="240" w:lineRule="auto"/>
              <w:cnfStyle w:val="100000000000" w:firstRow="1" w:lastRow="0" w:firstColumn="0" w:lastColumn="0" w:oddVBand="0" w:evenVBand="0" w:oddHBand="0" w:evenHBand="0" w:firstRowFirstColumn="0" w:firstRowLastColumn="0" w:lastRowFirstColumn="0" w:lastRowLastColumn="0"/>
            </w:pPr>
            <w:r w:rsidRPr="00B47C52">
              <w:t>GDP as % of GNP</w:t>
            </w:r>
          </w:p>
        </w:tc>
      </w:tr>
      <w:tr w:rsidR="00E975A6" w:rsidRPr="00B47C52" w14:paraId="7D88CAD0" w14:textId="77777777" w:rsidTr="00034D0F">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080" w:type="dxa"/>
          </w:tcPr>
          <w:p w14:paraId="2A0BA24A" w14:textId="77777777" w:rsidR="00E975A6" w:rsidRPr="00B47C52" w:rsidRDefault="00E975A6" w:rsidP="00C65D27">
            <w:pPr>
              <w:widowControl w:val="0"/>
              <w:autoSpaceDE w:val="0"/>
              <w:autoSpaceDN w:val="0"/>
              <w:adjustRightInd w:val="0"/>
              <w:ind w:left="-288" w:firstLine="90"/>
            </w:pPr>
          </w:p>
        </w:tc>
        <w:tc>
          <w:tcPr>
            <w:tcW w:w="900" w:type="dxa"/>
          </w:tcPr>
          <w:p w14:paraId="1B5DCAF3" w14:textId="77777777" w:rsidR="00E975A6" w:rsidRPr="00423954"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b/>
              </w:rPr>
            </w:pPr>
            <w:r w:rsidRPr="00423954">
              <w:rPr>
                <w:b/>
              </w:rPr>
              <w:t>USD</w:t>
            </w:r>
          </w:p>
        </w:tc>
        <w:tc>
          <w:tcPr>
            <w:tcW w:w="810" w:type="dxa"/>
          </w:tcPr>
          <w:p w14:paraId="783F8C7D" w14:textId="77777777" w:rsidR="00E975A6" w:rsidRPr="00423954"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b/>
              </w:rPr>
            </w:pPr>
            <w:r w:rsidRPr="00423954">
              <w:rPr>
                <w:b/>
              </w:rPr>
              <w:t>%</w:t>
            </w:r>
          </w:p>
        </w:tc>
        <w:tc>
          <w:tcPr>
            <w:tcW w:w="720" w:type="dxa"/>
          </w:tcPr>
          <w:p w14:paraId="38FD8ACD" w14:textId="77777777" w:rsidR="00E975A6" w:rsidRPr="00423954"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b/>
              </w:rPr>
            </w:pPr>
            <w:r w:rsidRPr="00423954">
              <w:rPr>
                <w:b/>
              </w:rPr>
              <w:t>USD</w:t>
            </w:r>
          </w:p>
        </w:tc>
        <w:tc>
          <w:tcPr>
            <w:tcW w:w="630" w:type="dxa"/>
          </w:tcPr>
          <w:p w14:paraId="71C2A9D2" w14:textId="77777777" w:rsidR="00E975A6" w:rsidRPr="00423954"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b/>
              </w:rPr>
            </w:pPr>
            <w:r w:rsidRPr="00423954">
              <w:rPr>
                <w:b/>
              </w:rPr>
              <w:t>%</w:t>
            </w:r>
          </w:p>
        </w:tc>
        <w:tc>
          <w:tcPr>
            <w:tcW w:w="810" w:type="dxa"/>
          </w:tcPr>
          <w:p w14:paraId="53F9C4D7" w14:textId="77777777" w:rsidR="00E975A6" w:rsidRPr="00423954"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b/>
              </w:rPr>
            </w:pPr>
            <w:r w:rsidRPr="00423954">
              <w:rPr>
                <w:b/>
              </w:rPr>
              <w:t>USD</w:t>
            </w:r>
          </w:p>
        </w:tc>
        <w:tc>
          <w:tcPr>
            <w:tcW w:w="720" w:type="dxa"/>
          </w:tcPr>
          <w:p w14:paraId="30014725" w14:textId="77777777" w:rsidR="00E975A6" w:rsidRPr="00423954"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b/>
              </w:rPr>
            </w:pPr>
            <w:r w:rsidRPr="00423954">
              <w:rPr>
                <w:b/>
              </w:rPr>
              <w:t>%</w:t>
            </w:r>
          </w:p>
        </w:tc>
        <w:tc>
          <w:tcPr>
            <w:tcW w:w="900" w:type="dxa"/>
          </w:tcPr>
          <w:p w14:paraId="3C132484" w14:textId="77777777" w:rsidR="00E975A6" w:rsidRPr="00423954"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b/>
              </w:rPr>
            </w:pPr>
            <w:r w:rsidRPr="00423954">
              <w:rPr>
                <w:b/>
              </w:rPr>
              <w:t>USD</w:t>
            </w:r>
          </w:p>
        </w:tc>
        <w:tc>
          <w:tcPr>
            <w:tcW w:w="720" w:type="dxa"/>
          </w:tcPr>
          <w:p w14:paraId="456CC022" w14:textId="77777777" w:rsidR="00E975A6" w:rsidRPr="00423954"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b/>
              </w:rPr>
            </w:pPr>
            <w:r w:rsidRPr="00423954">
              <w:rPr>
                <w:b/>
              </w:rPr>
              <w:t>%</w:t>
            </w:r>
          </w:p>
        </w:tc>
        <w:tc>
          <w:tcPr>
            <w:tcW w:w="810" w:type="dxa"/>
          </w:tcPr>
          <w:p w14:paraId="7813AC91" w14:textId="77777777" w:rsidR="00E975A6" w:rsidRPr="00423954"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b/>
              </w:rPr>
            </w:pPr>
            <w:r w:rsidRPr="00423954">
              <w:rPr>
                <w:b/>
              </w:rPr>
              <w:t>USD</w:t>
            </w:r>
          </w:p>
        </w:tc>
        <w:tc>
          <w:tcPr>
            <w:tcW w:w="810" w:type="dxa"/>
          </w:tcPr>
          <w:p w14:paraId="25D03D2D" w14:textId="77777777" w:rsidR="00E975A6" w:rsidRPr="00423954"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b/>
              </w:rPr>
            </w:pPr>
            <w:r w:rsidRPr="00423954">
              <w:rPr>
                <w:b/>
              </w:rPr>
              <w:t>%</w:t>
            </w:r>
          </w:p>
        </w:tc>
        <w:tc>
          <w:tcPr>
            <w:tcW w:w="810" w:type="dxa"/>
          </w:tcPr>
          <w:p w14:paraId="40C79C9F" w14:textId="77777777" w:rsidR="00E975A6" w:rsidRPr="00423954" w:rsidRDefault="00E975A6" w:rsidP="00C65D27">
            <w:pPr>
              <w:widowControl w:val="0"/>
              <w:tabs>
                <w:tab w:val="left" w:pos="797"/>
              </w:tabs>
              <w:autoSpaceDE w:val="0"/>
              <w:autoSpaceDN w:val="0"/>
              <w:adjustRightInd w:val="0"/>
              <w:cnfStyle w:val="000000100000" w:firstRow="0" w:lastRow="0" w:firstColumn="0" w:lastColumn="0" w:oddVBand="0" w:evenVBand="0" w:oddHBand="1" w:evenHBand="0" w:firstRowFirstColumn="0" w:firstRowLastColumn="0" w:lastRowFirstColumn="0" w:lastRowLastColumn="0"/>
              <w:rPr>
                <w:b/>
              </w:rPr>
            </w:pPr>
            <w:r w:rsidRPr="00423954">
              <w:rPr>
                <w:b/>
              </w:rPr>
              <w:t>USD</w:t>
            </w:r>
            <w:r w:rsidRPr="00423954">
              <w:rPr>
                <w:b/>
              </w:rPr>
              <w:tab/>
            </w:r>
          </w:p>
        </w:tc>
        <w:tc>
          <w:tcPr>
            <w:tcW w:w="720" w:type="dxa"/>
          </w:tcPr>
          <w:p w14:paraId="44D05F38" w14:textId="77777777" w:rsidR="00E975A6" w:rsidRPr="00423954" w:rsidRDefault="00E975A6" w:rsidP="00C65D27">
            <w:pPr>
              <w:widowControl w:val="0"/>
              <w:tabs>
                <w:tab w:val="left" w:pos="797"/>
              </w:tabs>
              <w:autoSpaceDE w:val="0"/>
              <w:autoSpaceDN w:val="0"/>
              <w:adjustRightInd w:val="0"/>
              <w:cnfStyle w:val="000000100000" w:firstRow="0" w:lastRow="0" w:firstColumn="0" w:lastColumn="0" w:oddVBand="0" w:evenVBand="0" w:oddHBand="1" w:evenHBand="0" w:firstRowFirstColumn="0" w:firstRowLastColumn="0" w:lastRowFirstColumn="0" w:lastRowLastColumn="0"/>
              <w:rPr>
                <w:b/>
              </w:rPr>
            </w:pPr>
            <w:r w:rsidRPr="00423954">
              <w:rPr>
                <w:b/>
              </w:rPr>
              <w:t>%</w:t>
            </w:r>
          </w:p>
        </w:tc>
        <w:tc>
          <w:tcPr>
            <w:tcW w:w="990" w:type="dxa"/>
          </w:tcPr>
          <w:p w14:paraId="08E1D0EC" w14:textId="77777777" w:rsidR="00E975A6" w:rsidRPr="00423954"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b/>
              </w:rPr>
            </w:pPr>
            <w:r w:rsidRPr="00423954">
              <w:rPr>
                <w:b/>
              </w:rPr>
              <w:t>USD</w:t>
            </w:r>
          </w:p>
        </w:tc>
        <w:tc>
          <w:tcPr>
            <w:tcW w:w="1080" w:type="dxa"/>
          </w:tcPr>
          <w:p w14:paraId="5A189E96" w14:textId="77777777" w:rsidR="00E975A6" w:rsidRPr="00423954"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b/>
              </w:rPr>
            </w:pPr>
          </w:p>
        </w:tc>
      </w:tr>
      <w:tr w:rsidR="00E975A6" w:rsidRPr="00B47C52" w14:paraId="482C68C6" w14:textId="77777777" w:rsidTr="00034D0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tcPr>
          <w:p w14:paraId="03D9841A" w14:textId="77777777" w:rsidR="00E975A6" w:rsidRPr="00B47C52" w:rsidRDefault="00E975A6" w:rsidP="00C65D27">
            <w:pPr>
              <w:widowControl w:val="0"/>
              <w:autoSpaceDE w:val="0"/>
              <w:autoSpaceDN w:val="0"/>
              <w:adjustRightInd w:val="0"/>
            </w:pPr>
            <w:r w:rsidRPr="00B47C52">
              <w:t>1968</w:t>
            </w:r>
          </w:p>
        </w:tc>
        <w:tc>
          <w:tcPr>
            <w:tcW w:w="900" w:type="dxa"/>
          </w:tcPr>
          <w:p w14:paraId="4AAD9AB5"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46</w:t>
            </w:r>
          </w:p>
        </w:tc>
        <w:tc>
          <w:tcPr>
            <w:tcW w:w="810" w:type="dxa"/>
          </w:tcPr>
          <w:p w14:paraId="0114F39D"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34</w:t>
            </w:r>
          </w:p>
        </w:tc>
        <w:tc>
          <w:tcPr>
            <w:tcW w:w="720" w:type="dxa"/>
          </w:tcPr>
          <w:p w14:paraId="1BD28A0E"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9</w:t>
            </w:r>
          </w:p>
        </w:tc>
        <w:tc>
          <w:tcPr>
            <w:tcW w:w="630" w:type="dxa"/>
          </w:tcPr>
          <w:p w14:paraId="77070184"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7</w:t>
            </w:r>
          </w:p>
        </w:tc>
        <w:tc>
          <w:tcPr>
            <w:tcW w:w="810" w:type="dxa"/>
          </w:tcPr>
          <w:p w14:paraId="62D226C4"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3</w:t>
            </w:r>
          </w:p>
        </w:tc>
        <w:tc>
          <w:tcPr>
            <w:tcW w:w="720" w:type="dxa"/>
          </w:tcPr>
          <w:p w14:paraId="33260E89"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1</w:t>
            </w:r>
          </w:p>
        </w:tc>
        <w:tc>
          <w:tcPr>
            <w:tcW w:w="900" w:type="dxa"/>
          </w:tcPr>
          <w:p w14:paraId="560875BC"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26</w:t>
            </w:r>
          </w:p>
        </w:tc>
        <w:tc>
          <w:tcPr>
            <w:tcW w:w="720" w:type="dxa"/>
          </w:tcPr>
          <w:p w14:paraId="1D999094"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19</w:t>
            </w:r>
          </w:p>
        </w:tc>
        <w:tc>
          <w:tcPr>
            <w:tcW w:w="810" w:type="dxa"/>
          </w:tcPr>
          <w:p w14:paraId="274C4B18"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48</w:t>
            </w:r>
          </w:p>
        </w:tc>
        <w:tc>
          <w:tcPr>
            <w:tcW w:w="810" w:type="dxa"/>
          </w:tcPr>
          <w:p w14:paraId="34E99C94"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36</w:t>
            </w:r>
          </w:p>
        </w:tc>
        <w:tc>
          <w:tcPr>
            <w:tcW w:w="810" w:type="dxa"/>
          </w:tcPr>
          <w:p w14:paraId="0128B0D6"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131</w:t>
            </w:r>
          </w:p>
        </w:tc>
        <w:tc>
          <w:tcPr>
            <w:tcW w:w="720" w:type="dxa"/>
          </w:tcPr>
          <w:p w14:paraId="1114B7C5"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100</w:t>
            </w:r>
          </w:p>
        </w:tc>
        <w:tc>
          <w:tcPr>
            <w:tcW w:w="990" w:type="dxa"/>
          </w:tcPr>
          <w:p w14:paraId="62DAB29E"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134</w:t>
            </w:r>
          </w:p>
        </w:tc>
        <w:tc>
          <w:tcPr>
            <w:tcW w:w="1080" w:type="dxa"/>
          </w:tcPr>
          <w:p w14:paraId="7B0349A0"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98</w:t>
            </w:r>
          </w:p>
        </w:tc>
      </w:tr>
      <w:tr w:rsidR="00E975A6" w:rsidRPr="00B47C52" w14:paraId="1CE36613" w14:textId="77777777" w:rsidTr="00034D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tcPr>
          <w:p w14:paraId="6ABC5243" w14:textId="77777777" w:rsidR="00E975A6" w:rsidRPr="00B47C52" w:rsidRDefault="00E975A6" w:rsidP="00C65D27">
            <w:pPr>
              <w:widowControl w:val="0"/>
              <w:autoSpaceDE w:val="0"/>
              <w:autoSpaceDN w:val="0"/>
              <w:adjustRightInd w:val="0"/>
            </w:pPr>
            <w:r w:rsidRPr="00B47C52">
              <w:t>1975</w:t>
            </w:r>
          </w:p>
        </w:tc>
        <w:tc>
          <w:tcPr>
            <w:tcW w:w="900" w:type="dxa"/>
          </w:tcPr>
          <w:p w14:paraId="55ACC87A"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161</w:t>
            </w:r>
          </w:p>
        </w:tc>
        <w:tc>
          <w:tcPr>
            <w:tcW w:w="810" w:type="dxa"/>
          </w:tcPr>
          <w:p w14:paraId="6093DEFD"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29</w:t>
            </w:r>
          </w:p>
        </w:tc>
        <w:tc>
          <w:tcPr>
            <w:tcW w:w="720" w:type="dxa"/>
          </w:tcPr>
          <w:p w14:paraId="23DE749E"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46</w:t>
            </w:r>
          </w:p>
        </w:tc>
        <w:tc>
          <w:tcPr>
            <w:tcW w:w="630" w:type="dxa"/>
          </w:tcPr>
          <w:p w14:paraId="282C89AC"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9</w:t>
            </w:r>
          </w:p>
        </w:tc>
        <w:tc>
          <w:tcPr>
            <w:tcW w:w="810" w:type="dxa"/>
          </w:tcPr>
          <w:p w14:paraId="4FAA4EC5"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88</w:t>
            </w:r>
          </w:p>
        </w:tc>
        <w:tc>
          <w:tcPr>
            <w:tcW w:w="720" w:type="dxa"/>
          </w:tcPr>
          <w:p w14:paraId="539CB9C0"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16</w:t>
            </w:r>
          </w:p>
        </w:tc>
        <w:tc>
          <w:tcPr>
            <w:tcW w:w="900" w:type="dxa"/>
          </w:tcPr>
          <w:p w14:paraId="3E8EE0F4"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85</w:t>
            </w:r>
          </w:p>
        </w:tc>
        <w:tc>
          <w:tcPr>
            <w:tcW w:w="720" w:type="dxa"/>
          </w:tcPr>
          <w:p w14:paraId="0A58C131"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16</w:t>
            </w:r>
          </w:p>
        </w:tc>
        <w:tc>
          <w:tcPr>
            <w:tcW w:w="810" w:type="dxa"/>
          </w:tcPr>
          <w:p w14:paraId="09F83265"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164</w:t>
            </w:r>
          </w:p>
        </w:tc>
        <w:tc>
          <w:tcPr>
            <w:tcW w:w="810" w:type="dxa"/>
          </w:tcPr>
          <w:p w14:paraId="11B20C02"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30</w:t>
            </w:r>
          </w:p>
        </w:tc>
        <w:tc>
          <w:tcPr>
            <w:tcW w:w="810" w:type="dxa"/>
          </w:tcPr>
          <w:p w14:paraId="76836EDB"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543</w:t>
            </w:r>
          </w:p>
        </w:tc>
        <w:tc>
          <w:tcPr>
            <w:tcW w:w="720" w:type="dxa"/>
          </w:tcPr>
          <w:p w14:paraId="2B40C85D"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100</w:t>
            </w:r>
          </w:p>
        </w:tc>
        <w:tc>
          <w:tcPr>
            <w:tcW w:w="990" w:type="dxa"/>
          </w:tcPr>
          <w:p w14:paraId="6F53548D"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748</w:t>
            </w:r>
          </w:p>
        </w:tc>
        <w:tc>
          <w:tcPr>
            <w:tcW w:w="1080" w:type="dxa"/>
          </w:tcPr>
          <w:p w14:paraId="6ADF8AF9"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73</w:t>
            </w:r>
          </w:p>
        </w:tc>
      </w:tr>
      <w:tr w:rsidR="00E975A6" w:rsidRPr="00B47C52" w14:paraId="6259B704" w14:textId="77777777" w:rsidTr="00034D0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tcPr>
          <w:p w14:paraId="5ACFA4DE" w14:textId="77777777" w:rsidR="00E975A6" w:rsidRPr="00B47C52" w:rsidRDefault="00E975A6" w:rsidP="00C65D27">
            <w:pPr>
              <w:widowControl w:val="0"/>
              <w:autoSpaceDE w:val="0"/>
              <w:autoSpaceDN w:val="0"/>
              <w:adjustRightInd w:val="0"/>
            </w:pPr>
            <w:r w:rsidRPr="00B47C52">
              <w:t>1980</w:t>
            </w:r>
          </w:p>
        </w:tc>
        <w:tc>
          <w:tcPr>
            <w:tcW w:w="900" w:type="dxa"/>
          </w:tcPr>
          <w:p w14:paraId="6AF4BACD"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346</w:t>
            </w:r>
          </w:p>
        </w:tc>
        <w:tc>
          <w:tcPr>
            <w:tcW w:w="810" w:type="dxa"/>
          </w:tcPr>
          <w:p w14:paraId="49AF48BA"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33</w:t>
            </w:r>
          </w:p>
        </w:tc>
        <w:tc>
          <w:tcPr>
            <w:tcW w:w="720" w:type="dxa"/>
          </w:tcPr>
          <w:p w14:paraId="6485E3F4"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80</w:t>
            </w:r>
          </w:p>
        </w:tc>
        <w:tc>
          <w:tcPr>
            <w:tcW w:w="630" w:type="dxa"/>
          </w:tcPr>
          <w:p w14:paraId="7F87066A"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7</w:t>
            </w:r>
          </w:p>
        </w:tc>
        <w:tc>
          <w:tcPr>
            <w:tcW w:w="810" w:type="dxa"/>
          </w:tcPr>
          <w:p w14:paraId="7A0E1D98"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166</w:t>
            </w:r>
          </w:p>
        </w:tc>
        <w:tc>
          <w:tcPr>
            <w:tcW w:w="720" w:type="dxa"/>
          </w:tcPr>
          <w:p w14:paraId="0A9251A0"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16</w:t>
            </w:r>
          </w:p>
        </w:tc>
        <w:tc>
          <w:tcPr>
            <w:tcW w:w="900" w:type="dxa"/>
          </w:tcPr>
          <w:p w14:paraId="2A520EEA"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135</w:t>
            </w:r>
          </w:p>
        </w:tc>
        <w:tc>
          <w:tcPr>
            <w:tcW w:w="720" w:type="dxa"/>
          </w:tcPr>
          <w:p w14:paraId="2912EBCB"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13</w:t>
            </w:r>
          </w:p>
        </w:tc>
        <w:tc>
          <w:tcPr>
            <w:tcW w:w="810" w:type="dxa"/>
          </w:tcPr>
          <w:p w14:paraId="55EC9AD8"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323</w:t>
            </w:r>
          </w:p>
        </w:tc>
        <w:tc>
          <w:tcPr>
            <w:tcW w:w="810" w:type="dxa"/>
          </w:tcPr>
          <w:p w14:paraId="70FD30F9"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31</w:t>
            </w:r>
          </w:p>
        </w:tc>
        <w:tc>
          <w:tcPr>
            <w:tcW w:w="810" w:type="dxa"/>
          </w:tcPr>
          <w:p w14:paraId="3C4CBEDD"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1050</w:t>
            </w:r>
          </w:p>
        </w:tc>
        <w:tc>
          <w:tcPr>
            <w:tcW w:w="720" w:type="dxa"/>
          </w:tcPr>
          <w:p w14:paraId="6742E83E"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100</w:t>
            </w:r>
          </w:p>
        </w:tc>
        <w:tc>
          <w:tcPr>
            <w:tcW w:w="990" w:type="dxa"/>
          </w:tcPr>
          <w:p w14:paraId="0CD48910"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1,425</w:t>
            </w:r>
          </w:p>
        </w:tc>
        <w:tc>
          <w:tcPr>
            <w:tcW w:w="1080" w:type="dxa"/>
          </w:tcPr>
          <w:p w14:paraId="509AEBED"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74</w:t>
            </w:r>
          </w:p>
        </w:tc>
      </w:tr>
      <w:tr w:rsidR="00E975A6" w:rsidRPr="00B47C52" w14:paraId="0BCE64C8" w14:textId="77777777" w:rsidTr="00034D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tcPr>
          <w:p w14:paraId="26CEFF14" w14:textId="77777777" w:rsidR="00E975A6" w:rsidRPr="00B47C52" w:rsidRDefault="00E975A6" w:rsidP="00C65D27">
            <w:pPr>
              <w:widowControl w:val="0"/>
              <w:autoSpaceDE w:val="0"/>
              <w:autoSpaceDN w:val="0"/>
              <w:adjustRightInd w:val="0"/>
            </w:pPr>
            <w:r w:rsidRPr="00B47C52">
              <w:t>1981</w:t>
            </w:r>
          </w:p>
        </w:tc>
        <w:tc>
          <w:tcPr>
            <w:tcW w:w="900" w:type="dxa"/>
          </w:tcPr>
          <w:p w14:paraId="6E1C67F2"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279</w:t>
            </w:r>
          </w:p>
        </w:tc>
        <w:tc>
          <w:tcPr>
            <w:tcW w:w="810" w:type="dxa"/>
          </w:tcPr>
          <w:p w14:paraId="52CCAC45"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30</w:t>
            </w:r>
          </w:p>
        </w:tc>
        <w:tc>
          <w:tcPr>
            <w:tcW w:w="720" w:type="dxa"/>
          </w:tcPr>
          <w:p w14:paraId="10F9A890"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69</w:t>
            </w:r>
          </w:p>
        </w:tc>
        <w:tc>
          <w:tcPr>
            <w:tcW w:w="630" w:type="dxa"/>
          </w:tcPr>
          <w:p w14:paraId="54C45974"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7</w:t>
            </w:r>
          </w:p>
        </w:tc>
        <w:tc>
          <w:tcPr>
            <w:tcW w:w="810" w:type="dxa"/>
          </w:tcPr>
          <w:p w14:paraId="0BA89960"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172</w:t>
            </w:r>
          </w:p>
        </w:tc>
        <w:tc>
          <w:tcPr>
            <w:tcW w:w="720" w:type="dxa"/>
          </w:tcPr>
          <w:p w14:paraId="5E10B05F"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18</w:t>
            </w:r>
          </w:p>
        </w:tc>
        <w:tc>
          <w:tcPr>
            <w:tcW w:w="900" w:type="dxa"/>
          </w:tcPr>
          <w:p w14:paraId="414B04B4"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153</w:t>
            </w:r>
          </w:p>
        </w:tc>
        <w:tc>
          <w:tcPr>
            <w:tcW w:w="720" w:type="dxa"/>
          </w:tcPr>
          <w:p w14:paraId="76003F36"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16</w:t>
            </w:r>
          </w:p>
        </w:tc>
        <w:tc>
          <w:tcPr>
            <w:tcW w:w="810" w:type="dxa"/>
          </w:tcPr>
          <w:p w14:paraId="0285E1F3"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275</w:t>
            </w:r>
          </w:p>
        </w:tc>
        <w:tc>
          <w:tcPr>
            <w:tcW w:w="810" w:type="dxa"/>
          </w:tcPr>
          <w:p w14:paraId="6539C6F8"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29</w:t>
            </w:r>
          </w:p>
        </w:tc>
        <w:tc>
          <w:tcPr>
            <w:tcW w:w="810" w:type="dxa"/>
          </w:tcPr>
          <w:p w14:paraId="749311ED"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948</w:t>
            </w:r>
          </w:p>
        </w:tc>
        <w:tc>
          <w:tcPr>
            <w:tcW w:w="720" w:type="dxa"/>
          </w:tcPr>
          <w:p w14:paraId="4923AF47"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100</w:t>
            </w:r>
          </w:p>
        </w:tc>
        <w:tc>
          <w:tcPr>
            <w:tcW w:w="990" w:type="dxa"/>
          </w:tcPr>
          <w:p w14:paraId="79080C22"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1,361</w:t>
            </w:r>
          </w:p>
        </w:tc>
        <w:tc>
          <w:tcPr>
            <w:tcW w:w="1080" w:type="dxa"/>
          </w:tcPr>
          <w:p w14:paraId="44C67048"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70</w:t>
            </w:r>
          </w:p>
        </w:tc>
      </w:tr>
      <w:tr w:rsidR="00E975A6" w:rsidRPr="00B47C52" w14:paraId="423EF644" w14:textId="77777777" w:rsidTr="00034D0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tcPr>
          <w:p w14:paraId="07FD1258" w14:textId="77777777" w:rsidR="00E975A6" w:rsidRPr="00B47C52" w:rsidRDefault="00E975A6" w:rsidP="00C65D27">
            <w:pPr>
              <w:widowControl w:val="0"/>
              <w:autoSpaceDE w:val="0"/>
              <w:autoSpaceDN w:val="0"/>
              <w:adjustRightInd w:val="0"/>
            </w:pPr>
            <w:r w:rsidRPr="00B47C52">
              <w:t>1982</w:t>
            </w:r>
          </w:p>
        </w:tc>
        <w:tc>
          <w:tcPr>
            <w:tcW w:w="900" w:type="dxa"/>
          </w:tcPr>
          <w:p w14:paraId="12B56A9A"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264</w:t>
            </w:r>
          </w:p>
        </w:tc>
        <w:tc>
          <w:tcPr>
            <w:tcW w:w="810" w:type="dxa"/>
          </w:tcPr>
          <w:p w14:paraId="54C74500"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26</w:t>
            </w:r>
          </w:p>
        </w:tc>
        <w:tc>
          <w:tcPr>
            <w:tcW w:w="720" w:type="dxa"/>
          </w:tcPr>
          <w:p w14:paraId="7BAEED88"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70</w:t>
            </w:r>
          </w:p>
        </w:tc>
        <w:tc>
          <w:tcPr>
            <w:tcW w:w="630" w:type="dxa"/>
          </w:tcPr>
          <w:p w14:paraId="00DB8720"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7</w:t>
            </w:r>
          </w:p>
        </w:tc>
        <w:tc>
          <w:tcPr>
            <w:tcW w:w="810" w:type="dxa"/>
          </w:tcPr>
          <w:p w14:paraId="00DB8EE6"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186</w:t>
            </w:r>
          </w:p>
        </w:tc>
        <w:tc>
          <w:tcPr>
            <w:tcW w:w="720" w:type="dxa"/>
          </w:tcPr>
          <w:p w14:paraId="0205D0D8"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19</w:t>
            </w:r>
          </w:p>
        </w:tc>
        <w:tc>
          <w:tcPr>
            <w:tcW w:w="900" w:type="dxa"/>
          </w:tcPr>
          <w:p w14:paraId="3429B1CA"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158</w:t>
            </w:r>
          </w:p>
        </w:tc>
        <w:tc>
          <w:tcPr>
            <w:tcW w:w="720" w:type="dxa"/>
          </w:tcPr>
          <w:p w14:paraId="3E96703E"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16</w:t>
            </w:r>
          </w:p>
        </w:tc>
        <w:tc>
          <w:tcPr>
            <w:tcW w:w="810" w:type="dxa"/>
          </w:tcPr>
          <w:p w14:paraId="2C5CBD70"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318</w:t>
            </w:r>
          </w:p>
        </w:tc>
        <w:tc>
          <w:tcPr>
            <w:tcW w:w="810" w:type="dxa"/>
          </w:tcPr>
          <w:p w14:paraId="7CDC2D07"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32</w:t>
            </w:r>
          </w:p>
        </w:tc>
        <w:tc>
          <w:tcPr>
            <w:tcW w:w="810" w:type="dxa"/>
          </w:tcPr>
          <w:p w14:paraId="25B8605A"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1,001</w:t>
            </w:r>
          </w:p>
        </w:tc>
        <w:tc>
          <w:tcPr>
            <w:tcW w:w="720" w:type="dxa"/>
          </w:tcPr>
          <w:p w14:paraId="2D552B72"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100</w:t>
            </w:r>
          </w:p>
        </w:tc>
        <w:tc>
          <w:tcPr>
            <w:tcW w:w="990" w:type="dxa"/>
          </w:tcPr>
          <w:p w14:paraId="37708A95"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1,504</w:t>
            </w:r>
          </w:p>
        </w:tc>
        <w:tc>
          <w:tcPr>
            <w:tcW w:w="1080" w:type="dxa"/>
          </w:tcPr>
          <w:p w14:paraId="73814B9F"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67</w:t>
            </w:r>
          </w:p>
        </w:tc>
      </w:tr>
      <w:tr w:rsidR="00E975A6" w:rsidRPr="00B47C52" w14:paraId="5418284F" w14:textId="77777777" w:rsidTr="00034D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tcPr>
          <w:p w14:paraId="047A70F0" w14:textId="77777777" w:rsidR="00E975A6" w:rsidRPr="00B47C52" w:rsidRDefault="00E975A6" w:rsidP="00C65D27">
            <w:pPr>
              <w:widowControl w:val="0"/>
              <w:autoSpaceDE w:val="0"/>
              <w:autoSpaceDN w:val="0"/>
              <w:adjustRightInd w:val="0"/>
            </w:pPr>
            <w:r w:rsidRPr="00B47C52">
              <w:t>1983</w:t>
            </w:r>
          </w:p>
        </w:tc>
        <w:tc>
          <w:tcPr>
            <w:tcW w:w="900" w:type="dxa"/>
          </w:tcPr>
          <w:p w14:paraId="684B5FAE"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249</w:t>
            </w:r>
          </w:p>
        </w:tc>
        <w:tc>
          <w:tcPr>
            <w:tcW w:w="810" w:type="dxa"/>
          </w:tcPr>
          <w:p w14:paraId="2EA294C4"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24</w:t>
            </w:r>
          </w:p>
        </w:tc>
        <w:tc>
          <w:tcPr>
            <w:tcW w:w="720" w:type="dxa"/>
          </w:tcPr>
          <w:p w14:paraId="2E31F507"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81</w:t>
            </w:r>
          </w:p>
        </w:tc>
        <w:tc>
          <w:tcPr>
            <w:tcW w:w="630" w:type="dxa"/>
          </w:tcPr>
          <w:p w14:paraId="4D91CE81"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8</w:t>
            </w:r>
          </w:p>
        </w:tc>
        <w:tc>
          <w:tcPr>
            <w:tcW w:w="810" w:type="dxa"/>
          </w:tcPr>
          <w:p w14:paraId="6DAC1735"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189</w:t>
            </w:r>
          </w:p>
        </w:tc>
        <w:tc>
          <w:tcPr>
            <w:tcW w:w="720" w:type="dxa"/>
          </w:tcPr>
          <w:p w14:paraId="7E033F1E"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18</w:t>
            </w:r>
          </w:p>
        </w:tc>
        <w:tc>
          <w:tcPr>
            <w:tcW w:w="900" w:type="dxa"/>
          </w:tcPr>
          <w:p w14:paraId="5D994D45"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183</w:t>
            </w:r>
          </w:p>
        </w:tc>
        <w:tc>
          <w:tcPr>
            <w:tcW w:w="720" w:type="dxa"/>
          </w:tcPr>
          <w:p w14:paraId="5D363525"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17</w:t>
            </w:r>
          </w:p>
        </w:tc>
        <w:tc>
          <w:tcPr>
            <w:tcW w:w="810" w:type="dxa"/>
          </w:tcPr>
          <w:p w14:paraId="03A1A78F"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345</w:t>
            </w:r>
          </w:p>
        </w:tc>
        <w:tc>
          <w:tcPr>
            <w:tcW w:w="810" w:type="dxa"/>
          </w:tcPr>
          <w:p w14:paraId="6BA5C7A1"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33</w:t>
            </w:r>
          </w:p>
        </w:tc>
        <w:tc>
          <w:tcPr>
            <w:tcW w:w="810" w:type="dxa"/>
          </w:tcPr>
          <w:p w14:paraId="51E84B8C"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1,047</w:t>
            </w:r>
          </w:p>
        </w:tc>
        <w:tc>
          <w:tcPr>
            <w:tcW w:w="720" w:type="dxa"/>
          </w:tcPr>
          <w:p w14:paraId="57A70E9A"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100</w:t>
            </w:r>
          </w:p>
        </w:tc>
        <w:tc>
          <w:tcPr>
            <w:tcW w:w="990" w:type="dxa"/>
          </w:tcPr>
          <w:p w14:paraId="3EE8147E"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1,596</w:t>
            </w:r>
          </w:p>
        </w:tc>
        <w:tc>
          <w:tcPr>
            <w:tcW w:w="1080" w:type="dxa"/>
          </w:tcPr>
          <w:p w14:paraId="68670AD9"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66</w:t>
            </w:r>
          </w:p>
        </w:tc>
      </w:tr>
      <w:tr w:rsidR="00E975A6" w:rsidRPr="00B47C52" w14:paraId="35F6B419" w14:textId="77777777" w:rsidTr="00034D0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tcPr>
          <w:p w14:paraId="3DCF33BE" w14:textId="77777777" w:rsidR="00E975A6" w:rsidRPr="00B47C52" w:rsidRDefault="00E975A6" w:rsidP="00C65D27">
            <w:pPr>
              <w:widowControl w:val="0"/>
              <w:autoSpaceDE w:val="0"/>
              <w:autoSpaceDN w:val="0"/>
              <w:adjustRightInd w:val="0"/>
            </w:pPr>
            <w:r w:rsidRPr="00B47C52">
              <w:t>1984</w:t>
            </w:r>
          </w:p>
        </w:tc>
        <w:tc>
          <w:tcPr>
            <w:tcW w:w="900" w:type="dxa"/>
          </w:tcPr>
          <w:p w14:paraId="5100E015"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184</w:t>
            </w:r>
          </w:p>
        </w:tc>
        <w:tc>
          <w:tcPr>
            <w:tcW w:w="810" w:type="dxa"/>
          </w:tcPr>
          <w:p w14:paraId="29A15A3A"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19</w:t>
            </w:r>
          </w:p>
        </w:tc>
        <w:tc>
          <w:tcPr>
            <w:tcW w:w="720" w:type="dxa"/>
          </w:tcPr>
          <w:p w14:paraId="2E0F1952"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77</w:t>
            </w:r>
          </w:p>
        </w:tc>
        <w:tc>
          <w:tcPr>
            <w:tcW w:w="630" w:type="dxa"/>
          </w:tcPr>
          <w:p w14:paraId="144B25C0"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8</w:t>
            </w:r>
          </w:p>
        </w:tc>
        <w:tc>
          <w:tcPr>
            <w:tcW w:w="810" w:type="dxa"/>
          </w:tcPr>
          <w:p w14:paraId="21F3EAC1"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175</w:t>
            </w:r>
          </w:p>
        </w:tc>
        <w:tc>
          <w:tcPr>
            <w:tcW w:w="720" w:type="dxa"/>
          </w:tcPr>
          <w:p w14:paraId="2581A3D7"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18</w:t>
            </w:r>
          </w:p>
        </w:tc>
        <w:tc>
          <w:tcPr>
            <w:tcW w:w="900" w:type="dxa"/>
          </w:tcPr>
          <w:p w14:paraId="79772BA5"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205</w:t>
            </w:r>
          </w:p>
        </w:tc>
        <w:tc>
          <w:tcPr>
            <w:tcW w:w="720" w:type="dxa"/>
          </w:tcPr>
          <w:p w14:paraId="6BD25026"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21</w:t>
            </w:r>
          </w:p>
        </w:tc>
        <w:tc>
          <w:tcPr>
            <w:tcW w:w="810" w:type="dxa"/>
          </w:tcPr>
          <w:p w14:paraId="7E59C1B4"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347</w:t>
            </w:r>
          </w:p>
        </w:tc>
        <w:tc>
          <w:tcPr>
            <w:tcW w:w="810" w:type="dxa"/>
          </w:tcPr>
          <w:p w14:paraId="546918FD"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35</w:t>
            </w:r>
          </w:p>
        </w:tc>
        <w:tc>
          <w:tcPr>
            <w:tcW w:w="810" w:type="dxa"/>
          </w:tcPr>
          <w:p w14:paraId="5EF092D3"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989</w:t>
            </w:r>
          </w:p>
        </w:tc>
        <w:tc>
          <w:tcPr>
            <w:tcW w:w="720" w:type="dxa"/>
          </w:tcPr>
          <w:p w14:paraId="4E3D9E97"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100</w:t>
            </w:r>
          </w:p>
        </w:tc>
        <w:tc>
          <w:tcPr>
            <w:tcW w:w="990" w:type="dxa"/>
          </w:tcPr>
          <w:p w14:paraId="2CF9DCF3"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1,419</w:t>
            </w:r>
          </w:p>
        </w:tc>
        <w:tc>
          <w:tcPr>
            <w:tcW w:w="1080" w:type="dxa"/>
          </w:tcPr>
          <w:p w14:paraId="089E24CE" w14:textId="77777777" w:rsidR="00E975A6" w:rsidRPr="00B47C52"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47C52">
              <w:t>70</w:t>
            </w:r>
          </w:p>
        </w:tc>
      </w:tr>
      <w:tr w:rsidR="00E975A6" w:rsidRPr="00B47C52" w14:paraId="0F5049B9" w14:textId="77777777" w:rsidTr="00034D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tcPr>
          <w:p w14:paraId="546804F0" w14:textId="77777777" w:rsidR="00E975A6" w:rsidRPr="00B47C52" w:rsidRDefault="00E975A6" w:rsidP="00C65D27">
            <w:pPr>
              <w:widowControl w:val="0"/>
              <w:autoSpaceDE w:val="0"/>
              <w:autoSpaceDN w:val="0"/>
              <w:adjustRightInd w:val="0"/>
            </w:pPr>
            <w:r w:rsidRPr="00B47C52">
              <w:t>1985</w:t>
            </w:r>
          </w:p>
        </w:tc>
        <w:tc>
          <w:tcPr>
            <w:tcW w:w="900" w:type="dxa"/>
          </w:tcPr>
          <w:p w14:paraId="35924D92"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188</w:t>
            </w:r>
          </w:p>
        </w:tc>
        <w:tc>
          <w:tcPr>
            <w:tcW w:w="810" w:type="dxa"/>
          </w:tcPr>
          <w:p w14:paraId="48B6A079"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20</w:t>
            </w:r>
          </w:p>
        </w:tc>
        <w:tc>
          <w:tcPr>
            <w:tcW w:w="720" w:type="dxa"/>
          </w:tcPr>
          <w:p w14:paraId="213711E8"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76</w:t>
            </w:r>
          </w:p>
        </w:tc>
        <w:tc>
          <w:tcPr>
            <w:tcW w:w="630" w:type="dxa"/>
          </w:tcPr>
          <w:p w14:paraId="58B6C3DA"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8</w:t>
            </w:r>
          </w:p>
        </w:tc>
        <w:tc>
          <w:tcPr>
            <w:tcW w:w="810" w:type="dxa"/>
          </w:tcPr>
          <w:p w14:paraId="7684627A"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161</w:t>
            </w:r>
          </w:p>
        </w:tc>
        <w:tc>
          <w:tcPr>
            <w:tcW w:w="720" w:type="dxa"/>
          </w:tcPr>
          <w:p w14:paraId="4FC2CBD2"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17</w:t>
            </w:r>
          </w:p>
        </w:tc>
        <w:tc>
          <w:tcPr>
            <w:tcW w:w="900" w:type="dxa"/>
          </w:tcPr>
          <w:p w14:paraId="7F120789"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165</w:t>
            </w:r>
          </w:p>
        </w:tc>
        <w:tc>
          <w:tcPr>
            <w:tcW w:w="720" w:type="dxa"/>
          </w:tcPr>
          <w:p w14:paraId="71B80136"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17</w:t>
            </w:r>
          </w:p>
        </w:tc>
        <w:tc>
          <w:tcPr>
            <w:tcW w:w="810" w:type="dxa"/>
          </w:tcPr>
          <w:p w14:paraId="3B136AEE"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356</w:t>
            </w:r>
          </w:p>
        </w:tc>
        <w:tc>
          <w:tcPr>
            <w:tcW w:w="810" w:type="dxa"/>
          </w:tcPr>
          <w:p w14:paraId="72F9FF1B"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38</w:t>
            </w:r>
          </w:p>
        </w:tc>
        <w:tc>
          <w:tcPr>
            <w:tcW w:w="810" w:type="dxa"/>
          </w:tcPr>
          <w:p w14:paraId="7BBC960E"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945</w:t>
            </w:r>
          </w:p>
        </w:tc>
        <w:tc>
          <w:tcPr>
            <w:tcW w:w="720" w:type="dxa"/>
          </w:tcPr>
          <w:p w14:paraId="0CD5A2FB"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100</w:t>
            </w:r>
          </w:p>
        </w:tc>
        <w:tc>
          <w:tcPr>
            <w:tcW w:w="990" w:type="dxa"/>
          </w:tcPr>
          <w:p w14:paraId="7ADA2F74"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1,307</w:t>
            </w:r>
          </w:p>
        </w:tc>
        <w:tc>
          <w:tcPr>
            <w:tcW w:w="1080" w:type="dxa"/>
          </w:tcPr>
          <w:p w14:paraId="1F5B5ECB" w14:textId="77777777" w:rsidR="00E975A6" w:rsidRPr="00B47C52" w:rsidRDefault="00E975A6" w:rsidP="00C65D27">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47C52">
              <w:t>72</w:t>
            </w:r>
          </w:p>
        </w:tc>
      </w:tr>
      <w:tr w:rsidR="00E975A6" w:rsidRPr="00B47C52" w14:paraId="33347A15" w14:textId="77777777" w:rsidTr="00034D0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tcPr>
          <w:p w14:paraId="1628E59F" w14:textId="77777777" w:rsidR="00E975A6" w:rsidRPr="00423954" w:rsidRDefault="00E975A6" w:rsidP="00C65D27">
            <w:pPr>
              <w:widowControl w:val="0"/>
              <w:autoSpaceDE w:val="0"/>
              <w:autoSpaceDN w:val="0"/>
              <w:adjustRightInd w:val="0"/>
              <w:rPr>
                <w:szCs w:val="20"/>
              </w:rPr>
            </w:pPr>
            <w:r w:rsidRPr="00423954">
              <w:rPr>
                <w:szCs w:val="20"/>
              </w:rPr>
              <w:t>1986</w:t>
            </w:r>
          </w:p>
        </w:tc>
        <w:tc>
          <w:tcPr>
            <w:tcW w:w="900" w:type="dxa"/>
          </w:tcPr>
          <w:p w14:paraId="39FDCD11" w14:textId="77777777" w:rsidR="00E975A6" w:rsidRPr="00423954"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rPr>
                <w:szCs w:val="20"/>
              </w:rPr>
            </w:pPr>
            <w:r w:rsidRPr="00423954">
              <w:rPr>
                <w:szCs w:val="20"/>
              </w:rPr>
              <w:t>455</w:t>
            </w:r>
          </w:p>
        </w:tc>
        <w:tc>
          <w:tcPr>
            <w:tcW w:w="810" w:type="dxa"/>
          </w:tcPr>
          <w:p w14:paraId="58B0E9E1" w14:textId="77777777" w:rsidR="00E975A6" w:rsidRPr="00423954"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rPr>
                <w:szCs w:val="20"/>
              </w:rPr>
            </w:pPr>
            <w:r w:rsidRPr="00423954">
              <w:rPr>
                <w:szCs w:val="20"/>
              </w:rPr>
              <w:t>30</w:t>
            </w:r>
          </w:p>
        </w:tc>
        <w:tc>
          <w:tcPr>
            <w:tcW w:w="720" w:type="dxa"/>
          </w:tcPr>
          <w:p w14:paraId="16093B60" w14:textId="77777777" w:rsidR="00E975A6" w:rsidRPr="00423954"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rPr>
                <w:szCs w:val="20"/>
              </w:rPr>
            </w:pPr>
            <w:r w:rsidRPr="00423954">
              <w:rPr>
                <w:szCs w:val="20"/>
              </w:rPr>
              <w:t>130</w:t>
            </w:r>
          </w:p>
        </w:tc>
        <w:tc>
          <w:tcPr>
            <w:tcW w:w="630" w:type="dxa"/>
          </w:tcPr>
          <w:p w14:paraId="7B379528" w14:textId="77777777" w:rsidR="00E975A6" w:rsidRPr="00423954"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rPr>
                <w:szCs w:val="20"/>
              </w:rPr>
            </w:pPr>
            <w:r w:rsidRPr="00423954">
              <w:rPr>
                <w:szCs w:val="20"/>
              </w:rPr>
              <w:t>9</w:t>
            </w:r>
          </w:p>
        </w:tc>
        <w:tc>
          <w:tcPr>
            <w:tcW w:w="810" w:type="dxa"/>
          </w:tcPr>
          <w:p w14:paraId="1E622415" w14:textId="77777777" w:rsidR="00E975A6" w:rsidRPr="00423954"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rPr>
                <w:szCs w:val="20"/>
              </w:rPr>
            </w:pPr>
            <w:r w:rsidRPr="00423954">
              <w:rPr>
                <w:szCs w:val="20"/>
              </w:rPr>
              <w:t>235</w:t>
            </w:r>
          </w:p>
        </w:tc>
        <w:tc>
          <w:tcPr>
            <w:tcW w:w="720" w:type="dxa"/>
          </w:tcPr>
          <w:p w14:paraId="360EF98B" w14:textId="77777777" w:rsidR="00E975A6" w:rsidRPr="00423954"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rPr>
                <w:szCs w:val="20"/>
              </w:rPr>
            </w:pPr>
            <w:r w:rsidRPr="00423954">
              <w:rPr>
                <w:szCs w:val="20"/>
              </w:rPr>
              <w:t>16</w:t>
            </w:r>
          </w:p>
        </w:tc>
        <w:tc>
          <w:tcPr>
            <w:tcW w:w="900" w:type="dxa"/>
          </w:tcPr>
          <w:p w14:paraId="77882102" w14:textId="77777777" w:rsidR="00E975A6" w:rsidRPr="00423954"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rPr>
                <w:szCs w:val="20"/>
              </w:rPr>
            </w:pPr>
            <w:r w:rsidRPr="00423954">
              <w:rPr>
                <w:szCs w:val="20"/>
              </w:rPr>
              <w:t>177</w:t>
            </w:r>
          </w:p>
        </w:tc>
        <w:tc>
          <w:tcPr>
            <w:tcW w:w="720" w:type="dxa"/>
          </w:tcPr>
          <w:p w14:paraId="3C674FEC" w14:textId="77777777" w:rsidR="00E975A6" w:rsidRPr="00423954"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rPr>
                <w:szCs w:val="20"/>
              </w:rPr>
            </w:pPr>
            <w:r w:rsidRPr="00423954">
              <w:rPr>
                <w:szCs w:val="20"/>
              </w:rPr>
              <w:t>12</w:t>
            </w:r>
          </w:p>
        </w:tc>
        <w:tc>
          <w:tcPr>
            <w:tcW w:w="810" w:type="dxa"/>
          </w:tcPr>
          <w:p w14:paraId="6271F6DC" w14:textId="77777777" w:rsidR="00E975A6" w:rsidRPr="00423954"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rPr>
                <w:szCs w:val="20"/>
              </w:rPr>
            </w:pPr>
            <w:r w:rsidRPr="00423954">
              <w:rPr>
                <w:szCs w:val="20"/>
              </w:rPr>
              <w:t>496</w:t>
            </w:r>
          </w:p>
        </w:tc>
        <w:tc>
          <w:tcPr>
            <w:tcW w:w="810" w:type="dxa"/>
          </w:tcPr>
          <w:p w14:paraId="491845DD" w14:textId="77777777" w:rsidR="00E975A6" w:rsidRPr="00423954"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rPr>
                <w:szCs w:val="20"/>
              </w:rPr>
            </w:pPr>
            <w:r w:rsidRPr="00423954">
              <w:rPr>
                <w:szCs w:val="20"/>
              </w:rPr>
              <w:t>33</w:t>
            </w:r>
          </w:p>
        </w:tc>
        <w:tc>
          <w:tcPr>
            <w:tcW w:w="810" w:type="dxa"/>
          </w:tcPr>
          <w:p w14:paraId="433D175C" w14:textId="77777777" w:rsidR="00E975A6" w:rsidRPr="00423954"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rPr>
                <w:szCs w:val="20"/>
              </w:rPr>
            </w:pPr>
            <w:r w:rsidRPr="00423954">
              <w:rPr>
                <w:szCs w:val="20"/>
              </w:rPr>
              <w:t>1,494</w:t>
            </w:r>
          </w:p>
        </w:tc>
        <w:tc>
          <w:tcPr>
            <w:tcW w:w="720" w:type="dxa"/>
          </w:tcPr>
          <w:p w14:paraId="19B609BA" w14:textId="77777777" w:rsidR="00E975A6" w:rsidRPr="00423954"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rPr>
                <w:szCs w:val="20"/>
              </w:rPr>
            </w:pPr>
            <w:r w:rsidRPr="00423954">
              <w:rPr>
                <w:szCs w:val="20"/>
              </w:rPr>
              <w:t>100</w:t>
            </w:r>
          </w:p>
        </w:tc>
        <w:tc>
          <w:tcPr>
            <w:tcW w:w="990" w:type="dxa"/>
          </w:tcPr>
          <w:p w14:paraId="779FEE39" w14:textId="77777777" w:rsidR="00E975A6" w:rsidRPr="00423954"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rPr>
                <w:szCs w:val="20"/>
              </w:rPr>
            </w:pPr>
            <w:r w:rsidRPr="00423954">
              <w:rPr>
                <w:szCs w:val="20"/>
              </w:rPr>
              <w:t>1,982</w:t>
            </w:r>
          </w:p>
        </w:tc>
        <w:tc>
          <w:tcPr>
            <w:tcW w:w="1080" w:type="dxa"/>
          </w:tcPr>
          <w:p w14:paraId="4D82EFC0" w14:textId="77777777" w:rsidR="00E975A6" w:rsidRPr="00423954" w:rsidRDefault="00E975A6" w:rsidP="00C65D27">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rPr>
                <w:szCs w:val="20"/>
              </w:rPr>
            </w:pPr>
            <w:r w:rsidRPr="00423954">
              <w:rPr>
                <w:szCs w:val="20"/>
              </w:rPr>
              <w:t>75</w:t>
            </w:r>
          </w:p>
        </w:tc>
      </w:tr>
    </w:tbl>
    <w:p w14:paraId="7F3C4F97" w14:textId="03943C75" w:rsidR="00E975A6" w:rsidRPr="00C65D27" w:rsidRDefault="00E975A6" w:rsidP="00034D0F">
      <w:pPr>
        <w:spacing w:line="240" w:lineRule="auto"/>
        <w:rPr>
          <w:sz w:val="20"/>
          <w:szCs w:val="20"/>
        </w:rPr>
        <w:sectPr w:rsidR="00E975A6" w:rsidRPr="00C65D27" w:rsidSect="00034D0F">
          <w:type w:val="continuous"/>
          <w:pgSz w:w="15840" w:h="12240" w:orient="landscape"/>
          <w:pgMar w:top="2304" w:right="1440" w:bottom="1440" w:left="1440" w:header="720" w:footer="720" w:gutter="0"/>
          <w:cols w:space="720"/>
          <w:docGrid w:linePitch="360"/>
        </w:sectPr>
      </w:pPr>
      <w:r w:rsidRPr="00C65D27">
        <w:rPr>
          <w:sz w:val="20"/>
          <w:szCs w:val="20"/>
        </w:rPr>
        <w:t xml:space="preserve">Source: </w:t>
      </w:r>
      <w:r w:rsidRPr="00C65D27">
        <w:rPr>
          <w:i/>
          <w:sz w:val="20"/>
          <w:szCs w:val="20"/>
        </w:rPr>
        <w:t xml:space="preserve">Palestinian External Trade Under Israeli Occupation, </w:t>
      </w:r>
      <w:r w:rsidRPr="00C65D27">
        <w:rPr>
          <w:sz w:val="20"/>
          <w:szCs w:val="20"/>
        </w:rPr>
        <w:t>United Nations Conference on Trade and Development (UNCTAD), Geneva, Switzerland, 1989</w:t>
      </w:r>
    </w:p>
    <w:p w14:paraId="017044D9" w14:textId="77777777" w:rsidR="005A707C" w:rsidRDefault="005A707C" w:rsidP="00882E52">
      <w:pPr>
        <w:pStyle w:val="Heading2"/>
      </w:pPr>
      <w:bookmarkStart w:id="19" w:name="_Toc324423948"/>
      <w:r w:rsidRPr="005E6E6C">
        <w:lastRenderedPageBreak/>
        <w:t>1.3 A Necessary Evil: The Determinants and Consequences of Extraordinary Defense Spending in Israel</w:t>
      </w:r>
      <w:bookmarkEnd w:id="19"/>
    </w:p>
    <w:p w14:paraId="7F04E0A1" w14:textId="77777777" w:rsidR="002146AD" w:rsidRDefault="002146AD" w:rsidP="004F1A94">
      <w:pPr>
        <w:spacing w:line="240" w:lineRule="auto"/>
        <w:jc w:val="center"/>
        <w:rPr>
          <w:b/>
        </w:rPr>
        <w:sectPr w:rsidR="002146AD" w:rsidSect="005F67F7">
          <w:footerReference w:type="even" r:id="rId15"/>
          <w:footerReference w:type="default" r:id="rId16"/>
          <w:pgSz w:w="12240" w:h="15840"/>
          <w:pgMar w:top="1440" w:right="1440" w:bottom="1440" w:left="2304" w:header="720" w:footer="720" w:gutter="0"/>
          <w:cols w:space="720"/>
          <w:docGrid w:linePitch="360"/>
        </w:sectPr>
      </w:pPr>
    </w:p>
    <w:p w14:paraId="1FFDC4E7" w14:textId="77777777" w:rsidR="00E975A6" w:rsidRPr="005E6E6C" w:rsidRDefault="00E975A6" w:rsidP="00E975A6">
      <w:pPr>
        <w:spacing w:line="240" w:lineRule="auto"/>
        <w:jc w:val="center"/>
        <w:rPr>
          <w:b/>
        </w:rPr>
      </w:pPr>
    </w:p>
    <w:p w14:paraId="6B985A80" w14:textId="77777777" w:rsidR="002146AD" w:rsidRDefault="002146AD" w:rsidP="00E975A6">
      <w:pPr>
        <w:ind w:firstLine="540"/>
        <w:rPr>
          <w:color w:val="000000"/>
          <w:shd w:val="clear" w:color="auto" w:fill="FFFFFF"/>
        </w:rPr>
        <w:sectPr w:rsidR="002146AD" w:rsidSect="002146AD">
          <w:type w:val="continuous"/>
          <w:pgSz w:w="12240" w:h="15840"/>
          <w:pgMar w:top="1440" w:right="1440" w:bottom="1440" w:left="2304" w:header="720" w:footer="720" w:gutter="0"/>
          <w:cols w:space="720"/>
          <w:docGrid w:linePitch="360"/>
        </w:sectPr>
      </w:pPr>
    </w:p>
    <w:p w14:paraId="65779DBE" w14:textId="792A6CAE" w:rsidR="00E975A6" w:rsidRPr="007F0E58" w:rsidRDefault="00E975A6" w:rsidP="00E975A6">
      <w:pPr>
        <w:ind w:firstLine="540"/>
        <w:rPr>
          <w:color w:val="000000"/>
          <w:shd w:val="clear" w:color="auto" w:fill="FFFFFF"/>
        </w:rPr>
      </w:pPr>
      <w:r>
        <w:rPr>
          <w:color w:val="000000"/>
          <w:shd w:val="clear" w:color="auto" w:fill="FFFFFF"/>
        </w:rPr>
        <w:lastRenderedPageBreak/>
        <w:t>Unfortunately, the vast majority of Israelis and Palestinians have only known what it is like to live in the midst of the conflict. As of December 2013, 95% of the population in the West Bank and the Gaza Strip, and around 90% of the population of Israel, were born after the establishment of the State of Israel in 1948. Roughly 85% of Palestinians, and 70% of Israelis, were born after Israel took control of the West Bank and the Gaza Strip in 1967.</w:t>
      </w:r>
      <w:r>
        <w:rPr>
          <w:rStyle w:val="FootnoteReference"/>
          <w:color w:val="000000"/>
          <w:shd w:val="clear" w:color="auto" w:fill="FFFFFF"/>
        </w:rPr>
        <w:footnoteReference w:id="67"/>
      </w:r>
      <w:r>
        <w:rPr>
          <w:color w:val="000000"/>
          <w:shd w:val="clear" w:color="auto" w:fill="FFFFFF"/>
        </w:rPr>
        <w:t xml:space="preserve"> Moreover, Israel has been forced to devote massive amounts of resources to defense over the years due to the evolving security threats that have emerged since 1967. In financial terms, </w:t>
      </w:r>
      <w:r>
        <w:t xml:space="preserve">hundreds </w:t>
      </w:r>
      <w:r w:rsidRPr="00D615AF">
        <w:t>of billions of dollars have been spent to support, oppose, or resolve the Israeli-Palestinian conflict in some way. However, even the cumulative sum of expenditures does not begin to capture either the opportunity costs of the conflict (alternative ways in which resources could have been used to enhance the liv</w:t>
      </w:r>
      <w:r>
        <w:t xml:space="preserve">es of the regions residents), </w:t>
      </w:r>
      <w:r w:rsidRPr="00D615AF">
        <w:t>the emotional costs of the conflict</w:t>
      </w:r>
      <w:r>
        <w:t>, or the invaluable cost of human life</w:t>
      </w:r>
      <w:r w:rsidRPr="00D615AF">
        <w:t>.</w:t>
      </w:r>
      <w:r w:rsidRPr="00D615AF">
        <w:rPr>
          <w:rStyle w:val="FootnoteReference"/>
        </w:rPr>
        <w:footnoteReference w:id="68"/>
      </w:r>
      <w:r w:rsidRPr="00D615AF">
        <w:t xml:space="preserve"> </w:t>
      </w:r>
      <w:r>
        <w:t xml:space="preserve">Israel’s extraordinary defense expenditures have been a necessary evil in a hostile region, but it is undeniable that high defense spending has weakened Israel’s economy by diverting spending towards security rather than other national priorities, such as social welfare programs. </w:t>
      </w:r>
    </w:p>
    <w:p w14:paraId="38EB7B55" w14:textId="77777777" w:rsidR="00E975A6" w:rsidRPr="00736A32" w:rsidRDefault="00E975A6" w:rsidP="00E975A6">
      <w:pPr>
        <w:ind w:firstLine="720"/>
      </w:pPr>
      <w:r>
        <w:t>Israeli defense expenditures have been determined by a complex array of factors, but these factors can be condensed into three levels of analysis: the national, the regional, and the international.</w:t>
      </w:r>
      <w:r>
        <w:rPr>
          <w:rStyle w:val="FootnoteReference"/>
        </w:rPr>
        <w:footnoteReference w:id="69"/>
      </w:r>
      <w:r>
        <w:t xml:space="preserve"> At the national level, electoral cycles and political </w:t>
      </w:r>
      <w:r>
        <w:lastRenderedPageBreak/>
        <w:t>parties have shaped Israeli defense budgets to reflect political priorities (as might be expected during budget negotiations), but in Israel, the military establishment has also been able to exert influence on the size of the overall national budget. This “bottom up” influence from the military establishment distinguishes Israel from other countries in which defense expenditures are primarily determined from the “top-down” by politicians.</w:t>
      </w:r>
      <w:r>
        <w:rPr>
          <w:rStyle w:val="FootnoteReference"/>
        </w:rPr>
        <w:footnoteReference w:id="70"/>
      </w:r>
      <w:r>
        <w:t xml:space="preserve"> This may be due to the prominent role that the military plays in Israeli society, but it is at least partially due to the unique geopolitical challenges Israel faces. These geopolitical concerns have been influenced by the regional politics of the Middle East, particularly the Middle East arms race during the Cold War, the influences of non-state actors like Hizbullah and Islamist groups throughout the region, the threat of regional rivals like Iran, and the protracted conflict between Israelis and Palestinians. These regional concerns were also influenced by more broad international trends that affected Israel directly during the Cold War, such as the global rise of terrorism and the superpower politics that shaped worldwide defense spending in that era. All of these factors have combined to make Israeli security expenditures frequently larger than any other country in the world (per capita), including the United States.</w:t>
      </w:r>
    </w:p>
    <w:p w14:paraId="3CE748A4" w14:textId="77777777" w:rsidR="00E975A6" w:rsidRPr="00D615AF" w:rsidRDefault="00E975A6" w:rsidP="00E975A6">
      <w:pPr>
        <w:ind w:firstLine="720"/>
      </w:pPr>
      <w:r w:rsidRPr="00D615AF">
        <w:t>Israeli militarization has been fueled in part by Israel’s unique geopolitical security concerns</w:t>
      </w:r>
      <w:r>
        <w:t>, which have dictated national defense strategy</w:t>
      </w:r>
      <w:r w:rsidRPr="00D615AF">
        <w:t>. Preemption and prevention (of aggression against Israel) emerged as the central tenants of Israeli security discourse under the first P</w:t>
      </w:r>
      <w:r>
        <w:t>rime Minister:</w:t>
      </w:r>
      <w:r w:rsidRPr="00D615AF">
        <w:t xml:space="preserve"> David Ben-Gurion.</w:t>
      </w:r>
      <w:r w:rsidRPr="00D615AF">
        <w:rPr>
          <w:rStyle w:val="FootnoteReference"/>
        </w:rPr>
        <w:footnoteReference w:id="71"/>
      </w:r>
      <w:r w:rsidRPr="00D615AF">
        <w:t xml:space="preserve"> This should not be surprising considering Israel’s position as a small fledgling country</w:t>
      </w:r>
      <w:r>
        <w:t xml:space="preserve"> </w:t>
      </w:r>
      <w:r w:rsidRPr="00D615AF">
        <w:t>that was su</w:t>
      </w:r>
      <w:r>
        <w:t>rrounded by large Arab countries</w:t>
      </w:r>
      <w:r w:rsidRPr="00D615AF">
        <w:t xml:space="preserve"> bent on putting an end to the Jewish state. Israel’s </w:t>
      </w:r>
      <w:r w:rsidRPr="00D615AF">
        <w:lastRenderedPageBreak/>
        <w:t>resolve to prevent a major invasion/attack rendered preemption and prevention more or less the determining factors in Israeli military strategy in the 1956 Suez Canal Crisis, the 1967 Six-</w:t>
      </w:r>
      <w:r>
        <w:t xml:space="preserve">Day War, </w:t>
      </w:r>
      <w:r w:rsidRPr="00D615AF">
        <w:t>and the 1982 War in Lebanon. Israel’s security dilemma has of course evolved over the years, but at its core</w:t>
      </w:r>
      <w:r>
        <w:t>,</w:t>
      </w:r>
      <w:r w:rsidRPr="00D615AF">
        <w:t xml:space="preserve"> Israeli defense doctrine</w:t>
      </w:r>
      <w:r>
        <w:t xml:space="preserve"> in the military establishment</w:t>
      </w:r>
      <w:r w:rsidRPr="00D615AF">
        <w:t xml:space="preserve"> has centered on preempting and preve</w:t>
      </w:r>
      <w:r>
        <w:t xml:space="preserve">nting aggression against Israel </w:t>
      </w:r>
      <w:r w:rsidRPr="00D615AF">
        <w:t>whether threats be certain or unlik</w:t>
      </w:r>
      <w:r>
        <w:t>ely and</w:t>
      </w:r>
      <w:r w:rsidRPr="00D615AF">
        <w:t xml:space="preserve"> whether the aggressor be an individual, a non</w:t>
      </w:r>
      <w:r>
        <w:t>-state guer</w:t>
      </w:r>
      <w:r w:rsidRPr="00D615AF">
        <w:t>rilla group, another state, or recently, the Iranian nuclear program.</w:t>
      </w:r>
    </w:p>
    <w:p w14:paraId="0FDA907A" w14:textId="77777777" w:rsidR="00E975A6" w:rsidRDefault="00E975A6" w:rsidP="00E975A6">
      <w:pPr>
        <w:ind w:firstLine="720"/>
      </w:pPr>
      <w:r>
        <w:t>1967 is a watershed year in the ideological history of the Middle East; Israel’s victory in the Six-Day War put an end to popular support for Pan-Arab socialist movements and the ideals they embodied, which left an ideological void that was partially filled by the rise of</w:t>
      </w:r>
      <w:r w:rsidRPr="00D615AF">
        <w:t xml:space="preserve"> Islamist ideologies throughout the Middle East</w:t>
      </w:r>
      <w:r>
        <w:t xml:space="preserve"> region. Arab defeat in the Six-Day War prompted some Muslims to insist that such a crushing defeat mandated a return to Islam.</w:t>
      </w:r>
      <w:r>
        <w:rPr>
          <w:rStyle w:val="FootnoteReference"/>
        </w:rPr>
        <w:footnoteReference w:id="72"/>
      </w:r>
      <w:r>
        <w:t xml:space="preserve"> They argued that only the religious piety of Israel could explain Israeli victories against several large Arab nations. Claims such as these gained momentum in the wake of the 1979 Iranian Revolution, the assassination of Egyptian President Anwar al-Sadat by Islamists in 1981, and the emergence of Hizbullah as a major force in Lebanon- “all of which reflected and in turn accelerated the mobilization of Islam for political transformation.”</w:t>
      </w:r>
      <w:r w:rsidR="004239C1">
        <w:rPr>
          <w:rStyle w:val="FootnoteReference"/>
        </w:rPr>
        <w:footnoteReference w:id="73"/>
      </w:r>
      <w:r>
        <w:t xml:space="preserve"> The influence of Islamism didn’t gain momentum in the Palestinian Territories for quite some time after the Six-Day War, in part because </w:t>
      </w:r>
      <w:r w:rsidR="004239C1">
        <w:t xml:space="preserve">secular </w:t>
      </w:r>
      <w:r>
        <w:t>national liberation</w:t>
      </w:r>
      <w:r w:rsidR="004239C1">
        <w:t xml:space="preserve"> movements</w:t>
      </w:r>
      <w:r>
        <w:t xml:space="preserve"> retained a particularly strong political appeal in the absence of a sovereign state.</w:t>
      </w:r>
      <w:r>
        <w:rPr>
          <w:rStyle w:val="FootnoteReference"/>
        </w:rPr>
        <w:footnoteReference w:id="74"/>
      </w:r>
      <w:r>
        <w:t xml:space="preserve"> Eventually Islamic Jihad, which was officially founded in 1980, emerged “to oppose the gradualism of the </w:t>
      </w:r>
      <w:r>
        <w:lastRenderedPageBreak/>
        <w:t>Muslim Brotherhood and the PLO strategy of ‘occupation management.’”</w:t>
      </w:r>
      <w:r>
        <w:rPr>
          <w:rStyle w:val="FootnoteReference"/>
        </w:rPr>
        <w:footnoteReference w:id="75"/>
      </w:r>
      <w:r>
        <w:t xml:space="preserve"> Islamic Jihad cut a clear path for Hamas by wedding Islamism and Palestinian nationalistic aspirations, “thereby lending a religious imprimatur to every anti-Israeli act, pacific and violent alike.”</w:t>
      </w:r>
      <w:r>
        <w:rPr>
          <w:rStyle w:val="FootnoteReference"/>
        </w:rPr>
        <w:footnoteReference w:id="76"/>
      </w:r>
      <w:r w:rsidRPr="00DA7A2B">
        <w:t xml:space="preserve"> </w:t>
      </w:r>
    </w:p>
    <w:p w14:paraId="4EE54414" w14:textId="77777777" w:rsidR="00E975A6" w:rsidRDefault="00E975A6" w:rsidP="00E975A6">
      <w:pPr>
        <w:ind w:firstLine="720"/>
      </w:pPr>
      <w:r>
        <w:t xml:space="preserve">The result of these ideological changes that occurred throughout the Middle East, when combined with other international trends during the Cold War, was </w:t>
      </w:r>
      <w:r w:rsidRPr="00D615AF">
        <w:t>a global redefinition of the security dilemma that</w:t>
      </w:r>
      <w:r>
        <w:t xml:space="preserve"> took place throughout the 1970s and 1980</w:t>
      </w:r>
      <w:r w:rsidRPr="00D615AF">
        <w:t>s.</w:t>
      </w:r>
      <w:r w:rsidRPr="00D615AF">
        <w:rPr>
          <w:rStyle w:val="FootnoteReference"/>
        </w:rPr>
        <w:footnoteReference w:id="77"/>
      </w:r>
    </w:p>
    <w:p w14:paraId="4C71901A" w14:textId="77777777" w:rsidR="00E975A6" w:rsidRDefault="00E975A6" w:rsidP="00E975A6">
      <w:r w:rsidRPr="00D615AF">
        <w:t xml:space="preserve">Following the Six-Day War, global terror attacks continued a pre-existing trend of increasing in frequency. Between 1976 and 1979 the frequency of global terrorist attacks almost tripled, and the rate of attacks continued to rise until the number of worldwide terrorist attacks reached their </w:t>
      </w:r>
      <w:r>
        <w:t>twentieth</w:t>
      </w:r>
      <w:r w:rsidRPr="00D615AF">
        <w:t xml:space="preserve"> century zenith at more than 5,100 in 1992.</w:t>
      </w:r>
      <w:r w:rsidRPr="00D615AF">
        <w:rPr>
          <w:rStyle w:val="FootnoteReference"/>
        </w:rPr>
        <w:footnoteReference w:id="78"/>
      </w:r>
      <w:r>
        <w:t xml:space="preserve"> Revolutionary movements around the world contributed to this trend, including (but not limited to) Islamist militant groups based in the Middle East who were inspired by the revolutionary writings of Sayyid Qutb.</w:t>
      </w:r>
      <w:r>
        <w:rPr>
          <w:rStyle w:val="FootnoteReference"/>
        </w:rPr>
        <w:footnoteReference w:id="79"/>
      </w:r>
      <w:r>
        <w:t xml:space="preserve"> Islamist groups </w:t>
      </w:r>
      <w:r w:rsidR="004239C1">
        <w:t>in the broader Middle East didn not</w:t>
      </w:r>
      <w:r>
        <w:t xml:space="preserve"> contribute to attacks against Israel </w:t>
      </w:r>
      <w:r w:rsidR="004239C1">
        <w:t xml:space="preserve">very </w:t>
      </w:r>
      <w:r>
        <w:t>often despite anti-Israeli rhetoric, but Israel came to rank</w:t>
      </w:r>
      <w:r w:rsidRPr="00D615AF">
        <w:t xml:space="preserve"> among the top 20 countries most frequently targeted by terrorist at</w:t>
      </w:r>
      <w:r>
        <w:t xml:space="preserve">tacks despite (and certainly contributing to) Israel’s history of high defense spending. The vast majority of attacks came from Palestinian nationalist groups that were largely secular before the 1980s, especially the PLO. </w:t>
      </w:r>
      <w:r w:rsidRPr="00D615AF">
        <w:t xml:space="preserve">As the influences of Islamist ideologies grew and the </w:t>
      </w:r>
      <w:r>
        <w:t xml:space="preserve">broader </w:t>
      </w:r>
      <w:r w:rsidRPr="00D615AF">
        <w:t xml:space="preserve">Cold War arms race took shape, Israel was forced to focus on </w:t>
      </w:r>
      <w:r w:rsidRPr="00D615AF">
        <w:lastRenderedPageBreak/>
        <w:t>ensuring the security of individual citizens</w:t>
      </w:r>
      <w:r>
        <w:t>—in addition to the preservation of borders—</w:t>
      </w:r>
      <w:r w:rsidRPr="00D615AF">
        <w:t xml:space="preserve"> while facing</w:t>
      </w:r>
      <w:r>
        <w:t xml:space="preserve"> growing</w:t>
      </w:r>
      <w:r w:rsidRPr="00D615AF">
        <w:t xml:space="preserve"> threats</w:t>
      </w:r>
      <w:r>
        <w:t xml:space="preserve"> from</w:t>
      </w:r>
      <w:r w:rsidRPr="00D615AF">
        <w:t xml:space="preserve"> within Israeli-controlled lands and surrounding areas.</w:t>
      </w:r>
      <w:r>
        <w:t xml:space="preserve"> </w:t>
      </w:r>
    </w:p>
    <w:p w14:paraId="3BB2114F" w14:textId="77777777" w:rsidR="00E975A6" w:rsidRDefault="00E975A6" w:rsidP="00E975A6">
      <w:r>
        <w:t xml:space="preserve"> </w:t>
      </w:r>
      <w:r>
        <w:tab/>
        <w:t>By challenging state-centered security paradigms, r</w:t>
      </w:r>
      <w:r w:rsidRPr="00D615AF">
        <w:t>evolutionary movements</w:t>
      </w:r>
      <w:r>
        <w:t xml:space="preserve"> forming in the Middle East and beyond fueled a Third World arms race financed largely by the U.S. and the Soviet Union</w:t>
      </w:r>
      <w:r w:rsidRPr="00D615AF">
        <w:t>.</w:t>
      </w:r>
      <w:r w:rsidRPr="00D615AF">
        <w:rPr>
          <w:rStyle w:val="FootnoteReference"/>
        </w:rPr>
        <w:footnoteReference w:id="80"/>
      </w:r>
      <w:r w:rsidRPr="00D615AF">
        <w:t xml:space="preserve"> </w:t>
      </w:r>
      <w:r>
        <w:t xml:space="preserve">To put this arms race in perspective, </w:t>
      </w:r>
      <w:r w:rsidRPr="00D615AF">
        <w:t>consider that defense expenditures in the Third World</w:t>
      </w:r>
      <w:r>
        <w:t xml:space="preserve"> alone</w:t>
      </w:r>
      <w:r w:rsidRPr="00D615AF">
        <w:t xml:space="preserve"> grew from $104 billion in 1972 to $182 billion in 1982.</w:t>
      </w:r>
      <w:r w:rsidRPr="00D615AF">
        <w:rPr>
          <w:rStyle w:val="FootnoteReference"/>
        </w:rPr>
        <w:footnoteReference w:id="81"/>
      </w:r>
      <w:r w:rsidRPr="00D615AF">
        <w:t xml:space="preserve"> Such a rapid growth was “clearly a by-product not only of security considerations but also of domestic po</w:t>
      </w:r>
      <w:r>
        <w:t xml:space="preserve">litics and economic influences” that shaped </w:t>
      </w:r>
      <w:r w:rsidRPr="00D615AF">
        <w:t xml:space="preserve">the decisions of these </w:t>
      </w:r>
      <w:r>
        <w:t>countri</w:t>
      </w:r>
      <w:r w:rsidRPr="00D615AF">
        <w:t>es.</w:t>
      </w:r>
      <w:r w:rsidRPr="00D615AF">
        <w:rPr>
          <w:rStyle w:val="FootnoteReference"/>
        </w:rPr>
        <w:footnoteReference w:id="82"/>
      </w:r>
      <w:r w:rsidRPr="00D615AF">
        <w:t xml:space="preserve"> </w:t>
      </w:r>
      <w:r>
        <w:t xml:space="preserve">During this era of growing terrorism and bloating military expenditures, threats against Israel </w:t>
      </w:r>
      <w:r w:rsidRPr="00D615AF">
        <w:t>became all-too-common in</w:t>
      </w:r>
      <w:r>
        <w:t xml:space="preserve"> the</w:t>
      </w:r>
      <w:r w:rsidRPr="00D615AF">
        <w:t xml:space="preserve"> apologetic statements and documents released by various revolutionary Islamist groups,</w:t>
      </w:r>
      <w:r>
        <w:t xml:space="preserve"> including the PLO, Islamic Jihad, and</w:t>
      </w:r>
      <w:r w:rsidRPr="00D615AF">
        <w:t xml:space="preserve"> eventually</w:t>
      </w:r>
      <w:r>
        <w:t xml:space="preserve"> Hamas and</w:t>
      </w:r>
      <w:r w:rsidRPr="00D615AF">
        <w:t xml:space="preserve"> Al-Qaeda.</w:t>
      </w:r>
      <w:r w:rsidRPr="00D615AF">
        <w:rPr>
          <w:rStyle w:val="FootnoteReference"/>
        </w:rPr>
        <w:footnoteReference w:id="83"/>
      </w:r>
      <w:r>
        <w:t xml:space="preserve"> Even though these threats were mostly empty, they represent the internationalization of the Israeli-Palestinian conflict and reflect the extent to which the conflict took on a particularly religious tone through the ideological transformations that followed the Six-Day War. Understanding these regional and international trends clarifies why Arab-Israeli peace became a major foreign policy goal for the U.S. throughout the Cold War era and clarifies why Israeli security spending was so high throughout this period.</w:t>
      </w:r>
    </w:p>
    <w:p w14:paraId="394ED1B3" w14:textId="77777777" w:rsidR="00E975A6" w:rsidRDefault="00E975A6" w:rsidP="00E975A6">
      <w:pPr>
        <w:ind w:firstLine="720"/>
      </w:pPr>
      <w:r w:rsidRPr="00D615AF">
        <w:lastRenderedPageBreak/>
        <w:t>These evolving threats</w:t>
      </w:r>
      <w:r>
        <w:t xml:space="preserve"> influenced the development of a special relationship between Israel and the U.S. during the Cold War, when Israel first acted as a strategic military proxy in the satellite politics of the two Cold War superpowers.</w:t>
      </w:r>
      <w:r w:rsidRPr="00D615AF">
        <w:rPr>
          <w:rStyle w:val="FootnoteReference"/>
        </w:rPr>
        <w:footnoteReference w:id="84"/>
      </w:r>
      <w:r>
        <w:t xml:space="preserve"> U.S. interests in the Middle East remain virtually the same today as they were during the Cold War, and these interests “</w:t>
      </w:r>
      <w:r w:rsidRPr="00904E44">
        <w:t>can be summarized by access to oil, ability to deploy military forces in the region and denial of such capability to its rivals, and a co</w:t>
      </w:r>
      <w:r>
        <w:t>mmitment to Israel’s security.”</w:t>
      </w:r>
      <w:r>
        <w:rPr>
          <w:rStyle w:val="FootnoteReference"/>
        </w:rPr>
        <w:footnoteReference w:id="85"/>
      </w:r>
      <w:r>
        <w:t xml:space="preserve"> Indeed, during the </w:t>
      </w:r>
      <w:r w:rsidR="004239C1">
        <w:t>Cold War Israel helped contain S</w:t>
      </w:r>
      <w:r>
        <w:t>oviet expansion in the region, and Israel even defeated Soviet client states in regional war (Egypt and Syria), which required Moscow to spend more on arms in the region.</w:t>
      </w:r>
      <w:r>
        <w:rPr>
          <w:rStyle w:val="FootnoteReference"/>
        </w:rPr>
        <w:footnoteReference w:id="86"/>
      </w:r>
      <w:r>
        <w:t xml:space="preserve"> However, furthering U.S. interests by supporting Israel has not been a cheap endeavor; Israel has received financial support from Washington that exceeds the amounts provided to any other state, and it is highly doubtful that Israel could have continued its high defense spending without economic collapse if it were not for U.S. financial support.</w:t>
      </w:r>
    </w:p>
    <w:p w14:paraId="196FDF43" w14:textId="6A542E34" w:rsidR="00E975A6" w:rsidRDefault="00E975A6" w:rsidP="00F87A6C">
      <w:pPr>
        <w:ind w:firstLine="720"/>
      </w:pPr>
      <w:r>
        <w:t>Israel has been the largest recipient of U.S. direct military and economic aid since 1976, and Israel has been the largest cumulative recipient since WWII.</w:t>
      </w:r>
      <w:r>
        <w:rPr>
          <w:rStyle w:val="FootnoteReference"/>
        </w:rPr>
        <w:footnoteReference w:id="87"/>
      </w:r>
      <w:r>
        <w:t xml:space="preserve"> As of June 2015, the U.S. had provided Israel with $124.3 billion in bilateral assistance, and nearly all aid to Israel has been military aid.</w:t>
      </w:r>
      <w:r>
        <w:rPr>
          <w:rStyle w:val="FootnoteReference"/>
        </w:rPr>
        <w:footnoteReference w:id="88"/>
      </w:r>
      <w:r>
        <w:t xml:space="preserve"> Israel has received about $3 billion in aid per year—roughly a fifth of the entire U.S. foreign aid budget in any given year— since the U.S. brokered peace between Israel</w:t>
      </w:r>
      <w:r w:rsidR="004239C1">
        <w:t xml:space="preserve"> and Egypt at Camp David</w:t>
      </w:r>
      <w:r>
        <w:t>.</w:t>
      </w:r>
      <w:r>
        <w:rPr>
          <w:rStyle w:val="FootnoteReference"/>
        </w:rPr>
        <w:footnoteReference w:id="89"/>
      </w:r>
      <w:r>
        <w:t xml:space="preserve"> This amount is </w:t>
      </w:r>
      <w:r>
        <w:lastRenderedPageBreak/>
        <w:t>only expected to increase in the near future, as the Obama administration has committed to bolster financial support to Israel to offset the political blowback of the Joint Comprehensive Plan of Action (commonly known as the Iranian Nuclear Deal) that was signed in July 2015.</w:t>
      </w:r>
      <w:r>
        <w:rPr>
          <w:rStyle w:val="FootnoteReference"/>
        </w:rPr>
        <w:footnoteReference w:id="90"/>
      </w:r>
      <w:r>
        <w:t xml:space="preserve"> Israel’s role as a crucial partner for the U.S. during the Cold War undoubtedly allowed Israel to increase military expenditures above levels that would have been possible without U.S. aid. Israel’s unique security concerns have resulted in high defense spending that has been subsidized by U.S. aid, but just how high is Israeli defense spending and why does it matter?</w:t>
      </w:r>
    </w:p>
    <w:p w14:paraId="6439CF6B" w14:textId="77777777" w:rsidR="00DC2F86" w:rsidRDefault="00DC2F86" w:rsidP="00F87A6C">
      <w:pPr>
        <w:ind w:firstLine="720"/>
      </w:pPr>
    </w:p>
    <w:p w14:paraId="78FCA41A" w14:textId="77777777" w:rsidR="00DC2F86" w:rsidRPr="00F87A6C" w:rsidRDefault="00DC2F86" w:rsidP="00F87A6C">
      <w:pPr>
        <w:ind w:firstLine="720"/>
      </w:pPr>
    </w:p>
    <w:p w14:paraId="268CE7E0" w14:textId="0C253FF3" w:rsidR="00F87A6C" w:rsidRPr="00F87A6C" w:rsidRDefault="00F87A6C" w:rsidP="00F87A6C">
      <w:pPr>
        <w:pStyle w:val="Caption"/>
        <w:keepNext/>
        <w:jc w:val="center"/>
        <w:rPr>
          <w:color w:val="auto"/>
          <w:sz w:val="24"/>
        </w:rPr>
      </w:pPr>
      <w:bookmarkStart w:id="20" w:name="_Toc324264447"/>
      <w:bookmarkStart w:id="21" w:name="_Toc324264694"/>
      <w:r w:rsidRPr="00F87A6C">
        <w:rPr>
          <w:color w:val="auto"/>
          <w:sz w:val="24"/>
        </w:rPr>
        <w:t xml:space="preserve">Figure </w:t>
      </w:r>
      <w:r w:rsidRPr="00F87A6C">
        <w:rPr>
          <w:color w:val="auto"/>
          <w:sz w:val="24"/>
        </w:rPr>
        <w:fldChar w:fldCharType="begin"/>
      </w:r>
      <w:r w:rsidRPr="00F87A6C">
        <w:rPr>
          <w:color w:val="auto"/>
          <w:sz w:val="24"/>
        </w:rPr>
        <w:instrText xml:space="preserve"> SEQ Figure \* ARABIC </w:instrText>
      </w:r>
      <w:r w:rsidRPr="00F87A6C">
        <w:rPr>
          <w:color w:val="auto"/>
          <w:sz w:val="24"/>
        </w:rPr>
        <w:fldChar w:fldCharType="separate"/>
      </w:r>
      <w:r w:rsidR="00500133">
        <w:rPr>
          <w:noProof/>
          <w:color w:val="auto"/>
          <w:sz w:val="24"/>
        </w:rPr>
        <w:t>1</w:t>
      </w:r>
      <w:r w:rsidRPr="00F87A6C">
        <w:rPr>
          <w:color w:val="auto"/>
          <w:sz w:val="24"/>
        </w:rPr>
        <w:fldChar w:fldCharType="end"/>
      </w:r>
      <w:r w:rsidRPr="00F87A6C">
        <w:rPr>
          <w:color w:val="auto"/>
          <w:sz w:val="24"/>
        </w:rPr>
        <w:t>: Terrorist Attacks Against Israel (1970-2013)</w:t>
      </w:r>
      <w:bookmarkEnd w:id="20"/>
      <w:bookmarkEnd w:id="21"/>
    </w:p>
    <w:p w14:paraId="73D4C635" w14:textId="77777777" w:rsidR="00E975A6" w:rsidRDefault="00E975A6" w:rsidP="00A428EC">
      <w:pPr>
        <w:spacing w:line="276" w:lineRule="auto"/>
        <w:ind w:left="270" w:firstLine="720"/>
      </w:pPr>
      <w:r>
        <w:rPr>
          <w:noProof/>
        </w:rPr>
        <w:drawing>
          <wp:inline distT="0" distB="0" distL="0" distR="0" wp14:anchorId="0FD33EF8" wp14:editId="0A9CD7D0">
            <wp:extent cx="4057069" cy="2468602"/>
            <wp:effectExtent l="0" t="0" r="6985"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57069" cy="2468602"/>
                    </a:xfrm>
                    <a:prstGeom prst="rect">
                      <a:avLst/>
                    </a:prstGeom>
                    <a:noFill/>
                    <a:ln>
                      <a:noFill/>
                    </a:ln>
                  </pic:spPr>
                </pic:pic>
              </a:graphicData>
            </a:graphic>
          </wp:inline>
        </w:drawing>
      </w:r>
    </w:p>
    <w:p w14:paraId="44C4DA49" w14:textId="77777777" w:rsidR="00E975A6" w:rsidRDefault="00E975A6" w:rsidP="00E975A6">
      <w:pPr>
        <w:spacing w:line="240" w:lineRule="auto"/>
        <w:ind w:left="1080"/>
        <w:rPr>
          <w:rStyle w:val="Hyperlink"/>
          <w:sz w:val="20"/>
          <w:szCs w:val="20"/>
        </w:rPr>
      </w:pPr>
      <w:r w:rsidRPr="00414F06">
        <w:rPr>
          <w:sz w:val="20"/>
          <w:szCs w:val="20"/>
        </w:rPr>
        <w:t xml:space="preserve">Source: National Consortium for the Study of Terrorism and Responses to Terrorism (START), Global Terrorism Database, 2013, Web, Retrieved 29 Mar 2016, </w:t>
      </w:r>
      <w:hyperlink r:id="rId18" w:history="1">
        <w:r w:rsidRPr="001C5746">
          <w:rPr>
            <w:rStyle w:val="Hyperlink"/>
            <w:sz w:val="20"/>
            <w:szCs w:val="20"/>
          </w:rPr>
          <w:t>http://www.start.umd.edu/gtd</w:t>
        </w:r>
      </w:hyperlink>
    </w:p>
    <w:p w14:paraId="4EF70640" w14:textId="77777777" w:rsidR="004239C1" w:rsidRDefault="004239C1" w:rsidP="00E975A6">
      <w:pPr>
        <w:spacing w:line="240" w:lineRule="auto"/>
        <w:ind w:left="1080"/>
        <w:rPr>
          <w:rStyle w:val="Hyperlink"/>
          <w:sz w:val="20"/>
          <w:szCs w:val="20"/>
        </w:rPr>
      </w:pPr>
    </w:p>
    <w:p w14:paraId="187006F2" w14:textId="77777777" w:rsidR="002146AD" w:rsidRDefault="002146AD" w:rsidP="00E975A6">
      <w:pPr>
        <w:rPr>
          <w:i/>
        </w:rPr>
        <w:sectPr w:rsidR="002146AD" w:rsidSect="002146AD">
          <w:type w:val="continuous"/>
          <w:pgSz w:w="12240" w:h="15840"/>
          <w:pgMar w:top="1440" w:right="1440" w:bottom="1440" w:left="2304" w:header="720" w:footer="720" w:gutter="0"/>
          <w:cols w:space="720"/>
          <w:docGrid w:linePitch="360"/>
        </w:sectPr>
      </w:pPr>
    </w:p>
    <w:p w14:paraId="1F511ABC" w14:textId="513ABAD5" w:rsidR="002146AD" w:rsidRPr="007B6988" w:rsidRDefault="00E975A6" w:rsidP="007B6988">
      <w:pPr>
        <w:pStyle w:val="Heading3"/>
        <w:rPr>
          <w:rFonts w:ascii="Times New Roman" w:hAnsi="Times New Roman" w:cs="Times New Roman"/>
          <w:b w:val="0"/>
          <w:i/>
          <w:color w:val="auto"/>
        </w:rPr>
      </w:pPr>
      <w:bookmarkStart w:id="22" w:name="_Toc324423949"/>
      <w:r w:rsidRPr="007B6988">
        <w:rPr>
          <w:rFonts w:ascii="Times New Roman" w:hAnsi="Times New Roman" w:cs="Times New Roman"/>
          <w:b w:val="0"/>
          <w:i/>
          <w:color w:val="auto"/>
        </w:rPr>
        <w:lastRenderedPageBreak/>
        <w:t>The Social Costs of Israel’s Extraordinary Defense Burden</w:t>
      </w:r>
      <w:bookmarkEnd w:id="22"/>
    </w:p>
    <w:p w14:paraId="2C54C539" w14:textId="77777777" w:rsidR="007B6988" w:rsidRDefault="007B6988" w:rsidP="00D37523">
      <w:pPr>
        <w:ind w:firstLine="720"/>
        <w:sectPr w:rsidR="007B6988" w:rsidSect="002146AD">
          <w:type w:val="continuous"/>
          <w:pgSz w:w="12240" w:h="15840"/>
          <w:pgMar w:top="1440" w:right="1440" w:bottom="1440" w:left="2304" w:header="720" w:footer="720" w:gutter="0"/>
          <w:cols w:space="720"/>
          <w:docGrid w:linePitch="360"/>
        </w:sectPr>
      </w:pPr>
    </w:p>
    <w:p w14:paraId="74C7D1D1" w14:textId="1CC727DD" w:rsidR="00E975A6" w:rsidRDefault="00E975A6" w:rsidP="00D37523">
      <w:pPr>
        <w:ind w:firstLine="720"/>
      </w:pPr>
      <w:r>
        <w:lastRenderedPageBreak/>
        <w:t xml:space="preserve">Israeli </w:t>
      </w:r>
      <w:r w:rsidRPr="00D615AF">
        <w:t>security expenditures have been truly extraordinary, eve</w:t>
      </w:r>
      <w:r>
        <w:t>n when compared to other countries with high defense expenditures, and high defense spending contributed to an economic crisis that U.S. aid helped alleviate. On average countries spend about 3.4% of GDP on defense.</w:t>
      </w:r>
      <w:r>
        <w:rPr>
          <w:rStyle w:val="FootnoteReference"/>
        </w:rPr>
        <w:footnoteReference w:id="91"/>
      </w:r>
      <w:r>
        <w:t xml:space="preserve"> The U.S. spends more on defense than any other country, but as a percentage of GDP</w:t>
      </w:r>
      <w:r w:rsidR="004239C1">
        <w:t>,</w:t>
      </w:r>
      <w:r>
        <w:t xml:space="preserve"> U.S. defense spending was only 4.6% in 2014. Prior to 2010, Israeli military spending had never been below 5% of GDP and, today, has never been below 4% of GDP.</w:t>
      </w:r>
      <w:r>
        <w:rPr>
          <w:rStyle w:val="FootnoteReference"/>
        </w:rPr>
        <w:footnoteReference w:id="92"/>
      </w:r>
      <w:r>
        <w:t xml:space="preserve"> As Figure 2 and Table 1 show, U.S. defense spending reached 10% of GDP at the height of the Vietnam War in 1968 but rapidly declined thereafter to an average of 6.65% from 1970-1979. These figures are high but not compared to Israeli defense spending during the same period. Israeli defense spending peaked at an unsustainable 15.2% o</w:t>
      </w:r>
      <w:r w:rsidR="004239C1">
        <w:t>f GDP in 1975 and averaged 13.5</w:t>
      </w:r>
      <w:r>
        <w:t>% of GDP from 1970-1979.</w:t>
      </w:r>
      <w:r>
        <w:rPr>
          <w:rStyle w:val="FootnoteReference"/>
        </w:rPr>
        <w:footnoteReference w:id="93"/>
      </w:r>
      <w:r>
        <w:t xml:space="preserve"> It was during this period, especially after the 1973 Yom Kippur War, that Israeli defense spending jeopardized the overall stability of the state; 1974-1984 is known as Israel’s lost decade economically because growth stagnated, government expenditures soared (mainly on defense), and inflation exceeded 400% by 1984.</w:t>
      </w:r>
      <w:r>
        <w:rPr>
          <w:rStyle w:val="FootnoteReference"/>
        </w:rPr>
        <w:footnoteReference w:id="94"/>
      </w:r>
      <w:r w:rsidR="00D37523">
        <w:t xml:space="preserve"> Fortunately, </w:t>
      </w:r>
      <w:r w:rsidR="004239C1">
        <w:t>the U.S.</w:t>
      </w:r>
      <w:r w:rsidR="00D37523" w:rsidRPr="00D37523">
        <w:t xml:space="preserve"> </w:t>
      </w:r>
      <w:r w:rsidR="00D37523">
        <w:t>prevented the development of a major economic crisis by funding</w:t>
      </w:r>
      <w:r>
        <w:t xml:space="preserve"> </w:t>
      </w:r>
      <w:r w:rsidR="00D37523">
        <w:t>the</w:t>
      </w:r>
      <w:r>
        <w:t>1985 E</w:t>
      </w:r>
      <w:r w:rsidR="00D37523">
        <w:t>conomic Stabilization Plan.</w:t>
      </w:r>
      <w:r>
        <w:rPr>
          <w:rStyle w:val="FootnoteReference"/>
        </w:rPr>
        <w:footnoteReference w:id="95"/>
      </w:r>
      <w:r>
        <w:t xml:space="preserve"> While there were certainly more broad global trends that contributed to Israel’s economic troubles, such as the emergence of </w:t>
      </w:r>
      <w:r>
        <w:lastRenderedPageBreak/>
        <w:t>OPEC and the changing global oil landscape, Israeli defense spending certainly didn’t help with Israel’s economic struggles.</w:t>
      </w:r>
      <w:r>
        <w:rPr>
          <w:rStyle w:val="FootnoteReference"/>
        </w:rPr>
        <w:footnoteReference w:id="96"/>
      </w:r>
      <w:r>
        <w:t xml:space="preserve"> The injection of U.S. aid after the peace deal with Egypt alleviated the burden of high defense spending somewhat, but the 1982 Lebanon War and Israel’s military incursions in Lebanon thereafter kept defense spending high. Israel’s defense spending as a percentage of GDP has been extraordinarily high, since the 1970s, but this measure does not capture the full extent to which the Israeli resources have been devoted to defense. </w:t>
      </w:r>
    </w:p>
    <w:p w14:paraId="30C94653" w14:textId="6272E717" w:rsidR="00E975A6" w:rsidRPr="00EE775E" w:rsidRDefault="00E975A6" w:rsidP="00D37523">
      <w:pPr>
        <w:ind w:firstLine="720"/>
      </w:pPr>
      <w:r>
        <w:t>The domestic defense consumption measure is a more holistic measure of the cost of defense. The Israeli domestic defens</w:t>
      </w:r>
      <w:r w:rsidR="008D12B1">
        <w:t>e consumption measure in Figure 2 and Table 3</w:t>
      </w:r>
      <w:r>
        <w:t xml:space="preserve"> shows the full amount of domestic resources in the Israeli economy that were devoted to defense in any given year. The Israeli Ministry of Defense calculates this measure in accordance with the most recent 2008 guidelines of the System of National Accounts (SNA).</w:t>
      </w:r>
      <w:r>
        <w:rPr>
          <w:rStyle w:val="FootnoteReference"/>
        </w:rPr>
        <w:footnoteReference w:id="97"/>
      </w:r>
      <w:r>
        <w:t xml:space="preserve"> This statistic</w:t>
      </w:r>
      <w:r w:rsidR="00D37523">
        <w:t xml:space="preserve"> aggregates</w:t>
      </w:r>
      <w:r>
        <w:t xml:space="preserve"> four different measures: </w:t>
      </w:r>
      <w:r w:rsidRPr="00E477D5">
        <w:t>compensation</w:t>
      </w:r>
      <w:r w:rsidRPr="00A1046B">
        <w:rPr>
          <w:i/>
        </w:rPr>
        <w:t>,</w:t>
      </w:r>
      <w:r w:rsidR="00D37523">
        <w:t xml:space="preserve"> defense imports,</w:t>
      </w:r>
      <w:r>
        <w:t xml:space="preserve"> sales by the Ministry of Defense</w:t>
      </w:r>
      <w:r w:rsidR="00D37523">
        <w:t>, and the purchase of goods and services in Israel</w:t>
      </w:r>
      <w:r>
        <w:t>. Compensation accounts for the salary paid to civilian and non-civilian employees of the defense establishment, such as conscripted soldiers, lifetime military members, and pensioners. T</w:t>
      </w:r>
      <w:r w:rsidRPr="00E477D5">
        <w:t>he purchase of goods and services in Israel</w:t>
      </w:r>
      <w:r>
        <w:t xml:space="preserve"> accounts for expenditures relating to logistical and infrastructural goods needed by the military in Israel and the Palestinian Territories.</w:t>
      </w:r>
      <w:r w:rsidRPr="00A1046B">
        <w:rPr>
          <w:i/>
        </w:rPr>
        <w:t xml:space="preserve"> </w:t>
      </w:r>
      <w:r>
        <w:t>D</w:t>
      </w:r>
      <w:r w:rsidRPr="00E477D5">
        <w:t>efense import</w:t>
      </w:r>
      <w:r>
        <w:t>s measures</w:t>
      </w:r>
      <w:r w:rsidRPr="00A1046B">
        <w:rPr>
          <w:i/>
        </w:rPr>
        <w:t xml:space="preserve"> </w:t>
      </w:r>
      <w:r>
        <w:t>the value of goods and services acquired abroad by the defense establishment, which includes the large amount of aid and arms given freely to Israel by the U.S. S</w:t>
      </w:r>
      <w:r w:rsidRPr="00E477D5">
        <w:t>ales by the Ministry of Defense</w:t>
      </w:r>
      <w:r>
        <w:t xml:space="preserve"> </w:t>
      </w:r>
      <w:r>
        <w:lastRenderedPageBreak/>
        <w:t>include income from selling surplus military supplies.</w:t>
      </w:r>
      <w:r>
        <w:rPr>
          <w:rStyle w:val="FootnoteReference"/>
        </w:rPr>
        <w:footnoteReference w:id="98"/>
      </w:r>
      <w:r>
        <w:t xml:space="preserve"> Taken together, these expenditures paint a clearer picture of the resources devoted to defense in the Israeli economy. </w:t>
      </w:r>
    </w:p>
    <w:p w14:paraId="2B581949" w14:textId="571C2208" w:rsidR="00D5245D" w:rsidRPr="00D5245D" w:rsidRDefault="00D5245D" w:rsidP="00D5245D">
      <w:pPr>
        <w:pStyle w:val="Caption"/>
        <w:keepNext/>
        <w:jc w:val="center"/>
        <w:rPr>
          <w:color w:val="auto"/>
          <w:sz w:val="24"/>
          <w:szCs w:val="24"/>
        </w:rPr>
      </w:pPr>
      <w:bookmarkStart w:id="23" w:name="_Toc324264448"/>
      <w:bookmarkStart w:id="24" w:name="_Toc324264695"/>
      <w:r w:rsidRPr="00D5245D">
        <w:rPr>
          <w:color w:val="auto"/>
          <w:sz w:val="24"/>
          <w:szCs w:val="24"/>
        </w:rPr>
        <w:t xml:space="preserve">Figure </w:t>
      </w:r>
      <w:r w:rsidRPr="00D5245D">
        <w:rPr>
          <w:color w:val="auto"/>
          <w:sz w:val="24"/>
          <w:szCs w:val="24"/>
        </w:rPr>
        <w:fldChar w:fldCharType="begin"/>
      </w:r>
      <w:r w:rsidRPr="00D5245D">
        <w:rPr>
          <w:color w:val="auto"/>
          <w:sz w:val="24"/>
          <w:szCs w:val="24"/>
        </w:rPr>
        <w:instrText xml:space="preserve"> SEQ Figure \* ARABIC </w:instrText>
      </w:r>
      <w:r w:rsidRPr="00D5245D">
        <w:rPr>
          <w:color w:val="auto"/>
          <w:sz w:val="24"/>
          <w:szCs w:val="24"/>
        </w:rPr>
        <w:fldChar w:fldCharType="separate"/>
      </w:r>
      <w:r w:rsidR="00500133">
        <w:rPr>
          <w:noProof/>
          <w:color w:val="auto"/>
          <w:sz w:val="24"/>
          <w:szCs w:val="24"/>
        </w:rPr>
        <w:t>2</w:t>
      </w:r>
      <w:r w:rsidRPr="00D5245D">
        <w:rPr>
          <w:color w:val="auto"/>
          <w:sz w:val="24"/>
          <w:szCs w:val="24"/>
        </w:rPr>
        <w:fldChar w:fldCharType="end"/>
      </w:r>
      <w:r w:rsidRPr="00D5245D">
        <w:rPr>
          <w:color w:val="auto"/>
          <w:sz w:val="24"/>
          <w:szCs w:val="24"/>
        </w:rPr>
        <w:t>: Israeli and U.S. Defense Spending (1960-2014)</w:t>
      </w:r>
      <w:bookmarkEnd w:id="23"/>
      <w:bookmarkEnd w:id="24"/>
    </w:p>
    <w:p w14:paraId="4284BC9A" w14:textId="487394B6" w:rsidR="00E975A6" w:rsidRDefault="00500133" w:rsidP="00E975A6">
      <w:pPr>
        <w:spacing w:line="240" w:lineRule="auto"/>
      </w:pPr>
      <w:r>
        <w:rPr>
          <w:noProof/>
        </w:rPr>
        <w:pict w14:anchorId="07A6DE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3pt;height:181pt;visibility:visible">
            <v:imagedata r:id="rId19" o:title="" cropbottom="-32f" cropright="-8f"/>
            <o:lock v:ext="edit" aspectratio="f"/>
          </v:shape>
        </w:pict>
      </w:r>
    </w:p>
    <w:p w14:paraId="486F90F1" w14:textId="050BA9DC" w:rsidR="00E975A6" w:rsidRDefault="00E975A6" w:rsidP="002C2531">
      <w:pPr>
        <w:spacing w:line="240" w:lineRule="auto"/>
        <w:ind w:left="180"/>
        <w:rPr>
          <w:sz w:val="20"/>
          <w:shd w:val="clear" w:color="auto" w:fill="FFFFFF"/>
        </w:rPr>
      </w:pPr>
      <w:r>
        <w:rPr>
          <w:sz w:val="20"/>
        </w:rPr>
        <w:t>Sources: Israeli Central Bureau of Statistics, U.S. Bureau of Economic Analysis, U.S. Census Bureau,</w:t>
      </w:r>
      <w:r w:rsidRPr="00FB5D8F">
        <w:rPr>
          <w:sz w:val="20"/>
          <w:shd w:val="clear" w:color="auto" w:fill="FFFFFF"/>
        </w:rPr>
        <w:t xml:space="preserve"> The World Bank Data Tables</w:t>
      </w:r>
    </w:p>
    <w:p w14:paraId="2B801EA3" w14:textId="77777777" w:rsidR="002C2531" w:rsidRPr="002C2531" w:rsidRDefault="002C2531" w:rsidP="002C2531">
      <w:pPr>
        <w:spacing w:line="240" w:lineRule="auto"/>
        <w:ind w:left="180"/>
        <w:rPr>
          <w:sz w:val="20"/>
          <w:shd w:val="clear" w:color="auto" w:fill="FFFFFF"/>
        </w:rPr>
      </w:pPr>
    </w:p>
    <w:p w14:paraId="7271B27F" w14:textId="1D4D0E71" w:rsidR="00D5245D" w:rsidRPr="00D5245D" w:rsidRDefault="00D5245D" w:rsidP="00D5245D">
      <w:pPr>
        <w:pStyle w:val="Caption"/>
        <w:keepNext/>
        <w:jc w:val="center"/>
        <w:rPr>
          <w:color w:val="auto"/>
          <w:sz w:val="24"/>
        </w:rPr>
      </w:pPr>
      <w:bookmarkStart w:id="25" w:name="_Toc323490971"/>
      <w:bookmarkStart w:id="26" w:name="_Toc324146558"/>
      <w:bookmarkStart w:id="27" w:name="_Toc324264449"/>
      <w:bookmarkStart w:id="28" w:name="_Toc324264696"/>
      <w:r w:rsidRPr="00D5245D">
        <w:rPr>
          <w:color w:val="auto"/>
          <w:sz w:val="24"/>
        </w:rPr>
        <w:t xml:space="preserve">Table </w:t>
      </w:r>
      <w:r w:rsidRPr="00D5245D">
        <w:rPr>
          <w:color w:val="auto"/>
          <w:sz w:val="24"/>
        </w:rPr>
        <w:fldChar w:fldCharType="begin"/>
      </w:r>
      <w:r w:rsidRPr="00D5245D">
        <w:rPr>
          <w:color w:val="auto"/>
          <w:sz w:val="24"/>
        </w:rPr>
        <w:instrText xml:space="preserve"> SEQ Table \* ARABIC </w:instrText>
      </w:r>
      <w:r w:rsidRPr="00D5245D">
        <w:rPr>
          <w:color w:val="auto"/>
          <w:sz w:val="24"/>
        </w:rPr>
        <w:fldChar w:fldCharType="separate"/>
      </w:r>
      <w:r w:rsidR="00500133">
        <w:rPr>
          <w:noProof/>
          <w:color w:val="auto"/>
          <w:sz w:val="24"/>
        </w:rPr>
        <w:t>3</w:t>
      </w:r>
      <w:r w:rsidRPr="00D5245D">
        <w:rPr>
          <w:color w:val="auto"/>
          <w:sz w:val="24"/>
        </w:rPr>
        <w:fldChar w:fldCharType="end"/>
      </w:r>
      <w:r w:rsidRPr="00D5245D">
        <w:rPr>
          <w:color w:val="auto"/>
          <w:sz w:val="24"/>
        </w:rPr>
        <w:t xml:space="preserve">: Average Israeli and U.S. Defense Spending as a Percentage of GDP </w:t>
      </w:r>
      <w:r>
        <w:rPr>
          <w:color w:val="auto"/>
          <w:sz w:val="24"/>
        </w:rPr>
        <w:t xml:space="preserve"> </w:t>
      </w:r>
      <w:r w:rsidRPr="00D5245D">
        <w:rPr>
          <w:color w:val="auto"/>
          <w:sz w:val="24"/>
        </w:rPr>
        <w:t>(1960-2010)</w:t>
      </w:r>
      <w:bookmarkEnd w:id="25"/>
      <w:bookmarkEnd w:id="26"/>
      <w:bookmarkEnd w:id="27"/>
      <w:bookmarkEnd w:id="28"/>
    </w:p>
    <w:tbl>
      <w:tblPr>
        <w:tblW w:w="8108" w:type="dxa"/>
        <w:jc w:val="center"/>
        <w:tblBorders>
          <w:top w:val="single" w:sz="8" w:space="0" w:color="000000"/>
          <w:bottom w:val="single" w:sz="8" w:space="0" w:color="000000"/>
        </w:tblBorders>
        <w:tblLayout w:type="fixed"/>
        <w:tblLook w:val="04A0" w:firstRow="1" w:lastRow="0" w:firstColumn="1" w:lastColumn="0" w:noHBand="0" w:noVBand="1"/>
      </w:tblPr>
      <w:tblGrid>
        <w:gridCol w:w="1995"/>
        <w:gridCol w:w="1890"/>
        <w:gridCol w:w="2063"/>
        <w:gridCol w:w="2160"/>
      </w:tblGrid>
      <w:tr w:rsidR="00E975A6" w:rsidRPr="00C42584" w14:paraId="74AC1A42" w14:textId="77777777" w:rsidTr="00C65D27">
        <w:trPr>
          <w:trHeight w:val="300"/>
          <w:jc w:val="center"/>
        </w:trPr>
        <w:tc>
          <w:tcPr>
            <w:tcW w:w="1995" w:type="dxa"/>
            <w:shd w:val="clear" w:color="auto" w:fill="auto"/>
            <w:noWrap/>
          </w:tcPr>
          <w:p w14:paraId="378493BC" w14:textId="77777777" w:rsidR="00E975A6" w:rsidRPr="00423954" w:rsidRDefault="00E975A6" w:rsidP="00C65D27">
            <w:pPr>
              <w:keepNext/>
              <w:spacing w:line="240" w:lineRule="auto"/>
              <w:ind w:left="-93"/>
              <w:jc w:val="center"/>
              <w:outlineLvl w:val="0"/>
              <w:rPr>
                <w:b/>
                <w:sz w:val="20"/>
                <w:szCs w:val="20"/>
              </w:rPr>
            </w:pPr>
            <w:r w:rsidRPr="00423954">
              <w:rPr>
                <w:b/>
                <w:sz w:val="20"/>
                <w:szCs w:val="20"/>
              </w:rPr>
              <w:t>Years Averaged</w:t>
            </w:r>
          </w:p>
        </w:tc>
        <w:tc>
          <w:tcPr>
            <w:tcW w:w="1890" w:type="dxa"/>
            <w:shd w:val="clear" w:color="auto" w:fill="auto"/>
            <w:noWrap/>
          </w:tcPr>
          <w:p w14:paraId="7424633E" w14:textId="77777777" w:rsidR="00E975A6" w:rsidRPr="00423954" w:rsidRDefault="00E975A6" w:rsidP="00C65D27">
            <w:pPr>
              <w:keepNext/>
              <w:spacing w:line="240" w:lineRule="auto"/>
              <w:ind w:left="-93"/>
              <w:jc w:val="center"/>
              <w:outlineLvl w:val="0"/>
              <w:rPr>
                <w:b/>
                <w:sz w:val="20"/>
                <w:szCs w:val="20"/>
              </w:rPr>
            </w:pPr>
            <w:r w:rsidRPr="00423954">
              <w:rPr>
                <w:b/>
                <w:sz w:val="20"/>
                <w:szCs w:val="20"/>
              </w:rPr>
              <w:t>U.S. Defense Spending</w:t>
            </w:r>
          </w:p>
        </w:tc>
        <w:tc>
          <w:tcPr>
            <w:tcW w:w="2063" w:type="dxa"/>
            <w:shd w:val="clear" w:color="auto" w:fill="auto"/>
            <w:noWrap/>
          </w:tcPr>
          <w:p w14:paraId="33003A75" w14:textId="77777777" w:rsidR="00E975A6" w:rsidRPr="00423954" w:rsidRDefault="00E975A6" w:rsidP="00C65D27">
            <w:pPr>
              <w:keepNext/>
              <w:spacing w:line="240" w:lineRule="auto"/>
              <w:ind w:left="-93"/>
              <w:jc w:val="center"/>
              <w:outlineLvl w:val="0"/>
              <w:rPr>
                <w:b/>
                <w:sz w:val="20"/>
                <w:szCs w:val="20"/>
              </w:rPr>
            </w:pPr>
            <w:r w:rsidRPr="00423954">
              <w:rPr>
                <w:b/>
                <w:sz w:val="20"/>
                <w:szCs w:val="20"/>
              </w:rPr>
              <w:t>Israeli Defense Spending</w:t>
            </w:r>
          </w:p>
        </w:tc>
        <w:tc>
          <w:tcPr>
            <w:tcW w:w="2160" w:type="dxa"/>
            <w:shd w:val="clear" w:color="auto" w:fill="auto"/>
            <w:noWrap/>
          </w:tcPr>
          <w:p w14:paraId="2ACF7AF0" w14:textId="77777777" w:rsidR="00E975A6" w:rsidRPr="00423954" w:rsidRDefault="00E975A6" w:rsidP="00C65D27">
            <w:pPr>
              <w:keepNext/>
              <w:spacing w:line="240" w:lineRule="auto"/>
              <w:jc w:val="center"/>
              <w:outlineLvl w:val="0"/>
              <w:rPr>
                <w:b/>
                <w:sz w:val="20"/>
                <w:szCs w:val="20"/>
              </w:rPr>
            </w:pPr>
            <w:r w:rsidRPr="00423954">
              <w:rPr>
                <w:b/>
                <w:sz w:val="20"/>
                <w:szCs w:val="20"/>
              </w:rPr>
              <w:t>Israeli Domestic Defense Consumption</w:t>
            </w:r>
          </w:p>
        </w:tc>
      </w:tr>
      <w:tr w:rsidR="00E975A6" w:rsidRPr="00C42584" w14:paraId="4CC342A2" w14:textId="77777777" w:rsidTr="00C65D27">
        <w:trPr>
          <w:trHeight w:val="300"/>
          <w:jc w:val="center"/>
        </w:trPr>
        <w:tc>
          <w:tcPr>
            <w:tcW w:w="1995" w:type="dxa"/>
            <w:shd w:val="clear" w:color="auto" w:fill="C0C0C0"/>
            <w:noWrap/>
            <w:hideMark/>
          </w:tcPr>
          <w:p w14:paraId="09784459" w14:textId="77777777" w:rsidR="00E975A6" w:rsidRPr="00423954" w:rsidRDefault="00E975A6" w:rsidP="00C65D27">
            <w:pPr>
              <w:keepNext/>
              <w:spacing w:line="240" w:lineRule="auto"/>
              <w:ind w:left="-93"/>
              <w:jc w:val="center"/>
              <w:outlineLvl w:val="0"/>
              <w:rPr>
                <w:b/>
                <w:sz w:val="20"/>
                <w:szCs w:val="20"/>
              </w:rPr>
            </w:pPr>
            <w:r w:rsidRPr="00423954">
              <w:rPr>
                <w:b/>
                <w:sz w:val="20"/>
                <w:szCs w:val="20"/>
              </w:rPr>
              <w:t>1960-1969</w:t>
            </w:r>
          </w:p>
        </w:tc>
        <w:tc>
          <w:tcPr>
            <w:tcW w:w="1890" w:type="dxa"/>
            <w:shd w:val="clear" w:color="auto" w:fill="C0C0C0"/>
            <w:noWrap/>
            <w:hideMark/>
          </w:tcPr>
          <w:p w14:paraId="65E2D33C" w14:textId="77777777" w:rsidR="00E975A6" w:rsidRPr="00423954" w:rsidRDefault="00E975A6" w:rsidP="00C65D27">
            <w:pPr>
              <w:keepNext/>
              <w:spacing w:line="240" w:lineRule="auto"/>
              <w:ind w:left="-93"/>
              <w:jc w:val="right"/>
              <w:outlineLvl w:val="0"/>
              <w:rPr>
                <w:b/>
                <w:sz w:val="20"/>
                <w:szCs w:val="20"/>
              </w:rPr>
            </w:pPr>
            <w:r w:rsidRPr="00423954">
              <w:rPr>
                <w:b/>
                <w:sz w:val="20"/>
                <w:szCs w:val="20"/>
              </w:rPr>
              <w:t>9.59</w:t>
            </w:r>
          </w:p>
        </w:tc>
        <w:tc>
          <w:tcPr>
            <w:tcW w:w="2063" w:type="dxa"/>
            <w:shd w:val="clear" w:color="auto" w:fill="C0C0C0"/>
            <w:noWrap/>
            <w:hideMark/>
          </w:tcPr>
          <w:p w14:paraId="49CE9AE2" w14:textId="77777777" w:rsidR="00E975A6" w:rsidRPr="00423954" w:rsidRDefault="00E975A6" w:rsidP="00C65D27">
            <w:pPr>
              <w:keepNext/>
              <w:spacing w:line="240" w:lineRule="auto"/>
              <w:ind w:left="-93"/>
              <w:jc w:val="right"/>
              <w:outlineLvl w:val="0"/>
              <w:rPr>
                <w:b/>
                <w:sz w:val="20"/>
                <w:szCs w:val="20"/>
              </w:rPr>
            </w:pPr>
            <w:r w:rsidRPr="00423954">
              <w:rPr>
                <w:b/>
                <w:color w:val="000000"/>
                <w:sz w:val="20"/>
                <w:szCs w:val="20"/>
              </w:rPr>
              <w:t>7.38</w:t>
            </w:r>
          </w:p>
        </w:tc>
        <w:tc>
          <w:tcPr>
            <w:tcW w:w="2160" w:type="dxa"/>
            <w:shd w:val="clear" w:color="auto" w:fill="C0C0C0"/>
            <w:noWrap/>
            <w:hideMark/>
          </w:tcPr>
          <w:p w14:paraId="1618B422" w14:textId="77777777" w:rsidR="00E975A6" w:rsidRPr="00423954" w:rsidRDefault="00E975A6" w:rsidP="00C65D27">
            <w:pPr>
              <w:keepNext/>
              <w:spacing w:line="240" w:lineRule="auto"/>
              <w:jc w:val="right"/>
              <w:outlineLvl w:val="0"/>
              <w:rPr>
                <w:b/>
                <w:sz w:val="20"/>
                <w:szCs w:val="20"/>
              </w:rPr>
            </w:pPr>
            <w:r w:rsidRPr="00423954">
              <w:rPr>
                <w:b/>
                <w:sz w:val="20"/>
                <w:szCs w:val="20"/>
              </w:rPr>
              <w:t>11.69</w:t>
            </w:r>
          </w:p>
        </w:tc>
      </w:tr>
      <w:tr w:rsidR="00E975A6" w:rsidRPr="00C42584" w14:paraId="178A85F1" w14:textId="77777777" w:rsidTr="00C65D27">
        <w:trPr>
          <w:trHeight w:val="300"/>
          <w:jc w:val="center"/>
        </w:trPr>
        <w:tc>
          <w:tcPr>
            <w:tcW w:w="1995" w:type="dxa"/>
            <w:shd w:val="clear" w:color="auto" w:fill="auto"/>
            <w:noWrap/>
            <w:hideMark/>
          </w:tcPr>
          <w:p w14:paraId="79E02939" w14:textId="77777777" w:rsidR="00E975A6" w:rsidRPr="00423954" w:rsidRDefault="00E975A6" w:rsidP="00C65D27">
            <w:pPr>
              <w:keepNext/>
              <w:spacing w:line="240" w:lineRule="auto"/>
              <w:ind w:left="-93"/>
              <w:jc w:val="center"/>
              <w:outlineLvl w:val="0"/>
              <w:rPr>
                <w:b/>
                <w:sz w:val="20"/>
                <w:szCs w:val="20"/>
              </w:rPr>
            </w:pPr>
            <w:r w:rsidRPr="00423954">
              <w:rPr>
                <w:b/>
                <w:sz w:val="20"/>
                <w:szCs w:val="20"/>
              </w:rPr>
              <w:t>1970-1979</w:t>
            </w:r>
          </w:p>
        </w:tc>
        <w:tc>
          <w:tcPr>
            <w:tcW w:w="1890" w:type="dxa"/>
            <w:shd w:val="clear" w:color="auto" w:fill="auto"/>
            <w:noWrap/>
            <w:hideMark/>
          </w:tcPr>
          <w:p w14:paraId="279A70E3" w14:textId="77777777" w:rsidR="00E975A6" w:rsidRPr="00423954" w:rsidRDefault="00E975A6" w:rsidP="00C65D27">
            <w:pPr>
              <w:keepNext/>
              <w:spacing w:line="240" w:lineRule="auto"/>
              <w:ind w:left="-93"/>
              <w:jc w:val="right"/>
              <w:outlineLvl w:val="0"/>
              <w:rPr>
                <w:b/>
                <w:sz w:val="20"/>
                <w:szCs w:val="20"/>
              </w:rPr>
            </w:pPr>
            <w:r w:rsidRPr="00423954">
              <w:rPr>
                <w:b/>
                <w:sz w:val="20"/>
                <w:szCs w:val="20"/>
              </w:rPr>
              <w:t>6.65</w:t>
            </w:r>
          </w:p>
        </w:tc>
        <w:tc>
          <w:tcPr>
            <w:tcW w:w="2063" w:type="dxa"/>
            <w:shd w:val="clear" w:color="auto" w:fill="auto"/>
            <w:noWrap/>
            <w:hideMark/>
          </w:tcPr>
          <w:p w14:paraId="6AE96DA2" w14:textId="77777777" w:rsidR="00E975A6" w:rsidRPr="00423954" w:rsidRDefault="00E975A6" w:rsidP="00C65D27">
            <w:pPr>
              <w:keepNext/>
              <w:spacing w:line="240" w:lineRule="auto"/>
              <w:ind w:left="-93"/>
              <w:jc w:val="right"/>
              <w:outlineLvl w:val="0"/>
              <w:rPr>
                <w:b/>
                <w:sz w:val="20"/>
                <w:szCs w:val="20"/>
              </w:rPr>
            </w:pPr>
            <w:r w:rsidRPr="00423954">
              <w:rPr>
                <w:b/>
                <w:color w:val="000000"/>
                <w:sz w:val="20"/>
                <w:szCs w:val="20"/>
              </w:rPr>
              <w:t>13.47</w:t>
            </w:r>
          </w:p>
        </w:tc>
        <w:tc>
          <w:tcPr>
            <w:tcW w:w="2160" w:type="dxa"/>
            <w:shd w:val="clear" w:color="auto" w:fill="auto"/>
            <w:noWrap/>
            <w:hideMark/>
          </w:tcPr>
          <w:p w14:paraId="181FD066" w14:textId="77777777" w:rsidR="00E975A6" w:rsidRPr="00423954" w:rsidRDefault="00E975A6" w:rsidP="00C65D27">
            <w:pPr>
              <w:keepNext/>
              <w:spacing w:line="240" w:lineRule="auto"/>
              <w:jc w:val="right"/>
              <w:outlineLvl w:val="0"/>
              <w:rPr>
                <w:b/>
                <w:sz w:val="20"/>
                <w:szCs w:val="20"/>
              </w:rPr>
            </w:pPr>
            <w:r w:rsidRPr="00423954">
              <w:rPr>
                <w:b/>
                <w:sz w:val="20"/>
                <w:szCs w:val="20"/>
              </w:rPr>
              <w:t>23.98</w:t>
            </w:r>
          </w:p>
        </w:tc>
      </w:tr>
      <w:tr w:rsidR="00E975A6" w:rsidRPr="00C42584" w14:paraId="111CEF26" w14:textId="77777777" w:rsidTr="00C65D27">
        <w:trPr>
          <w:trHeight w:val="300"/>
          <w:jc w:val="center"/>
        </w:trPr>
        <w:tc>
          <w:tcPr>
            <w:tcW w:w="1995" w:type="dxa"/>
            <w:shd w:val="clear" w:color="auto" w:fill="C0C0C0"/>
            <w:noWrap/>
            <w:hideMark/>
          </w:tcPr>
          <w:p w14:paraId="38411A76" w14:textId="77777777" w:rsidR="00E975A6" w:rsidRPr="00423954" w:rsidRDefault="00E975A6" w:rsidP="00C65D27">
            <w:pPr>
              <w:keepNext/>
              <w:spacing w:line="240" w:lineRule="auto"/>
              <w:ind w:left="-93"/>
              <w:jc w:val="center"/>
              <w:outlineLvl w:val="0"/>
              <w:rPr>
                <w:b/>
                <w:sz w:val="20"/>
                <w:szCs w:val="20"/>
              </w:rPr>
            </w:pPr>
            <w:r w:rsidRPr="00423954">
              <w:rPr>
                <w:b/>
                <w:sz w:val="20"/>
                <w:szCs w:val="20"/>
              </w:rPr>
              <w:t>1980-1989</w:t>
            </w:r>
          </w:p>
        </w:tc>
        <w:tc>
          <w:tcPr>
            <w:tcW w:w="1890" w:type="dxa"/>
            <w:shd w:val="clear" w:color="auto" w:fill="C0C0C0"/>
            <w:noWrap/>
            <w:hideMark/>
          </w:tcPr>
          <w:p w14:paraId="34A0E547" w14:textId="77777777" w:rsidR="00E975A6" w:rsidRPr="00423954" w:rsidRDefault="00E975A6" w:rsidP="00C65D27">
            <w:pPr>
              <w:keepNext/>
              <w:spacing w:line="240" w:lineRule="auto"/>
              <w:ind w:left="-93"/>
              <w:jc w:val="right"/>
              <w:outlineLvl w:val="0"/>
              <w:rPr>
                <w:b/>
                <w:sz w:val="20"/>
                <w:szCs w:val="20"/>
              </w:rPr>
            </w:pPr>
            <w:r w:rsidRPr="00423954">
              <w:rPr>
                <w:b/>
                <w:sz w:val="20"/>
                <w:szCs w:val="20"/>
              </w:rPr>
              <w:t>6.45</w:t>
            </w:r>
          </w:p>
        </w:tc>
        <w:tc>
          <w:tcPr>
            <w:tcW w:w="2063" w:type="dxa"/>
            <w:shd w:val="clear" w:color="auto" w:fill="C0C0C0"/>
            <w:noWrap/>
            <w:hideMark/>
          </w:tcPr>
          <w:p w14:paraId="1B88A86A" w14:textId="77777777" w:rsidR="00E975A6" w:rsidRPr="00423954" w:rsidRDefault="00E975A6" w:rsidP="00C65D27">
            <w:pPr>
              <w:keepNext/>
              <w:spacing w:line="240" w:lineRule="auto"/>
              <w:ind w:left="-93"/>
              <w:jc w:val="right"/>
              <w:outlineLvl w:val="0"/>
              <w:rPr>
                <w:b/>
                <w:sz w:val="20"/>
                <w:szCs w:val="20"/>
              </w:rPr>
            </w:pPr>
            <w:r w:rsidRPr="00423954">
              <w:rPr>
                <w:b/>
                <w:color w:val="000000"/>
                <w:sz w:val="20"/>
                <w:szCs w:val="20"/>
              </w:rPr>
              <w:t>11.84</w:t>
            </w:r>
          </w:p>
        </w:tc>
        <w:tc>
          <w:tcPr>
            <w:tcW w:w="2160" w:type="dxa"/>
            <w:shd w:val="clear" w:color="auto" w:fill="C0C0C0"/>
            <w:noWrap/>
            <w:hideMark/>
          </w:tcPr>
          <w:p w14:paraId="64B1B941" w14:textId="77777777" w:rsidR="00E975A6" w:rsidRPr="00423954" w:rsidRDefault="00E975A6" w:rsidP="00C65D27">
            <w:pPr>
              <w:keepNext/>
              <w:spacing w:line="240" w:lineRule="auto"/>
              <w:jc w:val="right"/>
              <w:outlineLvl w:val="0"/>
              <w:rPr>
                <w:b/>
                <w:sz w:val="20"/>
                <w:szCs w:val="20"/>
              </w:rPr>
            </w:pPr>
            <w:r w:rsidRPr="00423954">
              <w:rPr>
                <w:b/>
                <w:sz w:val="20"/>
                <w:szCs w:val="20"/>
              </w:rPr>
              <w:t>17.78</w:t>
            </w:r>
          </w:p>
        </w:tc>
      </w:tr>
      <w:tr w:rsidR="00E975A6" w:rsidRPr="00C42584" w14:paraId="36F56E14" w14:textId="77777777" w:rsidTr="00C65D27">
        <w:trPr>
          <w:trHeight w:val="300"/>
          <w:jc w:val="center"/>
        </w:trPr>
        <w:tc>
          <w:tcPr>
            <w:tcW w:w="1995" w:type="dxa"/>
            <w:shd w:val="clear" w:color="auto" w:fill="auto"/>
            <w:noWrap/>
            <w:hideMark/>
          </w:tcPr>
          <w:p w14:paraId="1E0F33F0" w14:textId="77777777" w:rsidR="00E975A6" w:rsidRPr="00423954" w:rsidRDefault="00E975A6" w:rsidP="00C65D27">
            <w:pPr>
              <w:keepNext/>
              <w:spacing w:line="240" w:lineRule="auto"/>
              <w:ind w:left="-93"/>
              <w:jc w:val="center"/>
              <w:outlineLvl w:val="0"/>
              <w:rPr>
                <w:b/>
                <w:sz w:val="20"/>
                <w:szCs w:val="20"/>
              </w:rPr>
            </w:pPr>
            <w:r w:rsidRPr="00423954">
              <w:rPr>
                <w:b/>
                <w:sz w:val="20"/>
                <w:szCs w:val="20"/>
              </w:rPr>
              <w:t>1990-1999</w:t>
            </w:r>
          </w:p>
        </w:tc>
        <w:tc>
          <w:tcPr>
            <w:tcW w:w="1890" w:type="dxa"/>
            <w:shd w:val="clear" w:color="auto" w:fill="auto"/>
            <w:noWrap/>
            <w:hideMark/>
          </w:tcPr>
          <w:p w14:paraId="48483B54" w14:textId="77777777" w:rsidR="00E975A6" w:rsidRPr="00423954" w:rsidRDefault="00E975A6" w:rsidP="00C65D27">
            <w:pPr>
              <w:keepNext/>
              <w:spacing w:line="240" w:lineRule="auto"/>
              <w:ind w:left="-93"/>
              <w:jc w:val="right"/>
              <w:outlineLvl w:val="0"/>
              <w:rPr>
                <w:b/>
                <w:sz w:val="20"/>
                <w:szCs w:val="20"/>
              </w:rPr>
            </w:pPr>
            <w:r w:rsidRPr="00423954">
              <w:rPr>
                <w:b/>
                <w:sz w:val="20"/>
                <w:szCs w:val="20"/>
              </w:rPr>
              <w:t>4.48</w:t>
            </w:r>
          </w:p>
        </w:tc>
        <w:tc>
          <w:tcPr>
            <w:tcW w:w="2063" w:type="dxa"/>
            <w:shd w:val="clear" w:color="auto" w:fill="auto"/>
            <w:noWrap/>
            <w:hideMark/>
          </w:tcPr>
          <w:p w14:paraId="1618E7C0" w14:textId="77777777" w:rsidR="00E975A6" w:rsidRPr="00423954" w:rsidRDefault="00E975A6" w:rsidP="00C65D27">
            <w:pPr>
              <w:keepNext/>
              <w:spacing w:line="240" w:lineRule="auto"/>
              <w:ind w:left="-93"/>
              <w:jc w:val="right"/>
              <w:outlineLvl w:val="0"/>
              <w:rPr>
                <w:b/>
                <w:sz w:val="20"/>
                <w:szCs w:val="20"/>
              </w:rPr>
            </w:pPr>
            <w:r w:rsidRPr="00423954">
              <w:rPr>
                <w:b/>
                <w:color w:val="000000"/>
                <w:sz w:val="20"/>
                <w:szCs w:val="20"/>
              </w:rPr>
              <w:t>7.55</w:t>
            </w:r>
          </w:p>
        </w:tc>
        <w:tc>
          <w:tcPr>
            <w:tcW w:w="2160" w:type="dxa"/>
            <w:shd w:val="clear" w:color="auto" w:fill="auto"/>
            <w:noWrap/>
            <w:hideMark/>
          </w:tcPr>
          <w:p w14:paraId="547F693F" w14:textId="77777777" w:rsidR="00E975A6" w:rsidRPr="00423954" w:rsidRDefault="00E975A6" w:rsidP="00C65D27">
            <w:pPr>
              <w:keepNext/>
              <w:spacing w:line="240" w:lineRule="auto"/>
              <w:jc w:val="right"/>
              <w:outlineLvl w:val="0"/>
              <w:rPr>
                <w:b/>
                <w:sz w:val="20"/>
                <w:szCs w:val="20"/>
              </w:rPr>
            </w:pPr>
            <w:r w:rsidRPr="00423954">
              <w:rPr>
                <w:b/>
                <w:sz w:val="20"/>
                <w:szCs w:val="20"/>
              </w:rPr>
              <w:t>9.79</w:t>
            </w:r>
          </w:p>
        </w:tc>
      </w:tr>
      <w:tr w:rsidR="00E975A6" w:rsidRPr="00C42584" w14:paraId="6FFC7867" w14:textId="77777777" w:rsidTr="00C65D27">
        <w:trPr>
          <w:trHeight w:val="300"/>
          <w:jc w:val="center"/>
        </w:trPr>
        <w:tc>
          <w:tcPr>
            <w:tcW w:w="1995" w:type="dxa"/>
            <w:shd w:val="clear" w:color="auto" w:fill="C0C0C0"/>
            <w:noWrap/>
            <w:hideMark/>
          </w:tcPr>
          <w:p w14:paraId="008CC717" w14:textId="77777777" w:rsidR="00E975A6" w:rsidRPr="00423954" w:rsidRDefault="00E975A6" w:rsidP="00C65D27">
            <w:pPr>
              <w:keepNext/>
              <w:spacing w:line="240" w:lineRule="auto"/>
              <w:ind w:left="-93"/>
              <w:jc w:val="center"/>
              <w:outlineLvl w:val="0"/>
              <w:rPr>
                <w:b/>
                <w:sz w:val="20"/>
                <w:szCs w:val="20"/>
              </w:rPr>
            </w:pPr>
            <w:r w:rsidRPr="00423954">
              <w:rPr>
                <w:b/>
                <w:sz w:val="20"/>
                <w:szCs w:val="20"/>
              </w:rPr>
              <w:t>2000-2009</w:t>
            </w:r>
          </w:p>
        </w:tc>
        <w:tc>
          <w:tcPr>
            <w:tcW w:w="1890" w:type="dxa"/>
            <w:shd w:val="clear" w:color="auto" w:fill="C0C0C0"/>
            <w:noWrap/>
            <w:hideMark/>
          </w:tcPr>
          <w:p w14:paraId="33BE7E52" w14:textId="77777777" w:rsidR="00E975A6" w:rsidRPr="00423954" w:rsidRDefault="00E975A6" w:rsidP="00C65D27">
            <w:pPr>
              <w:keepNext/>
              <w:spacing w:line="240" w:lineRule="auto"/>
              <w:ind w:left="-93"/>
              <w:jc w:val="right"/>
              <w:outlineLvl w:val="0"/>
              <w:rPr>
                <w:b/>
                <w:sz w:val="20"/>
                <w:szCs w:val="20"/>
              </w:rPr>
            </w:pPr>
            <w:r w:rsidRPr="00423954">
              <w:rPr>
                <w:b/>
                <w:sz w:val="20"/>
                <w:szCs w:val="20"/>
              </w:rPr>
              <w:t>4.34</w:t>
            </w:r>
          </w:p>
        </w:tc>
        <w:tc>
          <w:tcPr>
            <w:tcW w:w="2063" w:type="dxa"/>
            <w:shd w:val="clear" w:color="auto" w:fill="C0C0C0"/>
            <w:noWrap/>
            <w:hideMark/>
          </w:tcPr>
          <w:p w14:paraId="2E00D5C6" w14:textId="77777777" w:rsidR="00E975A6" w:rsidRPr="00423954" w:rsidRDefault="00E975A6" w:rsidP="00C65D27">
            <w:pPr>
              <w:keepNext/>
              <w:spacing w:line="240" w:lineRule="auto"/>
              <w:ind w:left="-93"/>
              <w:jc w:val="right"/>
              <w:outlineLvl w:val="0"/>
              <w:rPr>
                <w:b/>
                <w:sz w:val="20"/>
                <w:szCs w:val="20"/>
              </w:rPr>
            </w:pPr>
            <w:r w:rsidRPr="00423954">
              <w:rPr>
                <w:b/>
                <w:color w:val="000000"/>
                <w:sz w:val="20"/>
                <w:szCs w:val="20"/>
              </w:rPr>
              <w:t>5.96</w:t>
            </w:r>
          </w:p>
        </w:tc>
        <w:tc>
          <w:tcPr>
            <w:tcW w:w="2160" w:type="dxa"/>
            <w:shd w:val="clear" w:color="auto" w:fill="C0C0C0"/>
            <w:noWrap/>
            <w:hideMark/>
          </w:tcPr>
          <w:p w14:paraId="7115E4EE" w14:textId="77777777" w:rsidR="00E975A6" w:rsidRPr="00423954" w:rsidRDefault="00E975A6" w:rsidP="00C65D27">
            <w:pPr>
              <w:keepNext/>
              <w:spacing w:line="240" w:lineRule="auto"/>
              <w:jc w:val="right"/>
              <w:outlineLvl w:val="0"/>
              <w:rPr>
                <w:b/>
                <w:sz w:val="20"/>
                <w:szCs w:val="20"/>
              </w:rPr>
            </w:pPr>
            <w:r w:rsidRPr="00423954">
              <w:rPr>
                <w:b/>
                <w:sz w:val="20"/>
                <w:szCs w:val="20"/>
              </w:rPr>
              <w:t>7.57</w:t>
            </w:r>
          </w:p>
        </w:tc>
      </w:tr>
      <w:tr w:rsidR="00E975A6" w:rsidRPr="00C42584" w14:paraId="21EFF997" w14:textId="77777777" w:rsidTr="00C65D27">
        <w:trPr>
          <w:trHeight w:val="300"/>
          <w:jc w:val="center"/>
        </w:trPr>
        <w:tc>
          <w:tcPr>
            <w:tcW w:w="1995" w:type="dxa"/>
            <w:shd w:val="clear" w:color="auto" w:fill="auto"/>
            <w:noWrap/>
            <w:hideMark/>
          </w:tcPr>
          <w:p w14:paraId="43A40C44" w14:textId="77777777" w:rsidR="00E975A6" w:rsidRPr="00423954" w:rsidRDefault="00E975A6" w:rsidP="00C65D27">
            <w:pPr>
              <w:keepNext/>
              <w:spacing w:line="240" w:lineRule="auto"/>
              <w:ind w:left="-93"/>
              <w:jc w:val="center"/>
              <w:outlineLvl w:val="0"/>
              <w:rPr>
                <w:b/>
                <w:sz w:val="20"/>
                <w:szCs w:val="20"/>
              </w:rPr>
            </w:pPr>
            <w:r w:rsidRPr="00423954">
              <w:rPr>
                <w:b/>
                <w:sz w:val="20"/>
                <w:szCs w:val="20"/>
              </w:rPr>
              <w:t xml:space="preserve">1960-2010 </w:t>
            </w:r>
          </w:p>
        </w:tc>
        <w:tc>
          <w:tcPr>
            <w:tcW w:w="1890" w:type="dxa"/>
            <w:shd w:val="clear" w:color="auto" w:fill="auto"/>
            <w:noWrap/>
            <w:hideMark/>
          </w:tcPr>
          <w:p w14:paraId="0777687E" w14:textId="77777777" w:rsidR="00E975A6" w:rsidRPr="00423954" w:rsidRDefault="00E975A6" w:rsidP="00C65D27">
            <w:pPr>
              <w:keepNext/>
              <w:spacing w:line="240" w:lineRule="auto"/>
              <w:ind w:left="-93"/>
              <w:jc w:val="right"/>
              <w:outlineLvl w:val="0"/>
              <w:rPr>
                <w:b/>
                <w:sz w:val="20"/>
                <w:szCs w:val="20"/>
              </w:rPr>
            </w:pPr>
            <w:r w:rsidRPr="00423954">
              <w:rPr>
                <w:b/>
                <w:sz w:val="20"/>
                <w:szCs w:val="20"/>
              </w:rPr>
              <w:t>6.23</w:t>
            </w:r>
          </w:p>
        </w:tc>
        <w:tc>
          <w:tcPr>
            <w:tcW w:w="2063" w:type="dxa"/>
            <w:shd w:val="clear" w:color="auto" w:fill="auto"/>
            <w:noWrap/>
            <w:hideMark/>
          </w:tcPr>
          <w:p w14:paraId="0AF070CF" w14:textId="77777777" w:rsidR="00E975A6" w:rsidRPr="00423954" w:rsidRDefault="00E975A6" w:rsidP="00C65D27">
            <w:pPr>
              <w:keepNext/>
              <w:spacing w:line="240" w:lineRule="auto"/>
              <w:ind w:left="-93"/>
              <w:jc w:val="right"/>
              <w:outlineLvl w:val="0"/>
              <w:rPr>
                <w:b/>
                <w:sz w:val="20"/>
                <w:szCs w:val="20"/>
              </w:rPr>
            </w:pPr>
            <w:r w:rsidRPr="00423954">
              <w:rPr>
                <w:b/>
                <w:color w:val="000000"/>
                <w:sz w:val="20"/>
                <w:szCs w:val="20"/>
              </w:rPr>
              <w:t>8.91</w:t>
            </w:r>
          </w:p>
        </w:tc>
        <w:tc>
          <w:tcPr>
            <w:tcW w:w="2160" w:type="dxa"/>
            <w:shd w:val="clear" w:color="auto" w:fill="auto"/>
            <w:noWrap/>
            <w:hideMark/>
          </w:tcPr>
          <w:p w14:paraId="4524702B" w14:textId="77777777" w:rsidR="00E975A6" w:rsidRPr="00423954" w:rsidRDefault="00E975A6" w:rsidP="00C65D27">
            <w:pPr>
              <w:keepNext/>
              <w:spacing w:line="240" w:lineRule="auto"/>
              <w:jc w:val="right"/>
              <w:outlineLvl w:val="0"/>
              <w:rPr>
                <w:b/>
                <w:sz w:val="20"/>
                <w:szCs w:val="20"/>
              </w:rPr>
            </w:pPr>
            <w:r w:rsidRPr="00423954">
              <w:rPr>
                <w:b/>
                <w:sz w:val="20"/>
                <w:szCs w:val="20"/>
              </w:rPr>
              <w:t>13.53</w:t>
            </w:r>
          </w:p>
        </w:tc>
      </w:tr>
    </w:tbl>
    <w:p w14:paraId="0E46D2C7" w14:textId="77777777" w:rsidR="00E975A6" w:rsidRDefault="00E975A6" w:rsidP="00E975A6">
      <w:pPr>
        <w:spacing w:line="240" w:lineRule="auto"/>
        <w:ind w:left="270"/>
        <w:rPr>
          <w:sz w:val="20"/>
          <w:shd w:val="clear" w:color="auto" w:fill="FFFFFF"/>
        </w:rPr>
      </w:pPr>
      <w:r w:rsidRPr="00FB5D8F">
        <w:rPr>
          <w:sz w:val="20"/>
          <w:shd w:val="clear" w:color="auto" w:fill="FFFFFF"/>
        </w:rPr>
        <w:t>Sources: Israeli Central Bureau of Statistics, U.S. Bureau of Economic Analysis, U.S. Census Bu</w:t>
      </w:r>
      <w:r>
        <w:rPr>
          <w:sz w:val="20"/>
          <w:shd w:val="clear" w:color="auto" w:fill="FFFFFF"/>
        </w:rPr>
        <w:t>reau, The World Bank Data Tables</w:t>
      </w:r>
    </w:p>
    <w:p w14:paraId="4E10C341" w14:textId="77777777" w:rsidR="00E975A6" w:rsidRPr="00EE775E" w:rsidRDefault="00E975A6" w:rsidP="00E975A6">
      <w:pPr>
        <w:spacing w:line="240" w:lineRule="auto"/>
        <w:rPr>
          <w:sz w:val="20"/>
          <w:shd w:val="clear" w:color="auto" w:fill="FFFFFF"/>
        </w:rPr>
      </w:pPr>
    </w:p>
    <w:p w14:paraId="741F7FD5" w14:textId="77777777" w:rsidR="00E975A6" w:rsidRDefault="00A428EC" w:rsidP="00E975A6">
      <w:pPr>
        <w:ind w:firstLine="720"/>
      </w:pPr>
      <w:r>
        <w:t>Figure 2 and Table 3</w:t>
      </w:r>
      <w:r w:rsidR="00E975A6">
        <w:t xml:space="preserve"> show downward trends from the peak defense spending years in the 1970’s, and this downward trend is primarily due to two factors. First, the large increase in the GDP of Israel over the period decreased the share of defense </w:t>
      </w:r>
      <w:r w:rsidR="00E975A6">
        <w:lastRenderedPageBreak/>
        <w:t>spending in the national budget, as defense spending stayed relatively stable over the same time period. Figure 3 shows that per capita Israeli defense spending has stayed very stable since 1988, the first year in which adequate data is available for comparison. Second, the influx of military aid from the U.S. after the peace deal with Egypt reduced the domestic defense consumption measure; U.S. aid is subtracted from total consumption in the calculation of that measurement rather than added because the Israeli economy is not responsible for this input.</w:t>
      </w:r>
      <w:r w:rsidR="00E975A6">
        <w:rPr>
          <w:rStyle w:val="FootnoteReference"/>
        </w:rPr>
        <w:footnoteReference w:id="99"/>
      </w:r>
      <w:r w:rsidR="00E975A6">
        <w:t xml:space="preserve"> U.S. military aid is significant despite that fact that it is not factored into the numbers in Figure 2 or Figure 3; U.S. aid has been said to provide a direct subsidy to each Israeli of roughly $500 per year, and considering that most U.S. aid to Israel is military aid, this means that the per capita defense spending nu</w:t>
      </w:r>
      <w:r w:rsidR="00D37523">
        <w:t>mbers in Figure 3 and Ta</w:t>
      </w:r>
      <w:r>
        <w:t>ble 4</w:t>
      </w:r>
      <w:r w:rsidR="00E975A6">
        <w:t xml:space="preserve"> are biased downward by a significant amount.</w:t>
      </w:r>
      <w:r w:rsidR="00E975A6">
        <w:rPr>
          <w:rStyle w:val="FootnoteReference"/>
        </w:rPr>
        <w:footnoteReference w:id="100"/>
      </w:r>
      <w:r w:rsidR="00E975A6">
        <w:t xml:space="preserve"> Even though defense spending and domestic consumption have decreased significantly, this downward trend is somewhat misleading.</w:t>
      </w:r>
    </w:p>
    <w:p w14:paraId="0B660A18" w14:textId="155A66AC" w:rsidR="007B6988" w:rsidRDefault="00E975A6" w:rsidP="00096423">
      <w:pPr>
        <w:ind w:firstLine="720"/>
      </w:pPr>
      <w:r>
        <w:t>Despite the decline in defense spending in recent decades Israel still bears the highest defense burden of any develop</w:t>
      </w:r>
      <w:r w:rsidR="00A428EC">
        <w:t>ed country. Figure 3 and Table 4</w:t>
      </w:r>
      <w:r>
        <w:t xml:space="preserve"> show that on average Israel has spent more per capita on defense than any other country in the world since 1988. The exceptions to this rule are Saudi Arabia, Oman, and the UAE in recent years, but these gulf countries have had the benefit of large oil revenues, a luxury Israel has not had. The defense burden is a measure of the stress placed on a country’s economy by a high defense budget. The defense burden is a more useful measure than pure spending numbers, and it is even more useful than Israel’s domestic defense consumption, because the defense burden contextualizes defense spending in relation to </w:t>
      </w:r>
      <w:r>
        <w:lastRenderedPageBreak/>
        <w:t>other countries. The global average defense burden is estimated at 2% of GDP; Israel’s defense burden is therefore excessive to the degree that Israel’s defense spending is greater than 2% of GDP.</w:t>
      </w:r>
      <w:r>
        <w:rPr>
          <w:rStyle w:val="FootnoteReference"/>
        </w:rPr>
        <w:footnoteReference w:id="101"/>
      </w:r>
      <w:r>
        <w:t xml:space="preserve"> F</w:t>
      </w:r>
      <w:r w:rsidR="00D37523">
        <w:t>or example, throughout the 2000</w:t>
      </w:r>
      <w:r>
        <w:t xml:space="preserve">s Israeli defense spending averaged 5.96% of GDP. This made Israel’s defense burden 3.96% on average throughout the 2000’s when compared to the rest of the world. This is a considerable gap (remember that average defense spending worldwide is 3.4% of GDP), but it is much smaller than in previous decades. Given Israel’s unique security environment, an international comparison of the defense burden in Israel means little to many Israelis who will claim that it is a necessary evil in a hostile region. </w:t>
      </w:r>
    </w:p>
    <w:p w14:paraId="29BFBB87" w14:textId="1CDA5D86" w:rsidR="00D5245D" w:rsidRPr="00D5245D" w:rsidRDefault="00D5245D" w:rsidP="00D5245D">
      <w:pPr>
        <w:pStyle w:val="Caption"/>
        <w:keepNext/>
        <w:jc w:val="center"/>
        <w:rPr>
          <w:color w:val="auto"/>
          <w:sz w:val="24"/>
        </w:rPr>
      </w:pPr>
      <w:bookmarkStart w:id="29" w:name="_Toc324264450"/>
      <w:bookmarkStart w:id="30" w:name="_Toc324264697"/>
      <w:r w:rsidRPr="00D5245D">
        <w:rPr>
          <w:color w:val="auto"/>
          <w:sz w:val="24"/>
        </w:rPr>
        <w:t xml:space="preserve">Figure </w:t>
      </w:r>
      <w:r w:rsidRPr="00D5245D">
        <w:rPr>
          <w:color w:val="auto"/>
          <w:sz w:val="24"/>
        </w:rPr>
        <w:fldChar w:fldCharType="begin"/>
      </w:r>
      <w:r w:rsidRPr="00D5245D">
        <w:rPr>
          <w:color w:val="auto"/>
          <w:sz w:val="24"/>
        </w:rPr>
        <w:instrText xml:space="preserve"> SEQ Figure \* ARABIC </w:instrText>
      </w:r>
      <w:r w:rsidRPr="00D5245D">
        <w:rPr>
          <w:color w:val="auto"/>
          <w:sz w:val="24"/>
        </w:rPr>
        <w:fldChar w:fldCharType="separate"/>
      </w:r>
      <w:r w:rsidR="00500133">
        <w:rPr>
          <w:noProof/>
          <w:color w:val="auto"/>
          <w:sz w:val="24"/>
        </w:rPr>
        <w:t>3</w:t>
      </w:r>
      <w:r w:rsidRPr="00D5245D">
        <w:rPr>
          <w:color w:val="auto"/>
          <w:sz w:val="24"/>
        </w:rPr>
        <w:fldChar w:fldCharType="end"/>
      </w:r>
      <w:r w:rsidRPr="00D5245D">
        <w:rPr>
          <w:color w:val="auto"/>
          <w:sz w:val="24"/>
        </w:rPr>
        <w:t>: Military Expenditures of the Five Largest Per Capita Spenders in Thousands of USD (1988-2014)</w:t>
      </w:r>
      <w:bookmarkEnd w:id="29"/>
      <w:bookmarkEnd w:id="30"/>
    </w:p>
    <w:p w14:paraId="5A4108A9" w14:textId="77777777" w:rsidR="00E975A6" w:rsidRDefault="00500133" w:rsidP="00E975A6">
      <w:pPr>
        <w:spacing w:line="240" w:lineRule="auto"/>
        <w:rPr>
          <w:b/>
        </w:rPr>
      </w:pPr>
      <w:r>
        <w:rPr>
          <w:b/>
          <w:noProof/>
        </w:rPr>
        <w:pict w14:anchorId="27B6171B">
          <v:shape id="_x0000_i1026" type="#_x0000_t75" style="width:6in;height:272pt;visibility:visible">
            <v:imagedata r:id="rId20" o:title="" cropbottom="-36f" cropright="-30f"/>
            <o:lock v:ext="edit" aspectratio="f"/>
          </v:shape>
        </w:pict>
      </w:r>
    </w:p>
    <w:p w14:paraId="0BF612FD" w14:textId="77777777" w:rsidR="00E975A6" w:rsidRDefault="00E975A6" w:rsidP="00E975A6">
      <w:pPr>
        <w:tabs>
          <w:tab w:val="left" w:pos="8190"/>
        </w:tabs>
        <w:spacing w:line="240" w:lineRule="auto"/>
        <w:ind w:left="450" w:right="450"/>
        <w:rPr>
          <w:sz w:val="20"/>
        </w:rPr>
      </w:pPr>
      <w:r w:rsidRPr="00761BDF">
        <w:rPr>
          <w:sz w:val="20"/>
        </w:rPr>
        <w:t>Source: Stockholm International Peace Research Institute (SIPRI) Military Expenditure Database</w:t>
      </w:r>
      <w:r>
        <w:rPr>
          <w:sz w:val="20"/>
        </w:rPr>
        <w:t>. *Data unavailable for UAE prior to 1997. **Data on Israeli expenditures does not include US military aid or the cost of Operation Protective Edge for 2014 expenditures</w:t>
      </w:r>
    </w:p>
    <w:p w14:paraId="7A433458" w14:textId="77777777" w:rsidR="00E975A6" w:rsidRDefault="00E975A6" w:rsidP="00A428EC">
      <w:pPr>
        <w:tabs>
          <w:tab w:val="left" w:pos="8190"/>
        </w:tabs>
        <w:ind w:right="450"/>
        <w:rPr>
          <w:sz w:val="20"/>
        </w:rPr>
      </w:pPr>
    </w:p>
    <w:p w14:paraId="2DE88EF5" w14:textId="17B4A84E" w:rsidR="00D5245D" w:rsidRPr="00D5245D" w:rsidRDefault="00D5245D" w:rsidP="00D5245D">
      <w:pPr>
        <w:pStyle w:val="Caption"/>
        <w:keepNext/>
        <w:jc w:val="center"/>
        <w:rPr>
          <w:color w:val="auto"/>
          <w:sz w:val="24"/>
        </w:rPr>
      </w:pPr>
      <w:bookmarkStart w:id="31" w:name="_Toc323490972"/>
      <w:bookmarkStart w:id="32" w:name="_Toc324146559"/>
      <w:bookmarkStart w:id="33" w:name="_Toc324264451"/>
      <w:bookmarkStart w:id="34" w:name="_Toc324264698"/>
      <w:r w:rsidRPr="00D5245D">
        <w:rPr>
          <w:color w:val="auto"/>
          <w:sz w:val="24"/>
        </w:rPr>
        <w:lastRenderedPageBreak/>
        <w:t xml:space="preserve">Table </w:t>
      </w:r>
      <w:r w:rsidRPr="00D5245D">
        <w:rPr>
          <w:color w:val="auto"/>
          <w:sz w:val="24"/>
        </w:rPr>
        <w:fldChar w:fldCharType="begin"/>
      </w:r>
      <w:r w:rsidRPr="00D5245D">
        <w:rPr>
          <w:color w:val="auto"/>
          <w:sz w:val="24"/>
        </w:rPr>
        <w:instrText xml:space="preserve"> SEQ Table \* ARABIC </w:instrText>
      </w:r>
      <w:r w:rsidRPr="00D5245D">
        <w:rPr>
          <w:color w:val="auto"/>
          <w:sz w:val="24"/>
        </w:rPr>
        <w:fldChar w:fldCharType="separate"/>
      </w:r>
      <w:r w:rsidR="00500133">
        <w:rPr>
          <w:noProof/>
          <w:color w:val="auto"/>
          <w:sz w:val="24"/>
        </w:rPr>
        <w:t>4</w:t>
      </w:r>
      <w:r w:rsidRPr="00D5245D">
        <w:rPr>
          <w:color w:val="auto"/>
          <w:sz w:val="24"/>
        </w:rPr>
        <w:fldChar w:fldCharType="end"/>
      </w:r>
      <w:r w:rsidRPr="00D5245D">
        <w:rPr>
          <w:color w:val="auto"/>
          <w:sz w:val="24"/>
        </w:rPr>
        <w:t>: Average Defense Spending of the Five Largest Per Capita Spenders in Thousands of USD (1988-2014)</w:t>
      </w:r>
      <w:bookmarkEnd w:id="31"/>
      <w:bookmarkEnd w:id="32"/>
      <w:bookmarkEnd w:id="33"/>
      <w:bookmarkEnd w:id="34"/>
    </w:p>
    <w:tbl>
      <w:tblPr>
        <w:tblW w:w="7668" w:type="dxa"/>
        <w:jc w:val="center"/>
        <w:tblBorders>
          <w:top w:val="single" w:sz="8" w:space="0" w:color="000000"/>
          <w:bottom w:val="single" w:sz="8" w:space="0" w:color="000000"/>
        </w:tblBorders>
        <w:tblLook w:val="04A0" w:firstRow="1" w:lastRow="0" w:firstColumn="1" w:lastColumn="0" w:noHBand="0" w:noVBand="1"/>
      </w:tblPr>
      <w:tblGrid>
        <w:gridCol w:w="1998"/>
        <w:gridCol w:w="1170"/>
        <w:gridCol w:w="990"/>
        <w:gridCol w:w="1476"/>
        <w:gridCol w:w="1134"/>
        <w:gridCol w:w="900"/>
      </w:tblGrid>
      <w:tr w:rsidR="00E975A6" w:rsidRPr="00185CD0" w14:paraId="4979243A" w14:textId="77777777" w:rsidTr="00C65D27">
        <w:trPr>
          <w:trHeight w:val="422"/>
          <w:jc w:val="center"/>
        </w:trPr>
        <w:tc>
          <w:tcPr>
            <w:tcW w:w="1998" w:type="dxa"/>
            <w:shd w:val="clear" w:color="auto" w:fill="auto"/>
          </w:tcPr>
          <w:p w14:paraId="44DB201F" w14:textId="77777777" w:rsidR="00E975A6" w:rsidRPr="00423954" w:rsidRDefault="00E975A6" w:rsidP="00C65D27">
            <w:pPr>
              <w:spacing w:line="240" w:lineRule="auto"/>
              <w:jc w:val="center"/>
              <w:rPr>
                <w:b/>
                <w:bCs/>
                <w:sz w:val="20"/>
                <w:szCs w:val="18"/>
              </w:rPr>
            </w:pPr>
            <w:r w:rsidRPr="00423954">
              <w:rPr>
                <w:b/>
                <w:bCs/>
                <w:sz w:val="20"/>
                <w:szCs w:val="18"/>
              </w:rPr>
              <w:t>Years Averaged</w:t>
            </w:r>
          </w:p>
        </w:tc>
        <w:tc>
          <w:tcPr>
            <w:tcW w:w="1170" w:type="dxa"/>
            <w:shd w:val="clear" w:color="auto" w:fill="auto"/>
          </w:tcPr>
          <w:p w14:paraId="256C1091" w14:textId="77777777" w:rsidR="00E975A6" w:rsidRPr="00423954" w:rsidRDefault="00E975A6" w:rsidP="00C65D27">
            <w:pPr>
              <w:spacing w:line="240" w:lineRule="auto"/>
              <w:jc w:val="center"/>
              <w:rPr>
                <w:b/>
                <w:bCs/>
                <w:sz w:val="20"/>
                <w:szCs w:val="18"/>
              </w:rPr>
            </w:pPr>
            <w:r w:rsidRPr="00423954">
              <w:rPr>
                <w:b/>
                <w:bCs/>
                <w:sz w:val="20"/>
                <w:szCs w:val="18"/>
              </w:rPr>
              <w:t>Israel**</w:t>
            </w:r>
          </w:p>
        </w:tc>
        <w:tc>
          <w:tcPr>
            <w:tcW w:w="990" w:type="dxa"/>
            <w:shd w:val="clear" w:color="auto" w:fill="auto"/>
          </w:tcPr>
          <w:p w14:paraId="3DC45335" w14:textId="77777777" w:rsidR="00E975A6" w:rsidRPr="00423954" w:rsidRDefault="00E975A6" w:rsidP="00C65D27">
            <w:pPr>
              <w:spacing w:line="240" w:lineRule="auto"/>
              <w:jc w:val="center"/>
              <w:rPr>
                <w:b/>
                <w:bCs/>
                <w:sz w:val="20"/>
                <w:szCs w:val="18"/>
              </w:rPr>
            </w:pPr>
            <w:r w:rsidRPr="00423954">
              <w:rPr>
                <w:b/>
                <w:bCs/>
                <w:sz w:val="20"/>
                <w:szCs w:val="18"/>
              </w:rPr>
              <w:t>US</w:t>
            </w:r>
          </w:p>
        </w:tc>
        <w:tc>
          <w:tcPr>
            <w:tcW w:w="1476" w:type="dxa"/>
            <w:shd w:val="clear" w:color="auto" w:fill="auto"/>
          </w:tcPr>
          <w:p w14:paraId="2FB8EB80" w14:textId="77777777" w:rsidR="00E975A6" w:rsidRPr="00423954" w:rsidRDefault="00E975A6" w:rsidP="00C65D27">
            <w:pPr>
              <w:spacing w:line="240" w:lineRule="auto"/>
              <w:jc w:val="center"/>
              <w:rPr>
                <w:b/>
                <w:bCs/>
                <w:sz w:val="20"/>
                <w:szCs w:val="18"/>
              </w:rPr>
            </w:pPr>
            <w:r w:rsidRPr="00423954">
              <w:rPr>
                <w:b/>
                <w:bCs/>
                <w:sz w:val="20"/>
                <w:szCs w:val="18"/>
              </w:rPr>
              <w:t>Saudi Arabia</w:t>
            </w:r>
          </w:p>
        </w:tc>
        <w:tc>
          <w:tcPr>
            <w:tcW w:w="1134" w:type="dxa"/>
            <w:shd w:val="clear" w:color="auto" w:fill="auto"/>
          </w:tcPr>
          <w:p w14:paraId="642F5FC5" w14:textId="77777777" w:rsidR="00E975A6" w:rsidRPr="00423954" w:rsidRDefault="00E975A6" w:rsidP="00C65D27">
            <w:pPr>
              <w:spacing w:line="240" w:lineRule="auto"/>
              <w:jc w:val="center"/>
              <w:rPr>
                <w:b/>
                <w:bCs/>
                <w:sz w:val="20"/>
                <w:szCs w:val="18"/>
              </w:rPr>
            </w:pPr>
            <w:r w:rsidRPr="00423954">
              <w:rPr>
                <w:b/>
                <w:bCs/>
                <w:sz w:val="20"/>
                <w:szCs w:val="18"/>
              </w:rPr>
              <w:t>Oman</w:t>
            </w:r>
          </w:p>
        </w:tc>
        <w:tc>
          <w:tcPr>
            <w:tcW w:w="900" w:type="dxa"/>
            <w:shd w:val="clear" w:color="auto" w:fill="auto"/>
          </w:tcPr>
          <w:p w14:paraId="0879F358" w14:textId="77777777" w:rsidR="00E975A6" w:rsidRPr="00423954" w:rsidRDefault="00E975A6" w:rsidP="00C65D27">
            <w:pPr>
              <w:spacing w:line="240" w:lineRule="auto"/>
              <w:jc w:val="center"/>
              <w:rPr>
                <w:b/>
                <w:bCs/>
                <w:sz w:val="20"/>
                <w:szCs w:val="18"/>
              </w:rPr>
            </w:pPr>
            <w:r w:rsidRPr="00423954">
              <w:rPr>
                <w:b/>
                <w:bCs/>
                <w:sz w:val="20"/>
                <w:szCs w:val="18"/>
              </w:rPr>
              <w:t>UAE</w:t>
            </w:r>
          </w:p>
        </w:tc>
      </w:tr>
      <w:tr w:rsidR="00E975A6" w:rsidRPr="00185CD0" w14:paraId="69E7A602" w14:textId="77777777" w:rsidTr="00C65D27">
        <w:trPr>
          <w:jc w:val="center"/>
        </w:trPr>
        <w:tc>
          <w:tcPr>
            <w:tcW w:w="1998" w:type="dxa"/>
            <w:shd w:val="clear" w:color="auto" w:fill="C0C0C0"/>
          </w:tcPr>
          <w:p w14:paraId="476F93D2" w14:textId="77777777" w:rsidR="00E975A6" w:rsidRPr="00423954" w:rsidRDefault="00E975A6" w:rsidP="00C65D27">
            <w:pPr>
              <w:spacing w:line="240" w:lineRule="auto"/>
              <w:jc w:val="center"/>
              <w:rPr>
                <w:b/>
                <w:bCs/>
                <w:sz w:val="20"/>
                <w:szCs w:val="18"/>
              </w:rPr>
            </w:pPr>
            <w:r w:rsidRPr="00423954">
              <w:rPr>
                <w:b/>
                <w:bCs/>
                <w:sz w:val="20"/>
                <w:szCs w:val="18"/>
              </w:rPr>
              <w:t>1990s</w:t>
            </w:r>
          </w:p>
        </w:tc>
        <w:tc>
          <w:tcPr>
            <w:tcW w:w="1170" w:type="dxa"/>
            <w:shd w:val="clear" w:color="auto" w:fill="C0C0C0"/>
          </w:tcPr>
          <w:p w14:paraId="1E86B575" w14:textId="77777777" w:rsidR="00E975A6" w:rsidRPr="00423954" w:rsidRDefault="00E975A6" w:rsidP="00C65D27">
            <w:pPr>
              <w:spacing w:line="240" w:lineRule="auto"/>
              <w:jc w:val="center"/>
              <w:rPr>
                <w:b/>
                <w:bCs/>
                <w:sz w:val="20"/>
                <w:szCs w:val="18"/>
              </w:rPr>
            </w:pPr>
            <w:r w:rsidRPr="00423954">
              <w:rPr>
                <w:b/>
                <w:bCs/>
                <w:sz w:val="20"/>
                <w:szCs w:val="18"/>
              </w:rPr>
              <w:t>1616</w:t>
            </w:r>
          </w:p>
        </w:tc>
        <w:tc>
          <w:tcPr>
            <w:tcW w:w="990" w:type="dxa"/>
            <w:shd w:val="clear" w:color="auto" w:fill="C0C0C0"/>
          </w:tcPr>
          <w:p w14:paraId="30EC1F00" w14:textId="77777777" w:rsidR="00E975A6" w:rsidRPr="00423954" w:rsidRDefault="00E975A6" w:rsidP="00C65D27">
            <w:pPr>
              <w:spacing w:line="240" w:lineRule="auto"/>
              <w:jc w:val="center"/>
              <w:rPr>
                <w:b/>
                <w:bCs/>
                <w:sz w:val="20"/>
                <w:szCs w:val="18"/>
              </w:rPr>
            </w:pPr>
            <w:r w:rsidRPr="00423954">
              <w:rPr>
                <w:b/>
                <w:bCs/>
                <w:sz w:val="20"/>
                <w:szCs w:val="18"/>
              </w:rPr>
              <w:t>1083</w:t>
            </w:r>
          </w:p>
        </w:tc>
        <w:tc>
          <w:tcPr>
            <w:tcW w:w="1476" w:type="dxa"/>
            <w:shd w:val="clear" w:color="auto" w:fill="C0C0C0"/>
          </w:tcPr>
          <w:p w14:paraId="6D6E0024" w14:textId="77777777" w:rsidR="00E975A6" w:rsidRPr="00423954" w:rsidRDefault="00E975A6" w:rsidP="00C65D27">
            <w:pPr>
              <w:spacing w:line="240" w:lineRule="auto"/>
              <w:jc w:val="center"/>
              <w:rPr>
                <w:b/>
                <w:bCs/>
                <w:sz w:val="20"/>
                <w:szCs w:val="18"/>
              </w:rPr>
            </w:pPr>
            <w:r w:rsidRPr="00423954">
              <w:rPr>
                <w:b/>
                <w:bCs/>
                <w:sz w:val="20"/>
                <w:szCs w:val="18"/>
              </w:rPr>
              <w:t>897</w:t>
            </w:r>
          </w:p>
        </w:tc>
        <w:tc>
          <w:tcPr>
            <w:tcW w:w="1134" w:type="dxa"/>
            <w:shd w:val="clear" w:color="auto" w:fill="C0C0C0"/>
          </w:tcPr>
          <w:p w14:paraId="3008474F" w14:textId="77777777" w:rsidR="00E975A6" w:rsidRPr="00423954" w:rsidRDefault="00E975A6" w:rsidP="00C65D27">
            <w:pPr>
              <w:spacing w:line="240" w:lineRule="auto"/>
              <w:jc w:val="center"/>
              <w:rPr>
                <w:b/>
                <w:bCs/>
                <w:sz w:val="20"/>
                <w:szCs w:val="18"/>
              </w:rPr>
            </w:pPr>
            <w:r w:rsidRPr="00423954">
              <w:rPr>
                <w:b/>
                <w:bCs/>
                <w:sz w:val="20"/>
                <w:szCs w:val="18"/>
              </w:rPr>
              <w:t>924</w:t>
            </w:r>
          </w:p>
        </w:tc>
        <w:tc>
          <w:tcPr>
            <w:tcW w:w="900" w:type="dxa"/>
            <w:shd w:val="clear" w:color="auto" w:fill="C0C0C0"/>
          </w:tcPr>
          <w:p w14:paraId="48A480A2" w14:textId="77777777" w:rsidR="00E975A6" w:rsidRPr="00423954" w:rsidRDefault="00E975A6" w:rsidP="00C65D27">
            <w:pPr>
              <w:spacing w:line="240" w:lineRule="auto"/>
              <w:jc w:val="center"/>
              <w:rPr>
                <w:b/>
                <w:bCs/>
                <w:sz w:val="20"/>
                <w:szCs w:val="18"/>
              </w:rPr>
            </w:pPr>
            <w:r w:rsidRPr="00423954">
              <w:rPr>
                <w:b/>
                <w:bCs/>
                <w:sz w:val="20"/>
                <w:szCs w:val="18"/>
              </w:rPr>
              <w:t>*</w:t>
            </w:r>
          </w:p>
        </w:tc>
      </w:tr>
      <w:tr w:rsidR="00E975A6" w:rsidRPr="00185CD0" w14:paraId="0AAC40AC" w14:textId="77777777" w:rsidTr="00C65D27">
        <w:trPr>
          <w:jc w:val="center"/>
        </w:trPr>
        <w:tc>
          <w:tcPr>
            <w:tcW w:w="1998" w:type="dxa"/>
            <w:shd w:val="clear" w:color="auto" w:fill="auto"/>
          </w:tcPr>
          <w:p w14:paraId="76D88ECA" w14:textId="77777777" w:rsidR="00E975A6" w:rsidRPr="00423954" w:rsidRDefault="00E975A6" w:rsidP="00C65D27">
            <w:pPr>
              <w:spacing w:line="240" w:lineRule="auto"/>
              <w:jc w:val="center"/>
              <w:rPr>
                <w:b/>
                <w:bCs/>
                <w:sz w:val="20"/>
                <w:szCs w:val="18"/>
              </w:rPr>
            </w:pPr>
            <w:r w:rsidRPr="00423954">
              <w:rPr>
                <w:b/>
                <w:bCs/>
                <w:sz w:val="20"/>
                <w:szCs w:val="18"/>
              </w:rPr>
              <w:t>2000s</w:t>
            </w:r>
          </w:p>
        </w:tc>
        <w:tc>
          <w:tcPr>
            <w:tcW w:w="1170" w:type="dxa"/>
            <w:shd w:val="clear" w:color="auto" w:fill="auto"/>
          </w:tcPr>
          <w:p w14:paraId="6CEAC315" w14:textId="77777777" w:rsidR="00E975A6" w:rsidRPr="00423954" w:rsidRDefault="00E975A6" w:rsidP="00C65D27">
            <w:pPr>
              <w:spacing w:line="240" w:lineRule="auto"/>
              <w:jc w:val="center"/>
              <w:rPr>
                <w:b/>
                <w:bCs/>
                <w:sz w:val="20"/>
                <w:szCs w:val="18"/>
              </w:rPr>
            </w:pPr>
            <w:r w:rsidRPr="00423954">
              <w:rPr>
                <w:b/>
                <w:bCs/>
                <w:sz w:val="20"/>
                <w:szCs w:val="18"/>
              </w:rPr>
              <w:t>1633</w:t>
            </w:r>
          </w:p>
        </w:tc>
        <w:tc>
          <w:tcPr>
            <w:tcW w:w="990" w:type="dxa"/>
            <w:shd w:val="clear" w:color="auto" w:fill="auto"/>
          </w:tcPr>
          <w:p w14:paraId="054AE575" w14:textId="77777777" w:rsidR="00E975A6" w:rsidRPr="00423954" w:rsidRDefault="00E975A6" w:rsidP="00C65D27">
            <w:pPr>
              <w:spacing w:line="240" w:lineRule="auto"/>
              <w:jc w:val="center"/>
              <w:rPr>
                <w:b/>
                <w:bCs/>
                <w:sz w:val="20"/>
                <w:szCs w:val="18"/>
              </w:rPr>
            </w:pPr>
            <w:r w:rsidRPr="00423954">
              <w:rPr>
                <w:b/>
                <w:bCs/>
                <w:sz w:val="20"/>
                <w:szCs w:val="18"/>
              </w:rPr>
              <w:t>1596</w:t>
            </w:r>
          </w:p>
        </w:tc>
        <w:tc>
          <w:tcPr>
            <w:tcW w:w="1476" w:type="dxa"/>
            <w:shd w:val="clear" w:color="auto" w:fill="auto"/>
          </w:tcPr>
          <w:p w14:paraId="2551717A" w14:textId="77777777" w:rsidR="00E975A6" w:rsidRPr="00423954" w:rsidRDefault="00E975A6" w:rsidP="00C65D27">
            <w:pPr>
              <w:spacing w:line="240" w:lineRule="auto"/>
              <w:jc w:val="center"/>
              <w:rPr>
                <w:b/>
                <w:bCs/>
                <w:sz w:val="20"/>
                <w:szCs w:val="18"/>
              </w:rPr>
            </w:pPr>
            <w:r w:rsidRPr="00423954">
              <w:rPr>
                <w:b/>
                <w:bCs/>
                <w:sz w:val="20"/>
                <w:szCs w:val="18"/>
              </w:rPr>
              <w:t>1109</w:t>
            </w:r>
          </w:p>
        </w:tc>
        <w:tc>
          <w:tcPr>
            <w:tcW w:w="1134" w:type="dxa"/>
            <w:shd w:val="clear" w:color="auto" w:fill="auto"/>
          </w:tcPr>
          <w:p w14:paraId="407B2319" w14:textId="77777777" w:rsidR="00E975A6" w:rsidRPr="00423954" w:rsidRDefault="00E975A6" w:rsidP="00C65D27">
            <w:pPr>
              <w:spacing w:line="240" w:lineRule="auto"/>
              <w:ind w:left="-108"/>
              <w:jc w:val="center"/>
              <w:rPr>
                <w:b/>
                <w:bCs/>
                <w:sz w:val="20"/>
                <w:szCs w:val="18"/>
              </w:rPr>
            </w:pPr>
            <w:r w:rsidRPr="00423954">
              <w:rPr>
                <w:b/>
                <w:bCs/>
                <w:sz w:val="20"/>
                <w:szCs w:val="18"/>
              </w:rPr>
              <w:t>1358</w:t>
            </w:r>
          </w:p>
        </w:tc>
        <w:tc>
          <w:tcPr>
            <w:tcW w:w="900" w:type="dxa"/>
            <w:shd w:val="clear" w:color="auto" w:fill="auto"/>
          </w:tcPr>
          <w:p w14:paraId="4EFE3E63" w14:textId="77777777" w:rsidR="00E975A6" w:rsidRPr="00423954" w:rsidRDefault="00E975A6" w:rsidP="00C65D27">
            <w:pPr>
              <w:spacing w:line="240" w:lineRule="auto"/>
              <w:jc w:val="center"/>
              <w:rPr>
                <w:b/>
                <w:bCs/>
                <w:sz w:val="20"/>
                <w:szCs w:val="18"/>
              </w:rPr>
            </w:pPr>
            <w:r w:rsidRPr="00423954">
              <w:rPr>
                <w:b/>
                <w:bCs/>
                <w:sz w:val="20"/>
                <w:szCs w:val="18"/>
              </w:rPr>
              <w:t>1706</w:t>
            </w:r>
          </w:p>
        </w:tc>
      </w:tr>
      <w:tr w:rsidR="00E975A6" w:rsidRPr="00185CD0" w14:paraId="391ED540" w14:textId="77777777" w:rsidTr="00C65D27">
        <w:trPr>
          <w:jc w:val="center"/>
        </w:trPr>
        <w:tc>
          <w:tcPr>
            <w:tcW w:w="1998" w:type="dxa"/>
            <w:shd w:val="clear" w:color="auto" w:fill="C0C0C0"/>
          </w:tcPr>
          <w:p w14:paraId="0D39BEC2" w14:textId="77777777" w:rsidR="00E975A6" w:rsidRPr="00423954" w:rsidRDefault="00E975A6" w:rsidP="00C65D27">
            <w:pPr>
              <w:spacing w:line="240" w:lineRule="auto"/>
              <w:jc w:val="center"/>
              <w:rPr>
                <w:b/>
                <w:bCs/>
                <w:sz w:val="20"/>
                <w:szCs w:val="18"/>
              </w:rPr>
            </w:pPr>
            <w:r w:rsidRPr="00423954">
              <w:rPr>
                <w:b/>
                <w:bCs/>
                <w:sz w:val="20"/>
                <w:szCs w:val="18"/>
              </w:rPr>
              <w:t>1988-2014</w:t>
            </w:r>
          </w:p>
        </w:tc>
        <w:tc>
          <w:tcPr>
            <w:tcW w:w="1170" w:type="dxa"/>
            <w:shd w:val="clear" w:color="auto" w:fill="C0C0C0"/>
          </w:tcPr>
          <w:p w14:paraId="7B57DBC2" w14:textId="77777777" w:rsidR="00E975A6" w:rsidRPr="00423954" w:rsidRDefault="00E975A6" w:rsidP="00C65D27">
            <w:pPr>
              <w:spacing w:line="240" w:lineRule="auto"/>
              <w:jc w:val="center"/>
              <w:rPr>
                <w:b/>
                <w:bCs/>
                <w:sz w:val="20"/>
                <w:szCs w:val="18"/>
              </w:rPr>
            </w:pPr>
            <w:r w:rsidRPr="00423954">
              <w:rPr>
                <w:b/>
                <w:bCs/>
                <w:sz w:val="20"/>
                <w:szCs w:val="18"/>
              </w:rPr>
              <w:t>1685</w:t>
            </w:r>
          </w:p>
        </w:tc>
        <w:tc>
          <w:tcPr>
            <w:tcW w:w="990" w:type="dxa"/>
            <w:shd w:val="clear" w:color="auto" w:fill="C0C0C0"/>
          </w:tcPr>
          <w:p w14:paraId="7496A606" w14:textId="77777777" w:rsidR="00E975A6" w:rsidRPr="00423954" w:rsidRDefault="00E975A6" w:rsidP="00C65D27">
            <w:pPr>
              <w:spacing w:line="240" w:lineRule="auto"/>
              <w:jc w:val="center"/>
              <w:rPr>
                <w:b/>
                <w:bCs/>
                <w:sz w:val="20"/>
                <w:szCs w:val="18"/>
              </w:rPr>
            </w:pPr>
            <w:r w:rsidRPr="00423954">
              <w:rPr>
                <w:b/>
                <w:bCs/>
                <w:sz w:val="20"/>
                <w:szCs w:val="18"/>
              </w:rPr>
              <w:t>1476</w:t>
            </w:r>
          </w:p>
        </w:tc>
        <w:tc>
          <w:tcPr>
            <w:tcW w:w="1476" w:type="dxa"/>
            <w:shd w:val="clear" w:color="auto" w:fill="C0C0C0"/>
          </w:tcPr>
          <w:p w14:paraId="526C1A75" w14:textId="77777777" w:rsidR="00E975A6" w:rsidRPr="00423954" w:rsidRDefault="00E975A6" w:rsidP="00C65D27">
            <w:pPr>
              <w:spacing w:line="240" w:lineRule="auto"/>
              <w:jc w:val="center"/>
              <w:rPr>
                <w:b/>
                <w:bCs/>
                <w:sz w:val="20"/>
                <w:szCs w:val="18"/>
              </w:rPr>
            </w:pPr>
            <w:r w:rsidRPr="00423954">
              <w:rPr>
                <w:b/>
                <w:bCs/>
                <w:sz w:val="20"/>
                <w:szCs w:val="18"/>
              </w:rPr>
              <w:t>1194</w:t>
            </w:r>
          </w:p>
        </w:tc>
        <w:tc>
          <w:tcPr>
            <w:tcW w:w="1134" w:type="dxa"/>
            <w:shd w:val="clear" w:color="auto" w:fill="C0C0C0"/>
          </w:tcPr>
          <w:p w14:paraId="183FD219" w14:textId="77777777" w:rsidR="00E975A6" w:rsidRPr="00423954" w:rsidRDefault="00E975A6" w:rsidP="00C65D27">
            <w:pPr>
              <w:spacing w:line="240" w:lineRule="auto"/>
              <w:jc w:val="center"/>
              <w:rPr>
                <w:b/>
                <w:bCs/>
                <w:sz w:val="20"/>
                <w:szCs w:val="18"/>
              </w:rPr>
            </w:pPr>
            <w:r w:rsidRPr="00423954">
              <w:rPr>
                <w:b/>
                <w:bCs/>
                <w:sz w:val="20"/>
                <w:szCs w:val="18"/>
              </w:rPr>
              <w:t>1407</w:t>
            </w:r>
          </w:p>
        </w:tc>
        <w:tc>
          <w:tcPr>
            <w:tcW w:w="900" w:type="dxa"/>
            <w:shd w:val="clear" w:color="auto" w:fill="C0C0C0"/>
          </w:tcPr>
          <w:p w14:paraId="636BC985" w14:textId="77777777" w:rsidR="00E975A6" w:rsidRPr="00423954" w:rsidRDefault="00E975A6" w:rsidP="00C65D27">
            <w:pPr>
              <w:spacing w:line="240" w:lineRule="auto"/>
              <w:jc w:val="center"/>
              <w:rPr>
                <w:b/>
                <w:bCs/>
                <w:sz w:val="20"/>
                <w:szCs w:val="18"/>
              </w:rPr>
            </w:pPr>
            <w:r w:rsidRPr="00423954">
              <w:rPr>
                <w:b/>
                <w:bCs/>
                <w:sz w:val="20"/>
                <w:szCs w:val="18"/>
              </w:rPr>
              <w:t>1805</w:t>
            </w:r>
          </w:p>
        </w:tc>
      </w:tr>
    </w:tbl>
    <w:p w14:paraId="6EE7BB3C" w14:textId="77777777" w:rsidR="00E975A6" w:rsidRDefault="00E975A6" w:rsidP="00E975A6">
      <w:pPr>
        <w:tabs>
          <w:tab w:val="left" w:pos="8190"/>
        </w:tabs>
        <w:spacing w:line="240" w:lineRule="auto"/>
        <w:ind w:left="450" w:right="450"/>
        <w:rPr>
          <w:sz w:val="20"/>
        </w:rPr>
      </w:pPr>
      <w:r w:rsidRPr="00761BDF">
        <w:rPr>
          <w:sz w:val="20"/>
        </w:rPr>
        <w:t>Source: Stockholm International Peace Research Institute (SIPRI) Military Expenditure Database</w:t>
      </w:r>
      <w:r>
        <w:rPr>
          <w:sz w:val="20"/>
        </w:rPr>
        <w:t>. *Data unavailable for UAE prior to 1997. **Data on Israeli expenditures does not include US military aid or the cost of Operation Protective Edge for 2014 expenditures</w:t>
      </w:r>
    </w:p>
    <w:p w14:paraId="4B06D579" w14:textId="77777777" w:rsidR="00E975A6" w:rsidRPr="00006747" w:rsidRDefault="00E975A6" w:rsidP="00E975A6">
      <w:pPr>
        <w:tabs>
          <w:tab w:val="left" w:pos="8190"/>
        </w:tabs>
        <w:ind w:left="450" w:right="450"/>
        <w:rPr>
          <w:sz w:val="20"/>
        </w:rPr>
      </w:pPr>
    </w:p>
    <w:p w14:paraId="6038535A" w14:textId="77777777" w:rsidR="00506527" w:rsidRDefault="00E975A6" w:rsidP="00E975A6">
      <w:pPr>
        <w:ind w:firstLine="720"/>
      </w:pPr>
      <w:r>
        <w:t>It is true that a strong defense establishment is an absolute necessity for Israel given the numerous security threats facing the state, but this doesn’t change the fact that high defense expenditures channel economic resources away from other national priorities, like spending on social programs. This is a major concern for many Israelis outside the military establishment;</w:t>
      </w:r>
      <w:r w:rsidRPr="004F0253">
        <w:t xml:space="preserve"> </w:t>
      </w:r>
      <w:r>
        <w:t>in 2009 Professor Omer Moav, the chairman of the Israel Council of Economic Advisers, said, “The Ministry of Finance and all the economists who are members of the Council of Economic Advisors agree that the defense budget is too large for the country, and jeopardizes the Israeli economy.”</w:t>
      </w:r>
      <w:r>
        <w:rPr>
          <w:rStyle w:val="FootnoteReference"/>
        </w:rPr>
        <w:footnoteReference w:id="102"/>
      </w:r>
      <w:r>
        <w:t xml:space="preserve"> Dr. Moav may have a point, as Israel ranks poorly in a number of economic indicators. The Social Progress Index summarizes a number of different well-being indicators into a comprehensive evaluation of  “the capacity of a society to meet the basic human needs of its citizens, establish the building blocks that allow citizens and communities to enhance and sustain the quality of their lives, and create the conditions for all individuals to reach their full potential.” Despite a relatively hi</w:t>
      </w:r>
      <w:r w:rsidR="00D37523">
        <w:t>gh GDP per capita (PPP) of $31,</w:t>
      </w:r>
      <w:r>
        <w:t>029, Israel ranks 40</w:t>
      </w:r>
      <w:r w:rsidRPr="003A2D38">
        <w:rPr>
          <w:vertAlign w:val="superscript"/>
        </w:rPr>
        <w:t>th</w:t>
      </w:r>
      <w:r>
        <w:t xml:space="preserve"> on this index, just above Panama whose GDP per capita (PPP) is $18,793. The report explains that Israel’s performance in many categories is on par with top tier countries, but “Israel lags in Personal Safety, Ecosystem Sustainability, </w:t>
      </w:r>
      <w:r>
        <w:lastRenderedPageBreak/>
        <w:t>and Tolerance and Inclusion.” Israel’s high poverty rates and high levels of inequality also lower Israel’s ranking.</w:t>
      </w:r>
      <w:r>
        <w:rPr>
          <w:rStyle w:val="FootnoteReference"/>
        </w:rPr>
        <w:footnoteReference w:id="103"/>
      </w:r>
      <w:r>
        <w:t xml:space="preserve"> In 2013 Israel had the second highest poverty rate among all OECD countries and was the fourth most unequal OECD country, with a Gini coefficient of 0.371.</w:t>
      </w:r>
      <w:r>
        <w:rPr>
          <w:rStyle w:val="FootnoteReference"/>
        </w:rPr>
        <w:footnoteReference w:id="104"/>
      </w:r>
      <w:r>
        <w:t xml:space="preserve"> Even if some consider high defense spending endogenous given Israel’s security threats, it is impossible to deny the overwhelming evidence that high defense spending has embattled Israel’s economy.</w:t>
      </w:r>
    </w:p>
    <w:p w14:paraId="0011FECE" w14:textId="294ACEF6" w:rsidR="00C54F68" w:rsidRDefault="00E975A6" w:rsidP="00C54F68">
      <w:pPr>
        <w:ind w:firstLine="720"/>
        <w:rPr>
          <w:color w:val="000000"/>
          <w:shd w:val="clear" w:color="auto" w:fill="FFFFFF"/>
        </w:rPr>
      </w:pPr>
      <w:r>
        <w:t xml:space="preserve"> </w:t>
      </w:r>
      <w:r w:rsidRPr="00D615AF">
        <w:t xml:space="preserve">Israeli </w:t>
      </w:r>
      <w:r>
        <w:t>defense</w:t>
      </w:r>
      <w:r w:rsidRPr="00D615AF">
        <w:t xml:space="preserve"> spending has contributed to the cycle of violence by reallocating capital from social welfare to security related</w:t>
      </w:r>
      <w:r>
        <w:t xml:space="preserve"> activities, and p</w:t>
      </w:r>
      <w:r w:rsidRPr="00D615AF">
        <w:t>erpetual conflict has imposed high costs on the Israeli and Palestinian societies despite clear evidence that peaceful resolution</w:t>
      </w:r>
      <w:r>
        <w:t xml:space="preserve"> will improve the welfare of both parties significantly. </w:t>
      </w:r>
      <w:r w:rsidRPr="00D615AF">
        <w:t>In 1787, Thomas Paine</w:t>
      </w:r>
      <w:r>
        <w:t xml:space="preserve"> wrote that </w:t>
      </w:r>
      <w:r w:rsidRPr="00D615AF">
        <w:rPr>
          <w:color w:val="000000"/>
          <w:shd w:val="clear" w:color="auto" w:fill="FFFFFF"/>
        </w:rPr>
        <w:t>“war involves in its progress such a train of unforeseen and unsupposed circumstances that no human wisdom can calculate the end.” These seem like strange wor</w:t>
      </w:r>
      <w:r>
        <w:rPr>
          <w:color w:val="000000"/>
          <w:shd w:val="clear" w:color="auto" w:fill="FFFFFF"/>
        </w:rPr>
        <w:t xml:space="preserve">ds from the author of </w:t>
      </w:r>
      <w:r w:rsidRPr="00872A2D">
        <w:rPr>
          <w:i/>
          <w:color w:val="000000"/>
          <w:shd w:val="clear" w:color="auto" w:fill="FFFFFF"/>
        </w:rPr>
        <w:t>Common Sense,</w:t>
      </w:r>
      <w:r>
        <w:rPr>
          <w:color w:val="000000"/>
          <w:shd w:val="clear" w:color="auto" w:fill="FFFFFF"/>
        </w:rPr>
        <w:t xml:space="preserve"> the pamphlet widely cited as sparking the flames of anti-British zeal that fueled the American War of Independence</w:t>
      </w:r>
      <w:r w:rsidRPr="00D615AF">
        <w:rPr>
          <w:color w:val="000000"/>
          <w:shd w:val="clear" w:color="auto" w:fill="FFFFFF"/>
        </w:rPr>
        <w:t>.</w:t>
      </w:r>
      <w:r>
        <w:rPr>
          <w:rStyle w:val="FootnoteReference"/>
          <w:color w:val="000000"/>
          <w:shd w:val="clear" w:color="auto" w:fill="FFFFFF"/>
        </w:rPr>
        <w:footnoteReference w:id="105"/>
      </w:r>
      <w:r w:rsidRPr="00D615AF">
        <w:rPr>
          <w:color w:val="000000"/>
          <w:shd w:val="clear" w:color="auto" w:fill="FFFFFF"/>
        </w:rPr>
        <w:t xml:space="preserve"> However, he emphasized his disdain for the uncertainties of war by concluding that it </w:t>
      </w:r>
      <w:r>
        <w:rPr>
          <w:color w:val="000000"/>
          <w:shd w:val="clear" w:color="auto" w:fill="FFFFFF"/>
        </w:rPr>
        <w:t>“has but one thing certain</w:t>
      </w:r>
      <w:r w:rsidRPr="00D615AF">
        <w:rPr>
          <w:color w:val="000000"/>
          <w:shd w:val="clear" w:color="auto" w:fill="FFFFFF"/>
        </w:rPr>
        <w:t xml:space="preserve"> and that is to increase taxes.”</w:t>
      </w:r>
      <w:r w:rsidRPr="00D615AF">
        <w:rPr>
          <w:rStyle w:val="FootnoteReference"/>
          <w:color w:val="000000"/>
          <w:shd w:val="clear" w:color="auto" w:fill="FFFFFF"/>
        </w:rPr>
        <w:footnoteReference w:id="106"/>
      </w:r>
      <w:r w:rsidRPr="00D615AF">
        <w:rPr>
          <w:color w:val="000000"/>
          <w:shd w:val="clear" w:color="auto" w:fill="FFFFFF"/>
        </w:rPr>
        <w:t xml:space="preserve"> Paine was poignantly trying to dissuade England from going to war with Holland, and he went on to remind his audience that “he that goeth to war should first sit down and count the </w:t>
      </w:r>
      <w:r w:rsidRPr="00D615AF">
        <w:rPr>
          <w:color w:val="000000"/>
          <w:shd w:val="clear" w:color="auto" w:fill="FFFFFF"/>
        </w:rPr>
        <w:lastRenderedPageBreak/>
        <w:t>cost</w:t>
      </w:r>
      <w:r>
        <w:rPr>
          <w:color w:val="000000"/>
          <w:shd w:val="clear" w:color="auto" w:fill="FFFFFF"/>
        </w:rPr>
        <w:t>.</w:t>
      </w:r>
      <w:r w:rsidRPr="00D615AF">
        <w:rPr>
          <w:color w:val="000000"/>
          <w:shd w:val="clear" w:color="auto" w:fill="FFFFFF"/>
        </w:rPr>
        <w:t>”</w:t>
      </w:r>
      <w:r w:rsidRPr="00D615AF">
        <w:rPr>
          <w:rStyle w:val="FootnoteReference"/>
          <w:color w:val="000000"/>
          <w:shd w:val="clear" w:color="auto" w:fill="FFFFFF"/>
        </w:rPr>
        <w:footnoteReference w:id="107"/>
      </w:r>
      <w:r w:rsidRPr="00D615AF">
        <w:rPr>
          <w:color w:val="000000"/>
          <w:shd w:val="clear" w:color="auto" w:fill="FFFFFF"/>
        </w:rPr>
        <w:t xml:space="preserve"> Israel’s security concerns have made it seem as if conflict is an inevitable part of life, but perhaps if Israelis and Palestinians “sit down and count the cost” of the ongoing conflict, then they may be more disposed to pursue the benefits of peace despite the persis</w:t>
      </w:r>
      <w:r w:rsidR="007B6988">
        <w:rPr>
          <w:color w:val="000000"/>
          <w:shd w:val="clear" w:color="auto" w:fill="FFFFFF"/>
        </w:rPr>
        <w:t>tence of political disagreement.</w:t>
      </w:r>
      <w:r w:rsidR="00C54F68">
        <w:rPr>
          <w:color w:val="000000"/>
          <w:shd w:val="clear" w:color="auto" w:fill="FFFFFF"/>
        </w:rPr>
        <w:br w:type="page"/>
      </w:r>
    </w:p>
    <w:p w14:paraId="54FABBE7" w14:textId="77777777" w:rsidR="007B6988" w:rsidRDefault="007B6988" w:rsidP="00C54F68">
      <w:pPr>
        <w:spacing w:line="240" w:lineRule="auto"/>
        <w:rPr>
          <w:b/>
          <w:sz w:val="28"/>
        </w:rPr>
        <w:sectPr w:rsidR="007B6988" w:rsidSect="002146AD">
          <w:type w:val="continuous"/>
          <w:pgSz w:w="12240" w:h="15840"/>
          <w:pgMar w:top="1440" w:right="1440" w:bottom="1440" w:left="2304" w:header="720" w:footer="720" w:gutter="0"/>
          <w:cols w:space="720"/>
          <w:docGrid w:linePitch="360"/>
        </w:sectPr>
      </w:pPr>
    </w:p>
    <w:p w14:paraId="331AB041" w14:textId="0D99811C" w:rsidR="00E975A6" w:rsidRDefault="00E975A6" w:rsidP="00E73FAF">
      <w:pPr>
        <w:pStyle w:val="Heading1"/>
      </w:pPr>
      <w:bookmarkStart w:id="35" w:name="_Toc324423950"/>
      <w:r w:rsidRPr="002D7F48">
        <w:lastRenderedPageBreak/>
        <w:t>Chapter 2: The Israeli Control Regime After the Oslo Accords: Cyclical Violence in Lieu of Peace</w:t>
      </w:r>
      <w:bookmarkEnd w:id="35"/>
    </w:p>
    <w:p w14:paraId="21E8843C" w14:textId="77777777" w:rsidR="00E975A6" w:rsidRDefault="00E975A6" w:rsidP="00E975A6">
      <w:pPr>
        <w:spacing w:line="240" w:lineRule="auto"/>
        <w:rPr>
          <w:b/>
        </w:rPr>
      </w:pPr>
    </w:p>
    <w:p w14:paraId="6384B50C" w14:textId="77777777" w:rsidR="007B6988" w:rsidRDefault="007B6988" w:rsidP="004F1A94">
      <w:pPr>
        <w:spacing w:line="240" w:lineRule="auto"/>
        <w:jc w:val="center"/>
        <w:rPr>
          <w:b/>
        </w:rPr>
        <w:sectPr w:rsidR="007B6988" w:rsidSect="002146AD">
          <w:type w:val="continuous"/>
          <w:pgSz w:w="12240" w:h="15840"/>
          <w:pgMar w:top="1440" w:right="1440" w:bottom="1440" w:left="2304" w:header="720" w:footer="720" w:gutter="0"/>
          <w:cols w:space="720"/>
          <w:docGrid w:linePitch="360"/>
        </w:sectPr>
      </w:pPr>
    </w:p>
    <w:p w14:paraId="7025A45F" w14:textId="3207779E" w:rsidR="00E975A6" w:rsidRDefault="00E975A6" w:rsidP="00882E52">
      <w:pPr>
        <w:pStyle w:val="Heading2"/>
      </w:pPr>
      <w:bookmarkStart w:id="36" w:name="_Toc324423951"/>
      <w:r>
        <w:lastRenderedPageBreak/>
        <w:t>2.1 Unrealized Peace Dividends: the Oslo Accords and the Potential Benefits of Peace</w:t>
      </w:r>
      <w:bookmarkEnd w:id="36"/>
    </w:p>
    <w:p w14:paraId="6F1FC1A7" w14:textId="77777777" w:rsidR="00E975A6" w:rsidRDefault="00E975A6" w:rsidP="00E975A6">
      <w:pPr>
        <w:spacing w:line="240" w:lineRule="auto"/>
        <w:jc w:val="center"/>
        <w:rPr>
          <w:b/>
        </w:rPr>
      </w:pPr>
    </w:p>
    <w:p w14:paraId="48924B03" w14:textId="77777777" w:rsidR="007B6988" w:rsidRDefault="007B6988" w:rsidP="00E975A6">
      <w:pPr>
        <w:ind w:firstLine="720"/>
        <w:sectPr w:rsidR="007B6988" w:rsidSect="002146AD">
          <w:type w:val="continuous"/>
          <w:pgSz w:w="12240" w:h="15840"/>
          <w:pgMar w:top="1440" w:right="1440" w:bottom="1440" w:left="2304" w:header="720" w:footer="720" w:gutter="0"/>
          <w:cols w:space="720"/>
          <w:docGrid w:linePitch="360"/>
        </w:sectPr>
      </w:pPr>
    </w:p>
    <w:p w14:paraId="3055084C" w14:textId="75228697" w:rsidR="00E975A6" w:rsidRPr="00EF19D0" w:rsidRDefault="00E975A6" w:rsidP="00E975A6">
      <w:pPr>
        <w:ind w:firstLine="720"/>
      </w:pPr>
      <w:r w:rsidRPr="00EF19D0">
        <w:lastRenderedPageBreak/>
        <w:t>Peace is the most preferential economic outcome for both Israelis and Palestinians. The Oslo Accords were the most fruitful time in which Israelis and Palestinians mutually recognized the need for a change in the status quo, and it seemed that both parties were willing to make the necessary compromises to achieve a peaceful resolution. The Oslo Accords were not official peace treaties; they were two separate agreements, signed in 1993 and 1995, which established interim governance agreements and a framework to facilitate final negotiations on a two-state solution between the State of Israel and the Palestinian Liberation Organization (PLO). The Oslo Accords marked unprecedented progress on three fronts: Israel recognized the PLO as a legitimate political party representative of the Palestinian people, the PLO recognized the State of Israel, and both parties agreed to negotiate their differences peacefully.</w:t>
      </w:r>
      <w:r w:rsidRPr="00EF19D0">
        <w:rPr>
          <w:rStyle w:val="FootnoteReference"/>
        </w:rPr>
        <w:footnoteReference w:id="108"/>
      </w:r>
      <w:r w:rsidRPr="00EF19D0">
        <w:t xml:space="preserve"> The Oslo Accords changed the relationship between Israel and the Palestinians in many ways, but the economic dimension is most relevant to this study. The Oslo Accords briefly brought hope that a peaceful solution to the Israeli-Palestinian conflict—based on the “land for peace” precedent—could bring about a new age of economic prosperity.</w:t>
      </w:r>
    </w:p>
    <w:p w14:paraId="492C235A" w14:textId="77777777" w:rsidR="00E975A6" w:rsidRPr="00EF19D0" w:rsidRDefault="00E975A6" w:rsidP="00E975A6">
      <w:pPr>
        <w:ind w:firstLine="720"/>
      </w:pPr>
      <w:r w:rsidRPr="00EF19D0">
        <w:t xml:space="preserve">Shortly after the Six-Day War in 1967, the UN passed Resolution 242, and this resolution has since been the basis from which countless diplomats have attempted to </w:t>
      </w:r>
      <w:r w:rsidRPr="00EF19D0">
        <w:lastRenderedPageBreak/>
        <w:t>broker Arab-Israeli peace.</w:t>
      </w:r>
      <w:r w:rsidRPr="00EF19D0">
        <w:rPr>
          <w:rStyle w:val="FootnoteReference"/>
        </w:rPr>
        <w:footnoteReference w:id="109"/>
      </w:r>
      <w:r w:rsidRPr="00EF19D0">
        <w:t xml:space="preserve"> Resolution 242 was sponsored by Britain. Resolution 242 succeeded because it tied the main thing the Soviets and Arabs wanted — Israeli withdrawal from territories acquired in the 1967 Six-Day War — and the main thing that the U.S. and Israel wanted— recognition of Israel by neighboring Arab countries.</w:t>
      </w:r>
      <w:r w:rsidRPr="00EF19D0">
        <w:rPr>
          <w:rStyle w:val="FootnoteReference"/>
        </w:rPr>
        <w:footnoteReference w:id="110"/>
      </w:r>
      <w:r w:rsidRPr="00EF19D0">
        <w:t xml:space="preserve"> The Oslo Accords followed the “land for peace” precedent that was established in theory by UN Resolution 242 and in practice by the 1979 Camp David Accords.</w:t>
      </w:r>
    </w:p>
    <w:p w14:paraId="3D550212" w14:textId="77777777" w:rsidR="00E975A6" w:rsidRPr="00EF19D0" w:rsidRDefault="00E975A6" w:rsidP="00E975A6">
      <w:pPr>
        <w:ind w:firstLine="720"/>
      </w:pPr>
      <w:r w:rsidRPr="00EF19D0">
        <w:t>The 1979 Camp David Accords established the “land for peace” precedent when Israel gave the Sinai back to Egypt in exchange for a peace treaty. The U.S. brokered the negotiations between Egypt and Israel after bilateral efforts proved fruitless.</w:t>
      </w:r>
      <w:r w:rsidRPr="00EF19D0">
        <w:rPr>
          <w:rStyle w:val="FootnoteReference"/>
        </w:rPr>
        <w:footnoteReference w:id="111"/>
      </w:r>
      <w:r w:rsidRPr="00EF19D0">
        <w:t xml:space="preserve"> The U.S. promised to bolster the agreement through increased military and development aid to each country, and most of the aid given to both Egypt and Israel has been military aid.</w:t>
      </w:r>
      <w:r w:rsidRPr="00EF19D0">
        <w:rPr>
          <w:rStyle w:val="FootnoteReference"/>
        </w:rPr>
        <w:footnoteReference w:id="112"/>
      </w:r>
      <w:r w:rsidRPr="00EF19D0">
        <w:t xml:space="preserve"> Opinions diverge on the relationship between the 1979 Camp David Accords and the Oslo peace process.</w:t>
      </w:r>
      <w:r w:rsidRPr="00EF19D0">
        <w:rPr>
          <w:rStyle w:val="FootnoteReference"/>
        </w:rPr>
        <w:footnoteReference w:id="113"/>
      </w:r>
      <w:r w:rsidRPr="00EF19D0">
        <w:t xml:space="preserve"> Some consider the experience at Camp David a blueprint for the Oslo negotiations in 1993, while some consider the two negotiations fundamentally different.</w:t>
      </w:r>
      <w:r w:rsidRPr="00EF19D0">
        <w:rPr>
          <w:rStyle w:val="FootnoteReference"/>
        </w:rPr>
        <w:footnoteReference w:id="114"/>
      </w:r>
      <w:r w:rsidRPr="00EF19D0">
        <w:t xml:space="preserve"> At the very least, the 1979 Camp David Accords cleared a path forward towards the Oslo Accords (and the 1994 Israeli-Jordanian Peace Treaty) by creating a </w:t>
      </w:r>
      <w:r w:rsidRPr="00EF19D0">
        <w:lastRenderedPageBreak/>
        <w:t>diplomatic category whereby Arabs “could recognize Israel’s existence and physical presence but not yet fully accept the legitimacy of a Jewish State.”</w:t>
      </w:r>
      <w:r w:rsidRPr="00EF19D0">
        <w:rPr>
          <w:rStyle w:val="FootnoteReference"/>
        </w:rPr>
        <w:footnoteReference w:id="115"/>
      </w:r>
      <w:r w:rsidRPr="00EF19D0">
        <w:t xml:space="preserve"> </w:t>
      </w:r>
    </w:p>
    <w:p w14:paraId="013D463B" w14:textId="77777777" w:rsidR="00E975A6" w:rsidRPr="00EF19D0" w:rsidRDefault="00E975A6" w:rsidP="00E975A6">
      <w:pPr>
        <w:ind w:firstLine="720"/>
      </w:pPr>
      <w:r w:rsidRPr="00EF19D0">
        <w:t xml:space="preserve">Gradualism was critical to the architecture of the Oslo </w:t>
      </w:r>
      <w:r w:rsidR="00506527">
        <w:t xml:space="preserve">peace </w:t>
      </w:r>
      <w:r w:rsidRPr="00EF19D0">
        <w:t>process; contentious issues like the final status of Jerusalem, the right of return of 1948 Palestinian refugees, the final status of Jewish settlements in the West Bank, and the issue of permanent borders were all left out of the text of the Oslo Accords.</w:t>
      </w:r>
      <w:r w:rsidRPr="00EF19D0">
        <w:rPr>
          <w:rStyle w:val="FootnoteReference"/>
        </w:rPr>
        <w:footnoteReference w:id="116"/>
      </w:r>
      <w:r w:rsidRPr="00EF19D0">
        <w:t xml:space="preserve"> The text itself doesn’t even mention, let alone promise, the eventual creation of a sovereign Palestinian state. These omissions were certainly purposeful; both sides recognized the need for progress, which had been hindered in the past by diverging opinions on these key issues. The omission of an explicit guarantee that a Palestinian state would be created was not problematic for the Palestinians’ c</w:t>
      </w:r>
      <w:r w:rsidR="00506527">
        <w:t>hief negotiator: Yasser Arafat.</w:t>
      </w:r>
      <w:r w:rsidRPr="00EF19D0">
        <w:t xml:space="preserve"> For Arafat, the creation of a Palestinian state was the obvious goal for all parties involved in negotiations, and he thought that the interim five year time period would simply be a time in which contentious details would be worked out.</w:t>
      </w:r>
      <w:r w:rsidRPr="00EF19D0">
        <w:rPr>
          <w:rStyle w:val="FootnoteReference"/>
        </w:rPr>
        <w:footnoteReference w:id="117"/>
      </w:r>
      <w:r w:rsidRPr="00EF19D0">
        <w:t xml:space="preserve"> The signing of the first Oslo Accord subsided the First Intifada, a wave of violence that began in 1987, and the hope that briefly came with the Oslo Accords led many to speculate about the potential benefits of a peaceful resolution to the conflict.  </w:t>
      </w:r>
    </w:p>
    <w:p w14:paraId="26BC092C" w14:textId="77777777" w:rsidR="00E975A6" w:rsidRPr="00EF19D0" w:rsidRDefault="00E975A6" w:rsidP="00E975A6">
      <w:pPr>
        <w:ind w:firstLine="720"/>
      </w:pPr>
      <w:r w:rsidRPr="00EF19D0">
        <w:t xml:space="preserve">When the Oslo Accords were signed and the peace agreement between Israel and Jordan was formalized in 1994, many observers hoped for a substantial peace dividend. The term “peace dividend” gained prominence in the 1990s after the collapse of the Soviet Union; the absence of a second pole to oppose the U.S. allowed for a </w:t>
      </w:r>
      <w:r w:rsidRPr="00EF19D0">
        <w:lastRenderedPageBreak/>
        <w:t>substantial decrease in U.S. defense spending, which was supposed to release resources for more productive purposes.</w:t>
      </w:r>
      <w:r w:rsidRPr="00EF19D0">
        <w:rPr>
          <w:rStyle w:val="FootnoteReference"/>
        </w:rPr>
        <w:footnoteReference w:id="118"/>
      </w:r>
      <w:r w:rsidRPr="00EF19D0">
        <w:t xml:space="preserve"> The Oslo Accords brought hope for an Israeli-Palestinian peace dividend in which Israeli resources might be reallocated to education and other social areas; many even hoped that joint ventures could develop between Israelis, Palestinians, and Jordanians.</w:t>
      </w:r>
      <w:r w:rsidRPr="00EF19D0">
        <w:rPr>
          <w:rStyle w:val="FootnoteReference"/>
        </w:rPr>
        <w:footnoteReference w:id="119"/>
      </w:r>
      <w:r w:rsidRPr="00EF19D0">
        <w:t xml:space="preserve"> A peace dividend never materialized due to violence in the midst of negotiations, but the brief period of hope sparked academic interest in the potential economic benefits of peace between Israelis and Palestinians. </w:t>
      </w:r>
    </w:p>
    <w:p w14:paraId="7B7EDFA7" w14:textId="77777777" w:rsidR="00C54F68" w:rsidRDefault="00E975A6" w:rsidP="004F1A94">
      <w:pPr>
        <w:ind w:firstLine="720"/>
        <w:sectPr w:rsidR="00C54F68" w:rsidSect="002146AD">
          <w:type w:val="continuous"/>
          <w:pgSz w:w="12240" w:h="15840"/>
          <w:pgMar w:top="1440" w:right="1440" w:bottom="1440" w:left="2304" w:header="720" w:footer="720" w:gutter="0"/>
          <w:cols w:space="720"/>
          <w:docGrid w:linePitch="360"/>
        </w:sectPr>
      </w:pPr>
      <w:r w:rsidRPr="00EF19D0">
        <w:t>Economic studies have found that a peaceful resolution to the conflict is the best possible outcome for Palestinians and Israelis. In 2015, the RAND Corporation published the most recent and perhaps the most comprehensive study on the potential economic benefits of peace in the Israeli-Palestinian context.</w:t>
      </w:r>
      <w:r w:rsidRPr="00EF19D0">
        <w:rPr>
          <w:rStyle w:val="FootnoteReference"/>
        </w:rPr>
        <w:footnoteReference w:id="120"/>
      </w:r>
      <w:r w:rsidRPr="00EF19D0">
        <w:t xml:space="preserve"> This study compared economic outcomes in Israel and the Palestinian Territories in 2024 under five different political outcomes for the Israeli-Palestinian conflict. Using present trends as the baseline, the study found that a two-state solution provides by far the best economic outcomes for both groups. When compared to present trends, Israel would gain $123 billion over ten years under a two-state solution, while Palestinians would gain $50 billion. However, the increase in per capita income would actually benefit the average Palestinian more due to the lower level of average initial income for Palestinians. Under a two-state solution, per capita income would increase by about 36%  ($1,100 USD) for Palestinians and by about 5% ($2,200 USD) for Israelis. The study also estimated the costs of a return to violence using current trends. Violent uprising would reduce per </w:t>
      </w:r>
      <w:r w:rsidRPr="00EF19D0">
        <w:lastRenderedPageBreak/>
        <w:t xml:space="preserve">capita GDP in the Palestinian Territories by 46% ($9.1 billion USD) and by 10% ($45 billion USD) in Israel over the next ten years. To arrive at these estimates, the RAND study compared the conditions that Israelis and Palestinians experience today to the conditions that might occur under five alternative assumptions that are widely considered feasible and credible outcomes to the conflict. This counterfactual approach required a thorough understanding of the ways in which the nexus between Palestinian labor mobility, economic development, and violence has evolved since the Oslo peace process began in 1993. </w:t>
      </w:r>
    </w:p>
    <w:p w14:paraId="42B5CE97" w14:textId="77777777" w:rsidR="00E975A6" w:rsidRPr="00EF19D0" w:rsidRDefault="00E975A6" w:rsidP="00882E52">
      <w:pPr>
        <w:pStyle w:val="Heading2"/>
      </w:pPr>
      <w:bookmarkStart w:id="37" w:name="_Toc324423952"/>
      <w:r w:rsidRPr="00EF19D0">
        <w:lastRenderedPageBreak/>
        <w:t>2.2 Cyclical Violence After the Oslo Accords and The Israeli Closure Regime</w:t>
      </w:r>
      <w:bookmarkEnd w:id="37"/>
    </w:p>
    <w:p w14:paraId="1BB2E956" w14:textId="77777777" w:rsidR="00C54F68" w:rsidRDefault="00C54F68" w:rsidP="000D7AFE">
      <w:pPr>
        <w:sectPr w:rsidR="00C54F68" w:rsidSect="002146AD">
          <w:type w:val="continuous"/>
          <w:pgSz w:w="12240" w:h="15840"/>
          <w:pgMar w:top="1440" w:right="1440" w:bottom="1440" w:left="2304" w:header="720" w:footer="720" w:gutter="0"/>
          <w:cols w:space="720"/>
          <w:docGrid w:linePitch="360"/>
        </w:sectPr>
      </w:pPr>
    </w:p>
    <w:p w14:paraId="0619FCEC" w14:textId="77777777" w:rsidR="00C54F68" w:rsidRDefault="00C54F68" w:rsidP="00E73FAF">
      <w:pPr>
        <w:spacing w:line="240" w:lineRule="auto"/>
      </w:pPr>
    </w:p>
    <w:p w14:paraId="797158C5" w14:textId="4D56F2F1" w:rsidR="007B6988" w:rsidRDefault="00E975A6" w:rsidP="00C54F68">
      <w:pPr>
        <w:ind w:firstLine="720"/>
      </w:pPr>
      <w:r w:rsidRPr="00EF19D0">
        <w:t>The lack of a political solution to the conflict has resulted in cyclical violence since the best chance for peace failed to materialize during the Oslo peace process. Many lauded the Oslo Accords as monumental steps towards a final solution to the Israeli-Palestinian conflict, but the failure of Israelis and Palestinians to complete negotiations has erected more barriers than catalysts to a final peace agreement. Since the failure of the Oslo peace process, Palestinian violence has become more frequent and more decentralized, and in the eyes of many analysts the “land for peace” precedent is likely doomed.</w:t>
      </w:r>
      <w:r w:rsidRPr="00EF19D0">
        <w:rPr>
          <w:rStyle w:val="FootnoteReference"/>
        </w:rPr>
        <w:footnoteReference w:id="121"/>
      </w:r>
      <w:r w:rsidRPr="00EF19D0">
        <w:t xml:space="preserve"> There have been numerous times of intense violence between Palestinians and Israelis since the Oslo peace process began in 1993; extremely violent episodes include suicide bombings in the midst of negotiations between 1994 and 1996, the Second Intifada, multiple wars against Gaza in the shadow of the 2005 Gaza Disengagement and the election of Hamas in 2006, and the recent uptick in Palestinian violence that has taken place since October 2015. Violence has been so endemic since </w:t>
      </w:r>
      <w:r w:rsidRPr="00EF19D0">
        <w:lastRenderedPageBreak/>
        <w:t>the Oslo peace process began that these labels are really only useful insofar as they reference periods of particularly intense conflict, and the categorization of violence into these periods can be somewhat misleading because it minimizes the persistent conflict that has afflicted Palestinians and Israelis since 1993. The Oslo peace process resulted in the implementation of closure policies that were designed to prevent Palestinian violence against Israel, but these policies have actually increased the regularity of Palestinian violence due to the disastrous effects that mobility restrictions have ha</w:t>
      </w:r>
      <w:r w:rsidR="007B6988">
        <w:t>d on the Palestinian economies.</w:t>
      </w:r>
    </w:p>
    <w:p w14:paraId="64C316B2" w14:textId="77777777" w:rsidR="00C54F68" w:rsidRDefault="00C54F68" w:rsidP="00C54F68">
      <w:pPr>
        <w:ind w:firstLine="720"/>
        <w:sectPr w:rsidR="00C54F68" w:rsidSect="002146AD">
          <w:type w:val="continuous"/>
          <w:pgSz w:w="12240" w:h="15840"/>
          <w:pgMar w:top="1440" w:right="1440" w:bottom="1440" w:left="2304" w:header="720" w:footer="720" w:gutter="0"/>
          <w:cols w:space="720"/>
          <w:docGrid w:linePitch="360"/>
        </w:sectPr>
      </w:pPr>
    </w:p>
    <w:p w14:paraId="081F5140" w14:textId="77777777" w:rsidR="00E975A6" w:rsidRPr="007B6988" w:rsidRDefault="00E975A6" w:rsidP="007B6988">
      <w:pPr>
        <w:pStyle w:val="Heading3"/>
        <w:rPr>
          <w:rFonts w:ascii="Times New Roman" w:hAnsi="Times New Roman" w:cs="Times New Roman"/>
          <w:b w:val="0"/>
          <w:i/>
          <w:color w:val="auto"/>
        </w:rPr>
      </w:pPr>
      <w:bookmarkStart w:id="38" w:name="_Toc324423953"/>
      <w:r w:rsidRPr="007B6988">
        <w:rPr>
          <w:rFonts w:ascii="Times New Roman" w:hAnsi="Times New Roman" w:cs="Times New Roman"/>
          <w:b w:val="0"/>
          <w:i/>
          <w:color w:val="auto"/>
        </w:rPr>
        <w:lastRenderedPageBreak/>
        <w:t>The Paris Protocol</w:t>
      </w:r>
      <w:bookmarkEnd w:id="38"/>
    </w:p>
    <w:p w14:paraId="3658D4E1" w14:textId="77777777" w:rsidR="007B6988" w:rsidRDefault="007B6988" w:rsidP="00E975A6">
      <w:pPr>
        <w:ind w:firstLine="720"/>
        <w:sectPr w:rsidR="007B6988" w:rsidSect="002146AD">
          <w:type w:val="continuous"/>
          <w:pgSz w:w="12240" w:h="15840"/>
          <w:pgMar w:top="1440" w:right="1440" w:bottom="1440" w:left="2304" w:header="720" w:footer="720" w:gutter="0"/>
          <w:cols w:space="720"/>
          <w:docGrid w:linePitch="360"/>
        </w:sectPr>
      </w:pPr>
    </w:p>
    <w:p w14:paraId="347CBE78" w14:textId="39C42F56" w:rsidR="00E975A6" w:rsidRPr="00EF19D0" w:rsidRDefault="00E975A6" w:rsidP="00E975A6">
      <w:pPr>
        <w:ind w:firstLine="720"/>
      </w:pPr>
      <w:r w:rsidRPr="00EF19D0">
        <w:lastRenderedPageBreak/>
        <w:t xml:space="preserve">Shortly following the initiation of the Oslo peace process in 1993, an economic agreement was reached between the PLO and Israel in Paris. </w:t>
      </w:r>
      <w:r w:rsidRPr="00EF19D0">
        <w:rPr>
          <w:i/>
        </w:rPr>
        <w:t xml:space="preserve">The Protocol on Economic Relations between the Government of the State of Israel and the PLO, Representing the Palestinian People, </w:t>
      </w:r>
      <w:r w:rsidRPr="00EF19D0">
        <w:t>was negotiated in Paris in 1994 and has thereby come to be known as the Paris Protocol.</w:t>
      </w:r>
      <w:r w:rsidRPr="00EF19D0">
        <w:rPr>
          <w:rStyle w:val="FootnoteReference"/>
        </w:rPr>
        <w:footnoteReference w:id="122"/>
      </w:r>
      <w:r w:rsidRPr="00EF19D0">
        <w:t xml:space="preserve"> Reflecting the more broad Oslo process, gradualism was also the approach to economic issues; the Paris Protocol sought to enable the Palestinian economies to develop more autonomously, but without clearly establishing borders between the Palestinian and Israeli economies and without cutting ties altogether. </w:t>
      </w:r>
    </w:p>
    <w:p w14:paraId="30A3E09B" w14:textId="77777777" w:rsidR="00E975A6" w:rsidRPr="00EF19D0" w:rsidRDefault="00E975A6" w:rsidP="00E975A6">
      <w:pPr>
        <w:ind w:firstLine="720"/>
      </w:pPr>
      <w:r w:rsidRPr="00EF19D0">
        <w:t xml:space="preserve">During the negotiations, Palestinians were interested in achieving as much autonomy as possible, while Israeli negotiators wanted to defer as many decisions as possible to final status negotiations. Palestinian negotiating interests help to explain why some Palestinians wanted a free trade agreement (FTA); an FTA would have required the demarcation of economic borders, which would have conferred more </w:t>
      </w:r>
      <w:r w:rsidRPr="00EF19D0">
        <w:lastRenderedPageBreak/>
        <w:t>responsibility upon the newly created Palestinian Authority in trade matters. Israeli interests also help to explain why Israeli negotiators had firm instructions from Prime Minister Rabin to reject any notion of borders between the two economies; demarcating economic borders may have influenced later negotiations on political borders. In the final stage of negotiations, the Israelis actually did propose an FTA, but only under the condition that the flow of labor from the Palestinian Territories would not be as free as under a customs union.</w:t>
      </w:r>
      <w:r w:rsidRPr="00EF19D0">
        <w:rPr>
          <w:rStyle w:val="FootnoteReference"/>
        </w:rPr>
        <w:footnoteReference w:id="123"/>
      </w:r>
      <w:r w:rsidRPr="00EF19D0">
        <w:t xml:space="preserve"> The Palestinians were therefore faced with a dilemma: the greater their autonomy over trade issues, the lesser their potential for employment in the preferential Israeli labor market. Underlying this dilemma is the deeper dilemma that persists for the Palestinians: greater levels of political autonomy will likely worsen economic conditions, while sacrificing autonomy for integration and cooperation with Israel keeps economic conditions more favorable than the alternative. With these dilemmas in mind, the Palestinians opted for a customs union. The effect of the Paris Protocol was to formalize the de facto customs union between Israel and the Palestinian Territories that had persisted since 1967, though there were changes that conferred more responsibility to the newly created PA.</w:t>
      </w:r>
    </w:p>
    <w:p w14:paraId="2C764B88" w14:textId="50F11EC2" w:rsidR="00B6155E" w:rsidRDefault="00DA1C04" w:rsidP="00B6155E">
      <w:pPr>
        <w:keepNext/>
        <w:ind w:firstLine="720"/>
        <w:contextualSpacing/>
        <w:sectPr w:rsidR="00B6155E" w:rsidSect="002146AD">
          <w:type w:val="continuous"/>
          <w:pgSz w:w="12240" w:h="15840"/>
          <w:pgMar w:top="1440" w:right="1440" w:bottom="1440" w:left="2304" w:header="720" w:footer="720" w:gutter="0"/>
          <w:cols w:space="720"/>
          <w:docGrid w:linePitch="360"/>
        </w:sectPr>
      </w:pPr>
      <w:r>
        <w:t>The issue of l</w:t>
      </w:r>
      <w:r w:rsidR="00E975A6" w:rsidRPr="00EF19D0">
        <w:t>abor flows was addressed in Article VII of the Protocol. The first paragraph of this article states that “both sides will attempt to maintain the normality of movement of labour between them,” but a stipulation was added that each side had the “right to determine from time to time the extent and conditions of its labour movement into its area.”</w:t>
      </w:r>
      <w:r w:rsidR="00E975A6" w:rsidRPr="00EF19D0">
        <w:rPr>
          <w:rStyle w:val="FootnoteReference"/>
        </w:rPr>
        <w:footnoteReference w:id="124"/>
      </w:r>
      <w:r w:rsidR="00E975A6" w:rsidRPr="00EF19D0">
        <w:t xml:space="preserve"> While no official number was provided in the Protocol, “the implicit intention of the Israeli side was to have 70-100 thousand Palestinians working in </w:t>
      </w:r>
      <w:r w:rsidR="00E975A6" w:rsidRPr="00EF19D0">
        <w:lastRenderedPageBreak/>
        <w:t>Israel,” and any interruption of labor flows was supposed to be “transitory and brief.”</w:t>
      </w:r>
      <w:r w:rsidR="00E975A6" w:rsidRPr="00EF19D0">
        <w:rPr>
          <w:rStyle w:val="FootnoteReference"/>
        </w:rPr>
        <w:footnoteReference w:id="125"/>
      </w:r>
      <w:r w:rsidR="00E975A6" w:rsidRPr="00EF19D0">
        <w:t xml:space="preserve"> Violence in the midst of the Oslo peace process kept hopes for a more prosperous, more autonomous Palestinian economy from materializing as Israel increased restrictions on “labour movement into</w:t>
      </w:r>
      <w:r w:rsidR="00C54F68">
        <w:t xml:space="preserve"> its area” for the Palestinians.</w:t>
      </w:r>
      <w:r w:rsidR="00B6155E">
        <w:t xml:space="preserve"> </w:t>
      </w:r>
    </w:p>
    <w:p w14:paraId="40DDDAC2" w14:textId="78D46BEC" w:rsidR="00A428EC" w:rsidRDefault="00C54F68" w:rsidP="00882E52">
      <w:pPr>
        <w:pStyle w:val="Heading2"/>
      </w:pPr>
      <w:bookmarkStart w:id="39" w:name="_Toc324423954"/>
      <w:r>
        <w:lastRenderedPageBreak/>
        <w:t xml:space="preserve">2.3 </w:t>
      </w:r>
      <w:r w:rsidR="00E975A6" w:rsidRPr="00C54F68">
        <w:t xml:space="preserve">Restricting Palestinian Mobility as Counter-Insurgency: The Oslo Accords, The Second Intifada, and </w:t>
      </w:r>
      <w:r>
        <w:t>Israel’s Use of Closure Policies</w:t>
      </w:r>
      <w:bookmarkEnd w:id="39"/>
      <w:r w:rsidR="00E73FAF">
        <w:t xml:space="preserve"> </w:t>
      </w:r>
    </w:p>
    <w:p w14:paraId="4851A429" w14:textId="77777777" w:rsidR="00E73FAF" w:rsidRPr="00E73FAF" w:rsidRDefault="00E73FAF" w:rsidP="00E73FAF">
      <w:pPr>
        <w:spacing w:line="240" w:lineRule="auto"/>
      </w:pPr>
    </w:p>
    <w:p w14:paraId="1A1E29C8" w14:textId="77777777" w:rsidR="00E975A6" w:rsidRPr="00EF19D0" w:rsidRDefault="0036514B" w:rsidP="00E975A6">
      <w:pPr>
        <w:ind w:firstLine="720"/>
      </w:pPr>
      <w:r>
        <w:t>As Figure 5</w:t>
      </w:r>
      <w:r w:rsidR="00E975A6" w:rsidRPr="00EF19D0">
        <w:t xml:space="preserve"> shows, Palestinian labor flows to Israel have become much more erratic since the Oslo peace process began in 1993. In the twenty years between 1967 and 1987, the number of Palestinians working in Israel grew steadily. However, the number of Palestinians working in Israel decreased during the Oslo peace process from 115,600 in 1992 to roughly 63,000 in 1996. The number of Palestinians working in Israel began to increase once again after 1997, but this number reached its post-Oslo peak of approximately 110,000 Palestinian workers in 2000, only to be reduced to less than 35,800 Palestinian workers by 2002 in the midst of the Second Intifada.</w:t>
      </w:r>
      <w:r w:rsidR="00E975A6" w:rsidRPr="00EF19D0">
        <w:rPr>
          <w:rStyle w:val="FootnoteReference"/>
        </w:rPr>
        <w:footnoteReference w:id="126"/>
      </w:r>
      <w:r w:rsidR="00E975A6" w:rsidRPr="00EF19D0">
        <w:t xml:space="preserve"> The main cause for the fluctuation of Palestinian labor in Israel was the new Israeli policy to control Palestinian movement as a counter-insurgency measure; the Palestinian economies were striving to become more autonomous after the negotiation of the Paris Protocol, and the stipulation in the Paris Protocol that both Israelis and Palestinians could regulate labor flows helped codify Israel’s security justifications for border closures during times of violence between 1993 and 1996 as well as between 2000 and 2005.  </w:t>
      </w:r>
    </w:p>
    <w:p w14:paraId="1235A750" w14:textId="27CF4115" w:rsidR="00E975A6" w:rsidRPr="00EF19D0" w:rsidRDefault="00E975A6" w:rsidP="00E975A6">
      <w:pPr>
        <w:ind w:firstLine="720"/>
      </w:pPr>
      <w:r w:rsidRPr="00EF19D0">
        <w:t>Controlling labor flows required the creation of an intricate security infrastructure, which was mostly a reflection of the security concerns that precipitated throughout the 1990s. In the 1970s and 1980s there were only minor barriers for Palestinians to gain access to the Israeli labor market, but following the 1991 Gulf War Israel required all Palestinians seeking work in Israel to have a permit.</w:t>
      </w:r>
      <w:r w:rsidRPr="00EF19D0">
        <w:rPr>
          <w:rStyle w:val="FootnoteReference"/>
        </w:rPr>
        <w:footnoteReference w:id="127"/>
      </w:r>
      <w:r w:rsidRPr="00EF19D0">
        <w:t xml:space="preserve"> These permits required Palestinians to be 28 years or older, to acquire a request of employment from </w:t>
      </w:r>
      <w:r w:rsidRPr="00EF19D0">
        <w:lastRenderedPageBreak/>
        <w:t>an Israeli employer, and to obtain a security clearance from the military establishment. The enforcement of these new rules grew stricter as time went on, and following the series of terrorist attack</w:t>
      </w:r>
      <w:r w:rsidR="00DA1C04">
        <w:t>s associated with Yahiya Ayyash between 1993 and 1996</w:t>
      </w:r>
      <w:r w:rsidRPr="00EF19D0">
        <w:t>, Israel instituted a closure policy in which roadblocks were set up on major transportation routes.</w:t>
      </w:r>
      <w:r w:rsidRPr="00EF19D0">
        <w:rPr>
          <w:rStyle w:val="FootnoteReference"/>
        </w:rPr>
        <w:footnoteReference w:id="128"/>
      </w:r>
      <w:r w:rsidRPr="00EF19D0">
        <w:t xml:space="preserve"> These barriers barred entry into Israel from Palestinian areas along main transportation arteries. There were also situations of internal closure. In these instances Israel prevented movement within the West Bank itself, which not only prevented labor flows to Israel but also disrupted normal economic activity within the West Bank. As long as closures were in effect, all work permits were suspended, and the flow of all goods were frozen.</w:t>
      </w:r>
      <w:r w:rsidRPr="00EF19D0">
        <w:rPr>
          <w:rStyle w:val="FootnoteReference"/>
        </w:rPr>
        <w:footnoteReference w:id="129"/>
      </w:r>
      <w:r w:rsidRPr="00EF19D0">
        <w:t xml:space="preserve"> Between 1993-2000, Israel closed its borders with the West Bank and the Gaza Strip for 484 effective days, which is the equivalent of nearly three months of closures per year.</w:t>
      </w:r>
      <w:r w:rsidRPr="00EF19D0">
        <w:rPr>
          <w:rStyle w:val="FootnoteReference"/>
        </w:rPr>
        <w:footnoteReference w:id="130"/>
      </w:r>
      <w:r w:rsidRPr="00EF19D0">
        <w:t xml:space="preserve"> </w:t>
      </w:r>
    </w:p>
    <w:p w14:paraId="2F6070BF" w14:textId="77777777" w:rsidR="00E975A6" w:rsidRPr="00EF19D0" w:rsidRDefault="00E975A6" w:rsidP="00E975A6">
      <w:pPr>
        <w:ind w:firstLine="720"/>
      </w:pPr>
      <w:r w:rsidRPr="00EF19D0">
        <w:t>In Israel, the frequency of closures injected uncertainty into the local labor markets that prominently featured Palestinian workers, but the substitution of overseas foreigners minimized disruption to normal economic activities.</w:t>
      </w:r>
      <w:r w:rsidRPr="00EF19D0">
        <w:rPr>
          <w:rStyle w:val="FootnoteReference"/>
        </w:rPr>
        <w:footnoteReference w:id="131"/>
      </w:r>
      <w:r w:rsidRPr="00EF19D0">
        <w:t xml:space="preserve"> The percentage of Palestinians comprising the total labor force in Israel dropped from 8% in the 1980s to less than 1% in 2000. The percentage of foreign workers in Israel rose from less than 1% to approximately 12% during that same period.</w:t>
      </w:r>
      <w:r w:rsidRPr="00EF19D0">
        <w:rPr>
          <w:rStyle w:val="FootnoteReference"/>
        </w:rPr>
        <w:footnoteReference w:id="132"/>
      </w:r>
      <w:r w:rsidRPr="00EF19D0">
        <w:t xml:space="preserve"> In terms of the actual number of workers, the Israeli Central Bureau of Statistics estimates that there were very few foreign workers in Israel prior to 1993 (when the closure policy began to be strictly </w:t>
      </w:r>
      <w:r w:rsidRPr="00EF19D0">
        <w:lastRenderedPageBreak/>
        <w:t>enforced). In 1991, there were only 8,000 overseas foreign workers in Israel.</w:t>
      </w:r>
      <w:r w:rsidRPr="00EF19D0">
        <w:rPr>
          <w:rStyle w:val="FootnoteReference"/>
        </w:rPr>
        <w:footnoteReference w:id="133"/>
      </w:r>
      <w:r w:rsidRPr="00EF19D0">
        <w:t xml:space="preserve"> By 1994, this number had grown eight-fold to approximately 65,000 and by 1995 this number doubled once again to approximately 120,000. The substitution of Palestinian laborers with foreigners allowed Israel to implement closure policies with minimal interruption to Israeli economic activities, which was important during the Second Intifada.</w:t>
      </w:r>
    </w:p>
    <w:p w14:paraId="21D20A35" w14:textId="77777777" w:rsidR="00E975A6" w:rsidRPr="00EF19D0" w:rsidRDefault="00E975A6" w:rsidP="00E975A6">
      <w:r w:rsidRPr="00EF19D0">
        <w:rPr>
          <w:b/>
          <w:i/>
        </w:rPr>
        <w:tab/>
      </w:r>
      <w:r w:rsidRPr="00EF19D0">
        <w:t>The Second Intifada, sometimes called the</w:t>
      </w:r>
      <w:r>
        <w:t xml:space="preserve"> Al-Aqsa Intifada, was</w:t>
      </w:r>
      <w:r w:rsidRPr="00EF19D0">
        <w:t xml:space="preserve"> a period of intense violence that claimed the lives of more than 3,300 Palestinians and more than 1,000 Israelis between November 2000 and August 2005.</w:t>
      </w:r>
      <w:r w:rsidRPr="00EF19D0">
        <w:rPr>
          <w:rStyle w:val="FootnoteReference"/>
        </w:rPr>
        <w:footnoteReference w:id="134"/>
      </w:r>
      <w:r w:rsidRPr="00EF19D0">
        <w:t xml:space="preserve"> The violence began after Ariel Sharon, the opposition leader in the Israeli government and an opponent of Palestinian statehood, made a heavily escorted visit to the Temple Mount in Jerusalem.</w:t>
      </w:r>
      <w:r w:rsidRPr="00EF19D0">
        <w:rPr>
          <w:rStyle w:val="FootnoteReference"/>
        </w:rPr>
        <w:footnoteReference w:id="135"/>
      </w:r>
      <w:r w:rsidRPr="00EF19D0">
        <w:t xml:space="preserve"> Palestinians viewed this visit to the third most holy site in Islam as a political provocation, and the following day a large group of Palestinian protestors gathered to confront the Israeli police on the Temple Mount. Violence between the Palestinian protestors and Israeli security forces ensued. According to the Israeli government there were fourteen policemen injured in these clashes.</w:t>
      </w:r>
      <w:r w:rsidRPr="00EF19D0">
        <w:rPr>
          <w:rStyle w:val="FootnoteReference"/>
        </w:rPr>
        <w:footnoteReference w:id="136"/>
      </w:r>
      <w:r w:rsidRPr="00EF19D0">
        <w:t xml:space="preserve"> The U.S. Department of State found that Israeli security forces “used rubber bullets and live ammunition to disperse the protestors, killing four people and injuring about 400.”</w:t>
      </w:r>
      <w:r w:rsidRPr="00EF19D0">
        <w:rPr>
          <w:rStyle w:val="FootnoteReference"/>
        </w:rPr>
        <w:footnoteReference w:id="137"/>
      </w:r>
      <w:r w:rsidRPr="00EF19D0">
        <w:t xml:space="preserve"> A series of confrontations between Israeli security </w:t>
      </w:r>
      <w:r w:rsidR="00A428EC" w:rsidRPr="00EF19D0">
        <w:t>personnel</w:t>
      </w:r>
      <w:r w:rsidRPr="00EF19D0">
        <w:t xml:space="preserve"> and Palestinian protesters followed this initial incident, and these clashes quickly evolved into a wider variety of </w:t>
      </w:r>
      <w:r w:rsidRPr="00EF19D0">
        <w:lastRenderedPageBreak/>
        <w:t>violent Palestinian resistance and Israeli response</w:t>
      </w:r>
      <w:r w:rsidR="00A428EC">
        <w:t>s</w:t>
      </w:r>
      <w:r w:rsidRPr="00EF19D0">
        <w:t>.</w:t>
      </w:r>
      <w:r w:rsidRPr="00EF19D0">
        <w:rPr>
          <w:rStyle w:val="FootnoteReference"/>
        </w:rPr>
        <w:footnoteReference w:id="138"/>
      </w:r>
      <w:r w:rsidRPr="00EF19D0">
        <w:t xml:space="preserve"> Strong evidence has emerged after the Second Intifada that Israel reacted strongly to Palestinian violence by taking counter-insurgency measures designed to limit Palestinian violence, and these measures were somewhat effective in reducing the magnitude of violence.</w:t>
      </w:r>
      <w:r w:rsidRPr="00EF19D0">
        <w:rPr>
          <w:rStyle w:val="FootnoteReference"/>
        </w:rPr>
        <w:footnoteReference w:id="139"/>
      </w:r>
    </w:p>
    <w:p w14:paraId="11DE5D49" w14:textId="77777777" w:rsidR="00E975A6" w:rsidRPr="00EF19D0" w:rsidRDefault="00E975A6" w:rsidP="00E975A6">
      <w:pPr>
        <w:ind w:firstLine="720"/>
      </w:pPr>
      <w:r w:rsidRPr="00EF19D0">
        <w:t>Scaling up restrictions on the movement of Palestinian labor and goods was one of the major counter-insurgency measures implemented by Israel during the Second Intifada, especially after 2002. In the spring of 2002, Israel initiated “Operation Defensive Shield,” which was “a large-scale military offensive against the Palestinian militant and terrorist infrastructure in the West Bank” that included internal closures of West Bank transportation routes.</w:t>
      </w:r>
      <w:r w:rsidRPr="00EF19D0">
        <w:rPr>
          <w:rStyle w:val="FootnoteReference"/>
        </w:rPr>
        <w:footnoteReference w:id="140"/>
      </w:r>
      <w:r w:rsidRPr="00EF19D0">
        <w:t xml:space="preserve"> This resulted in intense fighting in the West Bank between the IDF and the Palestinians, and eventually international pressure led Israel to end the operation on May 10, 2002. However, “Operation Determined Path” began in June 2002 in response to continued suicide bombings inside Israel; the IDF met much less resistance from the Palestinians, and the IDF has maintained its presence and its security infrastructure in the West Bank ever since.</w:t>
      </w:r>
      <w:r w:rsidRPr="00EF19D0">
        <w:rPr>
          <w:rStyle w:val="FootnoteReference"/>
        </w:rPr>
        <w:footnoteReference w:id="141"/>
      </w:r>
    </w:p>
    <w:p w14:paraId="1AAD7EAE" w14:textId="77777777" w:rsidR="00E975A6" w:rsidRPr="00EF19D0" w:rsidRDefault="00E975A6" w:rsidP="00E975A6">
      <w:pPr>
        <w:ind w:firstLine="720"/>
        <w:rPr>
          <w:szCs w:val="22"/>
        </w:rPr>
      </w:pPr>
      <w:r w:rsidRPr="00EF19D0">
        <w:t xml:space="preserve"> 2002 was also the year in which Israel began construction on the controversial Separation Barrier, which has the declared intent to restrict Palestinian access to Israel for security reasons.</w:t>
      </w:r>
      <w:r w:rsidRPr="00EF19D0">
        <w:rPr>
          <w:rStyle w:val="FootnoteReference"/>
        </w:rPr>
        <w:footnoteReference w:id="142"/>
      </w:r>
      <w:r w:rsidRPr="00EF19D0">
        <w:t xml:space="preserve"> Since construction began in the rural areas of the northern West Bank, the Barrier has slowly progressed towards the most profound transformation of </w:t>
      </w:r>
      <w:r w:rsidRPr="00EF19D0">
        <w:lastRenderedPageBreak/>
        <w:t>the Palestinian landscape since the 1967 Six-Day War.</w:t>
      </w:r>
      <w:r w:rsidRPr="00EF19D0">
        <w:rPr>
          <w:rStyle w:val="FootnoteReference"/>
        </w:rPr>
        <w:footnoteReference w:id="143"/>
      </w:r>
      <w:r w:rsidRPr="00EF19D0">
        <w:rPr>
          <w:sz w:val="22"/>
          <w:szCs w:val="22"/>
        </w:rPr>
        <w:t xml:space="preserve"> The Barrier </w:t>
      </w:r>
      <w:r w:rsidRPr="00EF19D0">
        <w:rPr>
          <w:szCs w:val="22"/>
        </w:rPr>
        <w:t>consists of concrete slabs reaching approximately 25 feet in height, ditches, watchtowers, electric fences, security checkpoints, and militarized patrol roads along the fence.</w:t>
      </w:r>
      <w:r w:rsidRPr="00EF19D0">
        <w:rPr>
          <w:rStyle w:val="FootnoteReference"/>
          <w:szCs w:val="22"/>
        </w:rPr>
        <w:footnoteReference w:id="144"/>
      </w:r>
      <w:r w:rsidRPr="00EF19D0">
        <w:rPr>
          <w:szCs w:val="22"/>
        </w:rPr>
        <w:t xml:space="preserve"> </w:t>
      </w:r>
      <w:r w:rsidRPr="00EF19D0">
        <w:t xml:space="preserve">The Separation Barrier has been highly criticized for reasons beyond economics; </w:t>
      </w:r>
      <w:r w:rsidRPr="00EF19D0">
        <w:rPr>
          <w:sz w:val="22"/>
          <w:szCs w:val="22"/>
        </w:rPr>
        <w:t>i</w:t>
      </w:r>
      <w:r w:rsidRPr="00EF19D0">
        <w:rPr>
          <w:szCs w:val="22"/>
        </w:rPr>
        <w:t>n the first phase of the wall alone 58 communities with more</w:t>
      </w:r>
      <w:r w:rsidR="00A428EC">
        <w:rPr>
          <w:szCs w:val="22"/>
        </w:rPr>
        <w:t xml:space="preserve"> than 170,000 Palestinians were either </w:t>
      </w:r>
      <w:r w:rsidRPr="00EF19D0">
        <w:rPr>
          <w:szCs w:val="22"/>
        </w:rPr>
        <w:t>trapped between the Green Line and the Barrier, encircled by 25 foot-tall wall segments, or physically separated from their lands and agricultural livelihoods.</w:t>
      </w:r>
      <w:r w:rsidRPr="00EF19D0">
        <w:rPr>
          <w:rStyle w:val="FootnoteReference"/>
          <w:sz w:val="22"/>
          <w:szCs w:val="22"/>
        </w:rPr>
        <w:footnoteReference w:id="145"/>
      </w:r>
      <w:r w:rsidRPr="00EF19D0">
        <w:rPr>
          <w:szCs w:val="22"/>
        </w:rPr>
        <w:t xml:space="preserve"> Despite criticisms, the Barrier and Israel’s closure policies have been credited with reducing the massive amounts of violence that plagued Israel in the early stages of the Intifada; unfortunately the increased cost and difficulty of travel for Palestinians who work in Israel has contributed to a cycle of violence by exacerbating unemployment, thereby lowering the opportunity cost of violence for Palestinians.</w:t>
      </w:r>
      <w:r w:rsidRPr="00EF19D0">
        <w:rPr>
          <w:rStyle w:val="FootnoteReference"/>
          <w:szCs w:val="22"/>
        </w:rPr>
        <w:footnoteReference w:id="146"/>
      </w:r>
      <w:r w:rsidRPr="00EF19D0">
        <w:rPr>
          <w:szCs w:val="22"/>
        </w:rPr>
        <w:t xml:space="preserve"> </w:t>
      </w:r>
    </w:p>
    <w:p w14:paraId="0CE1A5CB" w14:textId="77777777" w:rsidR="00E975A6" w:rsidRPr="00EF19D0" w:rsidRDefault="00E975A6" w:rsidP="00E975A6">
      <w:pPr>
        <w:ind w:firstLine="720"/>
      </w:pPr>
      <w:r w:rsidRPr="00EF19D0">
        <w:t>The number of overseas foreigners working in Israel stayed relatively high throughout the Second Intifada, while the number of Palestinians working in Israel declined significantly. The number of overseas foreign workers in Israel peaked in 2002 at 240,000 but subsequently fell to 180,000 by 2004.</w:t>
      </w:r>
      <w:r w:rsidRPr="00EF19D0">
        <w:rPr>
          <w:rStyle w:val="FootnoteReference"/>
        </w:rPr>
        <w:footnoteReference w:id="147"/>
      </w:r>
      <w:r w:rsidRPr="00EF19D0">
        <w:t xml:space="preserve"> This was the same year that the number of West Bank Palestinians working in Israel reached an all-time low of 35,800 workers and the West Bank Palestinian unemployment rate peaked at 28.2%.</w:t>
      </w:r>
      <w:r w:rsidRPr="00EF19D0">
        <w:rPr>
          <w:rStyle w:val="FootnoteReference"/>
        </w:rPr>
        <w:footnoteReference w:id="148"/>
      </w:r>
      <w:r w:rsidRPr="00EF19D0">
        <w:t xml:space="preserve"> Between the beginning of 1999 and the end of 2004, the average number of foreign </w:t>
      </w:r>
      <w:r w:rsidRPr="00EF19D0">
        <w:lastRenderedPageBreak/>
        <w:t>workers in Israel was 203,500, but this can be broken down into 131,500 illegal foreign workers and 72,000 legal foreign workers.</w:t>
      </w:r>
      <w:r w:rsidRPr="00EF19D0">
        <w:rPr>
          <w:rStyle w:val="FootnoteReference"/>
        </w:rPr>
        <w:footnoteReference w:id="149"/>
      </w:r>
      <w:r w:rsidRPr="00EF19D0">
        <w:t xml:space="preserve"> </w:t>
      </w:r>
    </w:p>
    <w:p w14:paraId="2D3E846F" w14:textId="1FBE63CF" w:rsidR="00E975A6" w:rsidRPr="00EF19D0" w:rsidRDefault="00E975A6" w:rsidP="00C54F68">
      <w:pPr>
        <w:ind w:firstLine="720"/>
      </w:pPr>
      <w:r w:rsidRPr="00EF19D0">
        <w:t>Over this same period there were 80,140 two-year work permits given to foreign laborers per year (with a standard deviation of 12, 370); the high number of illegal foreign workers indicates that the risk for deportation was relatively low for foreigners who stayed in Israel after their two-year permit had expired.</w:t>
      </w:r>
      <w:r w:rsidRPr="00EF19D0">
        <w:rPr>
          <w:rStyle w:val="FootnoteReference"/>
        </w:rPr>
        <w:footnoteReference w:id="150"/>
      </w:r>
      <w:r w:rsidRPr="00EF19D0">
        <w:t xml:space="preserve"> This low-deportation risk indicates that non-Israeli labor is not necessarily problematic in Israel (Israel has actually grown highly dependent on foreign labor in a number of different sectors), but rather Palestinian labor became problematic during</w:t>
      </w:r>
      <w:r w:rsidR="00DA1C04">
        <w:t xml:space="preserve"> the 1990s and 2000</w:t>
      </w:r>
      <w:r w:rsidRPr="00EF19D0">
        <w:t>s because Palestinians became associated with the violence that plagued Israel in the Post-Oslo period.</w:t>
      </w:r>
      <w:r>
        <w:t xml:space="preserve"> The substitution of overseas foreign workers allowed Israel to implement large-scale restrictions on Palestinian movement as a counter-insurgency tactic without causing a major disruption to Israeli economic activities.</w:t>
      </w:r>
    </w:p>
    <w:p w14:paraId="7879C1E6" w14:textId="77777777" w:rsidR="00E5392D" w:rsidRDefault="00E5392D" w:rsidP="00882E52">
      <w:pPr>
        <w:pStyle w:val="Heading2"/>
        <w:sectPr w:rsidR="00E5392D" w:rsidSect="002146AD">
          <w:type w:val="continuous"/>
          <w:pgSz w:w="12240" w:h="15840"/>
          <w:pgMar w:top="1440" w:right="1440" w:bottom="1440" w:left="2304" w:header="720" w:footer="720" w:gutter="0"/>
          <w:cols w:space="720"/>
          <w:docGrid w:linePitch="360"/>
        </w:sectPr>
      </w:pPr>
    </w:p>
    <w:p w14:paraId="526B6EF7" w14:textId="31006D9C" w:rsidR="00E975A6" w:rsidRPr="00EF19D0" w:rsidRDefault="00C54F68" w:rsidP="00882E52">
      <w:pPr>
        <w:pStyle w:val="Heading2"/>
      </w:pPr>
      <w:bookmarkStart w:id="40" w:name="_Toc324423955"/>
      <w:r>
        <w:lastRenderedPageBreak/>
        <w:t xml:space="preserve">2.4 </w:t>
      </w:r>
      <w:r w:rsidR="00E975A6" w:rsidRPr="00EF19D0">
        <w:t>Unemployment and Violence After the Imposition of Mobility Restrictions</w:t>
      </w:r>
      <w:bookmarkEnd w:id="40"/>
      <w:r w:rsidR="00E975A6" w:rsidRPr="00EF19D0">
        <w:t xml:space="preserve"> </w:t>
      </w:r>
    </w:p>
    <w:p w14:paraId="01BD2181" w14:textId="77777777" w:rsidR="00E5392D" w:rsidRDefault="00E5392D" w:rsidP="000D7AFE">
      <w:pPr>
        <w:sectPr w:rsidR="00E5392D" w:rsidSect="002146AD">
          <w:type w:val="continuous"/>
          <w:pgSz w:w="12240" w:h="15840"/>
          <w:pgMar w:top="1440" w:right="1440" w:bottom="1440" w:left="2304" w:header="720" w:footer="720" w:gutter="0"/>
          <w:cols w:space="720"/>
          <w:docGrid w:linePitch="360"/>
        </w:sectPr>
      </w:pPr>
    </w:p>
    <w:p w14:paraId="4FBAF574" w14:textId="77777777" w:rsidR="00E5392D" w:rsidRDefault="00E5392D" w:rsidP="00DC2F86">
      <w:pPr>
        <w:spacing w:line="240" w:lineRule="auto"/>
      </w:pPr>
    </w:p>
    <w:p w14:paraId="7E8CCEFF" w14:textId="721098A7" w:rsidR="0036514B" w:rsidRDefault="00E975A6" w:rsidP="0036514B">
      <w:pPr>
        <w:ind w:firstLine="720"/>
      </w:pPr>
      <w:r w:rsidRPr="00EF19D0">
        <w:t>The Israeli closure policy— both within the West Bank and between Israel and the Palestinian Territories—contributed to erratic and unusually high unemployment rates in the Palestinian Territories between 1993 and 2007. Unemployment rates in this era ranged from 15-37% in the Gaza Strip and from 10-28% in the West Bank. These rates are alarmingly high when compared with the 1970-1993 period; unemployment remained below 7% in both the West Bank and the Gaza Strip during the entire period.</w:t>
      </w:r>
      <w:r w:rsidRPr="00EF19D0">
        <w:rPr>
          <w:rStyle w:val="FootnoteReference"/>
        </w:rPr>
        <w:footnoteReference w:id="151"/>
      </w:r>
      <w:r w:rsidRPr="00EF19D0">
        <w:t xml:space="preserve"> These high levels of unemployment are almost entirely attributed to the increase of restrictions on Palestinian mobility, especially internal restrictions of movement within the West Bank.</w:t>
      </w:r>
      <w:r w:rsidRPr="00EF19D0">
        <w:rPr>
          <w:rStyle w:val="FootnoteReference"/>
        </w:rPr>
        <w:footnoteReference w:id="152"/>
      </w:r>
      <w:r w:rsidRPr="00EF19D0">
        <w:t xml:space="preserve"> In 2007, internal closures were estimated to have cost the West Bank economy approximately $223 million </w:t>
      </w:r>
      <w:r>
        <w:t>(</w:t>
      </w:r>
      <w:r w:rsidRPr="00EF19D0">
        <w:t>USD</w:t>
      </w:r>
      <w:r>
        <w:t>)</w:t>
      </w:r>
      <w:r w:rsidRPr="00EF19D0">
        <w:t>, or 6% of West Bank GDP for that year.</w:t>
      </w:r>
      <w:r w:rsidRPr="00EF19D0">
        <w:rPr>
          <w:rStyle w:val="FootnoteReference"/>
        </w:rPr>
        <w:footnoteReference w:id="153"/>
      </w:r>
      <w:r w:rsidRPr="00D74204">
        <w:t xml:space="preserve"> </w:t>
      </w:r>
      <w:r>
        <w:t>In 2015, Adnan calculated a lower bound estimate of the economic cost of a 50-day increase in the number of border closures per quarter, and he found the cost for the West Bank is about $1.7 million (USD) per day in the subsequent quarter due to increased unemployment.</w:t>
      </w:r>
      <w:r>
        <w:rPr>
          <w:rStyle w:val="FootnoteReference"/>
        </w:rPr>
        <w:footnoteReference w:id="154"/>
      </w:r>
      <w:r>
        <w:t xml:space="preserve"> </w:t>
      </w:r>
      <w:r w:rsidR="0036514B">
        <w:t xml:space="preserve"> Figure 4</w:t>
      </w:r>
      <w:r w:rsidRPr="00EF19D0">
        <w:t xml:space="preserve"> presents graphical evidence that a high degree of correlation exists between comprehensive closure days and unemployment rates among Palestinians in the West Bank, particularly during the Second Intifada.</w:t>
      </w:r>
      <w:r w:rsidR="0036514B">
        <w:t xml:space="preserve"> </w:t>
      </w:r>
      <w:r>
        <w:t xml:space="preserve">Unfortunately, studies have shown that border closures contribute to Palestinian terrorism by lowering the opportunity cost of violence, and border closures actually increase the quality of Palestinian terrorism as economic conditions worsen. </w:t>
      </w:r>
    </w:p>
    <w:p w14:paraId="7AEE0199" w14:textId="77777777" w:rsidR="0036514B" w:rsidRDefault="00E975A6" w:rsidP="0036514B">
      <w:pPr>
        <w:ind w:firstLine="720"/>
      </w:pPr>
      <w:r>
        <w:lastRenderedPageBreak/>
        <w:t>Bueno de Mesquita suggested that economic conditions might be correlated with the quality of terrorist attacks in 2005.</w:t>
      </w:r>
      <w:r>
        <w:rPr>
          <w:rStyle w:val="FootnoteReference"/>
        </w:rPr>
        <w:footnoteReference w:id="155"/>
      </w:r>
      <w:r>
        <w:t xml:space="preserve"> According to his rationale, individuals have the choice to work in the market economy or to carry out terror attacks, and rational individuals will only choose terror if that brings them more utility than working in the market economy. If this is indeed the case, then low-ability individuals will be more likely to join terrorist organizations when economic conditions are good because they will have trouble finding a job. This also implies that worsening economic conditions should make it easier for terrorist organizations to recruit better-educated and more able people. In short, worsening economic conditions should improve the overall quality of terror attacks, because terror organizations can choose better-qualified individuals to carry out operations. </w:t>
      </w:r>
    </w:p>
    <w:p w14:paraId="17C03941" w14:textId="77777777" w:rsidR="00E975A6" w:rsidRPr="00EF19D0" w:rsidRDefault="00E975A6" w:rsidP="0036514B">
      <w:pPr>
        <w:ind w:firstLine="720"/>
      </w:pPr>
      <w:r>
        <w:t>In 2012, Esteban Klor (the chair of the Depart of Economics at the Hebrew Universi</w:t>
      </w:r>
      <w:r w:rsidR="0036514B">
        <w:t>ty in Jerusalem) found that Bueno de Mesquita’s</w:t>
      </w:r>
      <w:r>
        <w:t xml:space="preserve"> theory is true in the Israeli-Palestinian context.  He analyzed the Second Intifada and found that higher unemployment rates in one quarter increased the average educational attainment and age of Palestinian suicide bombers in the following quarter during the Second Intifada. Additionally, Klor found that a standard deviation increase in unemployment “induces a 17.6% increase in the probability that the targeted city has a large population” relative to the mean population size of cities targeted by terrorist attacks. This is consistent with earlier research; in 2007 Benmelech and Berrebi found that higher-quality terrorists </w:t>
      </w:r>
      <w:r>
        <w:lastRenderedPageBreak/>
        <w:t>cause more fatalities and are less likely to be stopped by security forces.</w:t>
      </w:r>
      <w:r>
        <w:rPr>
          <w:rStyle w:val="FootnoteReference"/>
        </w:rPr>
        <w:footnoteReference w:id="156"/>
      </w:r>
      <w:r>
        <w:t xml:space="preserve"> The correlation between economic development and th</w:t>
      </w:r>
      <w:r w:rsidR="0036514B">
        <w:t xml:space="preserve">e quality of terror attacks has </w:t>
      </w:r>
      <w:r>
        <w:t xml:space="preserve">important implications for the peace process, especially concerning the effectiveness of foreign aid. </w:t>
      </w:r>
    </w:p>
    <w:p w14:paraId="44613107" w14:textId="77777777" w:rsidR="00E975A6" w:rsidRPr="00EF19D0" w:rsidRDefault="00E975A6" w:rsidP="00E975A6">
      <w:pPr>
        <w:ind w:firstLine="720"/>
      </w:pPr>
      <w:r w:rsidRPr="00EF19D0">
        <w:t xml:space="preserve">The challenges that employment uncertainties </w:t>
      </w:r>
      <w:r>
        <w:t xml:space="preserve">and violence </w:t>
      </w:r>
      <w:r w:rsidRPr="00EF19D0">
        <w:t>posed for the Palestinian economies between 1993 and 2007 was partially offset by the massive amounts of international aid flowing into the Palestinian Territories; rather than providing the fuel behind economic growth and Palestinian state-building, foreign aid acted as more of an insurance policy against the macroeconomic shocks that resulted from violent conflict during the Oslo Peace Process and during the Second Intifada.</w:t>
      </w:r>
      <w:r w:rsidRPr="00EF19D0">
        <w:rPr>
          <w:rStyle w:val="FootnoteReference"/>
        </w:rPr>
        <w:footnoteReference w:id="157"/>
      </w:r>
      <w:r w:rsidRPr="00EF19D0">
        <w:t xml:space="preserve"> It was hoped that the peace process would result in rising domestic investment and an influx of foreign investment in the Palestinian Territories. Indeed, more than $7 billion USD was dispersed in the Palestinian Territories between 1993 and 2005.</w:t>
      </w:r>
      <w:r w:rsidRPr="00EF19D0">
        <w:rPr>
          <w:rStyle w:val="FootnoteReference"/>
        </w:rPr>
        <w:footnoteReference w:id="158"/>
      </w:r>
      <w:r w:rsidRPr="00EF19D0">
        <w:t xml:space="preserve"> The rise in investment should have stimulated industrial growth and thereby facilitate</w:t>
      </w:r>
      <w:r w:rsidR="0036514B">
        <w:t>d</w:t>
      </w:r>
      <w:r w:rsidRPr="00EF19D0">
        <w:t xml:space="preserve"> a rise in local Palestinian employment, which would have reduced reliance on the Israeli labor market. This would have led labor-intensive, value-added Palestinian exports to eventually replace the flow of Palestinian labor to the Israeli labor market.</w:t>
      </w:r>
      <w:r w:rsidRPr="00EF19D0">
        <w:rPr>
          <w:rStyle w:val="FootnoteReference"/>
        </w:rPr>
        <w:footnoteReference w:id="159"/>
      </w:r>
      <w:r w:rsidRPr="00EF19D0">
        <w:t xml:space="preserve"> Unfortunately, aid to the Palestinian Territories has mostly been dedicated to emergency relief rather than state-building and economic growth, and as a result, the Palestinian </w:t>
      </w:r>
      <w:r w:rsidRPr="00EF19D0">
        <w:lastRenderedPageBreak/>
        <w:t>economy has remained dependent on Palestinian labor in the Israeli labor market despite the volatility of labor flows that emerged during the Oslo peace process.</w:t>
      </w:r>
      <w:r w:rsidRPr="00EF19D0">
        <w:rPr>
          <w:rStyle w:val="FootnoteReference"/>
        </w:rPr>
        <w:footnoteReference w:id="160"/>
      </w:r>
      <w:r w:rsidRPr="00EF19D0">
        <w:t xml:space="preserve"> </w:t>
      </w:r>
    </w:p>
    <w:p w14:paraId="5F365F5D" w14:textId="36C84DEF" w:rsidR="00E5392D" w:rsidRDefault="00E975A6" w:rsidP="0036514B">
      <w:pPr>
        <w:ind w:firstLine="720"/>
        <w:sectPr w:rsidR="00E5392D" w:rsidSect="002146AD">
          <w:type w:val="continuous"/>
          <w:pgSz w:w="12240" w:h="15840"/>
          <w:pgMar w:top="1440" w:right="1440" w:bottom="1440" w:left="2304" w:header="720" w:footer="720" w:gutter="0"/>
          <w:cols w:space="720"/>
          <w:docGrid w:linePitch="360"/>
        </w:sectPr>
      </w:pPr>
      <w:r w:rsidRPr="00EF19D0">
        <w:t>In the Post-Oslo period Palestinians have been neither sovereign nor integrated, neither moving towards one state nor two, but perpetually contained through a complex security infrastructure that prevents the development of a Palestinian state even as Israel governments publically commit to a two-state resolution to the conflict.</w:t>
      </w:r>
      <w:r w:rsidRPr="00EF19D0">
        <w:rPr>
          <w:rStyle w:val="FootnoteReference"/>
        </w:rPr>
        <w:footnoteReference w:id="161"/>
      </w:r>
      <w:r w:rsidRPr="00EF19D0">
        <w:t xml:space="preserve"> This cyclical violence has understanda</w:t>
      </w:r>
      <w:r>
        <w:t>bly made peace seem impossible, but research on the connection between economic development and violence suggests that the integration of more West Bank Palestinian laborers into the Israeli labor market might reduce violence. Nearly all studies have come to the conclusion that increased labor mobility will have positive effects for the Palestinian economy, but no studies exist that quantify the benefits of increased labor mobility or the consequences of increased mobility restriction</w:t>
      </w:r>
      <w:r w:rsidR="0036514B">
        <w:t>s given the current state of affairs in the Israeli-</w:t>
      </w:r>
      <w:r>
        <w:t>Pale</w:t>
      </w:r>
      <w:r w:rsidR="0036514B">
        <w:t>stinian conflict</w:t>
      </w:r>
      <w:r>
        <w:t>.</w:t>
      </w:r>
      <w:r w:rsidRPr="008E68E5">
        <w:t xml:space="preserve"> </w:t>
      </w:r>
      <w:r>
        <w:t>Such a policy is certainly a gamble. The following chapter will seek to estimate the impact of integrating more Palestinians into the Israeli labor force, and it is expected that such a policy may forge a more peaceful path towards polit</w:t>
      </w:r>
      <w:r w:rsidR="0036514B">
        <w:t>ical negotia</w:t>
      </w:r>
      <w:r w:rsidR="00E5392D">
        <w:t>tions.</w:t>
      </w:r>
    </w:p>
    <w:p w14:paraId="7A1FC1F5" w14:textId="0AFD45D6" w:rsidR="00D5245D" w:rsidRPr="00D5245D" w:rsidRDefault="00D5245D" w:rsidP="00D5245D">
      <w:pPr>
        <w:pStyle w:val="Caption"/>
        <w:keepNext/>
        <w:jc w:val="center"/>
        <w:rPr>
          <w:color w:val="auto"/>
          <w:sz w:val="24"/>
          <w:szCs w:val="24"/>
        </w:rPr>
      </w:pPr>
      <w:bookmarkStart w:id="41" w:name="_Toc323490973"/>
      <w:bookmarkStart w:id="42" w:name="_Toc324146560"/>
      <w:bookmarkStart w:id="43" w:name="_Toc324264452"/>
      <w:bookmarkStart w:id="44" w:name="_Toc324264699"/>
      <w:r w:rsidRPr="00D5245D">
        <w:rPr>
          <w:color w:val="auto"/>
          <w:sz w:val="24"/>
          <w:szCs w:val="24"/>
        </w:rPr>
        <w:lastRenderedPageBreak/>
        <w:t xml:space="preserve">Table </w:t>
      </w:r>
      <w:r w:rsidRPr="00D5245D">
        <w:rPr>
          <w:color w:val="auto"/>
          <w:sz w:val="24"/>
          <w:szCs w:val="24"/>
        </w:rPr>
        <w:fldChar w:fldCharType="begin"/>
      </w:r>
      <w:r w:rsidRPr="00D5245D">
        <w:rPr>
          <w:color w:val="auto"/>
          <w:sz w:val="24"/>
          <w:szCs w:val="24"/>
        </w:rPr>
        <w:instrText xml:space="preserve"> SEQ Table \* ARABIC </w:instrText>
      </w:r>
      <w:r w:rsidRPr="00D5245D">
        <w:rPr>
          <w:color w:val="auto"/>
          <w:sz w:val="24"/>
          <w:szCs w:val="24"/>
        </w:rPr>
        <w:fldChar w:fldCharType="separate"/>
      </w:r>
      <w:r w:rsidR="00500133">
        <w:rPr>
          <w:noProof/>
          <w:color w:val="auto"/>
          <w:sz w:val="24"/>
          <w:szCs w:val="24"/>
        </w:rPr>
        <w:t>5</w:t>
      </w:r>
      <w:r w:rsidRPr="00D5245D">
        <w:rPr>
          <w:color w:val="auto"/>
          <w:sz w:val="24"/>
          <w:szCs w:val="24"/>
        </w:rPr>
        <w:fldChar w:fldCharType="end"/>
      </w:r>
      <w:r w:rsidRPr="00D5245D">
        <w:rPr>
          <w:color w:val="auto"/>
          <w:sz w:val="24"/>
          <w:szCs w:val="24"/>
        </w:rPr>
        <w:t xml:space="preserve">: Number of Border Closures Imposed on the Palestinian Territories </w:t>
      </w:r>
      <w:r>
        <w:rPr>
          <w:color w:val="auto"/>
          <w:sz w:val="24"/>
          <w:szCs w:val="24"/>
        </w:rPr>
        <w:t xml:space="preserve"> </w:t>
      </w:r>
      <w:r w:rsidRPr="00D5245D">
        <w:rPr>
          <w:color w:val="auto"/>
          <w:sz w:val="24"/>
          <w:szCs w:val="24"/>
        </w:rPr>
        <w:t>(1993-2000)</w:t>
      </w:r>
      <w:bookmarkEnd w:id="41"/>
      <w:bookmarkEnd w:id="42"/>
      <w:bookmarkEnd w:id="43"/>
      <w:bookmarkEnd w:id="44"/>
    </w:p>
    <w:tbl>
      <w:tblPr>
        <w:tblW w:w="8460" w:type="dxa"/>
        <w:tblInd w:w="108" w:type="dxa"/>
        <w:tblBorders>
          <w:top w:val="single" w:sz="8" w:space="0" w:color="000000"/>
          <w:bottom w:val="single" w:sz="8" w:space="0" w:color="000000"/>
        </w:tblBorders>
        <w:tblLook w:val="04A0" w:firstRow="1" w:lastRow="0" w:firstColumn="1" w:lastColumn="0" w:noHBand="0" w:noVBand="1"/>
      </w:tblPr>
      <w:tblGrid>
        <w:gridCol w:w="1771"/>
        <w:gridCol w:w="1771"/>
        <w:gridCol w:w="1771"/>
        <w:gridCol w:w="1771"/>
        <w:gridCol w:w="1376"/>
      </w:tblGrid>
      <w:tr w:rsidR="00E975A6" w:rsidRPr="00B811BD" w14:paraId="481BEA87" w14:textId="77777777" w:rsidTr="00F14AB5">
        <w:tc>
          <w:tcPr>
            <w:tcW w:w="1771" w:type="dxa"/>
            <w:shd w:val="clear" w:color="auto" w:fill="auto"/>
          </w:tcPr>
          <w:p w14:paraId="5F7F04AA" w14:textId="77777777" w:rsidR="00E975A6" w:rsidRPr="00423954" w:rsidRDefault="00E975A6" w:rsidP="00C65D27">
            <w:pPr>
              <w:spacing w:line="240" w:lineRule="auto"/>
              <w:jc w:val="center"/>
              <w:rPr>
                <w:b/>
                <w:bCs/>
                <w:sz w:val="20"/>
                <w:szCs w:val="20"/>
              </w:rPr>
            </w:pPr>
            <w:r w:rsidRPr="00423954">
              <w:rPr>
                <w:b/>
                <w:bCs/>
                <w:sz w:val="20"/>
                <w:szCs w:val="20"/>
              </w:rPr>
              <w:t>Year</w:t>
            </w:r>
          </w:p>
        </w:tc>
        <w:tc>
          <w:tcPr>
            <w:tcW w:w="1771" w:type="dxa"/>
            <w:shd w:val="clear" w:color="auto" w:fill="auto"/>
          </w:tcPr>
          <w:p w14:paraId="26E2D1F0" w14:textId="77777777" w:rsidR="00E975A6" w:rsidRPr="00423954" w:rsidRDefault="00E975A6" w:rsidP="00C65D27">
            <w:pPr>
              <w:spacing w:line="240" w:lineRule="auto"/>
              <w:jc w:val="center"/>
              <w:rPr>
                <w:b/>
                <w:bCs/>
                <w:sz w:val="20"/>
                <w:szCs w:val="20"/>
              </w:rPr>
            </w:pPr>
            <w:r w:rsidRPr="00423954">
              <w:rPr>
                <w:b/>
                <w:bCs/>
                <w:sz w:val="20"/>
                <w:szCs w:val="20"/>
              </w:rPr>
              <w:t>Total Days of Border Closure</w:t>
            </w:r>
          </w:p>
        </w:tc>
        <w:tc>
          <w:tcPr>
            <w:tcW w:w="1771" w:type="dxa"/>
            <w:shd w:val="clear" w:color="auto" w:fill="auto"/>
          </w:tcPr>
          <w:p w14:paraId="669CB868" w14:textId="77777777" w:rsidR="00E975A6" w:rsidRPr="00423954" w:rsidRDefault="00E975A6" w:rsidP="00C65D27">
            <w:pPr>
              <w:spacing w:line="240" w:lineRule="auto"/>
              <w:jc w:val="center"/>
              <w:rPr>
                <w:b/>
                <w:bCs/>
                <w:sz w:val="20"/>
                <w:szCs w:val="20"/>
              </w:rPr>
            </w:pPr>
            <w:r w:rsidRPr="00423954">
              <w:rPr>
                <w:b/>
                <w:bCs/>
                <w:sz w:val="20"/>
                <w:szCs w:val="20"/>
              </w:rPr>
              <w:t>Holidays and Weekends During Closure Days</w:t>
            </w:r>
          </w:p>
        </w:tc>
        <w:tc>
          <w:tcPr>
            <w:tcW w:w="1771" w:type="dxa"/>
            <w:shd w:val="clear" w:color="auto" w:fill="auto"/>
          </w:tcPr>
          <w:p w14:paraId="255B4DEB" w14:textId="77777777" w:rsidR="00E975A6" w:rsidRPr="00423954" w:rsidRDefault="00E975A6" w:rsidP="00C65D27">
            <w:pPr>
              <w:spacing w:line="240" w:lineRule="auto"/>
              <w:jc w:val="center"/>
              <w:rPr>
                <w:b/>
                <w:bCs/>
                <w:sz w:val="20"/>
                <w:szCs w:val="20"/>
              </w:rPr>
            </w:pPr>
            <w:r w:rsidRPr="00423954">
              <w:rPr>
                <w:b/>
                <w:bCs/>
                <w:sz w:val="20"/>
                <w:szCs w:val="20"/>
              </w:rPr>
              <w:t>Effective Border Closure Days</w:t>
            </w:r>
          </w:p>
        </w:tc>
        <w:tc>
          <w:tcPr>
            <w:tcW w:w="1376" w:type="dxa"/>
            <w:shd w:val="clear" w:color="auto" w:fill="auto"/>
          </w:tcPr>
          <w:p w14:paraId="3AC8E592" w14:textId="77777777" w:rsidR="00E975A6" w:rsidRPr="00423954" w:rsidRDefault="00E975A6" w:rsidP="00C65D27">
            <w:pPr>
              <w:spacing w:line="240" w:lineRule="auto"/>
              <w:jc w:val="center"/>
              <w:rPr>
                <w:b/>
                <w:bCs/>
                <w:sz w:val="20"/>
                <w:szCs w:val="20"/>
              </w:rPr>
            </w:pPr>
            <w:r w:rsidRPr="00423954">
              <w:rPr>
                <w:b/>
                <w:bCs/>
                <w:sz w:val="20"/>
                <w:szCs w:val="20"/>
              </w:rPr>
              <w:t>Lost Days as a Proportion of Potential Work Days</w:t>
            </w:r>
          </w:p>
        </w:tc>
      </w:tr>
      <w:tr w:rsidR="00E975A6" w:rsidRPr="00B811BD" w14:paraId="19EFAEA5" w14:textId="77777777" w:rsidTr="00F14AB5">
        <w:tc>
          <w:tcPr>
            <w:tcW w:w="1771" w:type="dxa"/>
            <w:shd w:val="clear" w:color="auto" w:fill="C0C0C0"/>
          </w:tcPr>
          <w:p w14:paraId="72012ABC" w14:textId="77777777" w:rsidR="00E975A6" w:rsidRPr="00423954" w:rsidRDefault="00E975A6" w:rsidP="00C65D27">
            <w:pPr>
              <w:spacing w:line="240" w:lineRule="auto"/>
              <w:jc w:val="center"/>
              <w:rPr>
                <w:b/>
                <w:bCs/>
                <w:sz w:val="20"/>
                <w:szCs w:val="20"/>
              </w:rPr>
            </w:pPr>
            <w:r w:rsidRPr="00423954">
              <w:rPr>
                <w:b/>
                <w:bCs/>
                <w:sz w:val="20"/>
                <w:szCs w:val="20"/>
              </w:rPr>
              <w:t>1993</w:t>
            </w:r>
          </w:p>
        </w:tc>
        <w:tc>
          <w:tcPr>
            <w:tcW w:w="1771" w:type="dxa"/>
            <w:shd w:val="clear" w:color="auto" w:fill="C0C0C0"/>
          </w:tcPr>
          <w:p w14:paraId="31D16B81" w14:textId="77777777" w:rsidR="00E975A6" w:rsidRPr="00423954" w:rsidRDefault="00E975A6" w:rsidP="00C65D27">
            <w:pPr>
              <w:spacing w:line="240" w:lineRule="auto"/>
              <w:jc w:val="center"/>
              <w:rPr>
                <w:b/>
                <w:bCs/>
                <w:sz w:val="20"/>
                <w:szCs w:val="20"/>
              </w:rPr>
            </w:pPr>
            <w:r w:rsidRPr="00423954">
              <w:rPr>
                <w:b/>
                <w:bCs/>
                <w:sz w:val="20"/>
                <w:szCs w:val="20"/>
              </w:rPr>
              <w:t>26</w:t>
            </w:r>
          </w:p>
        </w:tc>
        <w:tc>
          <w:tcPr>
            <w:tcW w:w="1771" w:type="dxa"/>
            <w:shd w:val="clear" w:color="auto" w:fill="C0C0C0"/>
          </w:tcPr>
          <w:p w14:paraId="4A15FB6B" w14:textId="77777777" w:rsidR="00E975A6" w:rsidRPr="00423954" w:rsidRDefault="00E975A6" w:rsidP="00C65D27">
            <w:pPr>
              <w:spacing w:line="240" w:lineRule="auto"/>
              <w:jc w:val="center"/>
              <w:rPr>
                <w:b/>
                <w:bCs/>
                <w:sz w:val="20"/>
                <w:szCs w:val="20"/>
              </w:rPr>
            </w:pPr>
            <w:r w:rsidRPr="00423954">
              <w:rPr>
                <w:b/>
                <w:bCs/>
                <w:sz w:val="20"/>
                <w:szCs w:val="20"/>
              </w:rPr>
              <w:t>9</w:t>
            </w:r>
          </w:p>
        </w:tc>
        <w:tc>
          <w:tcPr>
            <w:tcW w:w="1771" w:type="dxa"/>
            <w:shd w:val="clear" w:color="auto" w:fill="C0C0C0"/>
          </w:tcPr>
          <w:p w14:paraId="485B239E" w14:textId="77777777" w:rsidR="00E975A6" w:rsidRPr="00423954" w:rsidRDefault="00E975A6" w:rsidP="00C65D27">
            <w:pPr>
              <w:spacing w:line="240" w:lineRule="auto"/>
              <w:jc w:val="center"/>
              <w:rPr>
                <w:b/>
                <w:bCs/>
                <w:sz w:val="20"/>
                <w:szCs w:val="20"/>
              </w:rPr>
            </w:pPr>
            <w:r w:rsidRPr="00423954">
              <w:rPr>
                <w:b/>
                <w:bCs/>
                <w:sz w:val="20"/>
                <w:szCs w:val="20"/>
              </w:rPr>
              <w:t>17</w:t>
            </w:r>
          </w:p>
        </w:tc>
        <w:tc>
          <w:tcPr>
            <w:tcW w:w="1376" w:type="dxa"/>
            <w:shd w:val="clear" w:color="auto" w:fill="C0C0C0"/>
          </w:tcPr>
          <w:p w14:paraId="6B7245E1" w14:textId="77777777" w:rsidR="00E975A6" w:rsidRPr="00423954" w:rsidRDefault="00E975A6" w:rsidP="00C65D27">
            <w:pPr>
              <w:spacing w:line="240" w:lineRule="auto"/>
              <w:jc w:val="center"/>
              <w:rPr>
                <w:b/>
                <w:bCs/>
                <w:sz w:val="20"/>
                <w:szCs w:val="20"/>
              </w:rPr>
            </w:pPr>
            <w:r w:rsidRPr="00423954">
              <w:rPr>
                <w:b/>
                <w:bCs/>
                <w:sz w:val="20"/>
                <w:szCs w:val="20"/>
              </w:rPr>
              <w:t>6.13%</w:t>
            </w:r>
          </w:p>
        </w:tc>
      </w:tr>
      <w:tr w:rsidR="00E975A6" w:rsidRPr="00B811BD" w14:paraId="37430191" w14:textId="77777777" w:rsidTr="00F14AB5">
        <w:tc>
          <w:tcPr>
            <w:tcW w:w="1771" w:type="dxa"/>
            <w:shd w:val="clear" w:color="auto" w:fill="auto"/>
          </w:tcPr>
          <w:p w14:paraId="1B0BA49E" w14:textId="77777777" w:rsidR="00E975A6" w:rsidRPr="00423954" w:rsidRDefault="00E975A6" w:rsidP="00C65D27">
            <w:pPr>
              <w:spacing w:line="240" w:lineRule="auto"/>
              <w:jc w:val="center"/>
              <w:rPr>
                <w:b/>
                <w:bCs/>
                <w:sz w:val="20"/>
                <w:szCs w:val="20"/>
              </w:rPr>
            </w:pPr>
            <w:r w:rsidRPr="00423954">
              <w:rPr>
                <w:b/>
                <w:bCs/>
                <w:sz w:val="20"/>
                <w:szCs w:val="20"/>
              </w:rPr>
              <w:t>1994</w:t>
            </w:r>
          </w:p>
        </w:tc>
        <w:tc>
          <w:tcPr>
            <w:tcW w:w="1771" w:type="dxa"/>
            <w:shd w:val="clear" w:color="auto" w:fill="auto"/>
          </w:tcPr>
          <w:p w14:paraId="28B70F7A" w14:textId="77777777" w:rsidR="00E975A6" w:rsidRPr="00423954" w:rsidRDefault="00E975A6" w:rsidP="00C65D27">
            <w:pPr>
              <w:spacing w:line="240" w:lineRule="auto"/>
              <w:jc w:val="center"/>
              <w:rPr>
                <w:b/>
                <w:bCs/>
                <w:sz w:val="20"/>
                <w:szCs w:val="20"/>
              </w:rPr>
            </w:pPr>
            <w:r w:rsidRPr="00423954">
              <w:rPr>
                <w:b/>
                <w:bCs/>
                <w:sz w:val="20"/>
                <w:szCs w:val="20"/>
              </w:rPr>
              <w:t>89</w:t>
            </w:r>
          </w:p>
        </w:tc>
        <w:tc>
          <w:tcPr>
            <w:tcW w:w="1771" w:type="dxa"/>
            <w:shd w:val="clear" w:color="auto" w:fill="auto"/>
          </w:tcPr>
          <w:p w14:paraId="11D97924" w14:textId="77777777" w:rsidR="00E975A6" w:rsidRPr="00423954" w:rsidRDefault="00E975A6" w:rsidP="00C65D27">
            <w:pPr>
              <w:spacing w:line="240" w:lineRule="auto"/>
              <w:jc w:val="center"/>
              <w:rPr>
                <w:b/>
                <w:bCs/>
                <w:sz w:val="20"/>
                <w:szCs w:val="20"/>
              </w:rPr>
            </w:pPr>
            <w:r w:rsidRPr="00423954">
              <w:rPr>
                <w:b/>
                <w:bCs/>
                <w:sz w:val="20"/>
                <w:szCs w:val="20"/>
              </w:rPr>
              <w:t>25</w:t>
            </w:r>
          </w:p>
        </w:tc>
        <w:tc>
          <w:tcPr>
            <w:tcW w:w="1771" w:type="dxa"/>
            <w:shd w:val="clear" w:color="auto" w:fill="auto"/>
          </w:tcPr>
          <w:p w14:paraId="5F0907EF" w14:textId="77777777" w:rsidR="00E975A6" w:rsidRPr="00423954" w:rsidRDefault="00E975A6" w:rsidP="00C65D27">
            <w:pPr>
              <w:spacing w:line="240" w:lineRule="auto"/>
              <w:jc w:val="center"/>
              <w:rPr>
                <w:b/>
                <w:bCs/>
                <w:sz w:val="20"/>
                <w:szCs w:val="20"/>
              </w:rPr>
            </w:pPr>
            <w:r w:rsidRPr="00423954">
              <w:rPr>
                <w:b/>
                <w:bCs/>
                <w:sz w:val="20"/>
                <w:szCs w:val="20"/>
              </w:rPr>
              <w:t>64</w:t>
            </w:r>
          </w:p>
        </w:tc>
        <w:tc>
          <w:tcPr>
            <w:tcW w:w="1376" w:type="dxa"/>
            <w:shd w:val="clear" w:color="auto" w:fill="auto"/>
          </w:tcPr>
          <w:p w14:paraId="78823BF4" w14:textId="77777777" w:rsidR="00E975A6" w:rsidRPr="00423954" w:rsidRDefault="00E975A6" w:rsidP="00C65D27">
            <w:pPr>
              <w:spacing w:line="240" w:lineRule="auto"/>
              <w:jc w:val="center"/>
              <w:rPr>
                <w:b/>
                <w:bCs/>
                <w:sz w:val="20"/>
                <w:szCs w:val="20"/>
              </w:rPr>
            </w:pPr>
            <w:r w:rsidRPr="00423954">
              <w:rPr>
                <w:b/>
                <w:bCs/>
                <w:sz w:val="20"/>
                <w:szCs w:val="20"/>
              </w:rPr>
              <w:t>23.1%</w:t>
            </w:r>
          </w:p>
        </w:tc>
      </w:tr>
      <w:tr w:rsidR="00E975A6" w:rsidRPr="00B811BD" w14:paraId="2C1F4DC8" w14:textId="77777777" w:rsidTr="00F14AB5">
        <w:tc>
          <w:tcPr>
            <w:tcW w:w="1771" w:type="dxa"/>
            <w:shd w:val="clear" w:color="auto" w:fill="C0C0C0"/>
          </w:tcPr>
          <w:p w14:paraId="209FF051" w14:textId="77777777" w:rsidR="00E975A6" w:rsidRPr="00423954" w:rsidRDefault="00E975A6" w:rsidP="00C65D27">
            <w:pPr>
              <w:spacing w:line="240" w:lineRule="auto"/>
              <w:jc w:val="center"/>
              <w:rPr>
                <w:b/>
                <w:bCs/>
                <w:sz w:val="20"/>
                <w:szCs w:val="20"/>
              </w:rPr>
            </w:pPr>
            <w:r w:rsidRPr="00423954">
              <w:rPr>
                <w:b/>
                <w:bCs/>
                <w:sz w:val="20"/>
                <w:szCs w:val="20"/>
              </w:rPr>
              <w:t>1995</w:t>
            </w:r>
          </w:p>
        </w:tc>
        <w:tc>
          <w:tcPr>
            <w:tcW w:w="1771" w:type="dxa"/>
            <w:shd w:val="clear" w:color="auto" w:fill="C0C0C0"/>
          </w:tcPr>
          <w:p w14:paraId="32D328B2" w14:textId="77777777" w:rsidR="00E975A6" w:rsidRPr="00423954" w:rsidRDefault="00E975A6" w:rsidP="00C65D27">
            <w:pPr>
              <w:spacing w:line="240" w:lineRule="auto"/>
              <w:jc w:val="center"/>
              <w:rPr>
                <w:b/>
                <w:bCs/>
                <w:sz w:val="20"/>
                <w:szCs w:val="20"/>
              </w:rPr>
            </w:pPr>
            <w:r w:rsidRPr="00423954">
              <w:rPr>
                <w:b/>
                <w:bCs/>
                <w:sz w:val="20"/>
                <w:szCs w:val="20"/>
              </w:rPr>
              <w:t>112</w:t>
            </w:r>
          </w:p>
        </w:tc>
        <w:tc>
          <w:tcPr>
            <w:tcW w:w="1771" w:type="dxa"/>
            <w:shd w:val="clear" w:color="auto" w:fill="C0C0C0"/>
          </w:tcPr>
          <w:p w14:paraId="69CD0343" w14:textId="77777777" w:rsidR="00E975A6" w:rsidRPr="00423954" w:rsidRDefault="00E975A6" w:rsidP="00C65D27">
            <w:pPr>
              <w:spacing w:line="240" w:lineRule="auto"/>
              <w:jc w:val="center"/>
              <w:rPr>
                <w:b/>
                <w:bCs/>
                <w:sz w:val="20"/>
                <w:szCs w:val="20"/>
              </w:rPr>
            </w:pPr>
            <w:r w:rsidRPr="00423954">
              <w:rPr>
                <w:b/>
                <w:bCs/>
                <w:sz w:val="20"/>
                <w:szCs w:val="20"/>
              </w:rPr>
              <w:t>28.5</w:t>
            </w:r>
          </w:p>
        </w:tc>
        <w:tc>
          <w:tcPr>
            <w:tcW w:w="1771" w:type="dxa"/>
            <w:shd w:val="clear" w:color="auto" w:fill="C0C0C0"/>
          </w:tcPr>
          <w:p w14:paraId="79030FEE" w14:textId="77777777" w:rsidR="00E975A6" w:rsidRPr="00423954" w:rsidRDefault="00E975A6" w:rsidP="00C65D27">
            <w:pPr>
              <w:spacing w:line="240" w:lineRule="auto"/>
              <w:jc w:val="center"/>
              <w:rPr>
                <w:b/>
                <w:bCs/>
                <w:sz w:val="20"/>
                <w:szCs w:val="20"/>
              </w:rPr>
            </w:pPr>
            <w:r w:rsidRPr="00423954">
              <w:rPr>
                <w:b/>
                <w:bCs/>
                <w:sz w:val="20"/>
                <w:szCs w:val="20"/>
              </w:rPr>
              <w:t>83.5</w:t>
            </w:r>
          </w:p>
        </w:tc>
        <w:tc>
          <w:tcPr>
            <w:tcW w:w="1376" w:type="dxa"/>
            <w:shd w:val="clear" w:color="auto" w:fill="C0C0C0"/>
          </w:tcPr>
          <w:p w14:paraId="05872190" w14:textId="77777777" w:rsidR="00E975A6" w:rsidRPr="00423954" w:rsidRDefault="00E975A6" w:rsidP="00C65D27">
            <w:pPr>
              <w:spacing w:line="240" w:lineRule="auto"/>
              <w:jc w:val="center"/>
              <w:rPr>
                <w:b/>
                <w:bCs/>
                <w:sz w:val="20"/>
                <w:szCs w:val="20"/>
              </w:rPr>
            </w:pPr>
            <w:r w:rsidRPr="00423954">
              <w:rPr>
                <w:b/>
                <w:bCs/>
                <w:sz w:val="20"/>
                <w:szCs w:val="20"/>
              </w:rPr>
              <w:t>29.93%</w:t>
            </w:r>
          </w:p>
        </w:tc>
      </w:tr>
      <w:tr w:rsidR="00E975A6" w:rsidRPr="00B811BD" w14:paraId="4970F282" w14:textId="77777777" w:rsidTr="00F14AB5">
        <w:tc>
          <w:tcPr>
            <w:tcW w:w="1771" w:type="dxa"/>
            <w:shd w:val="clear" w:color="auto" w:fill="auto"/>
          </w:tcPr>
          <w:p w14:paraId="47F7BB89" w14:textId="77777777" w:rsidR="00E975A6" w:rsidRPr="00423954" w:rsidRDefault="00E975A6" w:rsidP="00C65D27">
            <w:pPr>
              <w:spacing w:line="240" w:lineRule="auto"/>
              <w:jc w:val="center"/>
              <w:rPr>
                <w:b/>
                <w:bCs/>
                <w:sz w:val="20"/>
                <w:szCs w:val="20"/>
              </w:rPr>
            </w:pPr>
            <w:r w:rsidRPr="00423954">
              <w:rPr>
                <w:b/>
                <w:bCs/>
                <w:sz w:val="20"/>
                <w:szCs w:val="20"/>
              </w:rPr>
              <w:t>1996</w:t>
            </w:r>
          </w:p>
        </w:tc>
        <w:tc>
          <w:tcPr>
            <w:tcW w:w="1771" w:type="dxa"/>
            <w:shd w:val="clear" w:color="auto" w:fill="auto"/>
          </w:tcPr>
          <w:p w14:paraId="05E2545C" w14:textId="77777777" w:rsidR="00E975A6" w:rsidRPr="00423954" w:rsidRDefault="00E975A6" w:rsidP="00C65D27">
            <w:pPr>
              <w:spacing w:line="240" w:lineRule="auto"/>
              <w:jc w:val="center"/>
              <w:rPr>
                <w:b/>
                <w:bCs/>
                <w:sz w:val="20"/>
                <w:szCs w:val="20"/>
              </w:rPr>
            </w:pPr>
            <w:r w:rsidRPr="00423954">
              <w:rPr>
                <w:b/>
                <w:bCs/>
                <w:sz w:val="20"/>
                <w:szCs w:val="20"/>
              </w:rPr>
              <w:t>121</w:t>
            </w:r>
          </w:p>
        </w:tc>
        <w:tc>
          <w:tcPr>
            <w:tcW w:w="1771" w:type="dxa"/>
            <w:shd w:val="clear" w:color="auto" w:fill="auto"/>
          </w:tcPr>
          <w:p w14:paraId="56CAFBE0" w14:textId="77777777" w:rsidR="00E975A6" w:rsidRPr="00423954" w:rsidRDefault="00E975A6" w:rsidP="00C65D27">
            <w:pPr>
              <w:spacing w:line="240" w:lineRule="auto"/>
              <w:jc w:val="center"/>
              <w:rPr>
                <w:b/>
                <w:bCs/>
                <w:sz w:val="20"/>
                <w:szCs w:val="20"/>
              </w:rPr>
            </w:pPr>
            <w:r w:rsidRPr="00423954">
              <w:rPr>
                <w:b/>
                <w:bCs/>
                <w:sz w:val="20"/>
                <w:szCs w:val="20"/>
              </w:rPr>
              <w:t>31.5</w:t>
            </w:r>
          </w:p>
        </w:tc>
        <w:tc>
          <w:tcPr>
            <w:tcW w:w="1771" w:type="dxa"/>
            <w:shd w:val="clear" w:color="auto" w:fill="auto"/>
          </w:tcPr>
          <w:p w14:paraId="442DB1E4" w14:textId="77777777" w:rsidR="00E975A6" w:rsidRPr="00423954" w:rsidRDefault="00E975A6" w:rsidP="00C65D27">
            <w:pPr>
              <w:spacing w:line="240" w:lineRule="auto"/>
              <w:jc w:val="center"/>
              <w:rPr>
                <w:b/>
                <w:bCs/>
                <w:sz w:val="20"/>
                <w:szCs w:val="20"/>
              </w:rPr>
            </w:pPr>
            <w:r w:rsidRPr="00423954">
              <w:rPr>
                <w:b/>
                <w:bCs/>
                <w:sz w:val="20"/>
                <w:szCs w:val="20"/>
              </w:rPr>
              <w:t>89.5</w:t>
            </w:r>
          </w:p>
        </w:tc>
        <w:tc>
          <w:tcPr>
            <w:tcW w:w="1376" w:type="dxa"/>
            <w:shd w:val="clear" w:color="auto" w:fill="auto"/>
          </w:tcPr>
          <w:p w14:paraId="280E58CA" w14:textId="77777777" w:rsidR="00E975A6" w:rsidRPr="00423954" w:rsidRDefault="00E975A6" w:rsidP="00C65D27">
            <w:pPr>
              <w:spacing w:line="240" w:lineRule="auto"/>
              <w:jc w:val="center"/>
              <w:rPr>
                <w:b/>
                <w:bCs/>
                <w:sz w:val="20"/>
                <w:szCs w:val="20"/>
              </w:rPr>
            </w:pPr>
            <w:r w:rsidRPr="00423954">
              <w:rPr>
                <w:b/>
                <w:bCs/>
                <w:sz w:val="20"/>
                <w:szCs w:val="20"/>
              </w:rPr>
              <w:t>31.91%</w:t>
            </w:r>
          </w:p>
        </w:tc>
      </w:tr>
      <w:tr w:rsidR="00E975A6" w:rsidRPr="00B811BD" w14:paraId="21A1D121" w14:textId="77777777" w:rsidTr="00F14AB5">
        <w:tc>
          <w:tcPr>
            <w:tcW w:w="1771" w:type="dxa"/>
            <w:shd w:val="clear" w:color="auto" w:fill="C0C0C0"/>
          </w:tcPr>
          <w:p w14:paraId="0D1436C1" w14:textId="77777777" w:rsidR="00E975A6" w:rsidRPr="00423954" w:rsidRDefault="00E975A6" w:rsidP="00C65D27">
            <w:pPr>
              <w:spacing w:line="240" w:lineRule="auto"/>
              <w:jc w:val="center"/>
              <w:rPr>
                <w:b/>
                <w:bCs/>
                <w:sz w:val="20"/>
                <w:szCs w:val="20"/>
              </w:rPr>
            </w:pPr>
            <w:r w:rsidRPr="00423954">
              <w:rPr>
                <w:b/>
                <w:bCs/>
                <w:sz w:val="20"/>
                <w:szCs w:val="20"/>
              </w:rPr>
              <w:t>1997</w:t>
            </w:r>
          </w:p>
        </w:tc>
        <w:tc>
          <w:tcPr>
            <w:tcW w:w="1771" w:type="dxa"/>
            <w:shd w:val="clear" w:color="auto" w:fill="C0C0C0"/>
          </w:tcPr>
          <w:p w14:paraId="5B852F34" w14:textId="77777777" w:rsidR="00E975A6" w:rsidRPr="00423954" w:rsidRDefault="00E975A6" w:rsidP="00C65D27">
            <w:pPr>
              <w:spacing w:line="240" w:lineRule="auto"/>
              <w:jc w:val="center"/>
              <w:rPr>
                <w:b/>
                <w:bCs/>
                <w:sz w:val="20"/>
                <w:szCs w:val="20"/>
              </w:rPr>
            </w:pPr>
            <w:r w:rsidRPr="00423954">
              <w:rPr>
                <w:b/>
                <w:bCs/>
                <w:sz w:val="20"/>
                <w:szCs w:val="20"/>
              </w:rPr>
              <w:t>79</w:t>
            </w:r>
          </w:p>
        </w:tc>
        <w:tc>
          <w:tcPr>
            <w:tcW w:w="1771" w:type="dxa"/>
            <w:shd w:val="clear" w:color="auto" w:fill="C0C0C0"/>
          </w:tcPr>
          <w:p w14:paraId="1F70B45C" w14:textId="77777777" w:rsidR="00E975A6" w:rsidRPr="00423954" w:rsidRDefault="00E975A6" w:rsidP="00C65D27">
            <w:pPr>
              <w:spacing w:line="240" w:lineRule="auto"/>
              <w:jc w:val="center"/>
              <w:rPr>
                <w:b/>
                <w:bCs/>
                <w:sz w:val="20"/>
                <w:szCs w:val="20"/>
              </w:rPr>
            </w:pPr>
            <w:r w:rsidRPr="00423954">
              <w:rPr>
                <w:b/>
                <w:bCs/>
                <w:sz w:val="20"/>
                <w:szCs w:val="20"/>
              </w:rPr>
              <w:t>22</w:t>
            </w:r>
          </w:p>
        </w:tc>
        <w:tc>
          <w:tcPr>
            <w:tcW w:w="1771" w:type="dxa"/>
            <w:shd w:val="clear" w:color="auto" w:fill="C0C0C0"/>
          </w:tcPr>
          <w:p w14:paraId="41C3F86D" w14:textId="77777777" w:rsidR="00E975A6" w:rsidRPr="00423954" w:rsidRDefault="00E975A6" w:rsidP="00C65D27">
            <w:pPr>
              <w:spacing w:line="240" w:lineRule="auto"/>
              <w:jc w:val="center"/>
              <w:rPr>
                <w:b/>
                <w:bCs/>
                <w:sz w:val="20"/>
                <w:szCs w:val="20"/>
              </w:rPr>
            </w:pPr>
            <w:r w:rsidRPr="00423954">
              <w:rPr>
                <w:b/>
                <w:bCs/>
                <w:sz w:val="20"/>
                <w:szCs w:val="20"/>
              </w:rPr>
              <w:t>57</w:t>
            </w:r>
          </w:p>
        </w:tc>
        <w:tc>
          <w:tcPr>
            <w:tcW w:w="1376" w:type="dxa"/>
            <w:shd w:val="clear" w:color="auto" w:fill="C0C0C0"/>
          </w:tcPr>
          <w:p w14:paraId="161E409F" w14:textId="77777777" w:rsidR="00E975A6" w:rsidRPr="00423954" w:rsidRDefault="00E975A6" w:rsidP="00C65D27">
            <w:pPr>
              <w:spacing w:line="240" w:lineRule="auto"/>
              <w:jc w:val="center"/>
              <w:rPr>
                <w:b/>
                <w:bCs/>
                <w:sz w:val="20"/>
                <w:szCs w:val="20"/>
              </w:rPr>
            </w:pPr>
            <w:r w:rsidRPr="00423954">
              <w:rPr>
                <w:b/>
                <w:bCs/>
                <w:sz w:val="20"/>
                <w:szCs w:val="20"/>
              </w:rPr>
              <w:t>20.54%</w:t>
            </w:r>
          </w:p>
        </w:tc>
      </w:tr>
      <w:tr w:rsidR="00E975A6" w:rsidRPr="00B811BD" w14:paraId="7BE52196" w14:textId="77777777" w:rsidTr="00F14AB5">
        <w:tc>
          <w:tcPr>
            <w:tcW w:w="1771" w:type="dxa"/>
            <w:shd w:val="clear" w:color="auto" w:fill="auto"/>
          </w:tcPr>
          <w:p w14:paraId="57E0AFC3" w14:textId="77777777" w:rsidR="00E975A6" w:rsidRPr="00423954" w:rsidRDefault="00E975A6" w:rsidP="00C65D27">
            <w:pPr>
              <w:spacing w:line="240" w:lineRule="auto"/>
              <w:jc w:val="center"/>
              <w:rPr>
                <w:b/>
                <w:bCs/>
                <w:sz w:val="20"/>
                <w:szCs w:val="20"/>
              </w:rPr>
            </w:pPr>
            <w:r w:rsidRPr="00423954">
              <w:rPr>
                <w:b/>
                <w:bCs/>
                <w:sz w:val="20"/>
                <w:szCs w:val="20"/>
              </w:rPr>
              <w:t>1998</w:t>
            </w:r>
          </w:p>
        </w:tc>
        <w:tc>
          <w:tcPr>
            <w:tcW w:w="1771" w:type="dxa"/>
            <w:shd w:val="clear" w:color="auto" w:fill="auto"/>
          </w:tcPr>
          <w:p w14:paraId="61C39E56" w14:textId="77777777" w:rsidR="00E975A6" w:rsidRPr="00423954" w:rsidRDefault="00E975A6" w:rsidP="00C65D27">
            <w:pPr>
              <w:spacing w:line="240" w:lineRule="auto"/>
              <w:jc w:val="center"/>
              <w:rPr>
                <w:b/>
                <w:bCs/>
                <w:sz w:val="20"/>
                <w:szCs w:val="20"/>
              </w:rPr>
            </w:pPr>
            <w:r w:rsidRPr="00423954">
              <w:rPr>
                <w:b/>
                <w:bCs/>
                <w:sz w:val="20"/>
                <w:szCs w:val="20"/>
              </w:rPr>
              <w:t>26</w:t>
            </w:r>
          </w:p>
        </w:tc>
        <w:tc>
          <w:tcPr>
            <w:tcW w:w="1771" w:type="dxa"/>
            <w:shd w:val="clear" w:color="auto" w:fill="auto"/>
          </w:tcPr>
          <w:p w14:paraId="289E228F" w14:textId="77777777" w:rsidR="00E975A6" w:rsidRPr="00423954" w:rsidRDefault="00E975A6" w:rsidP="00C65D27">
            <w:pPr>
              <w:spacing w:line="240" w:lineRule="auto"/>
              <w:jc w:val="center"/>
              <w:rPr>
                <w:b/>
                <w:bCs/>
                <w:sz w:val="20"/>
                <w:szCs w:val="20"/>
              </w:rPr>
            </w:pPr>
            <w:r w:rsidRPr="00423954">
              <w:rPr>
                <w:b/>
                <w:bCs/>
                <w:sz w:val="20"/>
                <w:szCs w:val="20"/>
              </w:rPr>
              <w:t>11.5</w:t>
            </w:r>
          </w:p>
        </w:tc>
        <w:tc>
          <w:tcPr>
            <w:tcW w:w="1771" w:type="dxa"/>
            <w:shd w:val="clear" w:color="auto" w:fill="auto"/>
          </w:tcPr>
          <w:p w14:paraId="55A08F34" w14:textId="77777777" w:rsidR="00E975A6" w:rsidRPr="00423954" w:rsidRDefault="00E975A6" w:rsidP="00C65D27">
            <w:pPr>
              <w:spacing w:line="240" w:lineRule="auto"/>
              <w:jc w:val="center"/>
              <w:rPr>
                <w:b/>
                <w:bCs/>
                <w:sz w:val="20"/>
                <w:szCs w:val="20"/>
              </w:rPr>
            </w:pPr>
            <w:r w:rsidRPr="00423954">
              <w:rPr>
                <w:b/>
                <w:bCs/>
                <w:sz w:val="20"/>
                <w:szCs w:val="20"/>
              </w:rPr>
              <w:t>14.5</w:t>
            </w:r>
          </w:p>
        </w:tc>
        <w:tc>
          <w:tcPr>
            <w:tcW w:w="1376" w:type="dxa"/>
            <w:shd w:val="clear" w:color="auto" w:fill="auto"/>
          </w:tcPr>
          <w:p w14:paraId="0BA2B422" w14:textId="77777777" w:rsidR="00E975A6" w:rsidRPr="00423954" w:rsidRDefault="00E975A6" w:rsidP="00C65D27">
            <w:pPr>
              <w:spacing w:line="240" w:lineRule="auto"/>
              <w:jc w:val="center"/>
              <w:rPr>
                <w:b/>
                <w:bCs/>
                <w:sz w:val="20"/>
                <w:szCs w:val="20"/>
              </w:rPr>
            </w:pPr>
            <w:r w:rsidRPr="00423954">
              <w:rPr>
                <w:b/>
                <w:bCs/>
                <w:sz w:val="20"/>
                <w:szCs w:val="20"/>
              </w:rPr>
              <w:t>5.21%</w:t>
            </w:r>
          </w:p>
        </w:tc>
      </w:tr>
      <w:tr w:rsidR="00E975A6" w:rsidRPr="00B811BD" w14:paraId="6BCE5699" w14:textId="77777777" w:rsidTr="00F14AB5">
        <w:tc>
          <w:tcPr>
            <w:tcW w:w="1771" w:type="dxa"/>
            <w:shd w:val="clear" w:color="auto" w:fill="C0C0C0"/>
          </w:tcPr>
          <w:p w14:paraId="20468243" w14:textId="77777777" w:rsidR="00E975A6" w:rsidRPr="00423954" w:rsidRDefault="00E975A6" w:rsidP="00C65D27">
            <w:pPr>
              <w:spacing w:line="240" w:lineRule="auto"/>
              <w:jc w:val="center"/>
              <w:rPr>
                <w:b/>
                <w:bCs/>
                <w:sz w:val="20"/>
                <w:szCs w:val="20"/>
              </w:rPr>
            </w:pPr>
            <w:r w:rsidRPr="00423954">
              <w:rPr>
                <w:b/>
                <w:bCs/>
                <w:sz w:val="20"/>
                <w:szCs w:val="20"/>
              </w:rPr>
              <w:t>1999</w:t>
            </w:r>
          </w:p>
        </w:tc>
        <w:tc>
          <w:tcPr>
            <w:tcW w:w="1771" w:type="dxa"/>
            <w:shd w:val="clear" w:color="auto" w:fill="C0C0C0"/>
          </w:tcPr>
          <w:p w14:paraId="4C00071A" w14:textId="77777777" w:rsidR="00E975A6" w:rsidRPr="00423954" w:rsidRDefault="00E975A6" w:rsidP="00C65D27">
            <w:pPr>
              <w:spacing w:line="240" w:lineRule="auto"/>
              <w:jc w:val="center"/>
              <w:rPr>
                <w:b/>
                <w:bCs/>
                <w:sz w:val="20"/>
                <w:szCs w:val="20"/>
              </w:rPr>
            </w:pPr>
            <w:r w:rsidRPr="00423954">
              <w:rPr>
                <w:b/>
                <w:bCs/>
                <w:sz w:val="20"/>
                <w:szCs w:val="20"/>
              </w:rPr>
              <w:t>16</w:t>
            </w:r>
          </w:p>
        </w:tc>
        <w:tc>
          <w:tcPr>
            <w:tcW w:w="1771" w:type="dxa"/>
            <w:shd w:val="clear" w:color="auto" w:fill="C0C0C0"/>
          </w:tcPr>
          <w:p w14:paraId="381D4437" w14:textId="77777777" w:rsidR="00E975A6" w:rsidRPr="00423954" w:rsidRDefault="00E975A6" w:rsidP="00C65D27">
            <w:pPr>
              <w:spacing w:line="240" w:lineRule="auto"/>
              <w:jc w:val="center"/>
              <w:rPr>
                <w:b/>
                <w:bCs/>
                <w:sz w:val="20"/>
                <w:szCs w:val="20"/>
              </w:rPr>
            </w:pPr>
            <w:r w:rsidRPr="00423954">
              <w:rPr>
                <w:b/>
                <w:bCs/>
                <w:sz w:val="20"/>
                <w:szCs w:val="20"/>
              </w:rPr>
              <w:t>9</w:t>
            </w:r>
          </w:p>
        </w:tc>
        <w:tc>
          <w:tcPr>
            <w:tcW w:w="1771" w:type="dxa"/>
            <w:shd w:val="clear" w:color="auto" w:fill="C0C0C0"/>
          </w:tcPr>
          <w:p w14:paraId="55CECEAA" w14:textId="77777777" w:rsidR="00E975A6" w:rsidRPr="00423954" w:rsidRDefault="00E975A6" w:rsidP="00C65D27">
            <w:pPr>
              <w:spacing w:line="240" w:lineRule="auto"/>
              <w:jc w:val="center"/>
              <w:rPr>
                <w:b/>
                <w:bCs/>
                <w:sz w:val="20"/>
                <w:szCs w:val="20"/>
              </w:rPr>
            </w:pPr>
            <w:r w:rsidRPr="00423954">
              <w:rPr>
                <w:b/>
                <w:bCs/>
                <w:sz w:val="20"/>
                <w:szCs w:val="20"/>
              </w:rPr>
              <w:t>7</w:t>
            </w:r>
          </w:p>
        </w:tc>
        <w:tc>
          <w:tcPr>
            <w:tcW w:w="1376" w:type="dxa"/>
            <w:shd w:val="clear" w:color="auto" w:fill="C0C0C0"/>
          </w:tcPr>
          <w:p w14:paraId="79DB440B" w14:textId="77777777" w:rsidR="00E975A6" w:rsidRPr="00423954" w:rsidRDefault="00E975A6" w:rsidP="00C65D27">
            <w:pPr>
              <w:spacing w:line="240" w:lineRule="auto"/>
              <w:jc w:val="center"/>
              <w:rPr>
                <w:b/>
                <w:bCs/>
                <w:sz w:val="20"/>
                <w:szCs w:val="20"/>
              </w:rPr>
            </w:pPr>
            <w:r w:rsidRPr="00423954">
              <w:rPr>
                <w:b/>
                <w:bCs/>
                <w:sz w:val="20"/>
                <w:szCs w:val="20"/>
              </w:rPr>
              <w:t>2.53%</w:t>
            </w:r>
          </w:p>
        </w:tc>
      </w:tr>
      <w:tr w:rsidR="00E975A6" w:rsidRPr="00B811BD" w14:paraId="74722DDE" w14:textId="77777777" w:rsidTr="00F14AB5">
        <w:tc>
          <w:tcPr>
            <w:tcW w:w="1771" w:type="dxa"/>
            <w:shd w:val="clear" w:color="auto" w:fill="auto"/>
          </w:tcPr>
          <w:p w14:paraId="65DD2E7B" w14:textId="77777777" w:rsidR="00E975A6" w:rsidRPr="00423954" w:rsidRDefault="00E975A6" w:rsidP="00C65D27">
            <w:pPr>
              <w:spacing w:line="240" w:lineRule="auto"/>
              <w:jc w:val="center"/>
              <w:rPr>
                <w:b/>
                <w:bCs/>
                <w:sz w:val="20"/>
                <w:szCs w:val="20"/>
              </w:rPr>
            </w:pPr>
            <w:r w:rsidRPr="00423954">
              <w:rPr>
                <w:b/>
                <w:bCs/>
                <w:sz w:val="20"/>
                <w:szCs w:val="20"/>
              </w:rPr>
              <w:t>2000</w:t>
            </w:r>
          </w:p>
        </w:tc>
        <w:tc>
          <w:tcPr>
            <w:tcW w:w="1771" w:type="dxa"/>
            <w:shd w:val="clear" w:color="auto" w:fill="auto"/>
          </w:tcPr>
          <w:p w14:paraId="714D0B1C" w14:textId="77777777" w:rsidR="00E975A6" w:rsidRPr="00423954" w:rsidRDefault="00E975A6" w:rsidP="00C65D27">
            <w:pPr>
              <w:spacing w:line="240" w:lineRule="auto"/>
              <w:jc w:val="center"/>
              <w:rPr>
                <w:b/>
                <w:bCs/>
                <w:sz w:val="20"/>
                <w:szCs w:val="20"/>
              </w:rPr>
            </w:pPr>
            <w:r w:rsidRPr="00423954">
              <w:rPr>
                <w:b/>
                <w:bCs/>
                <w:sz w:val="20"/>
                <w:szCs w:val="20"/>
              </w:rPr>
              <w:t>75</w:t>
            </w:r>
          </w:p>
        </w:tc>
        <w:tc>
          <w:tcPr>
            <w:tcW w:w="1771" w:type="dxa"/>
            <w:shd w:val="clear" w:color="auto" w:fill="auto"/>
          </w:tcPr>
          <w:p w14:paraId="33B016A0" w14:textId="77777777" w:rsidR="00E975A6" w:rsidRPr="00423954" w:rsidRDefault="00E975A6" w:rsidP="00C65D27">
            <w:pPr>
              <w:spacing w:line="240" w:lineRule="auto"/>
              <w:jc w:val="center"/>
              <w:rPr>
                <w:b/>
                <w:bCs/>
                <w:sz w:val="20"/>
                <w:szCs w:val="20"/>
              </w:rPr>
            </w:pPr>
            <w:r w:rsidRPr="00423954">
              <w:rPr>
                <w:b/>
                <w:bCs/>
                <w:sz w:val="20"/>
                <w:szCs w:val="20"/>
              </w:rPr>
              <w:t>23</w:t>
            </w:r>
          </w:p>
        </w:tc>
        <w:tc>
          <w:tcPr>
            <w:tcW w:w="1771" w:type="dxa"/>
            <w:shd w:val="clear" w:color="auto" w:fill="auto"/>
          </w:tcPr>
          <w:p w14:paraId="0560CFDF" w14:textId="77777777" w:rsidR="00E975A6" w:rsidRPr="00423954" w:rsidRDefault="00E975A6" w:rsidP="00C65D27">
            <w:pPr>
              <w:spacing w:line="240" w:lineRule="auto"/>
              <w:jc w:val="center"/>
              <w:rPr>
                <w:b/>
                <w:bCs/>
                <w:sz w:val="20"/>
                <w:szCs w:val="20"/>
              </w:rPr>
            </w:pPr>
            <w:r w:rsidRPr="00423954">
              <w:rPr>
                <w:b/>
                <w:bCs/>
                <w:sz w:val="20"/>
                <w:szCs w:val="20"/>
              </w:rPr>
              <w:t>52</w:t>
            </w:r>
          </w:p>
        </w:tc>
        <w:tc>
          <w:tcPr>
            <w:tcW w:w="1376" w:type="dxa"/>
            <w:shd w:val="clear" w:color="auto" w:fill="auto"/>
          </w:tcPr>
          <w:p w14:paraId="6E134605" w14:textId="77777777" w:rsidR="00E975A6" w:rsidRPr="00423954" w:rsidRDefault="00E975A6" w:rsidP="00C65D27">
            <w:pPr>
              <w:spacing w:line="240" w:lineRule="auto"/>
              <w:jc w:val="center"/>
              <w:rPr>
                <w:b/>
                <w:bCs/>
                <w:sz w:val="20"/>
                <w:szCs w:val="20"/>
              </w:rPr>
            </w:pPr>
            <w:r w:rsidRPr="00423954">
              <w:rPr>
                <w:b/>
                <w:bCs/>
                <w:sz w:val="20"/>
                <w:szCs w:val="20"/>
              </w:rPr>
              <w:t>18.81%</w:t>
            </w:r>
          </w:p>
        </w:tc>
      </w:tr>
    </w:tbl>
    <w:p w14:paraId="5B5687D2" w14:textId="77777777" w:rsidR="00E975A6" w:rsidRDefault="00E975A6" w:rsidP="00E975A6">
      <w:pPr>
        <w:tabs>
          <w:tab w:val="left" w:pos="0"/>
        </w:tabs>
        <w:spacing w:line="240" w:lineRule="auto"/>
        <w:rPr>
          <w:sz w:val="20"/>
          <w:szCs w:val="20"/>
        </w:rPr>
      </w:pPr>
      <w:r w:rsidRPr="00B811BD">
        <w:rPr>
          <w:sz w:val="20"/>
          <w:szCs w:val="20"/>
        </w:rPr>
        <w:t>Source:</w:t>
      </w:r>
      <w:r w:rsidRPr="00B811BD">
        <w:rPr>
          <w:bCs/>
          <w:sz w:val="20"/>
          <w:szCs w:val="20"/>
        </w:rPr>
        <w:t xml:space="preserve"> UNSCO.</w:t>
      </w:r>
      <w:r w:rsidRPr="00B811BD">
        <w:rPr>
          <w:sz w:val="20"/>
          <w:szCs w:val="20"/>
        </w:rPr>
        <w:t xml:space="preserve"> </w:t>
      </w:r>
      <w:r w:rsidRPr="00B811BD">
        <w:rPr>
          <w:i/>
          <w:sz w:val="20"/>
          <w:szCs w:val="20"/>
        </w:rPr>
        <w:t xml:space="preserve">The Impact on the Palestinian Economy of the Recent Confrontations, Mobility Restriction and Border Closures, 1 October 2000-31 January 2001, </w:t>
      </w:r>
      <w:r w:rsidRPr="00B811BD">
        <w:rPr>
          <w:sz w:val="20"/>
          <w:szCs w:val="20"/>
        </w:rPr>
        <w:t>Jerusalem, (2001).</w:t>
      </w:r>
    </w:p>
    <w:p w14:paraId="21A56BF7" w14:textId="77777777" w:rsidR="00E975A6" w:rsidRPr="00D5245D" w:rsidRDefault="00E975A6" w:rsidP="00D5245D">
      <w:pPr>
        <w:tabs>
          <w:tab w:val="left" w:pos="0"/>
        </w:tabs>
        <w:spacing w:line="240" w:lineRule="auto"/>
        <w:jc w:val="center"/>
      </w:pPr>
    </w:p>
    <w:p w14:paraId="449FCC59" w14:textId="3848EA0C" w:rsidR="00D5245D" w:rsidRPr="00D5245D" w:rsidRDefault="00D5245D" w:rsidP="00D5245D">
      <w:pPr>
        <w:pStyle w:val="Caption"/>
        <w:keepNext/>
        <w:jc w:val="center"/>
        <w:rPr>
          <w:color w:val="auto"/>
          <w:sz w:val="24"/>
          <w:szCs w:val="24"/>
        </w:rPr>
      </w:pPr>
      <w:bookmarkStart w:id="45" w:name="_Toc324264453"/>
      <w:bookmarkStart w:id="46" w:name="_Toc324264700"/>
      <w:r w:rsidRPr="00D5245D">
        <w:rPr>
          <w:color w:val="auto"/>
          <w:sz w:val="24"/>
          <w:szCs w:val="24"/>
        </w:rPr>
        <w:t xml:space="preserve">Figure </w:t>
      </w:r>
      <w:r w:rsidRPr="00D5245D">
        <w:rPr>
          <w:color w:val="auto"/>
          <w:sz w:val="24"/>
          <w:szCs w:val="24"/>
        </w:rPr>
        <w:fldChar w:fldCharType="begin"/>
      </w:r>
      <w:r w:rsidRPr="00D5245D">
        <w:rPr>
          <w:color w:val="auto"/>
          <w:sz w:val="24"/>
          <w:szCs w:val="24"/>
        </w:rPr>
        <w:instrText xml:space="preserve"> SEQ Figure \* ARABIC </w:instrText>
      </w:r>
      <w:r w:rsidRPr="00D5245D">
        <w:rPr>
          <w:color w:val="auto"/>
          <w:sz w:val="24"/>
          <w:szCs w:val="24"/>
        </w:rPr>
        <w:fldChar w:fldCharType="separate"/>
      </w:r>
      <w:r w:rsidR="00500133">
        <w:rPr>
          <w:noProof/>
          <w:color w:val="auto"/>
          <w:sz w:val="24"/>
          <w:szCs w:val="24"/>
        </w:rPr>
        <w:t>4</w:t>
      </w:r>
      <w:r w:rsidRPr="00D5245D">
        <w:rPr>
          <w:color w:val="auto"/>
          <w:sz w:val="24"/>
          <w:szCs w:val="24"/>
        </w:rPr>
        <w:fldChar w:fldCharType="end"/>
      </w:r>
      <w:r w:rsidRPr="00D5245D">
        <w:rPr>
          <w:color w:val="auto"/>
          <w:sz w:val="24"/>
          <w:szCs w:val="24"/>
        </w:rPr>
        <w:t>: Comprehensive Border Closure Days and Unemployment in the West Bank (1995-2015)</w:t>
      </w:r>
      <w:bookmarkEnd w:id="45"/>
      <w:bookmarkEnd w:id="46"/>
    </w:p>
    <w:p w14:paraId="0DD430B4" w14:textId="77777777" w:rsidR="00E975A6" w:rsidRPr="00EF19D0" w:rsidRDefault="00E975A6" w:rsidP="00E975A6">
      <w:pPr>
        <w:spacing w:line="240" w:lineRule="auto"/>
      </w:pPr>
      <w:r>
        <w:rPr>
          <w:noProof/>
        </w:rPr>
        <w:drawing>
          <wp:inline distT="0" distB="0" distL="0" distR="0" wp14:anchorId="0FA12EE5" wp14:editId="01CD9424">
            <wp:extent cx="5255895" cy="3429000"/>
            <wp:effectExtent l="0" t="0" r="1905" b="0"/>
            <wp:docPr id="4"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05D2808" w14:textId="77777777" w:rsidR="00E975A6" w:rsidRPr="00EF19D0" w:rsidRDefault="00E975A6" w:rsidP="00E975A6">
      <w:pPr>
        <w:spacing w:line="240" w:lineRule="auto"/>
        <w:rPr>
          <w:sz w:val="20"/>
        </w:rPr>
      </w:pPr>
      <w:r w:rsidRPr="00EF19D0">
        <w:rPr>
          <w:b/>
          <w:sz w:val="20"/>
        </w:rPr>
        <w:t>Notes and Sources:</w:t>
      </w:r>
      <w:r w:rsidRPr="00EF19D0">
        <w:rPr>
          <w:sz w:val="20"/>
        </w:rPr>
        <w:t xml:space="preserve"> Comprehensive Closure Days in this graph does not take holidays and weekends into account, as is the case in Table 2. Comprehensive Closure Days were taken from the website of Israeli human rights group B’tselem: </w:t>
      </w:r>
      <w:hyperlink r:id="rId22" w:history="1">
        <w:r w:rsidRPr="00EF19D0">
          <w:rPr>
            <w:rStyle w:val="Hyperlink"/>
          </w:rPr>
          <w:t>http://www.btselem.org/freedom_of_movement/siege_figures</w:t>
        </w:r>
      </w:hyperlink>
      <w:r w:rsidRPr="00EF19D0">
        <w:rPr>
          <w:sz w:val="20"/>
        </w:rPr>
        <w:t xml:space="preserve"> and </w:t>
      </w:r>
      <w:r w:rsidRPr="00EF19D0">
        <w:rPr>
          <w:bCs/>
          <w:sz w:val="20"/>
          <w:szCs w:val="20"/>
        </w:rPr>
        <w:t>UNSCO.</w:t>
      </w:r>
      <w:r w:rsidRPr="00EF19D0">
        <w:rPr>
          <w:sz w:val="20"/>
          <w:szCs w:val="20"/>
        </w:rPr>
        <w:t xml:space="preserve"> </w:t>
      </w:r>
      <w:r w:rsidRPr="00EF19D0">
        <w:rPr>
          <w:i/>
          <w:sz w:val="20"/>
          <w:szCs w:val="20"/>
        </w:rPr>
        <w:t xml:space="preserve">The Impact on the Palestinian Economy of the Recent Confrontations, Mobility Restriction and Border Closures, 1 October 2000-31 January 2001, </w:t>
      </w:r>
      <w:r w:rsidRPr="00EF19D0">
        <w:rPr>
          <w:sz w:val="20"/>
          <w:szCs w:val="20"/>
        </w:rPr>
        <w:t xml:space="preserve">Jerusalem, (2001). </w:t>
      </w:r>
      <w:r w:rsidRPr="00EF19D0">
        <w:rPr>
          <w:sz w:val="20"/>
        </w:rPr>
        <w:t>Unemployment rates were taken from various issues of the Palestinian Central Bureau of Statistics’ Labor Force Survey.</w:t>
      </w:r>
    </w:p>
    <w:p w14:paraId="30D58F0D" w14:textId="77777777" w:rsidR="00E975A6" w:rsidRDefault="00E975A6" w:rsidP="00E975A6">
      <w:pPr>
        <w:spacing w:line="240" w:lineRule="auto"/>
        <w:ind w:firstLine="720"/>
        <w:jc w:val="center"/>
      </w:pPr>
    </w:p>
    <w:p w14:paraId="2F0AF789" w14:textId="77777777" w:rsidR="00F14AB5" w:rsidRDefault="00F14AB5" w:rsidP="00E975A6">
      <w:pPr>
        <w:spacing w:line="240" w:lineRule="auto"/>
        <w:ind w:firstLine="720"/>
        <w:jc w:val="center"/>
      </w:pPr>
    </w:p>
    <w:p w14:paraId="52C702D5" w14:textId="77777777" w:rsidR="00F14AB5" w:rsidRDefault="00F14AB5" w:rsidP="00E975A6">
      <w:pPr>
        <w:spacing w:line="240" w:lineRule="auto"/>
        <w:ind w:firstLine="720"/>
        <w:jc w:val="center"/>
      </w:pPr>
    </w:p>
    <w:p w14:paraId="0BDDBEE4" w14:textId="77777777" w:rsidR="0036514B" w:rsidRDefault="0036514B" w:rsidP="00E975A6">
      <w:pPr>
        <w:spacing w:line="240" w:lineRule="auto"/>
        <w:ind w:firstLine="720"/>
        <w:jc w:val="center"/>
        <w:rPr>
          <w:b/>
        </w:rPr>
      </w:pPr>
    </w:p>
    <w:p w14:paraId="31427031" w14:textId="5FCF6C09" w:rsidR="00D5245D" w:rsidRPr="00D5245D" w:rsidRDefault="00D5245D" w:rsidP="00D5245D">
      <w:pPr>
        <w:pStyle w:val="Caption"/>
        <w:keepNext/>
        <w:jc w:val="center"/>
        <w:rPr>
          <w:color w:val="auto"/>
          <w:sz w:val="24"/>
        </w:rPr>
      </w:pPr>
      <w:bookmarkStart w:id="47" w:name="_Toc323490974"/>
      <w:bookmarkStart w:id="48" w:name="_Toc324146561"/>
      <w:bookmarkStart w:id="49" w:name="_Toc324264454"/>
      <w:bookmarkStart w:id="50" w:name="_Toc324264701"/>
      <w:r w:rsidRPr="00D5245D">
        <w:rPr>
          <w:color w:val="auto"/>
          <w:sz w:val="24"/>
        </w:rPr>
        <w:t xml:space="preserve">Table </w:t>
      </w:r>
      <w:r w:rsidRPr="00D5245D">
        <w:rPr>
          <w:color w:val="auto"/>
          <w:sz w:val="24"/>
        </w:rPr>
        <w:fldChar w:fldCharType="begin"/>
      </w:r>
      <w:r w:rsidRPr="00D5245D">
        <w:rPr>
          <w:color w:val="auto"/>
          <w:sz w:val="24"/>
        </w:rPr>
        <w:instrText xml:space="preserve"> SEQ Table \* ARABIC </w:instrText>
      </w:r>
      <w:r w:rsidRPr="00D5245D">
        <w:rPr>
          <w:color w:val="auto"/>
          <w:sz w:val="24"/>
        </w:rPr>
        <w:fldChar w:fldCharType="separate"/>
      </w:r>
      <w:r w:rsidR="00500133">
        <w:rPr>
          <w:noProof/>
          <w:color w:val="auto"/>
          <w:sz w:val="24"/>
        </w:rPr>
        <w:t>6</w:t>
      </w:r>
      <w:r w:rsidRPr="00D5245D">
        <w:rPr>
          <w:color w:val="auto"/>
          <w:sz w:val="24"/>
        </w:rPr>
        <w:fldChar w:fldCharType="end"/>
      </w:r>
      <w:r w:rsidRPr="00D5245D">
        <w:rPr>
          <w:color w:val="auto"/>
          <w:sz w:val="24"/>
        </w:rPr>
        <w:t>: Average Number of Palestinians Working in Israel and Average Percentage of Palestinian Labor Force Working in Israel by Decade (1970-2014)</w:t>
      </w:r>
      <w:bookmarkEnd w:id="47"/>
      <w:bookmarkEnd w:id="48"/>
      <w:bookmarkEnd w:id="49"/>
      <w:bookmarkEnd w:id="50"/>
    </w:p>
    <w:tbl>
      <w:tblPr>
        <w:tblW w:w="8370" w:type="dxa"/>
        <w:tblInd w:w="108" w:type="dxa"/>
        <w:tblBorders>
          <w:top w:val="single" w:sz="8" w:space="0" w:color="000000"/>
          <w:bottom w:val="single" w:sz="8" w:space="0" w:color="000000"/>
        </w:tblBorders>
        <w:tblLook w:val="04A0" w:firstRow="1" w:lastRow="0" w:firstColumn="1" w:lastColumn="0" w:noHBand="0" w:noVBand="1"/>
      </w:tblPr>
      <w:tblGrid>
        <w:gridCol w:w="1620"/>
        <w:gridCol w:w="1620"/>
        <w:gridCol w:w="1710"/>
        <w:gridCol w:w="1710"/>
        <w:gridCol w:w="1710"/>
      </w:tblGrid>
      <w:tr w:rsidR="00F14AB5" w:rsidRPr="00EF19D0" w14:paraId="2BEDA9E2" w14:textId="77777777" w:rsidTr="00F14AB5">
        <w:tc>
          <w:tcPr>
            <w:tcW w:w="1620" w:type="dxa"/>
            <w:shd w:val="clear" w:color="auto" w:fill="auto"/>
          </w:tcPr>
          <w:p w14:paraId="552BA796" w14:textId="77777777" w:rsidR="00E975A6" w:rsidRPr="00423954" w:rsidRDefault="00E975A6" w:rsidP="00C65D27">
            <w:pPr>
              <w:spacing w:line="240" w:lineRule="auto"/>
              <w:jc w:val="center"/>
              <w:rPr>
                <w:b/>
                <w:bCs/>
                <w:sz w:val="20"/>
                <w:szCs w:val="20"/>
              </w:rPr>
            </w:pPr>
            <w:r w:rsidRPr="00423954">
              <w:rPr>
                <w:b/>
                <w:bCs/>
                <w:sz w:val="20"/>
                <w:szCs w:val="20"/>
              </w:rPr>
              <w:t>Years Averaged</w:t>
            </w:r>
          </w:p>
        </w:tc>
        <w:tc>
          <w:tcPr>
            <w:tcW w:w="1620" w:type="dxa"/>
            <w:shd w:val="clear" w:color="auto" w:fill="auto"/>
          </w:tcPr>
          <w:p w14:paraId="06C910F1" w14:textId="77777777" w:rsidR="00E975A6" w:rsidRPr="00423954" w:rsidRDefault="00E975A6" w:rsidP="00C65D27">
            <w:pPr>
              <w:spacing w:line="240" w:lineRule="auto"/>
              <w:jc w:val="center"/>
              <w:rPr>
                <w:b/>
                <w:bCs/>
                <w:sz w:val="20"/>
                <w:szCs w:val="20"/>
              </w:rPr>
            </w:pPr>
            <w:r w:rsidRPr="00423954">
              <w:rPr>
                <w:b/>
                <w:bCs/>
                <w:sz w:val="20"/>
                <w:szCs w:val="20"/>
              </w:rPr>
              <w:t>West Bank Palestinians</w:t>
            </w:r>
          </w:p>
        </w:tc>
        <w:tc>
          <w:tcPr>
            <w:tcW w:w="1710" w:type="dxa"/>
            <w:shd w:val="clear" w:color="auto" w:fill="auto"/>
          </w:tcPr>
          <w:p w14:paraId="6A9BB328" w14:textId="77777777" w:rsidR="00E975A6" w:rsidRPr="00423954" w:rsidRDefault="00E975A6" w:rsidP="00C65D27">
            <w:pPr>
              <w:spacing w:line="240" w:lineRule="auto"/>
              <w:jc w:val="center"/>
              <w:rPr>
                <w:b/>
                <w:bCs/>
                <w:sz w:val="20"/>
                <w:szCs w:val="20"/>
              </w:rPr>
            </w:pPr>
            <w:r w:rsidRPr="00423954">
              <w:rPr>
                <w:b/>
                <w:bCs/>
                <w:sz w:val="20"/>
                <w:szCs w:val="20"/>
              </w:rPr>
              <w:t>West Bank Labor Force (%)</w:t>
            </w:r>
          </w:p>
        </w:tc>
        <w:tc>
          <w:tcPr>
            <w:tcW w:w="1710" w:type="dxa"/>
            <w:shd w:val="clear" w:color="auto" w:fill="auto"/>
          </w:tcPr>
          <w:p w14:paraId="7234FBEA" w14:textId="77777777" w:rsidR="00E975A6" w:rsidRPr="00423954" w:rsidRDefault="00E975A6" w:rsidP="00C65D27">
            <w:pPr>
              <w:spacing w:line="240" w:lineRule="auto"/>
              <w:jc w:val="center"/>
              <w:rPr>
                <w:b/>
                <w:bCs/>
                <w:sz w:val="20"/>
                <w:szCs w:val="20"/>
              </w:rPr>
            </w:pPr>
            <w:r w:rsidRPr="00423954">
              <w:rPr>
                <w:b/>
                <w:bCs/>
                <w:sz w:val="20"/>
                <w:szCs w:val="20"/>
              </w:rPr>
              <w:t>Gaza Strip Palestinians</w:t>
            </w:r>
          </w:p>
        </w:tc>
        <w:tc>
          <w:tcPr>
            <w:tcW w:w="1710" w:type="dxa"/>
            <w:shd w:val="clear" w:color="auto" w:fill="auto"/>
          </w:tcPr>
          <w:p w14:paraId="75B13FE8" w14:textId="77777777" w:rsidR="00E975A6" w:rsidRPr="00423954" w:rsidRDefault="00E975A6" w:rsidP="00C65D27">
            <w:pPr>
              <w:spacing w:line="240" w:lineRule="auto"/>
              <w:jc w:val="center"/>
              <w:rPr>
                <w:b/>
                <w:bCs/>
                <w:sz w:val="20"/>
                <w:szCs w:val="20"/>
              </w:rPr>
            </w:pPr>
            <w:r w:rsidRPr="00423954">
              <w:rPr>
                <w:b/>
                <w:bCs/>
                <w:sz w:val="20"/>
                <w:szCs w:val="20"/>
              </w:rPr>
              <w:t>Gaza Strip Labor Force (%)</w:t>
            </w:r>
          </w:p>
        </w:tc>
      </w:tr>
      <w:tr w:rsidR="00F14AB5" w:rsidRPr="00EF19D0" w14:paraId="03A6179F" w14:textId="77777777" w:rsidTr="00F14AB5">
        <w:tc>
          <w:tcPr>
            <w:tcW w:w="1620" w:type="dxa"/>
            <w:shd w:val="clear" w:color="auto" w:fill="C0C0C0"/>
          </w:tcPr>
          <w:p w14:paraId="579B0DA7" w14:textId="77777777" w:rsidR="00E975A6" w:rsidRPr="00423954" w:rsidRDefault="00E975A6" w:rsidP="00C65D27">
            <w:pPr>
              <w:spacing w:line="240" w:lineRule="auto"/>
              <w:jc w:val="center"/>
              <w:rPr>
                <w:b/>
                <w:bCs/>
                <w:sz w:val="20"/>
                <w:szCs w:val="20"/>
              </w:rPr>
            </w:pPr>
            <w:r w:rsidRPr="00423954">
              <w:rPr>
                <w:b/>
                <w:bCs/>
                <w:sz w:val="20"/>
                <w:szCs w:val="20"/>
              </w:rPr>
              <w:t>1970-1979</w:t>
            </w:r>
          </w:p>
        </w:tc>
        <w:tc>
          <w:tcPr>
            <w:tcW w:w="1620" w:type="dxa"/>
            <w:shd w:val="clear" w:color="auto" w:fill="C0C0C0"/>
          </w:tcPr>
          <w:p w14:paraId="7267B59A" w14:textId="77777777" w:rsidR="00E975A6" w:rsidRPr="00423954" w:rsidRDefault="00E975A6" w:rsidP="00C65D27">
            <w:pPr>
              <w:spacing w:line="240" w:lineRule="auto"/>
              <w:jc w:val="center"/>
              <w:rPr>
                <w:b/>
                <w:bCs/>
                <w:sz w:val="20"/>
                <w:szCs w:val="20"/>
              </w:rPr>
            </w:pPr>
            <w:r w:rsidRPr="00423954">
              <w:rPr>
                <w:b/>
                <w:bCs/>
                <w:sz w:val="20"/>
                <w:szCs w:val="20"/>
              </w:rPr>
              <w:t>34,580</w:t>
            </w:r>
          </w:p>
          <w:p w14:paraId="0FAED168" w14:textId="77777777" w:rsidR="00E975A6" w:rsidRPr="00423954" w:rsidRDefault="00E975A6" w:rsidP="00C65D27">
            <w:pPr>
              <w:spacing w:line="240" w:lineRule="auto"/>
              <w:jc w:val="center"/>
              <w:rPr>
                <w:b/>
                <w:bCs/>
                <w:sz w:val="20"/>
                <w:szCs w:val="20"/>
              </w:rPr>
            </w:pPr>
            <w:r w:rsidRPr="00423954">
              <w:rPr>
                <w:b/>
                <w:bCs/>
                <w:sz w:val="20"/>
                <w:szCs w:val="20"/>
              </w:rPr>
              <w:t>(8,340)</w:t>
            </w:r>
          </w:p>
        </w:tc>
        <w:tc>
          <w:tcPr>
            <w:tcW w:w="1710" w:type="dxa"/>
            <w:shd w:val="clear" w:color="auto" w:fill="C0C0C0"/>
          </w:tcPr>
          <w:p w14:paraId="40A42B05" w14:textId="77777777" w:rsidR="00E975A6" w:rsidRPr="00423954" w:rsidRDefault="00E975A6" w:rsidP="00C65D27">
            <w:pPr>
              <w:spacing w:line="240" w:lineRule="auto"/>
              <w:jc w:val="center"/>
              <w:rPr>
                <w:b/>
                <w:bCs/>
                <w:sz w:val="20"/>
                <w:szCs w:val="20"/>
              </w:rPr>
            </w:pPr>
            <w:r w:rsidRPr="00423954">
              <w:rPr>
                <w:b/>
                <w:bCs/>
                <w:sz w:val="20"/>
                <w:szCs w:val="20"/>
              </w:rPr>
              <w:t>26.89</w:t>
            </w:r>
          </w:p>
          <w:p w14:paraId="7513270B" w14:textId="77777777" w:rsidR="00E975A6" w:rsidRPr="00423954" w:rsidRDefault="00E975A6" w:rsidP="00C65D27">
            <w:pPr>
              <w:spacing w:line="240" w:lineRule="auto"/>
              <w:jc w:val="center"/>
              <w:rPr>
                <w:b/>
                <w:bCs/>
                <w:sz w:val="20"/>
                <w:szCs w:val="20"/>
              </w:rPr>
            </w:pPr>
            <w:r w:rsidRPr="00423954">
              <w:rPr>
                <w:b/>
                <w:bCs/>
                <w:sz w:val="20"/>
                <w:szCs w:val="20"/>
              </w:rPr>
              <w:t>(5.58)</w:t>
            </w:r>
          </w:p>
        </w:tc>
        <w:tc>
          <w:tcPr>
            <w:tcW w:w="1710" w:type="dxa"/>
            <w:shd w:val="clear" w:color="auto" w:fill="C0C0C0"/>
          </w:tcPr>
          <w:p w14:paraId="7ACDD517" w14:textId="77777777" w:rsidR="00E975A6" w:rsidRPr="00423954" w:rsidRDefault="00E975A6" w:rsidP="00C65D27">
            <w:pPr>
              <w:spacing w:line="240" w:lineRule="auto"/>
              <w:jc w:val="center"/>
              <w:rPr>
                <w:b/>
                <w:bCs/>
                <w:sz w:val="20"/>
                <w:szCs w:val="20"/>
              </w:rPr>
            </w:pPr>
            <w:r w:rsidRPr="00423954">
              <w:rPr>
                <w:b/>
                <w:bCs/>
                <w:sz w:val="20"/>
                <w:szCs w:val="20"/>
              </w:rPr>
              <w:t>22,750</w:t>
            </w:r>
          </w:p>
          <w:p w14:paraId="4574DC8D" w14:textId="77777777" w:rsidR="00E975A6" w:rsidRPr="00423954" w:rsidRDefault="00E975A6" w:rsidP="00C65D27">
            <w:pPr>
              <w:spacing w:line="240" w:lineRule="auto"/>
              <w:jc w:val="center"/>
              <w:rPr>
                <w:b/>
                <w:bCs/>
                <w:sz w:val="20"/>
                <w:szCs w:val="20"/>
              </w:rPr>
            </w:pPr>
            <w:r w:rsidRPr="00423954">
              <w:rPr>
                <w:b/>
                <w:bCs/>
                <w:sz w:val="20"/>
                <w:szCs w:val="20"/>
              </w:rPr>
              <w:t>(9,439)</w:t>
            </w:r>
          </w:p>
        </w:tc>
        <w:tc>
          <w:tcPr>
            <w:tcW w:w="1710" w:type="dxa"/>
            <w:shd w:val="clear" w:color="auto" w:fill="C0C0C0"/>
          </w:tcPr>
          <w:p w14:paraId="2F3DD72E" w14:textId="77777777" w:rsidR="00E975A6" w:rsidRPr="00423954" w:rsidRDefault="00E975A6" w:rsidP="00C65D27">
            <w:pPr>
              <w:spacing w:line="240" w:lineRule="auto"/>
              <w:jc w:val="center"/>
              <w:rPr>
                <w:b/>
                <w:bCs/>
                <w:sz w:val="20"/>
                <w:szCs w:val="20"/>
              </w:rPr>
            </w:pPr>
            <w:r w:rsidRPr="00423954">
              <w:rPr>
                <w:b/>
                <w:bCs/>
                <w:sz w:val="20"/>
                <w:szCs w:val="20"/>
              </w:rPr>
              <w:t>31.07</w:t>
            </w:r>
          </w:p>
          <w:p w14:paraId="7274BDE6" w14:textId="77777777" w:rsidR="00E975A6" w:rsidRPr="00423954" w:rsidRDefault="00E975A6" w:rsidP="00C65D27">
            <w:pPr>
              <w:spacing w:line="240" w:lineRule="auto"/>
              <w:jc w:val="center"/>
              <w:rPr>
                <w:b/>
                <w:bCs/>
                <w:sz w:val="20"/>
                <w:szCs w:val="20"/>
              </w:rPr>
            </w:pPr>
            <w:r w:rsidRPr="00423954">
              <w:rPr>
                <w:b/>
                <w:bCs/>
                <w:sz w:val="20"/>
                <w:szCs w:val="20"/>
              </w:rPr>
              <w:t>(10.88)</w:t>
            </w:r>
          </w:p>
        </w:tc>
      </w:tr>
      <w:tr w:rsidR="00F14AB5" w:rsidRPr="00EF19D0" w14:paraId="2A131981" w14:textId="77777777" w:rsidTr="00F14AB5">
        <w:tc>
          <w:tcPr>
            <w:tcW w:w="1620" w:type="dxa"/>
            <w:shd w:val="clear" w:color="auto" w:fill="auto"/>
          </w:tcPr>
          <w:p w14:paraId="15E4D401" w14:textId="77777777" w:rsidR="00E975A6" w:rsidRPr="00423954" w:rsidRDefault="00E975A6" w:rsidP="00C65D27">
            <w:pPr>
              <w:spacing w:line="240" w:lineRule="auto"/>
              <w:jc w:val="center"/>
              <w:rPr>
                <w:b/>
                <w:bCs/>
                <w:sz w:val="20"/>
                <w:szCs w:val="20"/>
              </w:rPr>
            </w:pPr>
            <w:r w:rsidRPr="00423954">
              <w:rPr>
                <w:b/>
                <w:bCs/>
                <w:sz w:val="20"/>
                <w:szCs w:val="20"/>
              </w:rPr>
              <w:t>1980-1989</w:t>
            </w:r>
          </w:p>
        </w:tc>
        <w:tc>
          <w:tcPr>
            <w:tcW w:w="1620" w:type="dxa"/>
            <w:shd w:val="clear" w:color="auto" w:fill="auto"/>
          </w:tcPr>
          <w:p w14:paraId="06A5E868" w14:textId="77777777" w:rsidR="00E975A6" w:rsidRPr="00423954" w:rsidRDefault="00E975A6" w:rsidP="00C65D27">
            <w:pPr>
              <w:spacing w:line="240" w:lineRule="auto"/>
              <w:jc w:val="center"/>
              <w:rPr>
                <w:b/>
                <w:bCs/>
                <w:sz w:val="20"/>
                <w:szCs w:val="20"/>
              </w:rPr>
            </w:pPr>
            <w:r w:rsidRPr="00423954">
              <w:rPr>
                <w:b/>
                <w:bCs/>
                <w:sz w:val="20"/>
                <w:szCs w:val="20"/>
              </w:rPr>
              <w:t>51,260</w:t>
            </w:r>
          </w:p>
          <w:p w14:paraId="25D1A08B" w14:textId="77777777" w:rsidR="00E975A6" w:rsidRPr="00423954" w:rsidRDefault="00E975A6" w:rsidP="00C65D27">
            <w:pPr>
              <w:spacing w:line="240" w:lineRule="auto"/>
              <w:jc w:val="center"/>
              <w:rPr>
                <w:b/>
                <w:bCs/>
                <w:sz w:val="20"/>
                <w:szCs w:val="20"/>
              </w:rPr>
            </w:pPr>
            <w:r w:rsidRPr="00423954">
              <w:rPr>
                <w:b/>
                <w:bCs/>
                <w:sz w:val="20"/>
                <w:szCs w:val="20"/>
              </w:rPr>
              <w:t>(9,627)</w:t>
            </w:r>
          </w:p>
        </w:tc>
        <w:tc>
          <w:tcPr>
            <w:tcW w:w="1710" w:type="dxa"/>
            <w:shd w:val="clear" w:color="auto" w:fill="auto"/>
          </w:tcPr>
          <w:p w14:paraId="7608C843" w14:textId="77777777" w:rsidR="00E975A6" w:rsidRPr="00423954" w:rsidRDefault="00E975A6" w:rsidP="00C65D27">
            <w:pPr>
              <w:spacing w:line="240" w:lineRule="auto"/>
              <w:jc w:val="center"/>
              <w:rPr>
                <w:b/>
                <w:bCs/>
                <w:sz w:val="20"/>
                <w:szCs w:val="20"/>
              </w:rPr>
            </w:pPr>
            <w:r w:rsidRPr="00423954">
              <w:rPr>
                <w:b/>
                <w:bCs/>
                <w:sz w:val="20"/>
                <w:szCs w:val="20"/>
              </w:rPr>
              <w:t>32.48</w:t>
            </w:r>
          </w:p>
          <w:p w14:paraId="49F7B564" w14:textId="77777777" w:rsidR="00E975A6" w:rsidRPr="00423954" w:rsidRDefault="00E975A6" w:rsidP="00C65D27">
            <w:pPr>
              <w:spacing w:line="240" w:lineRule="auto"/>
              <w:jc w:val="center"/>
              <w:rPr>
                <w:b/>
                <w:bCs/>
                <w:sz w:val="20"/>
                <w:szCs w:val="20"/>
              </w:rPr>
            </w:pPr>
            <w:r w:rsidRPr="00423954">
              <w:rPr>
                <w:b/>
                <w:bCs/>
                <w:sz w:val="20"/>
                <w:szCs w:val="20"/>
              </w:rPr>
              <w:t>(2.35)</w:t>
            </w:r>
          </w:p>
        </w:tc>
        <w:tc>
          <w:tcPr>
            <w:tcW w:w="1710" w:type="dxa"/>
            <w:shd w:val="clear" w:color="auto" w:fill="auto"/>
          </w:tcPr>
          <w:p w14:paraId="3EF68B54" w14:textId="77777777" w:rsidR="00E975A6" w:rsidRPr="00423954" w:rsidRDefault="00E975A6" w:rsidP="00C65D27">
            <w:pPr>
              <w:spacing w:line="240" w:lineRule="auto"/>
              <w:jc w:val="center"/>
              <w:rPr>
                <w:b/>
                <w:bCs/>
                <w:sz w:val="20"/>
                <w:szCs w:val="20"/>
              </w:rPr>
            </w:pPr>
            <w:r w:rsidRPr="00423954">
              <w:rPr>
                <w:b/>
                <w:bCs/>
                <w:sz w:val="20"/>
                <w:szCs w:val="20"/>
              </w:rPr>
              <w:t>40,220</w:t>
            </w:r>
          </w:p>
          <w:p w14:paraId="134BF2BB" w14:textId="77777777" w:rsidR="00E975A6" w:rsidRPr="00423954" w:rsidRDefault="00E975A6" w:rsidP="00C65D27">
            <w:pPr>
              <w:spacing w:line="240" w:lineRule="auto"/>
              <w:jc w:val="center"/>
              <w:rPr>
                <w:b/>
                <w:bCs/>
                <w:sz w:val="20"/>
                <w:szCs w:val="20"/>
              </w:rPr>
            </w:pPr>
            <w:r w:rsidRPr="00423954">
              <w:rPr>
                <w:b/>
                <w:bCs/>
                <w:sz w:val="20"/>
                <w:szCs w:val="20"/>
              </w:rPr>
              <w:t>(3,991)</w:t>
            </w:r>
          </w:p>
        </w:tc>
        <w:tc>
          <w:tcPr>
            <w:tcW w:w="1710" w:type="dxa"/>
            <w:shd w:val="clear" w:color="auto" w:fill="auto"/>
          </w:tcPr>
          <w:p w14:paraId="63ABA1E9" w14:textId="77777777" w:rsidR="00E975A6" w:rsidRPr="00423954" w:rsidRDefault="00E975A6" w:rsidP="00C65D27">
            <w:pPr>
              <w:spacing w:line="240" w:lineRule="auto"/>
              <w:jc w:val="center"/>
              <w:rPr>
                <w:b/>
                <w:bCs/>
                <w:sz w:val="20"/>
                <w:szCs w:val="20"/>
              </w:rPr>
            </w:pPr>
            <w:r w:rsidRPr="00423954">
              <w:rPr>
                <w:b/>
                <w:bCs/>
                <w:sz w:val="20"/>
                <w:szCs w:val="20"/>
              </w:rPr>
              <w:t>44.65</w:t>
            </w:r>
          </w:p>
          <w:p w14:paraId="4A6F4767" w14:textId="77777777" w:rsidR="00E975A6" w:rsidRPr="00423954" w:rsidRDefault="00E975A6" w:rsidP="00C65D27">
            <w:pPr>
              <w:spacing w:line="240" w:lineRule="auto"/>
              <w:jc w:val="center"/>
              <w:rPr>
                <w:b/>
                <w:bCs/>
                <w:sz w:val="20"/>
                <w:szCs w:val="20"/>
              </w:rPr>
            </w:pPr>
            <w:r w:rsidRPr="00423954">
              <w:rPr>
                <w:b/>
                <w:bCs/>
                <w:sz w:val="20"/>
                <w:szCs w:val="20"/>
              </w:rPr>
              <w:t>(2.1)</w:t>
            </w:r>
          </w:p>
        </w:tc>
      </w:tr>
      <w:tr w:rsidR="00F14AB5" w:rsidRPr="00EF19D0" w14:paraId="7A8DD29C" w14:textId="77777777" w:rsidTr="00F14AB5">
        <w:tc>
          <w:tcPr>
            <w:tcW w:w="1620" w:type="dxa"/>
            <w:shd w:val="clear" w:color="auto" w:fill="C0C0C0"/>
          </w:tcPr>
          <w:p w14:paraId="39C63099" w14:textId="77777777" w:rsidR="00E975A6" w:rsidRPr="00423954" w:rsidRDefault="00E975A6" w:rsidP="00C65D27">
            <w:pPr>
              <w:spacing w:line="240" w:lineRule="auto"/>
              <w:jc w:val="center"/>
              <w:rPr>
                <w:b/>
                <w:bCs/>
                <w:sz w:val="20"/>
                <w:szCs w:val="20"/>
              </w:rPr>
            </w:pPr>
            <w:r w:rsidRPr="00423954">
              <w:rPr>
                <w:b/>
                <w:bCs/>
                <w:sz w:val="20"/>
                <w:szCs w:val="20"/>
              </w:rPr>
              <w:t>1990-1999</w:t>
            </w:r>
          </w:p>
        </w:tc>
        <w:tc>
          <w:tcPr>
            <w:tcW w:w="1620" w:type="dxa"/>
            <w:shd w:val="clear" w:color="auto" w:fill="C0C0C0"/>
          </w:tcPr>
          <w:p w14:paraId="0343230B" w14:textId="77777777" w:rsidR="00E975A6" w:rsidRPr="00423954" w:rsidRDefault="00E975A6" w:rsidP="00C65D27">
            <w:pPr>
              <w:spacing w:line="240" w:lineRule="auto"/>
              <w:jc w:val="center"/>
              <w:rPr>
                <w:b/>
                <w:bCs/>
                <w:sz w:val="20"/>
                <w:szCs w:val="20"/>
              </w:rPr>
            </w:pPr>
            <w:r w:rsidRPr="00423954">
              <w:rPr>
                <w:b/>
                <w:bCs/>
                <w:sz w:val="20"/>
                <w:szCs w:val="20"/>
              </w:rPr>
              <w:t>64,933</w:t>
            </w:r>
          </w:p>
          <w:p w14:paraId="41A41F15" w14:textId="77777777" w:rsidR="00E975A6" w:rsidRPr="00423954" w:rsidRDefault="00E975A6" w:rsidP="00C65D27">
            <w:pPr>
              <w:spacing w:line="240" w:lineRule="auto"/>
              <w:jc w:val="center"/>
              <w:rPr>
                <w:b/>
                <w:bCs/>
                <w:sz w:val="20"/>
                <w:szCs w:val="20"/>
              </w:rPr>
            </w:pPr>
            <w:r w:rsidRPr="00423954">
              <w:rPr>
                <w:b/>
                <w:bCs/>
                <w:sz w:val="20"/>
                <w:szCs w:val="20"/>
              </w:rPr>
              <w:t>(18,577)</w:t>
            </w:r>
          </w:p>
        </w:tc>
        <w:tc>
          <w:tcPr>
            <w:tcW w:w="1710" w:type="dxa"/>
            <w:shd w:val="clear" w:color="auto" w:fill="C0C0C0"/>
          </w:tcPr>
          <w:p w14:paraId="50494A69" w14:textId="77777777" w:rsidR="00E975A6" w:rsidRPr="00423954" w:rsidRDefault="00E975A6" w:rsidP="00C65D27">
            <w:pPr>
              <w:spacing w:line="240" w:lineRule="auto"/>
              <w:jc w:val="center"/>
              <w:rPr>
                <w:b/>
                <w:bCs/>
                <w:sz w:val="20"/>
                <w:szCs w:val="20"/>
              </w:rPr>
            </w:pPr>
            <w:r w:rsidRPr="00423954">
              <w:rPr>
                <w:b/>
                <w:bCs/>
                <w:sz w:val="20"/>
                <w:szCs w:val="20"/>
              </w:rPr>
              <w:t>25.9</w:t>
            </w:r>
          </w:p>
          <w:p w14:paraId="26B89090" w14:textId="77777777" w:rsidR="00E975A6" w:rsidRPr="00423954" w:rsidRDefault="00E975A6" w:rsidP="00C65D27">
            <w:pPr>
              <w:spacing w:line="240" w:lineRule="auto"/>
              <w:jc w:val="center"/>
              <w:rPr>
                <w:b/>
                <w:bCs/>
                <w:sz w:val="20"/>
                <w:szCs w:val="20"/>
              </w:rPr>
            </w:pPr>
            <w:r w:rsidRPr="00423954">
              <w:rPr>
                <w:b/>
                <w:bCs/>
                <w:sz w:val="20"/>
                <w:szCs w:val="20"/>
              </w:rPr>
              <w:t>(6.55)</w:t>
            </w:r>
          </w:p>
        </w:tc>
        <w:tc>
          <w:tcPr>
            <w:tcW w:w="1710" w:type="dxa"/>
            <w:shd w:val="clear" w:color="auto" w:fill="C0C0C0"/>
          </w:tcPr>
          <w:p w14:paraId="118EA5CE" w14:textId="77777777" w:rsidR="00E975A6" w:rsidRPr="00423954" w:rsidRDefault="00E975A6" w:rsidP="00C65D27">
            <w:pPr>
              <w:spacing w:line="240" w:lineRule="auto"/>
              <w:jc w:val="center"/>
              <w:rPr>
                <w:b/>
                <w:bCs/>
                <w:sz w:val="20"/>
                <w:szCs w:val="20"/>
              </w:rPr>
            </w:pPr>
            <w:r w:rsidRPr="00423954">
              <w:rPr>
                <w:b/>
                <w:bCs/>
                <w:sz w:val="20"/>
                <w:szCs w:val="20"/>
              </w:rPr>
              <w:t>26,222</w:t>
            </w:r>
          </w:p>
          <w:p w14:paraId="287B79DF" w14:textId="77777777" w:rsidR="00E975A6" w:rsidRPr="00423954" w:rsidRDefault="00E975A6" w:rsidP="00C65D27">
            <w:pPr>
              <w:spacing w:line="240" w:lineRule="auto"/>
              <w:jc w:val="center"/>
              <w:rPr>
                <w:b/>
                <w:bCs/>
                <w:sz w:val="20"/>
                <w:szCs w:val="20"/>
              </w:rPr>
            </w:pPr>
            <w:r w:rsidRPr="00423954">
              <w:rPr>
                <w:b/>
                <w:bCs/>
                <w:sz w:val="20"/>
                <w:szCs w:val="20"/>
              </w:rPr>
              <w:t>(14,738)</w:t>
            </w:r>
          </w:p>
        </w:tc>
        <w:tc>
          <w:tcPr>
            <w:tcW w:w="1710" w:type="dxa"/>
            <w:shd w:val="clear" w:color="auto" w:fill="C0C0C0"/>
          </w:tcPr>
          <w:p w14:paraId="23FF3608" w14:textId="77777777" w:rsidR="00E975A6" w:rsidRPr="00423954" w:rsidRDefault="00E975A6" w:rsidP="00C65D27">
            <w:pPr>
              <w:spacing w:line="240" w:lineRule="auto"/>
              <w:jc w:val="center"/>
              <w:rPr>
                <w:b/>
                <w:bCs/>
                <w:sz w:val="20"/>
                <w:szCs w:val="20"/>
              </w:rPr>
            </w:pPr>
            <w:r w:rsidRPr="00423954">
              <w:rPr>
                <w:b/>
                <w:bCs/>
                <w:sz w:val="20"/>
                <w:szCs w:val="20"/>
              </w:rPr>
              <w:t>22.09</w:t>
            </w:r>
          </w:p>
          <w:p w14:paraId="10C89877" w14:textId="77777777" w:rsidR="00E975A6" w:rsidRPr="00423954" w:rsidRDefault="00E975A6" w:rsidP="00C65D27">
            <w:pPr>
              <w:spacing w:line="240" w:lineRule="auto"/>
              <w:jc w:val="center"/>
              <w:rPr>
                <w:b/>
                <w:bCs/>
                <w:sz w:val="20"/>
                <w:szCs w:val="20"/>
              </w:rPr>
            </w:pPr>
            <w:r w:rsidRPr="00423954">
              <w:rPr>
                <w:b/>
                <w:bCs/>
                <w:sz w:val="20"/>
                <w:szCs w:val="20"/>
              </w:rPr>
              <w:t>(14.43)</w:t>
            </w:r>
          </w:p>
        </w:tc>
      </w:tr>
      <w:tr w:rsidR="00F14AB5" w:rsidRPr="00EF19D0" w14:paraId="31C4728B" w14:textId="77777777" w:rsidTr="00F14AB5">
        <w:tc>
          <w:tcPr>
            <w:tcW w:w="1620" w:type="dxa"/>
            <w:shd w:val="clear" w:color="auto" w:fill="auto"/>
          </w:tcPr>
          <w:p w14:paraId="2DD5B285" w14:textId="77777777" w:rsidR="00E975A6" w:rsidRPr="00423954" w:rsidRDefault="00E975A6" w:rsidP="00C65D27">
            <w:pPr>
              <w:spacing w:line="240" w:lineRule="auto"/>
              <w:jc w:val="center"/>
              <w:rPr>
                <w:b/>
                <w:bCs/>
                <w:sz w:val="20"/>
                <w:szCs w:val="20"/>
              </w:rPr>
            </w:pPr>
            <w:r w:rsidRPr="00423954">
              <w:rPr>
                <w:b/>
                <w:bCs/>
                <w:sz w:val="20"/>
                <w:szCs w:val="20"/>
              </w:rPr>
              <w:t>2000-2009</w:t>
            </w:r>
          </w:p>
        </w:tc>
        <w:tc>
          <w:tcPr>
            <w:tcW w:w="1620" w:type="dxa"/>
            <w:shd w:val="clear" w:color="auto" w:fill="auto"/>
          </w:tcPr>
          <w:p w14:paraId="7A2E57ED" w14:textId="77777777" w:rsidR="00E975A6" w:rsidRPr="00423954" w:rsidRDefault="00E975A6" w:rsidP="00C65D27">
            <w:pPr>
              <w:spacing w:line="240" w:lineRule="auto"/>
              <w:jc w:val="center"/>
              <w:rPr>
                <w:b/>
                <w:bCs/>
                <w:sz w:val="20"/>
                <w:szCs w:val="20"/>
              </w:rPr>
            </w:pPr>
            <w:r w:rsidRPr="00423954">
              <w:rPr>
                <w:b/>
                <w:bCs/>
                <w:sz w:val="20"/>
                <w:szCs w:val="20"/>
              </w:rPr>
              <w:t>55,378</w:t>
            </w:r>
          </w:p>
          <w:p w14:paraId="5EF02777" w14:textId="77777777" w:rsidR="00E975A6" w:rsidRPr="00423954" w:rsidRDefault="00E975A6" w:rsidP="00C65D27">
            <w:pPr>
              <w:spacing w:line="240" w:lineRule="auto"/>
              <w:jc w:val="center"/>
              <w:rPr>
                <w:b/>
                <w:bCs/>
                <w:sz w:val="20"/>
                <w:szCs w:val="20"/>
              </w:rPr>
            </w:pPr>
            <w:r w:rsidRPr="00423954">
              <w:rPr>
                <w:b/>
                <w:bCs/>
                <w:sz w:val="20"/>
                <w:szCs w:val="20"/>
              </w:rPr>
              <w:t>(21,133)</w:t>
            </w:r>
          </w:p>
        </w:tc>
        <w:tc>
          <w:tcPr>
            <w:tcW w:w="1710" w:type="dxa"/>
            <w:shd w:val="clear" w:color="auto" w:fill="auto"/>
          </w:tcPr>
          <w:p w14:paraId="3E26F08C" w14:textId="77777777" w:rsidR="00E975A6" w:rsidRPr="00423954" w:rsidRDefault="00E975A6" w:rsidP="00C65D27">
            <w:pPr>
              <w:spacing w:line="240" w:lineRule="auto"/>
              <w:jc w:val="center"/>
              <w:rPr>
                <w:b/>
                <w:bCs/>
                <w:sz w:val="20"/>
                <w:szCs w:val="20"/>
              </w:rPr>
            </w:pPr>
            <w:r w:rsidRPr="00423954">
              <w:rPr>
                <w:b/>
                <w:bCs/>
                <w:sz w:val="20"/>
                <w:szCs w:val="20"/>
              </w:rPr>
              <w:t>13.65</w:t>
            </w:r>
          </w:p>
          <w:p w14:paraId="76E70F69" w14:textId="77777777" w:rsidR="00E975A6" w:rsidRPr="00423954" w:rsidRDefault="00E975A6" w:rsidP="00C65D27">
            <w:pPr>
              <w:spacing w:line="240" w:lineRule="auto"/>
              <w:jc w:val="center"/>
              <w:rPr>
                <w:b/>
                <w:bCs/>
                <w:sz w:val="20"/>
                <w:szCs w:val="20"/>
              </w:rPr>
            </w:pPr>
            <w:r w:rsidRPr="00423954">
              <w:rPr>
                <w:b/>
                <w:bCs/>
                <w:sz w:val="20"/>
                <w:szCs w:val="20"/>
              </w:rPr>
              <w:t>(3.02)</w:t>
            </w:r>
          </w:p>
        </w:tc>
        <w:tc>
          <w:tcPr>
            <w:tcW w:w="1710" w:type="dxa"/>
            <w:shd w:val="clear" w:color="auto" w:fill="auto"/>
          </w:tcPr>
          <w:p w14:paraId="19472635" w14:textId="77777777" w:rsidR="00E975A6" w:rsidRPr="00423954" w:rsidRDefault="00E975A6" w:rsidP="00C65D27">
            <w:pPr>
              <w:spacing w:line="240" w:lineRule="auto"/>
              <w:jc w:val="center"/>
              <w:rPr>
                <w:b/>
                <w:bCs/>
                <w:sz w:val="20"/>
                <w:szCs w:val="20"/>
              </w:rPr>
            </w:pPr>
            <w:r w:rsidRPr="00423954">
              <w:rPr>
                <w:b/>
                <w:bCs/>
                <w:sz w:val="20"/>
                <w:szCs w:val="20"/>
              </w:rPr>
              <w:t>4,000</w:t>
            </w:r>
          </w:p>
          <w:p w14:paraId="59918ADB" w14:textId="77777777" w:rsidR="00E975A6" w:rsidRPr="00423954" w:rsidRDefault="00E975A6" w:rsidP="00C65D27">
            <w:pPr>
              <w:spacing w:line="240" w:lineRule="auto"/>
              <w:jc w:val="center"/>
              <w:rPr>
                <w:b/>
                <w:bCs/>
                <w:sz w:val="20"/>
                <w:szCs w:val="20"/>
              </w:rPr>
            </w:pPr>
            <w:r w:rsidRPr="00423954">
              <w:rPr>
                <w:b/>
                <w:bCs/>
                <w:sz w:val="20"/>
                <w:szCs w:val="20"/>
              </w:rPr>
              <w:t>(8,744)</w:t>
            </w:r>
          </w:p>
        </w:tc>
        <w:tc>
          <w:tcPr>
            <w:tcW w:w="1710" w:type="dxa"/>
            <w:shd w:val="clear" w:color="auto" w:fill="auto"/>
          </w:tcPr>
          <w:p w14:paraId="3F88D7F6" w14:textId="77777777" w:rsidR="00E975A6" w:rsidRPr="00423954" w:rsidRDefault="00E975A6" w:rsidP="00C65D27">
            <w:pPr>
              <w:spacing w:line="240" w:lineRule="auto"/>
              <w:jc w:val="center"/>
              <w:rPr>
                <w:b/>
                <w:bCs/>
                <w:sz w:val="20"/>
                <w:szCs w:val="20"/>
              </w:rPr>
            </w:pPr>
            <w:r w:rsidRPr="00423954">
              <w:rPr>
                <w:b/>
                <w:bCs/>
                <w:sz w:val="20"/>
                <w:szCs w:val="20"/>
              </w:rPr>
              <w:t>2.44</w:t>
            </w:r>
          </w:p>
          <w:p w14:paraId="7FD1E17D" w14:textId="77777777" w:rsidR="00E975A6" w:rsidRPr="00423954" w:rsidRDefault="00E975A6" w:rsidP="00C65D27">
            <w:pPr>
              <w:spacing w:line="240" w:lineRule="auto"/>
              <w:jc w:val="center"/>
              <w:rPr>
                <w:b/>
                <w:bCs/>
                <w:sz w:val="20"/>
                <w:szCs w:val="20"/>
              </w:rPr>
            </w:pPr>
            <w:r w:rsidRPr="00423954">
              <w:rPr>
                <w:b/>
                <w:bCs/>
                <w:sz w:val="20"/>
                <w:szCs w:val="20"/>
              </w:rPr>
              <w:t>(4.69)</w:t>
            </w:r>
          </w:p>
        </w:tc>
      </w:tr>
      <w:tr w:rsidR="00F14AB5" w:rsidRPr="00EF19D0" w14:paraId="7D6639AE" w14:textId="77777777" w:rsidTr="00F14AB5">
        <w:tc>
          <w:tcPr>
            <w:tcW w:w="1620" w:type="dxa"/>
            <w:shd w:val="clear" w:color="auto" w:fill="C0C0C0"/>
          </w:tcPr>
          <w:p w14:paraId="586B1B55" w14:textId="77777777" w:rsidR="00E975A6" w:rsidRPr="00423954" w:rsidRDefault="00E975A6" w:rsidP="00C65D27">
            <w:pPr>
              <w:spacing w:line="240" w:lineRule="auto"/>
              <w:jc w:val="center"/>
              <w:rPr>
                <w:b/>
                <w:bCs/>
                <w:sz w:val="20"/>
                <w:szCs w:val="20"/>
              </w:rPr>
            </w:pPr>
            <w:r w:rsidRPr="00423954">
              <w:rPr>
                <w:b/>
                <w:bCs/>
                <w:sz w:val="20"/>
                <w:szCs w:val="20"/>
              </w:rPr>
              <w:t>2010-2014</w:t>
            </w:r>
          </w:p>
        </w:tc>
        <w:tc>
          <w:tcPr>
            <w:tcW w:w="1620" w:type="dxa"/>
            <w:shd w:val="clear" w:color="auto" w:fill="C0C0C0"/>
          </w:tcPr>
          <w:p w14:paraId="200467BE" w14:textId="77777777" w:rsidR="00E975A6" w:rsidRPr="00423954" w:rsidRDefault="00E975A6" w:rsidP="00C65D27">
            <w:pPr>
              <w:spacing w:line="240" w:lineRule="auto"/>
              <w:jc w:val="center"/>
              <w:rPr>
                <w:b/>
                <w:bCs/>
                <w:sz w:val="20"/>
                <w:szCs w:val="20"/>
              </w:rPr>
            </w:pPr>
            <w:r w:rsidRPr="00423954">
              <w:rPr>
                <w:b/>
                <w:bCs/>
                <w:sz w:val="20"/>
                <w:szCs w:val="20"/>
              </w:rPr>
              <w:t>82,700</w:t>
            </w:r>
          </w:p>
          <w:p w14:paraId="640CB206" w14:textId="77777777" w:rsidR="00E975A6" w:rsidRPr="00423954" w:rsidRDefault="00E975A6" w:rsidP="00C65D27">
            <w:pPr>
              <w:spacing w:line="240" w:lineRule="auto"/>
              <w:jc w:val="center"/>
              <w:rPr>
                <w:b/>
                <w:bCs/>
                <w:sz w:val="20"/>
                <w:szCs w:val="20"/>
              </w:rPr>
            </w:pPr>
            <w:r w:rsidRPr="00423954">
              <w:rPr>
                <w:b/>
                <w:bCs/>
                <w:sz w:val="20"/>
                <w:szCs w:val="20"/>
              </w:rPr>
              <w:t>(12,550)</w:t>
            </w:r>
          </w:p>
        </w:tc>
        <w:tc>
          <w:tcPr>
            <w:tcW w:w="1710" w:type="dxa"/>
            <w:shd w:val="clear" w:color="auto" w:fill="C0C0C0"/>
          </w:tcPr>
          <w:p w14:paraId="56166D64" w14:textId="77777777" w:rsidR="00E975A6" w:rsidRPr="00423954" w:rsidRDefault="00E975A6" w:rsidP="00C65D27">
            <w:pPr>
              <w:spacing w:line="240" w:lineRule="auto"/>
              <w:jc w:val="center"/>
              <w:rPr>
                <w:b/>
                <w:bCs/>
                <w:sz w:val="20"/>
                <w:szCs w:val="20"/>
              </w:rPr>
            </w:pPr>
            <w:r w:rsidRPr="00423954">
              <w:rPr>
                <w:b/>
                <w:bCs/>
                <w:sz w:val="20"/>
                <w:szCs w:val="20"/>
              </w:rPr>
              <w:t>14.84</w:t>
            </w:r>
          </w:p>
          <w:p w14:paraId="356F6DAB" w14:textId="77777777" w:rsidR="00E975A6" w:rsidRPr="00423954" w:rsidRDefault="00E975A6" w:rsidP="00C65D27">
            <w:pPr>
              <w:spacing w:line="240" w:lineRule="auto"/>
              <w:jc w:val="center"/>
              <w:rPr>
                <w:b/>
                <w:bCs/>
                <w:sz w:val="20"/>
                <w:szCs w:val="20"/>
              </w:rPr>
            </w:pPr>
            <w:r w:rsidRPr="00423954">
              <w:rPr>
                <w:b/>
                <w:bCs/>
                <w:sz w:val="20"/>
                <w:szCs w:val="20"/>
              </w:rPr>
              <w:t>(1.16)</w:t>
            </w:r>
          </w:p>
        </w:tc>
        <w:tc>
          <w:tcPr>
            <w:tcW w:w="1710" w:type="dxa"/>
            <w:shd w:val="clear" w:color="auto" w:fill="C0C0C0"/>
          </w:tcPr>
          <w:p w14:paraId="0ECF18E2" w14:textId="77777777" w:rsidR="00E975A6" w:rsidRPr="00423954" w:rsidRDefault="00E975A6" w:rsidP="00C65D27">
            <w:pPr>
              <w:spacing w:line="240" w:lineRule="auto"/>
              <w:jc w:val="center"/>
              <w:rPr>
                <w:b/>
                <w:bCs/>
                <w:sz w:val="20"/>
                <w:szCs w:val="20"/>
              </w:rPr>
            </w:pPr>
            <w:r w:rsidRPr="00423954">
              <w:rPr>
                <w:b/>
                <w:bCs/>
                <w:sz w:val="20"/>
                <w:szCs w:val="20"/>
              </w:rPr>
              <w:t>0</w:t>
            </w:r>
          </w:p>
          <w:p w14:paraId="39FA4ED3" w14:textId="77777777" w:rsidR="00E975A6" w:rsidRPr="00423954" w:rsidRDefault="00E975A6" w:rsidP="00C65D27">
            <w:pPr>
              <w:spacing w:line="240" w:lineRule="auto"/>
              <w:jc w:val="center"/>
              <w:rPr>
                <w:b/>
                <w:bCs/>
                <w:sz w:val="20"/>
                <w:szCs w:val="20"/>
              </w:rPr>
            </w:pPr>
            <w:r w:rsidRPr="00423954">
              <w:rPr>
                <w:b/>
                <w:bCs/>
                <w:sz w:val="20"/>
                <w:szCs w:val="20"/>
              </w:rPr>
              <w:t>(0)</w:t>
            </w:r>
          </w:p>
        </w:tc>
        <w:tc>
          <w:tcPr>
            <w:tcW w:w="1710" w:type="dxa"/>
            <w:shd w:val="clear" w:color="auto" w:fill="C0C0C0"/>
          </w:tcPr>
          <w:p w14:paraId="52AEBB62" w14:textId="77777777" w:rsidR="00E975A6" w:rsidRPr="00423954" w:rsidRDefault="00E975A6" w:rsidP="00C65D27">
            <w:pPr>
              <w:spacing w:line="240" w:lineRule="auto"/>
              <w:jc w:val="center"/>
              <w:rPr>
                <w:b/>
                <w:bCs/>
                <w:sz w:val="20"/>
                <w:szCs w:val="20"/>
              </w:rPr>
            </w:pPr>
            <w:r w:rsidRPr="00423954">
              <w:rPr>
                <w:b/>
                <w:bCs/>
                <w:sz w:val="20"/>
                <w:szCs w:val="20"/>
              </w:rPr>
              <w:t>0</w:t>
            </w:r>
          </w:p>
          <w:p w14:paraId="14578A6D" w14:textId="77777777" w:rsidR="00E975A6" w:rsidRPr="00423954" w:rsidRDefault="00E975A6" w:rsidP="00C65D27">
            <w:pPr>
              <w:spacing w:line="240" w:lineRule="auto"/>
              <w:jc w:val="center"/>
              <w:rPr>
                <w:b/>
                <w:bCs/>
                <w:sz w:val="20"/>
                <w:szCs w:val="20"/>
              </w:rPr>
            </w:pPr>
            <w:r w:rsidRPr="00423954">
              <w:rPr>
                <w:b/>
                <w:bCs/>
                <w:sz w:val="20"/>
                <w:szCs w:val="20"/>
              </w:rPr>
              <w:t>(0)</w:t>
            </w:r>
          </w:p>
        </w:tc>
      </w:tr>
    </w:tbl>
    <w:p w14:paraId="55BFD05B" w14:textId="77777777" w:rsidR="00E975A6" w:rsidRPr="00EF19D0" w:rsidRDefault="00E975A6" w:rsidP="00E975A6">
      <w:pPr>
        <w:spacing w:line="240" w:lineRule="auto"/>
        <w:rPr>
          <w:sz w:val="20"/>
        </w:rPr>
      </w:pPr>
      <w:r w:rsidRPr="00EF19D0">
        <w:rPr>
          <w:b/>
          <w:color w:val="000000"/>
          <w:sz w:val="20"/>
        </w:rPr>
        <w:t>Notes and Sources:</w:t>
      </w:r>
      <w:r w:rsidRPr="00EF19D0">
        <w:rPr>
          <w:color w:val="000000"/>
          <w:sz w:val="20"/>
        </w:rPr>
        <w:t xml:space="preserve"> Numbers in parenthesis are standard deviations. All numbers before 2000 are derived from various issues of the Statistical Abstract of Israel from the Israeli Central Bureau of Statistics. All numbers after 1999 are derived from various issues of the Palestinian Central Bureau of Statistics' Palestinian Labor Force Survey. Numbers for the West Bank exclude East Jerusalem between 1968-93, but include East Jerusalem thereafter. 1994 figures are not available. Numbers include the underemployed but do not include unemployed. Rounding may cause summation errors.</w:t>
      </w:r>
    </w:p>
    <w:p w14:paraId="7256D937" w14:textId="77777777" w:rsidR="00F14AB5" w:rsidRPr="00707E1F" w:rsidRDefault="00F14AB5" w:rsidP="00707E1F">
      <w:pPr>
        <w:spacing w:line="240" w:lineRule="auto"/>
        <w:rPr>
          <w:sz w:val="28"/>
        </w:rPr>
      </w:pPr>
    </w:p>
    <w:p w14:paraId="3EA36E77" w14:textId="450B9D9C" w:rsidR="00707E1F" w:rsidRPr="00707E1F" w:rsidRDefault="00707E1F" w:rsidP="00707E1F">
      <w:pPr>
        <w:pStyle w:val="Caption"/>
        <w:keepNext/>
        <w:jc w:val="center"/>
        <w:rPr>
          <w:color w:val="auto"/>
          <w:sz w:val="24"/>
        </w:rPr>
      </w:pPr>
      <w:bookmarkStart w:id="51" w:name="_Toc324264455"/>
      <w:bookmarkStart w:id="52" w:name="_Toc324264702"/>
      <w:r w:rsidRPr="00707E1F">
        <w:rPr>
          <w:color w:val="auto"/>
          <w:sz w:val="24"/>
        </w:rPr>
        <w:t xml:space="preserve">Figure </w:t>
      </w:r>
      <w:r w:rsidRPr="00707E1F">
        <w:rPr>
          <w:color w:val="auto"/>
          <w:sz w:val="24"/>
        </w:rPr>
        <w:fldChar w:fldCharType="begin"/>
      </w:r>
      <w:r w:rsidRPr="00707E1F">
        <w:rPr>
          <w:color w:val="auto"/>
          <w:sz w:val="24"/>
        </w:rPr>
        <w:instrText xml:space="preserve"> SEQ Figure \* ARABIC </w:instrText>
      </w:r>
      <w:r w:rsidRPr="00707E1F">
        <w:rPr>
          <w:color w:val="auto"/>
          <w:sz w:val="24"/>
        </w:rPr>
        <w:fldChar w:fldCharType="separate"/>
      </w:r>
      <w:r w:rsidR="00500133">
        <w:rPr>
          <w:noProof/>
          <w:color w:val="auto"/>
          <w:sz w:val="24"/>
        </w:rPr>
        <w:t>5</w:t>
      </w:r>
      <w:r w:rsidRPr="00707E1F">
        <w:rPr>
          <w:color w:val="auto"/>
          <w:sz w:val="24"/>
        </w:rPr>
        <w:fldChar w:fldCharType="end"/>
      </w:r>
      <w:r w:rsidRPr="00707E1F">
        <w:rPr>
          <w:color w:val="auto"/>
          <w:sz w:val="24"/>
        </w:rPr>
        <w:t>: Palestinian Labor in Israel (1970-2014)</w:t>
      </w:r>
      <w:bookmarkEnd w:id="51"/>
      <w:bookmarkEnd w:id="52"/>
    </w:p>
    <w:p w14:paraId="4ABC950E" w14:textId="77777777" w:rsidR="00E975A6" w:rsidRPr="00EF19D0" w:rsidRDefault="00E975A6" w:rsidP="00E975A6">
      <w:pPr>
        <w:spacing w:line="240" w:lineRule="auto"/>
      </w:pPr>
      <w:r>
        <w:rPr>
          <w:noProof/>
        </w:rPr>
        <w:drawing>
          <wp:inline distT="0" distB="0" distL="0" distR="0" wp14:anchorId="0AD4D520" wp14:editId="56F6C6EA">
            <wp:extent cx="5370550" cy="3241083"/>
            <wp:effectExtent l="0" t="0" r="0" b="10160"/>
            <wp:docPr id="2"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FAF108E" w14:textId="77777777" w:rsidR="00E975A6" w:rsidRDefault="00E975A6" w:rsidP="00E975A6">
      <w:pPr>
        <w:spacing w:line="240" w:lineRule="auto"/>
        <w:rPr>
          <w:color w:val="000000"/>
          <w:sz w:val="20"/>
        </w:rPr>
      </w:pPr>
      <w:r w:rsidRPr="00EF19D0">
        <w:rPr>
          <w:b/>
          <w:color w:val="000000"/>
          <w:sz w:val="20"/>
        </w:rPr>
        <w:t>Notes and Sources:</w:t>
      </w:r>
      <w:r w:rsidRPr="00EF19D0">
        <w:rPr>
          <w:color w:val="000000"/>
          <w:sz w:val="20"/>
        </w:rPr>
        <w:t xml:space="preserve"> All numbers before 2000 are derived from various issues of the Statistical Abstract of Israel from the Israeli Central Bureau of Statistics. All numbers after 1999 are derived from various issues of the Palestinian Central Bureau of Statistics' Palestinian Labor Force Survey. Numbers for the West Bank exclude East Jerusalem between 1968-93, but include East Jerusalem thereafter. 1994 figures are not available. Numbers include the underemployed</w:t>
      </w:r>
      <w:r>
        <w:rPr>
          <w:color w:val="000000"/>
          <w:sz w:val="20"/>
        </w:rPr>
        <w:t xml:space="preserve"> but do not include unemployed.</w:t>
      </w:r>
    </w:p>
    <w:p w14:paraId="3A1AF998" w14:textId="77777777" w:rsidR="00E975A6" w:rsidRDefault="00E975A6" w:rsidP="0036514B">
      <w:pPr>
        <w:spacing w:line="240" w:lineRule="auto"/>
        <w:rPr>
          <w:color w:val="000000"/>
          <w:sz w:val="20"/>
        </w:rPr>
      </w:pPr>
    </w:p>
    <w:p w14:paraId="0510D8B9" w14:textId="77777777" w:rsidR="00F14AB5" w:rsidRDefault="00F14AB5" w:rsidP="0036514B">
      <w:pPr>
        <w:spacing w:line="240" w:lineRule="auto"/>
        <w:rPr>
          <w:b/>
        </w:rPr>
      </w:pPr>
    </w:p>
    <w:p w14:paraId="69AA3E7D" w14:textId="77777777" w:rsidR="00707E1F" w:rsidRDefault="00707E1F" w:rsidP="0036514B">
      <w:pPr>
        <w:spacing w:line="240" w:lineRule="auto"/>
        <w:rPr>
          <w:b/>
        </w:rPr>
      </w:pPr>
    </w:p>
    <w:p w14:paraId="573EE793" w14:textId="507EA990" w:rsidR="00707E1F" w:rsidRPr="00707E1F" w:rsidRDefault="00707E1F" w:rsidP="00707E1F">
      <w:pPr>
        <w:pStyle w:val="Caption"/>
        <w:keepNext/>
        <w:jc w:val="center"/>
        <w:rPr>
          <w:color w:val="auto"/>
          <w:sz w:val="24"/>
        </w:rPr>
      </w:pPr>
      <w:bookmarkStart w:id="53" w:name="_Toc324264456"/>
      <w:bookmarkStart w:id="54" w:name="_Toc324264703"/>
      <w:r w:rsidRPr="00707E1F">
        <w:rPr>
          <w:color w:val="auto"/>
          <w:sz w:val="24"/>
        </w:rPr>
        <w:t xml:space="preserve">Figure </w:t>
      </w:r>
      <w:r w:rsidRPr="00707E1F">
        <w:rPr>
          <w:color w:val="auto"/>
          <w:sz w:val="24"/>
        </w:rPr>
        <w:fldChar w:fldCharType="begin"/>
      </w:r>
      <w:r w:rsidRPr="00707E1F">
        <w:rPr>
          <w:color w:val="auto"/>
          <w:sz w:val="24"/>
        </w:rPr>
        <w:instrText xml:space="preserve"> SEQ Figure \* ARABIC </w:instrText>
      </w:r>
      <w:r w:rsidRPr="00707E1F">
        <w:rPr>
          <w:color w:val="auto"/>
          <w:sz w:val="24"/>
        </w:rPr>
        <w:fldChar w:fldCharType="separate"/>
      </w:r>
      <w:r w:rsidR="00500133">
        <w:rPr>
          <w:noProof/>
          <w:color w:val="auto"/>
          <w:sz w:val="24"/>
        </w:rPr>
        <w:t>6</w:t>
      </w:r>
      <w:r w:rsidRPr="00707E1F">
        <w:rPr>
          <w:color w:val="auto"/>
          <w:sz w:val="24"/>
        </w:rPr>
        <w:fldChar w:fldCharType="end"/>
      </w:r>
      <w:r w:rsidRPr="00707E1F">
        <w:rPr>
          <w:color w:val="auto"/>
          <w:sz w:val="24"/>
        </w:rPr>
        <w:t>: Palestinian Labor in Israel (1997-2007)</w:t>
      </w:r>
      <w:bookmarkEnd w:id="53"/>
      <w:bookmarkEnd w:id="54"/>
    </w:p>
    <w:p w14:paraId="05A640D6" w14:textId="77777777" w:rsidR="00E975A6" w:rsidRPr="00EF19D0" w:rsidRDefault="00E975A6" w:rsidP="00F14AB5">
      <w:pPr>
        <w:spacing w:line="240" w:lineRule="auto"/>
      </w:pPr>
      <w:r>
        <w:rPr>
          <w:noProof/>
        </w:rPr>
        <w:drawing>
          <wp:inline distT="0" distB="0" distL="0" distR="0" wp14:anchorId="18D57DC6" wp14:editId="5146C5DB">
            <wp:extent cx="5486400" cy="3399790"/>
            <wp:effectExtent l="0" t="0" r="0" b="3810"/>
            <wp:docPr id="3" name="Char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611F6E8" w14:textId="09536348" w:rsidR="00E5392D" w:rsidRDefault="00E975A6" w:rsidP="00E975A6">
      <w:pPr>
        <w:spacing w:line="240" w:lineRule="auto"/>
        <w:rPr>
          <w:color w:val="000000"/>
          <w:sz w:val="20"/>
        </w:rPr>
      </w:pPr>
      <w:r w:rsidRPr="00EF19D0">
        <w:rPr>
          <w:b/>
          <w:color w:val="000000"/>
          <w:sz w:val="20"/>
        </w:rPr>
        <w:t>Notes and Sources:</w:t>
      </w:r>
      <w:r w:rsidRPr="00EF19D0">
        <w:rPr>
          <w:color w:val="000000"/>
          <w:sz w:val="20"/>
        </w:rPr>
        <w:t xml:space="preserve"> All numbers before 2000 are derived from various issues of the Statistical Abstract of Israel from the Israeli Central Bureau of Statistics. All numbers after 1999 are derived from various issues of the Palestinian Central Bureau of Statistics' Palestinian Labor Force Survey. Numbers for the West Bank exclude East Jerusalem between 1968-93, but include East Jerusalem thereafter. 1994 figures are not available. Numbers include the underemployed but do not include unemployed.</w:t>
      </w:r>
      <w:r w:rsidR="00E5392D">
        <w:rPr>
          <w:color w:val="000000"/>
          <w:sz w:val="20"/>
        </w:rPr>
        <w:br w:type="page"/>
      </w:r>
    </w:p>
    <w:p w14:paraId="04945F92" w14:textId="77777777" w:rsidR="00E73FAF" w:rsidRDefault="00E73FAF" w:rsidP="00E73FAF">
      <w:pPr>
        <w:pStyle w:val="Heading1"/>
      </w:pPr>
      <w:bookmarkStart w:id="55" w:name="_Toc324423956"/>
      <w:r>
        <w:lastRenderedPageBreak/>
        <w:t>Chapter 3</w:t>
      </w:r>
      <w:r w:rsidRPr="001D24BD">
        <w:t>: Modeling the Effects of Integrating More Palestinians into the Israeli Labor Market</w:t>
      </w:r>
      <w:bookmarkEnd w:id="55"/>
    </w:p>
    <w:p w14:paraId="145FA2C4" w14:textId="77777777" w:rsidR="00E5392D" w:rsidRDefault="00E5392D" w:rsidP="00E73FAF">
      <w:pPr>
        <w:spacing w:line="240" w:lineRule="auto"/>
        <w:rPr>
          <w:b/>
          <w:sz w:val="28"/>
        </w:rPr>
        <w:sectPr w:rsidR="00E5392D" w:rsidSect="002146AD">
          <w:type w:val="continuous"/>
          <w:pgSz w:w="12240" w:h="15840"/>
          <w:pgMar w:top="1440" w:right="1440" w:bottom="1440" w:left="2304" w:header="720" w:footer="720" w:gutter="0"/>
          <w:cols w:space="720"/>
          <w:docGrid w:linePitch="360"/>
        </w:sectPr>
      </w:pPr>
    </w:p>
    <w:p w14:paraId="645F0414" w14:textId="77777777" w:rsidR="00F14AB5" w:rsidRPr="00F41ADD" w:rsidRDefault="00F14AB5" w:rsidP="00E73FAF">
      <w:pPr>
        <w:spacing w:line="240" w:lineRule="auto"/>
        <w:rPr>
          <w:b/>
          <w:sz w:val="28"/>
        </w:rPr>
      </w:pPr>
    </w:p>
    <w:p w14:paraId="302A7C9E" w14:textId="77777777" w:rsidR="00E5392D" w:rsidRDefault="00E5392D" w:rsidP="00F14AB5">
      <w:pPr>
        <w:ind w:firstLine="720"/>
        <w:sectPr w:rsidR="00E5392D" w:rsidSect="002146AD">
          <w:type w:val="continuous"/>
          <w:pgSz w:w="12240" w:h="15840"/>
          <w:pgMar w:top="1440" w:right="1440" w:bottom="1440" w:left="2304" w:header="720" w:footer="720" w:gutter="0"/>
          <w:cols w:space="720"/>
          <w:docGrid w:linePitch="360"/>
        </w:sectPr>
      </w:pPr>
    </w:p>
    <w:p w14:paraId="45F2AB0F" w14:textId="3216071B" w:rsidR="00F14AB5" w:rsidRDefault="00F14AB5" w:rsidP="00F14AB5">
      <w:pPr>
        <w:ind w:firstLine="720"/>
      </w:pPr>
      <w:r>
        <w:lastRenderedPageBreak/>
        <w:t>In March 2016 the Israeli Knesset passed a bill that increased the penalty for Israeli employers who hire Palestinian workers illegally. According to the Palestinian Central Bureau of Statistics, there were 35,900 Palestinians working in Israel without a permit as of September 2015.</w:t>
      </w:r>
      <w:r>
        <w:rPr>
          <w:rStyle w:val="FootnoteReference"/>
        </w:rPr>
        <w:footnoteReference w:id="162"/>
      </w:r>
      <w:r>
        <w:t xml:space="preserve"> The new piece of legislation made hiring these Palestinian workers a felony for </w:t>
      </w:r>
      <w:r w:rsidR="009007A7">
        <w:t xml:space="preserve">Israeli </w:t>
      </w:r>
      <w:r>
        <w:t>employers, and repeat offenders can now be hit with a 226,000 NIS fine and a four-year prison sentence.</w:t>
      </w:r>
      <w:r>
        <w:rPr>
          <w:rStyle w:val="FootnoteReference"/>
        </w:rPr>
        <w:footnoteReference w:id="163"/>
      </w:r>
      <w:r>
        <w:t xml:space="preserve"> This harsher punishment came only one month after the Security Cabinet approved a plan to increase the number of work permits given to West Bank Palestinians by 30,000.</w:t>
      </w:r>
      <w:r>
        <w:rPr>
          <w:rStyle w:val="FootnoteReference"/>
        </w:rPr>
        <w:footnoteReference w:id="164"/>
      </w:r>
      <w:r>
        <w:t xml:space="preserve"> Interestingly, these juxtaposed pieces of legislation both had the same goal: reduce the high rate of violence that has persisted since October 2015. One on hand, the military establishment recognizes that Palestinian labor in Israel is crucial to the economy of the West Bank and that increasing the number of Palestinians with permits may reduce violence through economic development. On the other, the presence of illegal workers poses a security threat because they are not subject to the formal security process of obtaining a permit. In both cases, the presence of West Bank Palestinians is seen as a security issue by Israeli authorities due to the history of violence in the conflict.</w:t>
      </w:r>
    </w:p>
    <w:p w14:paraId="09993A9D" w14:textId="77777777" w:rsidR="00F14AB5" w:rsidRDefault="00F14AB5" w:rsidP="00F14AB5">
      <w:pPr>
        <w:ind w:firstLine="720"/>
      </w:pPr>
      <w:r w:rsidRPr="00591DBA">
        <w:t xml:space="preserve"> </w:t>
      </w:r>
      <w:r>
        <w:t xml:space="preserve">The agent-based dynamic equilibrium model in this chapter analyzes the effects of allowing more West Bank Palestinian Laborers (henceforth WBPL) to work in Israel </w:t>
      </w:r>
      <w:r>
        <w:lastRenderedPageBreak/>
        <w:t xml:space="preserve">given the current state of affairs in the Israeli-Palestinian conflict. My results show that Israel should not impose border closures on Palestinians with work permits unless the rate of violence reaches 4.2 fatalities per day over a given period of time, and Israeli economic production will not be reduced by violence even if Israel doubles the number of West Bank Palestinians working in Israel to above 200,000. </w:t>
      </w:r>
    </w:p>
    <w:p w14:paraId="68A2CCFF" w14:textId="77777777" w:rsidR="00E5392D" w:rsidRDefault="00E5392D" w:rsidP="00F14AB5">
      <w:pPr>
        <w:jc w:val="center"/>
        <w:rPr>
          <w:b/>
        </w:rPr>
        <w:sectPr w:rsidR="00E5392D" w:rsidSect="002146AD">
          <w:type w:val="continuous"/>
          <w:pgSz w:w="12240" w:h="15840"/>
          <w:pgMar w:top="1440" w:right="1440" w:bottom="1440" w:left="2304" w:header="720" w:footer="720" w:gutter="0"/>
          <w:cols w:space="720"/>
          <w:docGrid w:linePitch="360"/>
        </w:sectPr>
      </w:pPr>
    </w:p>
    <w:p w14:paraId="496D3396" w14:textId="4501944B" w:rsidR="00F14AB5" w:rsidRDefault="00F14AB5" w:rsidP="00882E52">
      <w:pPr>
        <w:pStyle w:val="Heading2"/>
      </w:pPr>
      <w:bookmarkStart w:id="56" w:name="_Toc324423957"/>
      <w:r>
        <w:lastRenderedPageBreak/>
        <w:t>3</w:t>
      </w:r>
      <w:r w:rsidRPr="005807CE">
        <w:t>.1</w:t>
      </w:r>
      <w:r>
        <w:t xml:space="preserve"> Commuters or Migrants? The Unique Case of Palestinians Working in Israel</w:t>
      </w:r>
      <w:bookmarkEnd w:id="56"/>
    </w:p>
    <w:p w14:paraId="21260BB4" w14:textId="77777777" w:rsidR="00E5392D" w:rsidRDefault="00E5392D" w:rsidP="00E73FAF">
      <w:pPr>
        <w:spacing w:line="240" w:lineRule="auto"/>
      </w:pPr>
    </w:p>
    <w:p w14:paraId="3AEF3CE9" w14:textId="77777777" w:rsidR="00E73FAF" w:rsidRDefault="00E73FAF" w:rsidP="00E73FAF">
      <w:pPr>
        <w:spacing w:line="240" w:lineRule="auto"/>
        <w:sectPr w:rsidR="00E73FAF" w:rsidSect="002146AD">
          <w:type w:val="continuous"/>
          <w:pgSz w:w="12240" w:h="15840"/>
          <w:pgMar w:top="1440" w:right="1440" w:bottom="1440" w:left="2304" w:header="720" w:footer="720" w:gutter="0"/>
          <w:cols w:space="720"/>
          <w:docGrid w:linePitch="360"/>
        </w:sectPr>
      </w:pPr>
    </w:p>
    <w:p w14:paraId="7D60DB54" w14:textId="489F44FA" w:rsidR="00F14AB5" w:rsidRDefault="00F14AB5" w:rsidP="00F14AB5">
      <w:pPr>
        <w:ind w:firstLine="720"/>
      </w:pPr>
      <w:r>
        <w:lastRenderedPageBreak/>
        <w:t>Palestinian laborers working in Israel have been both migrants and commuters since partial integration of the two economies began post-1967; however the experiences of Palestinians working in Israel are more similar to that of migrants due to the wage differentials between Israel and the Palestinian Territories, the cultural differences and racial tensions experienced by Arabs in Israel, and the checkpoint system established after the failure of the Oslo Accords. Palestinians will therefor be classified as migrants in this analysis despite the fact that they commute to work. This connects the evaluation of Palestinian labor in Israel in this chapter to the broader field focusing on the effects of migration on economic development. Despite the conditions that make work in Israel more attractive, Palestinian migrants to the Israeli labor market are considered to be migrating by choice, whereas many migrants are forcefully displaced (as has been the case in the recent Syrian migrant crisis).</w:t>
      </w:r>
      <w:r>
        <w:rPr>
          <w:rStyle w:val="FootnoteReference"/>
        </w:rPr>
        <w:footnoteReference w:id="165"/>
      </w:r>
      <w:r>
        <w:t xml:space="preserve"> The issue of Palestinian labor in Israel is analyzed in this section according to how it relates to macroeconomic and microeconomic theories of migration, and Palestinian labor in Israel is most pertinent to the recent literature concerning the security issues associated with migration</w:t>
      </w:r>
      <w:r w:rsidRPr="007A6AD7">
        <w:t xml:space="preserve"> </w:t>
      </w:r>
      <w:r>
        <w:t xml:space="preserve">in the post-9/11 era of global terrorism. </w:t>
      </w:r>
    </w:p>
    <w:p w14:paraId="07CB1D8E" w14:textId="77777777" w:rsidR="00F14AB5" w:rsidRDefault="00F14AB5" w:rsidP="00F14AB5">
      <w:pPr>
        <w:ind w:firstLine="720"/>
      </w:pPr>
      <w:r>
        <w:lastRenderedPageBreak/>
        <w:t>The first Age of Mass Migration (1870-1910) spurred some of the earliest studies on migration, including German-born geographer E.G. Ravenstein’s series of seminal papers entitled “The Laws of Migration.”</w:t>
      </w:r>
      <w:r>
        <w:rPr>
          <w:rStyle w:val="FootnoteReference"/>
        </w:rPr>
        <w:footnoteReference w:id="166"/>
      </w:r>
      <w:r>
        <w:t xml:space="preserve"> His studies sought to explain migration as completely as possible, though he admitted that this goal might have been too ambitious because “the laws of population, and economic laws generally, have not the rigidity of physical laws.”</w:t>
      </w:r>
      <w:r>
        <w:rPr>
          <w:rStyle w:val="FootnoteReference"/>
        </w:rPr>
        <w:footnoteReference w:id="167"/>
      </w:r>
      <w:r>
        <w:t xml:space="preserve"> Today there exists a wide array of research on migratory issues within the economic literature, and migration economics is a growing subfield of economic study. As the study of migration economics has progressed, Ravenstein’s observation has proven to be astute; studies on migration have reached many different conclusions on the determinants and effects of migration. </w:t>
      </w:r>
    </w:p>
    <w:p w14:paraId="163983C4" w14:textId="77777777" w:rsidR="00F14AB5" w:rsidRDefault="00F14AB5" w:rsidP="00F14AB5">
      <w:pPr>
        <w:ind w:firstLine="720"/>
      </w:pPr>
      <w:r>
        <w:t xml:space="preserve"> Modern research on migration and economic development has indeed grown to be quite prolific, but a single coherent theory of international migration has remained elusive. This is primarily due to the fact that migration is a complex issue that cannot be analyzed without incorporating a variety of disciplines, levels of analysis, and assumptions. Considering the fact that different approaches conceptualize causal processes at different levels of analysis — the individual, the household, the national, the international — different theories cannot necessarily be considered inherently incompatible.</w:t>
      </w:r>
      <w:r>
        <w:rPr>
          <w:rStyle w:val="FootnoteReference"/>
        </w:rPr>
        <w:footnoteReference w:id="168"/>
      </w:r>
      <w:r>
        <w:t xml:space="preserve"> It is therefore useful to consider how the established economic models of migration relate to the economic and security concerns that the movement of Palestinians invokes among many Israelis.</w:t>
      </w:r>
    </w:p>
    <w:p w14:paraId="3780AC01" w14:textId="77777777" w:rsidR="00F14AB5" w:rsidRDefault="00F14AB5" w:rsidP="00F14AB5">
      <w:r>
        <w:lastRenderedPageBreak/>
        <w:tab/>
        <w:t>Some of the oldest and most well known theories on international migration are neoclassical theories that were originally developed to explain labor migration in the process of economic development.</w:t>
      </w:r>
      <w:r>
        <w:rPr>
          <w:rStyle w:val="FootnoteReference"/>
        </w:rPr>
        <w:footnoteReference w:id="169"/>
      </w:r>
      <w:r>
        <w:t xml:space="preserve"> From a macroeconomic perspective, international migration is caused by the very same factors that drive internal migration within a country, namely the geographic differences in the supply and demand of labor (which dictates wages). From the macro perspective, labor and capital moves from areas of excess to areas lacking one or both of these resources in response to wage differentials and in response to differences in the rate of return to human capital. This perspective explains why Palestinians wanted to work in Israel after 1967; labor moves to where it will be most productive and therefore most financially rewarding.</w:t>
      </w:r>
    </w:p>
    <w:p w14:paraId="5E5365DF" w14:textId="77777777" w:rsidR="00F14AB5" w:rsidRDefault="00F14AB5" w:rsidP="00F14AB5">
      <w:pPr>
        <w:ind w:firstLine="720"/>
      </w:pPr>
      <w:r>
        <w:t xml:space="preserve"> As was the case in section three of chapter one, macroeconomic explanations execute analysis at the international or national levels with the assumption that the international labor system naturally moves towards equilibrium. As a result, this model is typically a better predictor of the demand for labor migration in host countries than actual migratory flows.</w:t>
      </w:r>
      <w:r>
        <w:rPr>
          <w:rStyle w:val="FootnoteReference"/>
        </w:rPr>
        <w:footnoteReference w:id="170"/>
      </w:r>
      <w:r>
        <w:t xml:space="preserve"> This is consistent in the Israeli-Palestinian case, because it is not immediately clear why more Palestinians aren’t working in Israel if you simply look at the wage differentials and understand nothing about the politics and the history of violence between the two peoples. The macro perspective does not fully consider the </w:t>
      </w:r>
      <w:r>
        <w:lastRenderedPageBreak/>
        <w:t>implications of the political economy of migration, and in many cases the decision-making processes of individuals who choose to migrate are not well modeled.</w:t>
      </w:r>
      <w:r>
        <w:rPr>
          <w:rStyle w:val="FootnoteReference"/>
        </w:rPr>
        <w:footnoteReference w:id="171"/>
      </w:r>
      <w:r>
        <w:t xml:space="preserve"> </w:t>
      </w:r>
    </w:p>
    <w:p w14:paraId="40780F1A" w14:textId="77777777" w:rsidR="00F14AB5" w:rsidRDefault="00F14AB5" w:rsidP="00F14AB5">
      <w:pPr>
        <w:ind w:firstLine="720"/>
      </w:pPr>
      <w:r>
        <w:t>From a microeconomic perspective, individual rational actors decide to migrate based on a cost-benefit analysis that leads them to believe that migration will yield a net return (typically in monetary terms) from movement.</w:t>
      </w:r>
      <w:r>
        <w:rPr>
          <w:rStyle w:val="FootnoteReference"/>
        </w:rPr>
        <w:footnoteReference w:id="172"/>
      </w:r>
      <w:r>
        <w:t xml:space="preserve"> In this model, people choose to move where they can be the most productive given their skills, but they must factor in all the costs of migration to determine whether or not the increased wages will outweigh the costs of migration. These costs are both monetary and intangible, and immigrants choose to migrate to international locations that have the best net future returns for their skills. Evaluating a Palestinian’s decision to sneak into Israel without a permit would be an example of a microeconomic analysis of a decision-making process in the Israeli-Palestinian context. If caught, there are consequences (costs) for Palestinians who choose to obviate the formal permit and checkpoint system that regulates who is granted access to work and travel in Israel, but the large number of Palestinians working illegally in Israel in recent decades suggests that these costs are worth the risk for many Palestinians.</w:t>
      </w:r>
      <w:r>
        <w:rPr>
          <w:rStyle w:val="FootnoteReference"/>
        </w:rPr>
        <w:footnoteReference w:id="173"/>
      </w:r>
      <w:r>
        <w:t xml:space="preserve"> While the micro perspective models individual decision making processes quite well, this limits the scope of analysis to individual situations and works </w:t>
      </w:r>
      <w:r>
        <w:lastRenderedPageBreak/>
        <w:t>much better as an ex post explanatory model than a predictive model of future migration.</w:t>
      </w:r>
    </w:p>
    <w:p w14:paraId="58E83248" w14:textId="77777777" w:rsidR="00F14AB5" w:rsidRPr="00A539D6" w:rsidRDefault="00F14AB5" w:rsidP="00F14AB5">
      <w:pPr>
        <w:ind w:firstLine="720"/>
      </w:pPr>
      <w:r>
        <w:t>In response to the politicization of migration in recent decades, some economists have focused their studies on the impacts of immigration on the labor market and overall economic performance of the receiving country,</w:t>
      </w:r>
      <w:r>
        <w:rPr>
          <w:rStyle w:val="FootnoteReference"/>
        </w:rPr>
        <w:footnoteReference w:id="174"/>
      </w:r>
      <w:r>
        <w:t xml:space="preserve"> and some have tried to determine if a certain type of people are likely to choose to migrate.</w:t>
      </w:r>
      <w:r>
        <w:rPr>
          <w:rStyle w:val="FootnoteReference"/>
        </w:rPr>
        <w:footnoteReference w:id="175"/>
      </w:r>
      <w:r>
        <w:t xml:space="preserve"> These studies begin with the assumption that migration increases the supply of labor in a particular area, which would increase competition in the local labor market and reduce the wages and numbers of employment opportunities for citizens of the migrant-receiving country. However, most studies have found that migrants typically do not have a negative effect on the labor market opportunities for citizens.</w:t>
      </w:r>
      <w:r>
        <w:rPr>
          <w:rStyle w:val="FootnoteReference"/>
        </w:rPr>
        <w:footnoteReference w:id="176"/>
      </w:r>
      <w:r>
        <w:t xml:space="preserve"> This has been the case in the Israeli-Palestinian context. Furthermore, most studies agree that the number of Palestinians working in Israel should be increased.</w:t>
      </w:r>
      <w:r>
        <w:rPr>
          <w:rStyle w:val="FootnoteReference"/>
        </w:rPr>
        <w:footnoteReference w:id="177"/>
      </w:r>
      <w:r>
        <w:t xml:space="preserve"> While many studies have concluded that migrants do not negatively affect the labor market opportunities for citizens, the literature concerning how migration may be affecting global economic output is not yet conclusive. </w:t>
      </w:r>
    </w:p>
    <w:p w14:paraId="5EDDEC31" w14:textId="77777777" w:rsidR="00F14AB5" w:rsidRDefault="00F14AB5" w:rsidP="00F14AB5">
      <w:pPr>
        <w:ind w:firstLine="720"/>
      </w:pPr>
      <w:r>
        <w:lastRenderedPageBreak/>
        <w:t>Recent literature has estimated that international barriers to migration restrict efficiency in the global labor market, which hinders poverty reduction and reduces global production to fractions of the potential production levels if more spatially optimized labor allocation could be achieved. This literature has observed that the free movement of goods and capital in the post-WWII era has not necessarily brought about the convergence between the living standards of rich countries and poor countries for which the traditional development agenda has hoped.</w:t>
      </w:r>
      <w:r>
        <w:rPr>
          <w:rStyle w:val="FootnoteReference"/>
        </w:rPr>
        <w:footnoteReference w:id="178"/>
      </w:r>
      <w:r>
        <w:t xml:space="preserve"> This does not mean that development outcomes have not improved since WWII in many places around the world, but this literature argues that allowing people to move from low-productivity places to high-productivity places is the most efficient policy tool for poverty reduction. Economist Michael Clemens has argued that a modest liberalization of current international migration laws would result in a net increase in global production by about one trillion dollars per year.</w:t>
      </w:r>
      <w:r>
        <w:rPr>
          <w:rStyle w:val="FootnoteReference"/>
        </w:rPr>
        <w:footnoteReference w:id="179"/>
      </w:r>
      <w:r>
        <w:t xml:space="preserve"> Unfortunately this research is relatively recent, and the liberalization of migration restrictions for which this literature argues remains highly unlikely given the current political economy of migration in most countries around the world.</w:t>
      </w:r>
    </w:p>
    <w:p w14:paraId="02BAED32" w14:textId="4D9C2D33" w:rsidR="00F14AB5" w:rsidRDefault="00F14AB5" w:rsidP="00F14AB5">
      <w:pPr>
        <w:ind w:firstLine="720"/>
      </w:pPr>
      <w:r>
        <w:t xml:space="preserve">In response to the efficiency literature on migration, some recent studies have sought to formalize anti-immigration discourse by arguing that migrants from poor countries carry with them the cultures and institutions that make their home country poor. In this model, global productivity is actually preserved by migration restrictions because migrants from poor countries carry with them whatever cultural or institutional </w:t>
      </w:r>
      <w:r>
        <w:lastRenderedPageBreak/>
        <w:t>factors make their home country poor. This is an old argument that has been put forth academically at least as far back as Julius Isaac in 1947 and as recently as Martin Wolf in 2015, but the argument that global efficiency gains would be offset is somewhat new.</w:t>
      </w:r>
      <w:r>
        <w:rPr>
          <w:rStyle w:val="FootnoteReference"/>
        </w:rPr>
        <w:footnoteReference w:id="180"/>
      </w:r>
      <w:r w:rsidR="006372A8">
        <w:t xml:space="preserve"> </w:t>
      </w:r>
      <w:r>
        <w:t>These studies form the epidemiological case for migration restrictions; they posit that low productivity is something that spreads (like disease or pollution) and if enough low productivity is transmitted from poor countries to rich countries through migrants, then the efficiency gains from labor reallocation will be offset. However, the literature is inconclusive on the validity of this theory, and if this causal mechanism exists, it is difficult to determine to what extent immeasurable variables like culture influence productivity or economic development.</w:t>
      </w:r>
      <w:r>
        <w:rPr>
          <w:rStyle w:val="FootnoteReference"/>
        </w:rPr>
        <w:footnoteReference w:id="181"/>
      </w:r>
      <w:r>
        <w:t xml:space="preserve"> It is not impossible to rule out the epidemiological case for migration restrictions altogether, and unfortunately the dialogue concerning refugees and migrants from Muslim countries has reflected this argument in recent years. </w:t>
      </w:r>
    </w:p>
    <w:p w14:paraId="582A3F06" w14:textId="77777777" w:rsidR="00F14AB5" w:rsidRDefault="00F14AB5" w:rsidP="00F14AB5">
      <w:pPr>
        <w:ind w:firstLine="720"/>
      </w:pPr>
      <w:r>
        <w:t xml:space="preserve">Migration has been a security issue for quite some time now, at least in the United States and certainly in Israel, but the rise of militant Islamist groups has thrust security issues to the forefront of migration discussions, especially since 9/11. During the Cold War era, the West saw the Soviet Union as the source of terror and global instability, but in light of the end of the Cold War and the post 9/11 instability, militant Islamist networks like the Taliban, Al-Qaida, and most recently ISIS have become the focus of international security efforts. As was discussed in section four of chapter one, these fears are not unfounded. It is true that numerous attacks carried out by Islamist </w:t>
      </w:r>
      <w:r>
        <w:lastRenderedPageBreak/>
        <w:t xml:space="preserve">groups have caused devastating losses, but public backlash to such attacks is still very troubling. </w:t>
      </w:r>
    </w:p>
    <w:p w14:paraId="67C0BB4C" w14:textId="77777777" w:rsidR="00F14AB5" w:rsidRPr="00F021FB" w:rsidRDefault="00F14AB5" w:rsidP="00F14AB5">
      <w:pPr>
        <w:ind w:firstLine="720"/>
      </w:pPr>
      <w:r>
        <w:t>Studies have found that perceived external threats typically result in an increased sense of nationalism or other forms of in-group solidarity, vilification of the perceived source of the threat, limitations on government actions that may support/protect members of the threatening group, and increased support for belligerent actions directed at the members of the threatening group.</w:t>
      </w:r>
      <w:r>
        <w:rPr>
          <w:rStyle w:val="FootnoteReference"/>
        </w:rPr>
        <w:footnoteReference w:id="182"/>
      </w:r>
      <w:r>
        <w:t xml:space="preserve"> These responses have been evident in the post 9/11 era, and such backlash has important consequences not only for members of Muslim communities around the world but also for the rights and freedoms of any person who may be perceived as a part of a threatening group in the future.</w:t>
      </w:r>
      <w:r>
        <w:rPr>
          <w:rStyle w:val="FootnoteReference"/>
        </w:rPr>
        <w:footnoteReference w:id="183"/>
      </w:r>
      <w:r>
        <w:t xml:space="preserve"> Given the evolving nexus between migration, economics, and security, the recent decision to increase the number of Palestinians working in Israel by 30,000 warrants a closer look at what the possible side effects of this policy may be.</w:t>
      </w:r>
    </w:p>
    <w:p w14:paraId="28DFCDF6" w14:textId="77777777" w:rsidR="00E5392D" w:rsidRDefault="00E5392D" w:rsidP="00F14AB5">
      <w:pPr>
        <w:jc w:val="center"/>
        <w:rPr>
          <w:b/>
        </w:rPr>
        <w:sectPr w:rsidR="00E5392D" w:rsidSect="002146AD">
          <w:type w:val="continuous"/>
          <w:pgSz w:w="12240" w:h="15840"/>
          <w:pgMar w:top="1440" w:right="1440" w:bottom="1440" w:left="2304" w:header="720" w:footer="720" w:gutter="0"/>
          <w:cols w:space="720"/>
          <w:docGrid w:linePitch="360"/>
        </w:sectPr>
      </w:pPr>
    </w:p>
    <w:p w14:paraId="67DE3596" w14:textId="3310DC4A" w:rsidR="00F14AB5" w:rsidRDefault="00F14AB5" w:rsidP="00882E52">
      <w:pPr>
        <w:pStyle w:val="Heading2"/>
      </w:pPr>
      <w:bookmarkStart w:id="57" w:name="_Toc324423958"/>
      <w:r>
        <w:lastRenderedPageBreak/>
        <w:t>3.2 Why An Agent-Based Dynamic Equilibrium Model?</w:t>
      </w:r>
      <w:bookmarkEnd w:id="57"/>
    </w:p>
    <w:p w14:paraId="2264F2AB" w14:textId="77777777" w:rsidR="00E5392D" w:rsidRDefault="00E5392D" w:rsidP="00E73FAF">
      <w:pPr>
        <w:spacing w:line="240" w:lineRule="auto"/>
      </w:pPr>
    </w:p>
    <w:p w14:paraId="3DEC32CD" w14:textId="77777777" w:rsidR="00E73FAF" w:rsidRDefault="00E73FAF" w:rsidP="00E73FAF">
      <w:pPr>
        <w:spacing w:line="240" w:lineRule="auto"/>
        <w:sectPr w:rsidR="00E73FAF" w:rsidSect="002146AD">
          <w:type w:val="continuous"/>
          <w:pgSz w:w="12240" w:h="15840"/>
          <w:pgMar w:top="1440" w:right="1440" w:bottom="1440" w:left="2304" w:header="720" w:footer="720" w:gutter="0"/>
          <w:cols w:space="720"/>
          <w:docGrid w:linePitch="360"/>
        </w:sectPr>
      </w:pPr>
    </w:p>
    <w:p w14:paraId="52BAB9AC" w14:textId="2CED305C" w:rsidR="00F14AB5" w:rsidRDefault="00F14AB5" w:rsidP="00F14AB5">
      <w:pPr>
        <w:ind w:firstLine="720"/>
      </w:pPr>
      <w:r w:rsidRPr="00A052DD">
        <w:lastRenderedPageBreak/>
        <w:t xml:space="preserve">The </w:t>
      </w:r>
      <w:r>
        <w:t xml:space="preserve">agent-based </w:t>
      </w:r>
      <w:r w:rsidRPr="00A052DD">
        <w:t>economic model employed in this study</w:t>
      </w:r>
      <w:r>
        <w:t xml:space="preserve"> models Israeli-Palestinian production as a function of violence, which is an inherently social phenomenon. Agent-based economic models seek to analyze the intricate two-way feedback between microstructure and macrostructure that has been recognized within economics for quite some time.</w:t>
      </w:r>
      <w:r>
        <w:rPr>
          <w:rStyle w:val="FootnoteReference"/>
        </w:rPr>
        <w:footnoteReference w:id="184"/>
      </w:r>
      <w:r>
        <w:t xml:space="preserve"> Agent-based modelers achieve this by analyzing economies as evolving systems of autonomous interacting agents. This requires the modeler to construct an economy with an initial population of agents that are expected to act in a limited number of ways given the environment in which they operate. This approach is particularly powerful because it allows researchers to investigate how large-scale effects arise from the micro-level interactions of agents—after starting from an initial set of conditions— such as the current state of affairs in the Israeli-Palestinian conflict.</w:t>
      </w:r>
      <w:r>
        <w:rPr>
          <w:rStyle w:val="FootnoteReference"/>
        </w:rPr>
        <w:footnoteReference w:id="185"/>
      </w:r>
      <w:r>
        <w:t xml:space="preserve"> </w:t>
      </w:r>
    </w:p>
    <w:p w14:paraId="6071D0D3" w14:textId="77777777" w:rsidR="00F14AB5" w:rsidRDefault="00F14AB5" w:rsidP="00F14AB5">
      <w:pPr>
        <w:ind w:firstLine="720"/>
      </w:pPr>
      <w:r>
        <w:t xml:space="preserve">The agent-based model in this study is </w:t>
      </w:r>
      <w:r w:rsidRPr="00A052DD">
        <w:t>an adaptation of the</w:t>
      </w:r>
      <w:r>
        <w:t xml:space="preserve"> economic </w:t>
      </w:r>
      <w:r w:rsidRPr="00A052DD">
        <w:t>model found in “The New Economic Case for Migration Restrictions: An Assessment,” by Michael Clemens and Lant Pritchett.</w:t>
      </w:r>
      <w:r>
        <w:rPr>
          <w:rStyle w:val="FootnoteReference"/>
        </w:rPr>
        <w:footnoteReference w:id="186"/>
      </w:r>
      <w:r w:rsidRPr="00A052DD">
        <w:t xml:space="preserve"> In their paper</w:t>
      </w:r>
      <w:r>
        <w:t>,</w:t>
      </w:r>
      <w:r w:rsidRPr="00A052DD">
        <w:t xml:space="preserve"> Clemens and Pritchett assess a relatively</w:t>
      </w:r>
      <w:r>
        <w:t xml:space="preserve"> recent </w:t>
      </w:r>
      <w:r w:rsidRPr="00A052DD">
        <w:t>argument in economic research</w:t>
      </w:r>
      <w:r>
        <w:t xml:space="preserve"> known as the new economic case for migration restrictions. This theory </w:t>
      </w:r>
      <w:r w:rsidRPr="00A052DD">
        <w:t>suggests that migration restrictions might be preserving the efficiency of the global labor market by preventing mass redistributio</w:t>
      </w:r>
      <w:r>
        <w:t>n of the global population. This theory assumes</w:t>
      </w:r>
      <w:r w:rsidRPr="00A052DD">
        <w:t xml:space="preserve"> that without tight restrictions on migration, </w:t>
      </w:r>
      <w:r w:rsidRPr="00A052DD">
        <w:lastRenderedPageBreak/>
        <w:t>migrants from poor countries may tr</w:t>
      </w:r>
      <w:r>
        <w:t xml:space="preserve">ansmit low productivity (measured as </w:t>
      </w:r>
      <w:r w:rsidRPr="00A052DD">
        <w:t xml:space="preserve">Total Factor </w:t>
      </w:r>
      <w:r>
        <w:t>Productivity) to rich countries. If this were the case, mass migration would offset the</w:t>
      </w:r>
      <w:r w:rsidRPr="00A052DD">
        <w:t xml:space="preserve"> efficiency gains from the spatial reallocation of labor from low to high-productivity places.</w:t>
      </w:r>
    </w:p>
    <w:p w14:paraId="09652A96" w14:textId="77777777" w:rsidR="00F14AB5" w:rsidRDefault="00F14AB5" w:rsidP="00F14AB5">
      <w:pPr>
        <w:ind w:firstLine="720"/>
      </w:pPr>
      <w:r>
        <w:t xml:space="preserve"> To evaluate whether or not migrants bring their productivity determinants with them, t</w:t>
      </w:r>
      <w:r w:rsidRPr="00A052DD">
        <w:t xml:space="preserve">heir paper proposes a model of dynamically efficient migration using three parameters: </w:t>
      </w:r>
      <w:r>
        <w:t>transmission, assimilation, and congestion. Transmission measures</w:t>
      </w:r>
      <w:r w:rsidRPr="00A052DD">
        <w:t xml:space="preserve"> the degree to which origin country Total Factor Productivity</w:t>
      </w:r>
      <w:r>
        <w:t xml:space="preserve"> (TFP)</w:t>
      </w:r>
      <w:r w:rsidRPr="00A052DD">
        <w:t xml:space="preserve"> is embodied in migrants</w:t>
      </w:r>
      <w:r>
        <w:t xml:space="preserve">, assimilation measures </w:t>
      </w:r>
      <w:r w:rsidRPr="00A052DD">
        <w:t xml:space="preserve">the degree to which </w:t>
      </w:r>
      <w:r>
        <w:t xml:space="preserve">the </w:t>
      </w:r>
      <w:r w:rsidRPr="00A052DD">
        <w:t xml:space="preserve">productivity determinants </w:t>
      </w:r>
      <w:r>
        <w:t xml:space="preserve">of migrants </w:t>
      </w:r>
      <w:r w:rsidRPr="00A052DD">
        <w:t>become like</w:t>
      </w:r>
      <w:r>
        <w:t xml:space="preserve"> the productivity determinants of citizens of the home country</w:t>
      </w:r>
      <w:r w:rsidRPr="00A052DD">
        <w:t xml:space="preserve"> </w:t>
      </w:r>
      <w:r>
        <w:t>over time,</w:t>
      </w:r>
      <w:r w:rsidRPr="00A052DD">
        <w:t xml:space="preserve"> and </w:t>
      </w:r>
      <w:r>
        <w:t>congestion measures</w:t>
      </w:r>
      <w:r w:rsidRPr="00A052DD">
        <w:t xml:space="preserve"> the degree to which transmission and assimilation </w:t>
      </w:r>
      <w:r>
        <w:t xml:space="preserve">change according to the number of migrants in the host country. Their paper finds that the current evidence about these parameters points to a relaxation of international migration restrictions in all scenarios. </w:t>
      </w:r>
    </w:p>
    <w:p w14:paraId="091F809B" w14:textId="77777777" w:rsidR="00F14AB5" w:rsidRDefault="00F14AB5" w:rsidP="00F14AB5">
      <w:pPr>
        <w:ind w:firstLine="720"/>
      </w:pPr>
      <w:r>
        <w:t xml:space="preserve">Clemens and Pritchett analyze the effects of migration on cumulative production between a home country and a migrant-sending country; in the same manner, this study analyzes cumulative production between Israel and the West Bank, but in the Israeli-Palestinian context the primary concern is not that Palestinians from the West Bank will bring low productivity to Israel. The concern for many Israelis is that more freedom of Palestinian movement will bring more violence upon Israel. Clemens and Pritchett acknowledge that the three parameters in their model are somewhat unknown and may be influenced by a variety of factors, some of which they examine. However, in their analysis they don’t take into account that increased immigration could lead to more </w:t>
      </w:r>
      <w:r>
        <w:lastRenderedPageBreak/>
        <w:t>crime and/or more violence. Crime perpetrated by immigrants, especially violent crime, may lower TFP in the migrant-receiving country by eroding trust within society. They likely omitted this variable because migrants are less likely to commit crime or engage in violence in most cases, but this omission might also be due to the fact that migrants rarely want to move into an area of conflict.</w:t>
      </w:r>
      <w:r>
        <w:rPr>
          <w:rStyle w:val="FootnoteReference"/>
        </w:rPr>
        <w:footnoteReference w:id="187"/>
      </w:r>
      <w:r>
        <w:t xml:space="preserve"> </w:t>
      </w:r>
    </w:p>
    <w:p w14:paraId="1895720F" w14:textId="1613D054" w:rsidR="00F14AB5" w:rsidRDefault="00F14AB5" w:rsidP="00F14AB5">
      <w:pPr>
        <w:ind w:firstLine="720"/>
      </w:pPr>
      <w:r>
        <w:t>Clemens and Pritchett’s acknowledgement that the parameters in their model can be influenced by a variety of factors, when combined with the absence of an evaluation of crime and/or violence in their study, makes their economic model adaptable to the Israeli-Palestinian context yet incomplete for the particular factors at play in this context. The intimate proximity of Israelis and Palestinians and the commuter/mig</w:t>
      </w:r>
      <w:r w:rsidR="007D4B97">
        <w:t>rant nature of WBPL require my</w:t>
      </w:r>
      <w:r>
        <w:t xml:space="preserve"> model to consider social interactions more deeply than did Clemens and Pritchett while analyzing the effects of violence on TFP. </w:t>
      </w:r>
    </w:p>
    <w:p w14:paraId="62BFABB4" w14:textId="77777777" w:rsidR="00E5392D" w:rsidRDefault="00E5392D" w:rsidP="00F14AB5">
      <w:pPr>
        <w:jc w:val="center"/>
        <w:rPr>
          <w:b/>
        </w:rPr>
        <w:sectPr w:rsidR="00E5392D" w:rsidSect="002146AD">
          <w:type w:val="continuous"/>
          <w:pgSz w:w="12240" w:h="15840"/>
          <w:pgMar w:top="1440" w:right="1440" w:bottom="1440" w:left="2304" w:header="720" w:footer="720" w:gutter="0"/>
          <w:cols w:space="720"/>
          <w:docGrid w:linePitch="360"/>
        </w:sectPr>
      </w:pPr>
    </w:p>
    <w:p w14:paraId="4E0BD7BD" w14:textId="3760518A" w:rsidR="00E73FAF" w:rsidRDefault="00F14AB5" w:rsidP="00882E52">
      <w:pPr>
        <w:pStyle w:val="Heading2"/>
      </w:pPr>
      <w:bookmarkStart w:id="58" w:name="_Toc324423959"/>
      <w:r>
        <w:lastRenderedPageBreak/>
        <w:t>3.3 Assumptions,</w:t>
      </w:r>
      <w:r w:rsidRPr="000F7DAB">
        <w:t xml:space="preserve"> Parameters</w:t>
      </w:r>
      <w:r>
        <w:t>, and Reasoning</w:t>
      </w:r>
      <w:bookmarkEnd w:id="58"/>
    </w:p>
    <w:p w14:paraId="22D1D2B2" w14:textId="77777777" w:rsidR="00E73FAF" w:rsidRDefault="00E73FAF" w:rsidP="00E73FAF">
      <w:pPr>
        <w:spacing w:line="240" w:lineRule="auto"/>
      </w:pPr>
    </w:p>
    <w:p w14:paraId="668CAD96" w14:textId="77777777" w:rsidR="00E73FAF" w:rsidRDefault="00E73FAF" w:rsidP="00E73FAF">
      <w:pPr>
        <w:spacing w:line="240" w:lineRule="auto"/>
        <w:sectPr w:rsidR="00E73FAF" w:rsidSect="002146AD">
          <w:type w:val="continuous"/>
          <w:pgSz w:w="12240" w:h="15840"/>
          <w:pgMar w:top="1440" w:right="1440" w:bottom="1440" w:left="2304" w:header="720" w:footer="720" w:gutter="0"/>
          <w:cols w:space="720"/>
          <w:docGrid w:linePitch="360"/>
        </w:sectPr>
      </w:pPr>
    </w:p>
    <w:p w14:paraId="58D9B875" w14:textId="17E59FB3" w:rsidR="00F14AB5" w:rsidRDefault="00F14AB5" w:rsidP="00F14AB5">
      <w:pPr>
        <w:ind w:firstLine="720"/>
      </w:pPr>
      <w:r w:rsidRPr="00A052DD">
        <w:lastRenderedPageBreak/>
        <w:t xml:space="preserve">The economic model in this study analyzes the nexus between labor mobility, economic development, and violence in the Israeli-Palestinian conflict by incorporating </w:t>
      </w:r>
      <w:r>
        <w:t xml:space="preserve">the available research on </w:t>
      </w:r>
      <w:r w:rsidRPr="00A052DD">
        <w:t xml:space="preserve">these key issues. Rather than assessing the degree to which Palestinian workers affect </w:t>
      </w:r>
      <w:r>
        <w:t xml:space="preserve">the </w:t>
      </w:r>
      <w:r w:rsidRPr="00A052DD">
        <w:t xml:space="preserve">efficiency of the Israeli-Palestinian labor market, this model analyzes </w:t>
      </w:r>
      <w:r>
        <w:t>the degree to which TFP</w:t>
      </w:r>
      <w:r w:rsidRPr="00A052DD">
        <w:t xml:space="preserve"> </w:t>
      </w:r>
      <w:r>
        <w:t>may decrease as a result of violence</w:t>
      </w:r>
      <w:r w:rsidR="007D4B97">
        <w:t xml:space="preserve">. </w:t>
      </w:r>
      <w:r>
        <w:t>The model ac</w:t>
      </w:r>
      <w:r w:rsidR="007D4B97">
        <w:t>complishes this by analyzing how</w:t>
      </w:r>
      <w:r>
        <w:t xml:space="preserve"> </w:t>
      </w:r>
      <w:r w:rsidRPr="00A052DD">
        <w:t xml:space="preserve">the </w:t>
      </w:r>
      <w:r w:rsidR="007D4B97">
        <w:t xml:space="preserve">recommended </w:t>
      </w:r>
      <w:r w:rsidRPr="00A052DD">
        <w:t xml:space="preserve">number of </w:t>
      </w:r>
      <w:r>
        <w:t>WBPL</w:t>
      </w:r>
      <w:r w:rsidRPr="00A052DD">
        <w:t xml:space="preserve"> </w:t>
      </w:r>
      <w:r>
        <w:t xml:space="preserve">permitted to work </w:t>
      </w:r>
      <w:r w:rsidRPr="00A052DD">
        <w:t>in Israel</w:t>
      </w:r>
      <w:r w:rsidR="007D4B97">
        <w:t xml:space="preserve"> changes at different rates of violence</w:t>
      </w:r>
      <w:r>
        <w:t xml:space="preserve">. At its core, this model is concerned with the evolution of violence as a social-behavioral norm given an increase in the number of WBPL permitted to work in Israel, but this evolution of social-behavioral norms is modeled with respect to the effect of violence on economic productivity. </w:t>
      </w:r>
    </w:p>
    <w:p w14:paraId="33864416" w14:textId="77777777" w:rsidR="00F14AB5" w:rsidRPr="00A052DD" w:rsidRDefault="00F14AB5" w:rsidP="00F14AB5">
      <w:pPr>
        <w:ind w:firstLine="360"/>
      </w:pPr>
      <w:r>
        <w:t xml:space="preserve">The assumptions for the agents in this </w:t>
      </w:r>
      <w:r w:rsidRPr="00A052DD">
        <w:t>model are as follows:</w:t>
      </w:r>
    </w:p>
    <w:p w14:paraId="40EEC2D4" w14:textId="77777777" w:rsidR="00F14AB5" w:rsidRPr="00A052DD" w:rsidRDefault="00F14AB5" w:rsidP="00F14AB5">
      <w:pPr>
        <w:pStyle w:val="ListParagraph"/>
        <w:numPr>
          <w:ilvl w:val="0"/>
          <w:numId w:val="1"/>
        </w:numPr>
        <w:spacing w:line="480" w:lineRule="auto"/>
        <w:rPr>
          <w:rFonts w:ascii="Times New Roman" w:hAnsi="Times New Roman" w:cs="Times New Roman"/>
        </w:rPr>
      </w:pPr>
      <w:r w:rsidRPr="00A052DD">
        <w:rPr>
          <w:rFonts w:ascii="Times New Roman" w:hAnsi="Times New Roman" w:cs="Times New Roman"/>
        </w:rPr>
        <w:t>The conflict has high economic costs</w:t>
      </w:r>
      <w:r>
        <w:rPr>
          <w:rFonts w:ascii="Times New Roman" w:hAnsi="Times New Roman" w:cs="Times New Roman"/>
        </w:rPr>
        <w:t xml:space="preserve"> (in terms of expenditures and in terms of unrealized potential growth)</w:t>
      </w:r>
      <w:r w:rsidRPr="00A052DD">
        <w:rPr>
          <w:rFonts w:ascii="Times New Roman" w:hAnsi="Times New Roman" w:cs="Times New Roman"/>
        </w:rPr>
        <w:t xml:space="preserve"> for Israelis and Palestinians</w:t>
      </w:r>
      <w:r>
        <w:rPr>
          <w:rFonts w:ascii="Times New Roman" w:hAnsi="Times New Roman" w:cs="Times New Roman"/>
        </w:rPr>
        <w:t xml:space="preserve"> due to the negative effects of violence on economic development.</w:t>
      </w:r>
      <w:r w:rsidRPr="00A052DD">
        <w:rPr>
          <w:rStyle w:val="FootnoteReference"/>
        </w:rPr>
        <w:footnoteReference w:id="188"/>
      </w:r>
    </w:p>
    <w:p w14:paraId="22B519C2" w14:textId="77777777" w:rsidR="00F14AB5" w:rsidRPr="00A052DD" w:rsidRDefault="00F14AB5" w:rsidP="00F14AB5">
      <w:pPr>
        <w:pStyle w:val="ListParagraph"/>
        <w:numPr>
          <w:ilvl w:val="0"/>
          <w:numId w:val="1"/>
        </w:numPr>
        <w:spacing w:line="480" w:lineRule="auto"/>
        <w:rPr>
          <w:rFonts w:ascii="Times New Roman" w:hAnsi="Times New Roman" w:cs="Times New Roman"/>
        </w:rPr>
      </w:pPr>
      <w:r w:rsidRPr="00A052DD">
        <w:rPr>
          <w:rFonts w:ascii="Times New Roman" w:hAnsi="Times New Roman" w:cs="Times New Roman"/>
        </w:rPr>
        <w:t>Palestinian violence against Israel is correlated with economic development (violence increases as economic conditions worsen)</w:t>
      </w:r>
      <w:r>
        <w:rPr>
          <w:rFonts w:ascii="Times New Roman" w:hAnsi="Times New Roman" w:cs="Times New Roman"/>
        </w:rPr>
        <w:t>.</w:t>
      </w:r>
      <w:r w:rsidRPr="00A052DD">
        <w:rPr>
          <w:rStyle w:val="FootnoteReference"/>
        </w:rPr>
        <w:footnoteReference w:id="189"/>
      </w:r>
    </w:p>
    <w:p w14:paraId="18A9D9AE" w14:textId="77777777" w:rsidR="00F14AB5" w:rsidRPr="00A052DD" w:rsidRDefault="00F14AB5" w:rsidP="00F14AB5">
      <w:pPr>
        <w:pStyle w:val="ListParagraph"/>
        <w:numPr>
          <w:ilvl w:val="0"/>
          <w:numId w:val="1"/>
        </w:numPr>
        <w:spacing w:line="480" w:lineRule="auto"/>
        <w:rPr>
          <w:rFonts w:ascii="Times New Roman" w:hAnsi="Times New Roman" w:cs="Times New Roman"/>
        </w:rPr>
      </w:pPr>
      <w:r w:rsidRPr="00A052DD">
        <w:rPr>
          <w:rFonts w:ascii="Times New Roman" w:hAnsi="Times New Roman" w:cs="Times New Roman"/>
        </w:rPr>
        <w:t>Israel’s labor restrictive policies harm the Palestinian economies by increasing unemployment, which has been correlated with increased violence</w:t>
      </w:r>
      <w:r>
        <w:rPr>
          <w:rFonts w:ascii="Times New Roman" w:hAnsi="Times New Roman" w:cs="Times New Roman"/>
        </w:rPr>
        <w:t>.</w:t>
      </w:r>
      <w:r w:rsidRPr="00A052DD">
        <w:rPr>
          <w:rStyle w:val="FootnoteReference"/>
        </w:rPr>
        <w:footnoteReference w:id="190"/>
      </w:r>
    </w:p>
    <w:p w14:paraId="4710B683" w14:textId="77777777" w:rsidR="00F14AB5" w:rsidRDefault="00F14AB5" w:rsidP="00F14AB5">
      <w:pPr>
        <w:pStyle w:val="ListParagraph"/>
        <w:numPr>
          <w:ilvl w:val="0"/>
          <w:numId w:val="1"/>
        </w:numPr>
        <w:spacing w:line="480" w:lineRule="auto"/>
        <w:rPr>
          <w:rFonts w:ascii="Times New Roman" w:hAnsi="Times New Roman" w:cs="Times New Roman"/>
        </w:rPr>
      </w:pPr>
      <w:r w:rsidRPr="00A052DD">
        <w:rPr>
          <w:rFonts w:ascii="Times New Roman" w:hAnsi="Times New Roman" w:cs="Times New Roman"/>
        </w:rPr>
        <w:lastRenderedPageBreak/>
        <w:t xml:space="preserve">Allowing more </w:t>
      </w:r>
      <w:r>
        <w:rPr>
          <w:rFonts w:ascii="Times New Roman" w:hAnsi="Times New Roman" w:cs="Times New Roman"/>
        </w:rPr>
        <w:t>WBPL</w:t>
      </w:r>
      <w:r w:rsidRPr="00A052DD">
        <w:rPr>
          <w:rFonts w:ascii="Times New Roman" w:hAnsi="Times New Roman" w:cs="Times New Roman"/>
        </w:rPr>
        <w:t xml:space="preserve"> to work in Israel will benefit the West Bank economy through increased capital availability and will benefit the Israeli economy through increased production</w:t>
      </w:r>
      <w:r>
        <w:rPr>
          <w:rFonts w:ascii="Times New Roman" w:hAnsi="Times New Roman" w:cs="Times New Roman"/>
        </w:rPr>
        <w:t>. Both groups would benefit from reduced violence.</w:t>
      </w:r>
      <w:r w:rsidRPr="00A052DD">
        <w:rPr>
          <w:rStyle w:val="FootnoteReference"/>
        </w:rPr>
        <w:footnoteReference w:id="191"/>
      </w:r>
      <w:r w:rsidRPr="00A052DD">
        <w:rPr>
          <w:rFonts w:ascii="Times New Roman" w:hAnsi="Times New Roman" w:cs="Times New Roman"/>
        </w:rPr>
        <w:t xml:space="preserve"> </w:t>
      </w:r>
    </w:p>
    <w:p w14:paraId="6736924F" w14:textId="77777777" w:rsidR="00F14AB5" w:rsidRPr="00AE4597" w:rsidRDefault="00F14AB5" w:rsidP="00F14AB5">
      <w:pPr>
        <w:pStyle w:val="ListParagraph"/>
        <w:numPr>
          <w:ilvl w:val="0"/>
          <w:numId w:val="1"/>
        </w:numPr>
        <w:spacing w:line="480" w:lineRule="auto"/>
        <w:rPr>
          <w:rFonts w:ascii="Times New Roman" w:hAnsi="Times New Roman" w:cs="Times New Roman"/>
        </w:rPr>
      </w:pPr>
      <w:r w:rsidRPr="00AE4597">
        <w:rPr>
          <w:rFonts w:ascii="Times New Roman" w:hAnsi="Times New Roman" w:cs="Times New Roman"/>
        </w:rPr>
        <w:t>Permitting more WBPL to work in Israel and allowing for more freedom of movement with</w:t>
      </w:r>
      <w:r>
        <w:rPr>
          <w:rFonts w:ascii="Times New Roman" w:hAnsi="Times New Roman" w:cs="Times New Roman"/>
        </w:rPr>
        <w:t>in the West Bank can</w:t>
      </w:r>
      <w:r w:rsidRPr="00AE4597">
        <w:rPr>
          <w:rFonts w:ascii="Times New Roman" w:hAnsi="Times New Roman" w:cs="Times New Roman"/>
        </w:rPr>
        <w:t xml:space="preserve"> increase support for conciliatory measures.</w:t>
      </w:r>
      <w:r>
        <w:rPr>
          <w:rStyle w:val="FootnoteReference"/>
        </w:rPr>
        <w:footnoteReference w:id="192"/>
      </w:r>
    </w:p>
    <w:p w14:paraId="3397CEEB" w14:textId="77777777" w:rsidR="00F14AB5" w:rsidRPr="00A052DD" w:rsidRDefault="00F14AB5" w:rsidP="00F14AB5">
      <w:pPr>
        <w:pStyle w:val="ListParagraph"/>
        <w:numPr>
          <w:ilvl w:val="0"/>
          <w:numId w:val="1"/>
        </w:numPr>
        <w:spacing w:line="480" w:lineRule="auto"/>
        <w:rPr>
          <w:rFonts w:ascii="Times New Roman" w:hAnsi="Times New Roman" w:cs="Times New Roman"/>
        </w:rPr>
      </w:pPr>
      <w:r w:rsidRPr="00A052DD">
        <w:rPr>
          <w:rFonts w:ascii="Times New Roman" w:hAnsi="Times New Roman" w:cs="Times New Roman"/>
        </w:rPr>
        <w:t>A partial relaxation of Israel’s control over Palestinian mobility is politically feasible</w:t>
      </w:r>
      <w:r>
        <w:rPr>
          <w:rFonts w:ascii="Times New Roman" w:hAnsi="Times New Roman" w:cs="Times New Roman"/>
        </w:rPr>
        <w:t>.</w:t>
      </w:r>
      <w:r w:rsidRPr="00A052DD">
        <w:rPr>
          <w:rStyle w:val="FootnoteReference"/>
        </w:rPr>
        <w:footnoteReference w:id="193"/>
      </w:r>
    </w:p>
    <w:p w14:paraId="61E9EEA0" w14:textId="77777777" w:rsidR="00F14AB5" w:rsidRPr="00A052DD" w:rsidRDefault="00F14AB5" w:rsidP="00F14AB5">
      <w:pPr>
        <w:pStyle w:val="ListParagraph"/>
        <w:numPr>
          <w:ilvl w:val="0"/>
          <w:numId w:val="1"/>
        </w:numPr>
        <w:spacing w:line="480" w:lineRule="auto"/>
        <w:rPr>
          <w:rFonts w:ascii="Times New Roman" w:hAnsi="Times New Roman" w:cs="Times New Roman"/>
        </w:rPr>
      </w:pPr>
      <w:r w:rsidRPr="00A052DD">
        <w:rPr>
          <w:rFonts w:ascii="Times New Roman" w:hAnsi="Times New Roman" w:cs="Times New Roman"/>
        </w:rPr>
        <w:t>The perception that peace may be possible results in increased economic growth through inc</w:t>
      </w:r>
      <w:r>
        <w:rPr>
          <w:rFonts w:ascii="Times New Roman" w:hAnsi="Times New Roman" w:cs="Times New Roman"/>
        </w:rPr>
        <w:t xml:space="preserve">reased investments and lower rates of </w:t>
      </w:r>
      <w:r w:rsidRPr="00A052DD">
        <w:rPr>
          <w:rFonts w:ascii="Times New Roman" w:hAnsi="Times New Roman" w:cs="Times New Roman"/>
        </w:rPr>
        <w:t>destruction of human and physical capital by violence.</w:t>
      </w:r>
      <w:r w:rsidRPr="00A052DD">
        <w:rPr>
          <w:rStyle w:val="FootnoteReference"/>
        </w:rPr>
        <w:footnoteReference w:id="194"/>
      </w:r>
    </w:p>
    <w:p w14:paraId="6674677C" w14:textId="77777777" w:rsidR="00F14AB5" w:rsidRPr="00A052DD" w:rsidRDefault="00F14AB5" w:rsidP="00F14AB5">
      <w:pPr>
        <w:pStyle w:val="ListParagraph"/>
        <w:numPr>
          <w:ilvl w:val="0"/>
          <w:numId w:val="1"/>
        </w:numPr>
        <w:spacing w:line="480" w:lineRule="auto"/>
        <w:rPr>
          <w:rFonts w:ascii="Times New Roman" w:hAnsi="Times New Roman" w:cs="Times New Roman"/>
        </w:rPr>
      </w:pPr>
      <w:r w:rsidRPr="00A052DD">
        <w:rPr>
          <w:rFonts w:ascii="Times New Roman" w:hAnsi="Times New Roman" w:cs="Times New Roman"/>
        </w:rPr>
        <w:t xml:space="preserve">Every day interactions between Palestinians and Israelis, when they occur under optimal conditions, have the potential to reduce the perception that members of the other group are </w:t>
      </w:r>
      <w:r>
        <w:rPr>
          <w:rFonts w:ascii="Times New Roman" w:hAnsi="Times New Roman" w:cs="Times New Roman"/>
        </w:rPr>
        <w:t>a threat and therefore increase</w:t>
      </w:r>
      <w:r w:rsidRPr="00A052DD">
        <w:rPr>
          <w:rFonts w:ascii="Times New Roman" w:hAnsi="Times New Roman" w:cs="Times New Roman"/>
        </w:rPr>
        <w:t xml:space="preserve"> support for peace</w:t>
      </w:r>
      <w:r>
        <w:rPr>
          <w:rFonts w:ascii="Times New Roman" w:hAnsi="Times New Roman" w:cs="Times New Roman"/>
        </w:rPr>
        <w:t>.</w:t>
      </w:r>
      <w:r w:rsidRPr="00A052DD">
        <w:rPr>
          <w:rStyle w:val="FootnoteReference"/>
        </w:rPr>
        <w:footnoteReference w:id="195"/>
      </w:r>
    </w:p>
    <w:p w14:paraId="1AB2E773" w14:textId="50780737" w:rsidR="00F14AB5" w:rsidRPr="00A052DD" w:rsidRDefault="00F14AB5" w:rsidP="00F14AB5">
      <w:pPr>
        <w:ind w:firstLine="360"/>
      </w:pPr>
      <w:r>
        <w:lastRenderedPageBreak/>
        <w:t>These assumptions form the initial set of conditions of the Israeli and West Bank economies in the model, and these assumptions are informed by a plethora of scholarly research beyond even the previous chapters in this study and the cited material. However, it is important to consider the full range of possibilities when analyzing the effects of increasing the number of WBPL working in Israel. Therefore t</w:t>
      </w:r>
      <w:r w:rsidRPr="00A052DD">
        <w:t xml:space="preserve">his </w:t>
      </w:r>
      <w:r>
        <w:t>m</w:t>
      </w:r>
      <w:r w:rsidR="007D4B97">
        <w:t>odel relates these assumptions—and their counter-arguments—</w:t>
      </w:r>
      <w:r>
        <w:t xml:space="preserve">through </w:t>
      </w:r>
      <w:r w:rsidRPr="00A052DD">
        <w:t>three parameters</w:t>
      </w:r>
      <w:r>
        <w:t xml:space="preserve"> of social behavior</w:t>
      </w:r>
      <w:r w:rsidRPr="00A052DD">
        <w:t>:</w:t>
      </w:r>
    </w:p>
    <w:p w14:paraId="5C65F3BA" w14:textId="77777777" w:rsidR="00F14AB5" w:rsidRPr="00A052DD" w:rsidRDefault="00F14AB5" w:rsidP="00F14AB5">
      <w:pPr>
        <w:pStyle w:val="ListParagraph"/>
        <w:numPr>
          <w:ilvl w:val="0"/>
          <w:numId w:val="4"/>
        </w:numPr>
        <w:spacing w:line="480" w:lineRule="auto"/>
        <w:rPr>
          <w:rFonts w:ascii="Times New Roman" w:hAnsi="Times New Roman" w:cs="Times New Roman"/>
        </w:rPr>
      </w:pPr>
      <w:r w:rsidRPr="00A052DD">
        <w:rPr>
          <w:rFonts w:ascii="Times New Roman" w:hAnsi="Times New Roman" w:cs="Times New Roman"/>
          <w:b/>
        </w:rPr>
        <w:t>Propensity for Violence (</w:t>
      </w:r>
      <w:r w:rsidRPr="00A052DD">
        <w:rPr>
          <w:rFonts w:ascii="Times New Roman" w:hAnsi="Times New Roman" w:cs="Times New Roman"/>
          <w:b/>
          <w:i/>
        </w:rPr>
        <w:t>v</w:t>
      </w:r>
      <w:r w:rsidRPr="00A052DD">
        <w:rPr>
          <w:rFonts w:ascii="Times New Roman" w:hAnsi="Times New Roman" w:cs="Times New Roman"/>
          <w:b/>
        </w:rPr>
        <w:t>) -</w:t>
      </w:r>
      <w:r w:rsidRPr="00A052DD">
        <w:rPr>
          <w:rFonts w:ascii="Times New Roman" w:hAnsi="Times New Roman" w:cs="Times New Roman"/>
        </w:rPr>
        <w:t xml:space="preserve"> the degree to which increased </w:t>
      </w:r>
      <w:r>
        <w:rPr>
          <w:rFonts w:ascii="Times New Roman" w:hAnsi="Times New Roman" w:cs="Times New Roman"/>
        </w:rPr>
        <w:t xml:space="preserve">freedom of movement for </w:t>
      </w:r>
      <w:r w:rsidRPr="00A052DD">
        <w:rPr>
          <w:rFonts w:ascii="Times New Roman" w:hAnsi="Times New Roman" w:cs="Times New Roman"/>
        </w:rPr>
        <w:t>Palestini</w:t>
      </w:r>
      <w:r>
        <w:rPr>
          <w:rFonts w:ascii="Times New Roman" w:hAnsi="Times New Roman" w:cs="Times New Roman"/>
        </w:rPr>
        <w:t xml:space="preserve">ans leads to increased violence. More freedom of movement for Palestinians would increase the number of interactions between the two groups of people, which may produce more violence depending on (among other things) the </w:t>
      </w:r>
      <w:r w:rsidRPr="00A052DD">
        <w:rPr>
          <w:rFonts w:ascii="Times New Roman" w:hAnsi="Times New Roman" w:cs="Times New Roman"/>
        </w:rPr>
        <w:t>attitudes of Israelis and Palestinians</w:t>
      </w:r>
      <w:r>
        <w:rPr>
          <w:rFonts w:ascii="Times New Roman" w:hAnsi="Times New Roman" w:cs="Times New Roman"/>
        </w:rPr>
        <w:t xml:space="preserve"> towards each other. </w:t>
      </w:r>
      <w:r w:rsidRPr="00A052DD">
        <w:rPr>
          <w:rFonts w:ascii="Times New Roman" w:hAnsi="Times New Roman" w:cs="Times New Roman"/>
        </w:rPr>
        <w:t xml:space="preserve">Higher </w:t>
      </w:r>
      <w:r>
        <w:rPr>
          <w:rFonts w:ascii="Times New Roman" w:hAnsi="Times New Roman" w:cs="Times New Roman"/>
        </w:rPr>
        <w:t xml:space="preserve">levels of violence </w:t>
      </w:r>
      <w:r w:rsidRPr="00A052DD">
        <w:rPr>
          <w:rFonts w:ascii="Times New Roman" w:hAnsi="Times New Roman" w:cs="Times New Roman"/>
        </w:rPr>
        <w:t>would lower</w:t>
      </w:r>
      <w:r>
        <w:rPr>
          <w:rFonts w:ascii="Times New Roman" w:hAnsi="Times New Roman" w:cs="Times New Roman"/>
        </w:rPr>
        <w:t xml:space="preserve"> economic output in the short term by decreasing the TFP associated with trust between the two groups.</w:t>
      </w:r>
    </w:p>
    <w:p w14:paraId="4E441550" w14:textId="03B766BA" w:rsidR="00F14AB5" w:rsidRPr="00A052DD" w:rsidRDefault="00F14AB5" w:rsidP="00F14AB5">
      <w:pPr>
        <w:pStyle w:val="ListParagraph"/>
        <w:numPr>
          <w:ilvl w:val="0"/>
          <w:numId w:val="4"/>
        </w:numPr>
        <w:spacing w:line="480" w:lineRule="auto"/>
        <w:rPr>
          <w:rFonts w:ascii="Times New Roman" w:hAnsi="Times New Roman" w:cs="Times New Roman"/>
        </w:rPr>
      </w:pPr>
      <w:r>
        <w:rPr>
          <w:rFonts w:ascii="Times New Roman" w:hAnsi="Times New Roman" w:cs="Times New Roman"/>
          <w:b/>
        </w:rPr>
        <w:t>Pacification</w:t>
      </w:r>
      <w:r w:rsidRPr="00A052DD">
        <w:rPr>
          <w:rFonts w:ascii="Times New Roman" w:hAnsi="Times New Roman" w:cs="Times New Roman"/>
          <w:b/>
        </w:rPr>
        <w:t xml:space="preserve"> (</w:t>
      </w:r>
      <w:r>
        <w:rPr>
          <w:rFonts w:ascii="Times New Roman" w:hAnsi="Times New Roman" w:cs="Times New Roman"/>
          <w:b/>
          <w:i/>
        </w:rPr>
        <w:t>n</w:t>
      </w:r>
      <w:r w:rsidRPr="00A052DD">
        <w:rPr>
          <w:rFonts w:ascii="Times New Roman" w:hAnsi="Times New Roman" w:cs="Times New Roman"/>
          <w:b/>
        </w:rPr>
        <w:t xml:space="preserve">)- </w:t>
      </w:r>
      <w:r w:rsidRPr="00A052DD">
        <w:rPr>
          <w:rFonts w:ascii="Times New Roman" w:hAnsi="Times New Roman" w:cs="Times New Roman"/>
        </w:rPr>
        <w:t>the degree to which Palestinians red</w:t>
      </w:r>
      <w:r>
        <w:rPr>
          <w:rFonts w:ascii="Times New Roman" w:hAnsi="Times New Roman" w:cs="Times New Roman"/>
        </w:rPr>
        <w:t>uce their propensity for violence</w:t>
      </w:r>
      <w:r w:rsidRPr="00A052DD">
        <w:rPr>
          <w:rFonts w:ascii="Times New Roman" w:hAnsi="Times New Roman" w:cs="Times New Roman"/>
        </w:rPr>
        <w:t xml:space="preserve"> over time due to the positive effects of economic </w:t>
      </w:r>
      <w:r w:rsidR="00DA1C04">
        <w:rPr>
          <w:rFonts w:ascii="Times New Roman" w:hAnsi="Times New Roman" w:cs="Times New Roman"/>
        </w:rPr>
        <w:t xml:space="preserve">development in the West Bank </w:t>
      </w:r>
      <w:r w:rsidR="00DA1C04">
        <w:rPr>
          <w:rFonts w:ascii="Times New Roman" w:hAnsi="Times New Roman" w:cs="Times New Roman"/>
          <w:i/>
        </w:rPr>
        <w:t>and</w:t>
      </w:r>
      <w:r w:rsidRPr="00A052DD">
        <w:rPr>
          <w:rFonts w:ascii="Times New Roman" w:hAnsi="Times New Roman" w:cs="Times New Roman"/>
        </w:rPr>
        <w:t xml:space="preserve"> the degree to which Israelis reduce their perception of Palestinians as threatening due to the positive influence of high quality interactions. </w:t>
      </w:r>
      <w:r>
        <w:rPr>
          <w:rFonts w:ascii="Times New Roman" w:hAnsi="Times New Roman" w:cs="Times New Roman"/>
        </w:rPr>
        <w:t xml:space="preserve">Put simply, this measures the level of trust between the two groups. </w:t>
      </w:r>
      <w:r w:rsidRPr="00A052DD">
        <w:rPr>
          <w:rFonts w:ascii="Times New Roman" w:hAnsi="Times New Roman" w:cs="Times New Roman"/>
        </w:rPr>
        <w:t>This measure is emb</w:t>
      </w:r>
      <w:r>
        <w:rPr>
          <w:rFonts w:ascii="Times New Roman" w:hAnsi="Times New Roman" w:cs="Times New Roman"/>
        </w:rPr>
        <w:t xml:space="preserve">odied in Palestinians, as </w:t>
      </w:r>
      <w:r w:rsidRPr="00A052DD">
        <w:rPr>
          <w:rFonts w:ascii="Times New Roman" w:hAnsi="Times New Roman" w:cs="Times New Roman"/>
        </w:rPr>
        <w:t>their economic development</w:t>
      </w:r>
      <w:r>
        <w:rPr>
          <w:rFonts w:ascii="Times New Roman" w:hAnsi="Times New Roman" w:cs="Times New Roman"/>
        </w:rPr>
        <w:t xml:space="preserve"> and the interactions that are produced by their increased freedom of movement</w:t>
      </w:r>
      <w:r w:rsidRPr="00A052DD">
        <w:rPr>
          <w:rFonts w:ascii="Times New Roman" w:hAnsi="Times New Roman" w:cs="Times New Roman"/>
        </w:rPr>
        <w:t xml:space="preserve"> are the primary determinants of intergroup perceptions and th</w:t>
      </w:r>
      <w:r>
        <w:rPr>
          <w:rFonts w:ascii="Times New Roman" w:hAnsi="Times New Roman" w:cs="Times New Roman"/>
        </w:rPr>
        <w:t xml:space="preserve">e propensity for </w:t>
      </w:r>
      <w:r>
        <w:rPr>
          <w:rFonts w:ascii="Times New Roman" w:hAnsi="Times New Roman" w:cs="Times New Roman"/>
        </w:rPr>
        <w:lastRenderedPageBreak/>
        <w:t>violence. Relations between the two groups pacify more quickly at lower levels of violence.</w:t>
      </w:r>
    </w:p>
    <w:p w14:paraId="24F289BD" w14:textId="77777777" w:rsidR="00F14AB5" w:rsidRPr="00A052DD" w:rsidRDefault="00F14AB5" w:rsidP="00F14AB5">
      <w:pPr>
        <w:pStyle w:val="ListParagraph"/>
        <w:numPr>
          <w:ilvl w:val="0"/>
          <w:numId w:val="4"/>
        </w:numPr>
        <w:spacing w:line="480" w:lineRule="auto"/>
        <w:rPr>
          <w:rFonts w:ascii="Times New Roman" w:hAnsi="Times New Roman" w:cs="Times New Roman"/>
        </w:rPr>
      </w:pPr>
      <w:r>
        <w:rPr>
          <w:rFonts w:ascii="Times New Roman" w:hAnsi="Times New Roman" w:cs="Times New Roman"/>
          <w:b/>
        </w:rPr>
        <w:t>Agitation</w:t>
      </w:r>
      <w:r w:rsidRPr="00A052DD">
        <w:rPr>
          <w:rFonts w:ascii="Times New Roman" w:hAnsi="Times New Roman" w:cs="Times New Roman"/>
          <w:b/>
        </w:rPr>
        <w:t xml:space="preserve"> (</w:t>
      </w:r>
      <w:r w:rsidRPr="00A052DD">
        <w:rPr>
          <w:rFonts w:ascii="Times New Roman" w:hAnsi="Times New Roman" w:cs="Times New Roman"/>
          <w:b/>
          <w:i/>
        </w:rPr>
        <w:t>r)-</w:t>
      </w:r>
      <w:r w:rsidRPr="00A052DD">
        <w:rPr>
          <w:rFonts w:ascii="Times New Roman" w:hAnsi="Times New Roman" w:cs="Times New Roman"/>
          <w:b/>
        </w:rPr>
        <w:t xml:space="preserve"> </w:t>
      </w:r>
      <w:r w:rsidRPr="00A052DD">
        <w:rPr>
          <w:rFonts w:ascii="Times New Roman" w:hAnsi="Times New Roman" w:cs="Times New Roman"/>
        </w:rPr>
        <w:t>the degree to which the positive effec</w:t>
      </w:r>
      <w:r>
        <w:rPr>
          <w:rFonts w:ascii="Times New Roman" w:hAnsi="Times New Roman" w:cs="Times New Roman"/>
        </w:rPr>
        <w:t>ts of economic development and peaceful</w:t>
      </w:r>
      <w:r w:rsidRPr="00A052DD">
        <w:rPr>
          <w:rFonts w:ascii="Times New Roman" w:hAnsi="Times New Roman" w:cs="Times New Roman"/>
        </w:rPr>
        <w:t xml:space="preserve"> interactions are diminished by violence between Palestinians and Israeli military personnel or other Israelis (during the commute to work or in other daily activities). This also accounts for the influence of highly ideologically motivated Palestinians who remain committed to violent revolt despite the impacts of economic development, and also accounts for the influences of the community in which individual Palestinian laborers live, as certain areas of the West Bank are more or less likely to support violence against Israel. </w:t>
      </w:r>
    </w:p>
    <w:p w14:paraId="079ACBD0" w14:textId="77777777" w:rsidR="00F14AB5" w:rsidRDefault="00F14AB5" w:rsidP="00F14AB5">
      <w:pPr>
        <w:ind w:firstLine="720"/>
      </w:pPr>
      <w:r>
        <w:t>These parameters differentially affect the total output of the Israeli and West Bank economies by increasing or decreasing TFP, which is a function of violence in the model. They also affect the number of WBPL that should be permitted to work in Israel. I s</w:t>
      </w:r>
      <w:r w:rsidRPr="005E185E">
        <w:t>eek</w:t>
      </w:r>
      <w:r>
        <w:t xml:space="preserve"> to find the number of WBPL that should be allowed to work in</w:t>
      </w:r>
      <w:r w:rsidRPr="005E185E">
        <w:t xml:space="preserve"> Isra</w:t>
      </w:r>
      <w:r>
        <w:t>el given different values for these three parameters.</w:t>
      </w:r>
      <w:r w:rsidRPr="005E185E">
        <w:t xml:space="preserve"> </w:t>
      </w:r>
    </w:p>
    <w:p w14:paraId="5889AE39" w14:textId="77777777" w:rsidR="00F14AB5" w:rsidRPr="00FD16F7" w:rsidRDefault="00F14AB5" w:rsidP="00F14AB5">
      <w:pPr>
        <w:ind w:firstLine="720"/>
        <w:rPr>
          <w:i/>
        </w:rPr>
      </w:pPr>
      <w:r>
        <w:t>Allowing Palestinians to work in Israel increases</w:t>
      </w:r>
      <w:r w:rsidRPr="005E185E">
        <w:t xml:space="preserve"> overall</w:t>
      </w:r>
      <w:r>
        <w:t xml:space="preserve"> Israeli-Palestinian</w:t>
      </w:r>
      <w:r w:rsidRPr="005E185E">
        <w:t xml:space="preserve"> production by reallocating labor from low-to-high marginal product of labor, and allowing more Palestinians to work in Israel produces better economic development outcomes in the West Bank through increased wages, which should </w:t>
      </w:r>
      <w:r>
        <w:t>lead to a reduction in</w:t>
      </w:r>
      <w:r w:rsidRPr="005E185E">
        <w:t xml:space="preserve"> violence.</w:t>
      </w:r>
      <w:r>
        <w:t xml:space="preserve"> However, it is important to consider Israeli concerns that giving Palestinians more freedom of movement might lead to more violence, which would lower economic output. More importantly, if giving Palestinians more freedom of </w:t>
      </w:r>
      <w:r>
        <w:lastRenderedPageBreak/>
        <w:t>movement truly is a security risk, then the resulting lower economic output is not the primary concern. The potential for the destruction of capital, or even more, the potential for loss of human life, is much more worrisome. The model in this study is therefore of significant importance, because it will illuminate whether integrating more WBPL into the Israeli labor force is more likely to result in increased violence or more likely to interrupt the established cycle of violence through economic development.</w:t>
      </w:r>
    </w:p>
    <w:p w14:paraId="34ED9B5F" w14:textId="123949C0" w:rsidR="00F14AB5" w:rsidRPr="0025039F" w:rsidRDefault="00F14AB5" w:rsidP="00E5392D">
      <w:pPr>
        <w:ind w:firstLine="720"/>
        <w:rPr>
          <w:i/>
        </w:rPr>
      </w:pPr>
      <w:r>
        <w:t>Before jumping into the mathematics it is important to understand how the model functions as an agent-based model of social interaction, which should make the connection between economic development, violence, and production more clear. After this is understood, the mathematical model will be explained intuitively with reminders of how the previously explained assumptions and parameters relate to each other in the equations. Finally, the model will be used to estimate how many WBPL can be permitted to work in Israel (without reducing Israeli TFP) given different</w:t>
      </w:r>
      <w:r w:rsidR="00E5392D">
        <w:t xml:space="preserve"> vales for the three parameters.</w:t>
      </w:r>
      <w:r w:rsidR="00E5392D" w:rsidRPr="0025039F">
        <w:rPr>
          <w:i/>
        </w:rPr>
        <w:t xml:space="preserve"> </w:t>
      </w:r>
    </w:p>
    <w:p w14:paraId="298B069C" w14:textId="77777777" w:rsidR="00E5392D" w:rsidRDefault="00E5392D" w:rsidP="00F14AB5">
      <w:pPr>
        <w:jc w:val="center"/>
        <w:rPr>
          <w:b/>
        </w:rPr>
        <w:sectPr w:rsidR="00E5392D" w:rsidSect="002146AD">
          <w:type w:val="continuous"/>
          <w:pgSz w:w="12240" w:h="15840"/>
          <w:pgMar w:top="1440" w:right="1440" w:bottom="1440" w:left="2304" w:header="720" w:footer="720" w:gutter="0"/>
          <w:cols w:space="720"/>
          <w:docGrid w:linePitch="360"/>
        </w:sectPr>
      </w:pPr>
    </w:p>
    <w:p w14:paraId="1A6E5D1C" w14:textId="76E425CC" w:rsidR="00F14AB5" w:rsidRDefault="00F14AB5" w:rsidP="00882E52">
      <w:pPr>
        <w:pStyle w:val="Heading2"/>
      </w:pPr>
      <w:bookmarkStart w:id="59" w:name="_Toc324423960"/>
      <w:r>
        <w:lastRenderedPageBreak/>
        <w:t xml:space="preserve">3.4 </w:t>
      </w:r>
      <w:r w:rsidRPr="000F7DAB">
        <w:t>Towards an Economic Model of Social Interaction</w:t>
      </w:r>
      <w:bookmarkEnd w:id="59"/>
    </w:p>
    <w:p w14:paraId="32188773" w14:textId="77777777" w:rsidR="00E5392D" w:rsidRDefault="00E5392D" w:rsidP="00DC2F86">
      <w:pPr>
        <w:spacing w:line="240" w:lineRule="auto"/>
      </w:pPr>
    </w:p>
    <w:p w14:paraId="0F306F16" w14:textId="77777777" w:rsidR="00DC2F86" w:rsidRDefault="00DC2F86" w:rsidP="00DC2F86">
      <w:pPr>
        <w:spacing w:line="240" w:lineRule="auto"/>
        <w:sectPr w:rsidR="00DC2F86" w:rsidSect="002146AD">
          <w:type w:val="continuous"/>
          <w:pgSz w:w="12240" w:h="15840"/>
          <w:pgMar w:top="1440" w:right="1440" w:bottom="1440" w:left="2304" w:header="720" w:footer="720" w:gutter="0"/>
          <w:cols w:space="720"/>
          <w:docGrid w:linePitch="360"/>
        </w:sectPr>
      </w:pPr>
    </w:p>
    <w:p w14:paraId="16F6CD99" w14:textId="3ACEFEFA" w:rsidR="00F14AB5" w:rsidRDefault="00F14AB5" w:rsidP="00F14AB5">
      <w:pPr>
        <w:ind w:firstLine="720"/>
      </w:pPr>
      <w:r>
        <w:lastRenderedPageBreak/>
        <w:t>The General Aggression Model (GAM) explains how economic development can reduce violence by altering the social interactions between Israelis and Palestinians. The GAM has been in use since 1995 when Dr.’s Craig Anderson, William Deuser, and Kristina DeNeve formulated it to analyze the correlation between high temperatures and violence, and it has since been used to explain the cognitive processes behind many different types of aggression and violence.</w:t>
      </w:r>
      <w:r>
        <w:rPr>
          <w:rStyle w:val="FootnoteReference"/>
        </w:rPr>
        <w:footnoteReference w:id="196"/>
      </w:r>
      <w:r>
        <w:t xml:space="preserve"> Dr. Anderson of Iowa State University and Dr. Brad J. Bushman of Ohio State University have championed much of the </w:t>
      </w:r>
      <w:r>
        <w:lastRenderedPageBreak/>
        <w:t>research that utilizes the GAM.</w:t>
      </w:r>
      <w:r>
        <w:rPr>
          <w:rStyle w:val="FootnoteReference"/>
        </w:rPr>
        <w:footnoteReference w:id="197"/>
      </w:r>
      <w:r>
        <w:t xml:space="preserve"> The GAM integrates a wide variety of psychological and sociological theories into a single framework for understanding human aggression and violence.</w:t>
      </w:r>
      <w:r>
        <w:rPr>
          <w:rStyle w:val="FootnoteReference"/>
        </w:rPr>
        <w:footnoteReference w:id="198"/>
      </w:r>
      <w:r>
        <w:t xml:space="preserve"> This has established the GAM as a framework for scholars to test hypotheses of aggression and violence that is “more expansive than any other social-cognitive model.”</w:t>
      </w:r>
      <w:r>
        <w:rPr>
          <w:rStyle w:val="FootnoteReference"/>
        </w:rPr>
        <w:footnoteReference w:id="199"/>
      </w:r>
      <w:r>
        <w:t xml:space="preserve"> The Israeli-Palestinian conflict is cited as an example of a cycle of violence according to the GAM. </w:t>
      </w:r>
    </w:p>
    <w:p w14:paraId="153A1291" w14:textId="77777777" w:rsidR="00F14AB5" w:rsidRDefault="00F14AB5" w:rsidP="00F14AB5">
      <w:pPr>
        <w:ind w:firstLine="720"/>
      </w:pPr>
      <w:r>
        <w:t xml:space="preserve">According to the GAM, breaking the violence escalation cycle in the Israeli-Palestinian context “would begin by encouraging citizens of Israel, Palestine, or both countries to perceive that the outcome of their country’s retaliation is both important and unsatisfying.” Certainly there are people within both Israel and the Palestinian Territories that consider retaliatory violence both problematic and unsatisfying. Unfortunately these people have been either too few or too powerless when it comes to controlling the violence of their countrymen. If one group, either the Palestinians or the Israelis, were to truly relent and opt for widespread non-violence, then GAM predicts that an upward spiral of peace would begin as trust grows between the two groups. Previous sections of this study have shown that Palestinian economic development reduces (or at the very least prevents the proliferation of) violence, which means that permitting more WBPL to work in Israel may be the catalyst needed to initiate an upward spiral of peace. </w:t>
      </w:r>
    </w:p>
    <w:p w14:paraId="6FE7100D" w14:textId="3F93FFFC" w:rsidR="00F14AB5" w:rsidRDefault="00F14AB5" w:rsidP="00F14AB5">
      <w:pPr>
        <w:ind w:firstLine="720"/>
      </w:pPr>
      <w:r>
        <w:lastRenderedPageBreak/>
        <w:t>The figurative repre</w:t>
      </w:r>
      <w:r w:rsidR="0017550F">
        <w:t>sentation of the GAM in Figure 7</w:t>
      </w:r>
      <w:r>
        <w:t xml:space="preserve"> helps to explain how economic development can affect social interactions between Palestinians and Israelis. Given assumption number 4 (listed above), increasing the number of WBPL working in Israel will alter the appraisal and decision-making processes of Palestinians as economic development increases the opportunity-costs associated with violence. This should lead to thoughtful action (read non-violence) rather than impulsive action (read violence) during social encounters with Israeli security personnel and/or Israeli civilians. As more and more Palestinians replicate this thoughtful action, Israelis will begin to view Palestinians more favorably and will therefor be less likely to engage in impulsive action during social encounters. In this scenario, the established cycle of violence is interrupted for a cycle of peace and goodwill between the two peoples that is based upon growing trust. Unfortunately, the opposite of this interaction has been all-too-common in the Israeli-Palestinian conflict, and compulsive action has led to escalating cycles of violence of varying magnitudes over the years.</w:t>
      </w:r>
    </w:p>
    <w:p w14:paraId="4500404F" w14:textId="200246FD" w:rsidR="00707E1F" w:rsidRPr="00707E1F" w:rsidRDefault="00707E1F" w:rsidP="00707E1F">
      <w:pPr>
        <w:pStyle w:val="Caption"/>
        <w:keepNext/>
        <w:jc w:val="center"/>
        <w:rPr>
          <w:color w:val="auto"/>
          <w:sz w:val="24"/>
        </w:rPr>
      </w:pPr>
      <w:bookmarkStart w:id="60" w:name="_Toc324264457"/>
      <w:bookmarkStart w:id="61" w:name="_Toc324264704"/>
      <w:r w:rsidRPr="00707E1F">
        <w:rPr>
          <w:color w:val="auto"/>
          <w:sz w:val="24"/>
        </w:rPr>
        <w:t xml:space="preserve">Figure </w:t>
      </w:r>
      <w:r w:rsidRPr="00707E1F">
        <w:rPr>
          <w:color w:val="auto"/>
          <w:sz w:val="24"/>
        </w:rPr>
        <w:fldChar w:fldCharType="begin"/>
      </w:r>
      <w:r w:rsidRPr="00707E1F">
        <w:rPr>
          <w:color w:val="auto"/>
          <w:sz w:val="24"/>
        </w:rPr>
        <w:instrText xml:space="preserve"> SEQ Figure \* ARABIC </w:instrText>
      </w:r>
      <w:r w:rsidRPr="00707E1F">
        <w:rPr>
          <w:color w:val="auto"/>
          <w:sz w:val="24"/>
        </w:rPr>
        <w:fldChar w:fldCharType="separate"/>
      </w:r>
      <w:r w:rsidR="00500133">
        <w:rPr>
          <w:noProof/>
          <w:color w:val="auto"/>
          <w:sz w:val="24"/>
        </w:rPr>
        <w:t>7</w:t>
      </w:r>
      <w:r w:rsidRPr="00707E1F">
        <w:rPr>
          <w:color w:val="auto"/>
          <w:sz w:val="24"/>
        </w:rPr>
        <w:fldChar w:fldCharType="end"/>
      </w:r>
      <w:r w:rsidRPr="00707E1F">
        <w:rPr>
          <w:color w:val="auto"/>
          <w:sz w:val="24"/>
        </w:rPr>
        <w:t>: The General Aggression Model (GAM)</w:t>
      </w:r>
      <w:bookmarkEnd w:id="60"/>
      <w:bookmarkEnd w:id="61"/>
    </w:p>
    <w:p w14:paraId="093921B2" w14:textId="77777777" w:rsidR="00F14AB5" w:rsidRPr="00373991" w:rsidRDefault="00F14AB5" w:rsidP="00F14AB5">
      <w:pPr>
        <w:jc w:val="center"/>
      </w:pPr>
      <w:r>
        <w:rPr>
          <w:noProof/>
        </w:rPr>
        <w:drawing>
          <wp:inline distT="0" distB="0" distL="0" distR="0" wp14:anchorId="4786BD79" wp14:editId="20E7FA62">
            <wp:extent cx="3522377" cy="2970332"/>
            <wp:effectExtent l="0" t="0" r="825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6-03-15 at 7.32.24 PM.png"/>
                    <pic:cNvPicPr/>
                  </pic:nvPicPr>
                  <pic:blipFill>
                    <a:blip r:embed="rId25">
                      <a:extLst>
                        <a:ext uri="{28A0092B-C50C-407E-A947-70E740481C1C}">
                          <a14:useLocalDpi xmlns:a14="http://schemas.microsoft.com/office/drawing/2010/main" val="0"/>
                        </a:ext>
                      </a:extLst>
                    </a:blip>
                    <a:stretch>
                      <a:fillRect/>
                    </a:stretch>
                  </pic:blipFill>
                  <pic:spPr>
                    <a:xfrm>
                      <a:off x="0" y="0"/>
                      <a:ext cx="3529826" cy="2976613"/>
                    </a:xfrm>
                    <a:prstGeom prst="rect">
                      <a:avLst/>
                    </a:prstGeom>
                  </pic:spPr>
                </pic:pic>
              </a:graphicData>
            </a:graphic>
          </wp:inline>
        </w:drawing>
      </w:r>
    </w:p>
    <w:p w14:paraId="02239BE5" w14:textId="77777777" w:rsidR="00E5392D" w:rsidRDefault="00E5392D" w:rsidP="00F14AB5">
      <w:pPr>
        <w:jc w:val="center"/>
        <w:rPr>
          <w:b/>
        </w:rPr>
        <w:sectPr w:rsidR="00E5392D" w:rsidSect="002146AD">
          <w:type w:val="continuous"/>
          <w:pgSz w:w="12240" w:h="15840"/>
          <w:pgMar w:top="1440" w:right="1440" w:bottom="1440" w:left="2304" w:header="720" w:footer="720" w:gutter="0"/>
          <w:cols w:space="720"/>
          <w:docGrid w:linePitch="360"/>
        </w:sectPr>
      </w:pPr>
    </w:p>
    <w:p w14:paraId="6FCE5CEA" w14:textId="159EA4C3" w:rsidR="00F14AB5" w:rsidRPr="000F7DAB" w:rsidRDefault="00F14AB5" w:rsidP="00882E52">
      <w:pPr>
        <w:pStyle w:val="Heading2"/>
      </w:pPr>
      <w:bookmarkStart w:id="62" w:name="_Toc324423961"/>
      <w:r>
        <w:lastRenderedPageBreak/>
        <w:t xml:space="preserve">3.5 </w:t>
      </w:r>
      <w:r w:rsidRPr="000F7DAB">
        <w:t>Modeling the Key Parameters</w:t>
      </w:r>
      <w:bookmarkEnd w:id="62"/>
    </w:p>
    <w:p w14:paraId="38FAD0EF" w14:textId="77777777" w:rsidR="00E73FAF" w:rsidRDefault="00E73FAF" w:rsidP="00E73FAF">
      <w:pPr>
        <w:spacing w:line="240" w:lineRule="auto"/>
      </w:pPr>
    </w:p>
    <w:p w14:paraId="092E3DF7" w14:textId="77777777" w:rsidR="00E73FAF" w:rsidRDefault="00E73FAF" w:rsidP="00E73FAF">
      <w:pPr>
        <w:spacing w:line="240" w:lineRule="auto"/>
        <w:sectPr w:rsidR="00E73FAF" w:rsidSect="002146AD">
          <w:type w:val="continuous"/>
          <w:pgSz w:w="12240" w:h="15840"/>
          <w:pgMar w:top="1440" w:right="1440" w:bottom="1440" w:left="2304" w:header="720" w:footer="720" w:gutter="0"/>
          <w:cols w:space="720"/>
          <w:docGrid w:linePitch="360"/>
        </w:sectPr>
      </w:pPr>
    </w:p>
    <w:p w14:paraId="5ACF6023" w14:textId="2B204582" w:rsidR="00F14AB5" w:rsidRDefault="00F14AB5" w:rsidP="00F14AB5">
      <w:pPr>
        <w:ind w:firstLine="720"/>
      </w:pPr>
      <w:r>
        <w:lastRenderedPageBreak/>
        <w:t xml:space="preserve">It is important to identify the production functions of the Israeli and the West Bank economies given the current state of affairs in order for the parameters in the model to make sense. </w:t>
      </w:r>
      <w:r w:rsidRPr="00A052DD">
        <w:t xml:space="preserve">Output in Israel is </w:t>
      </w:r>
      <m:oMath>
        <m:r>
          <m:rPr>
            <m:sty m:val="bi"/>
          </m:rPr>
          <w:rPr>
            <w:rFonts w:ascii="Cambria Math" w:hAnsi="Cambria Math"/>
          </w:rPr>
          <m:t>Y=</m:t>
        </m:r>
        <m:acc>
          <m:accPr>
            <m:chr m:val="̅"/>
            <m:ctrlPr>
              <w:rPr>
                <w:rFonts w:ascii="Cambria Math" w:hAnsi="Cambria Math"/>
                <w:b/>
                <w:i/>
              </w:rPr>
            </m:ctrlPr>
          </m:accPr>
          <m:e>
            <m:r>
              <m:rPr>
                <m:sty m:val="bi"/>
              </m:rPr>
              <w:rPr>
                <w:rFonts w:ascii="Cambria Math" w:hAnsi="Cambria Math"/>
              </w:rPr>
              <m:t>A</m:t>
            </m:r>
          </m:e>
        </m:acc>
        <m:sSup>
          <m:sSupPr>
            <m:ctrlPr>
              <w:rPr>
                <w:rFonts w:ascii="Cambria Math" w:hAnsi="Cambria Math"/>
                <w:b/>
                <w:i/>
              </w:rPr>
            </m:ctrlPr>
          </m:sSupPr>
          <m:e>
            <m:r>
              <m:rPr>
                <m:sty m:val="bi"/>
              </m:rPr>
              <w:rPr>
                <w:rFonts w:ascii="Cambria Math" w:hAnsi="Cambria Math"/>
              </w:rPr>
              <m:t>L</m:t>
            </m:r>
          </m:e>
          <m:sup>
            <m:r>
              <m:rPr>
                <m:sty m:val="bi"/>
              </m:rPr>
              <w:rPr>
                <w:rFonts w:ascii="Cambria Math" w:hAnsi="Cambria Math"/>
              </w:rPr>
              <m:t>α</m:t>
            </m:r>
          </m:sup>
        </m:sSup>
      </m:oMath>
      <w:r w:rsidRPr="00FE56F6">
        <w:rPr>
          <w:b/>
        </w:rPr>
        <w:t>,</w:t>
      </w:r>
      <w:r w:rsidRPr="00A052DD">
        <w:t xml:space="preserve"> where </w:t>
      </w:r>
      <w:r w:rsidRPr="00FE56F6">
        <w:rPr>
          <w:b/>
        </w:rPr>
        <w:t>L</w:t>
      </w:r>
      <w:r w:rsidRPr="00A052DD">
        <w:t xml:space="preserve"> is the labor stock</w:t>
      </w:r>
      <w:r>
        <w:t xml:space="preserve"> in Israel</w:t>
      </w:r>
      <w:r w:rsidRPr="00A052DD">
        <w:t xml:space="preserve">, </w:t>
      </w:r>
      <m:oMath>
        <m:acc>
          <m:accPr>
            <m:chr m:val="̅"/>
            <m:ctrlPr>
              <w:rPr>
                <w:rFonts w:ascii="Cambria Math" w:hAnsi="Cambria Math"/>
                <w:b/>
                <w:i/>
              </w:rPr>
            </m:ctrlPr>
          </m:accPr>
          <m:e>
            <m:r>
              <m:rPr>
                <m:sty m:val="bi"/>
              </m:rPr>
              <w:rPr>
                <w:rFonts w:ascii="Cambria Math" w:hAnsi="Cambria Math"/>
              </w:rPr>
              <m:t>A</m:t>
            </m:r>
          </m:e>
        </m:acc>
      </m:oMath>
      <w:r w:rsidRPr="00A052DD">
        <w:t xml:space="preserve"> is </w:t>
      </w:r>
      <w:r>
        <w:t xml:space="preserve">TFP in Israel, </w:t>
      </w:r>
      <w:r w:rsidRPr="00A052DD">
        <w:t>and</w:t>
      </w:r>
      <w:r>
        <w:t xml:space="preserve"> </w:t>
      </w:r>
      <m:oMath>
        <m:r>
          <m:rPr>
            <m:sty m:val="bi"/>
          </m:rPr>
          <w:rPr>
            <w:rFonts w:ascii="Cambria Math" w:hAnsi="Cambria Math"/>
          </w:rPr>
          <m:t>α</m:t>
        </m:r>
      </m:oMath>
      <w:r>
        <w:rPr>
          <w:b/>
        </w:rPr>
        <w:t xml:space="preserve"> </w:t>
      </w:r>
      <w:r w:rsidRPr="00390CBC">
        <w:t>is the labor share of income</w:t>
      </w:r>
      <w:r>
        <w:rPr>
          <w:b/>
        </w:rPr>
        <w:t xml:space="preserve"> (</w:t>
      </w:r>
      <m:oMath>
        <m:r>
          <m:rPr>
            <m:sty m:val="bi"/>
          </m:rPr>
          <w:rPr>
            <w:rFonts w:ascii="Cambria Math" w:hAnsi="Cambria Math"/>
          </w:rPr>
          <m:t>0&lt;α&lt;1).</m:t>
        </m:r>
      </m:oMath>
      <w:r>
        <w:t xml:space="preserve"> </w:t>
      </w:r>
      <w:r w:rsidRPr="00A052DD">
        <w:t xml:space="preserve">Output in the West Bank is </w:t>
      </w:r>
      <w:r w:rsidRPr="00FE56F6">
        <w:rPr>
          <w:b/>
        </w:rPr>
        <w:t>Y’=</w:t>
      </w:r>
      <m:oMath>
        <m:bar>
          <m:barPr>
            <m:ctrlPr>
              <w:rPr>
                <w:rFonts w:ascii="Cambria Math" w:hAnsi="Cambria Math"/>
                <w:b/>
                <w:i/>
              </w:rPr>
            </m:ctrlPr>
          </m:barPr>
          <m:e>
            <m:r>
              <m:rPr>
                <m:sty m:val="bi"/>
              </m:rPr>
              <w:rPr>
                <w:rFonts w:ascii="Cambria Math" w:hAnsi="Cambria Math"/>
              </w:rPr>
              <m:t>A</m:t>
            </m:r>
          </m:e>
        </m:bar>
        <m:sSup>
          <m:sSupPr>
            <m:ctrlPr>
              <w:rPr>
                <w:rFonts w:ascii="Cambria Math" w:hAnsi="Cambria Math"/>
                <w:b/>
                <w:i/>
              </w:rPr>
            </m:ctrlPr>
          </m:sSupPr>
          <m:e>
            <m:r>
              <m:rPr>
                <m:sty m:val="bi"/>
              </m:rPr>
              <w:rPr>
                <w:rFonts w:ascii="Cambria Math" w:hAnsi="Cambria Math"/>
              </w:rPr>
              <m:t>L'</m:t>
            </m:r>
          </m:e>
          <m:sup>
            <m:r>
              <m:rPr>
                <m:sty m:val="bi"/>
              </m:rPr>
              <w:rPr>
                <w:rFonts w:ascii="Cambria Math" w:hAnsi="Cambria Math"/>
              </w:rPr>
              <m:t>α</m:t>
            </m:r>
          </m:sup>
        </m:sSup>
      </m:oMath>
      <w:r>
        <w:rPr>
          <w:b/>
        </w:rPr>
        <w:t>,</w:t>
      </w:r>
      <w:r w:rsidRPr="00A052DD">
        <w:t xml:space="preserve"> where</w:t>
      </w:r>
      <w:r>
        <w:t xml:space="preserve"> </w:t>
      </w:r>
      <m:oMath>
        <m:r>
          <m:rPr>
            <m:sty m:val="bi"/>
          </m:rPr>
          <w:rPr>
            <w:rFonts w:ascii="Cambria Math" w:hAnsi="Cambria Math"/>
          </w:rPr>
          <m:t>L'</m:t>
        </m:r>
      </m:oMath>
      <w:r>
        <w:t xml:space="preserve"> is the labor stock in the West Bank, </w:t>
      </w:r>
      <m:oMath>
        <m:bar>
          <m:barPr>
            <m:ctrlPr>
              <w:rPr>
                <w:rFonts w:ascii="Cambria Math" w:hAnsi="Cambria Math"/>
                <w:b/>
                <w:i/>
              </w:rPr>
            </m:ctrlPr>
          </m:barPr>
          <m:e>
            <m:r>
              <m:rPr>
                <m:sty m:val="bi"/>
              </m:rPr>
              <w:rPr>
                <w:rFonts w:ascii="Cambria Math" w:hAnsi="Cambria Math"/>
              </w:rPr>
              <m:t>A</m:t>
            </m:r>
          </m:e>
        </m:bar>
      </m:oMath>
      <w:r w:rsidRPr="00E12AC0">
        <w:rPr>
          <w:b/>
        </w:rPr>
        <w:t xml:space="preserve"> </w:t>
      </w:r>
      <w:r>
        <w:t xml:space="preserve">is TFP in the West Bank, and </w:t>
      </w:r>
      <m:oMath>
        <m:r>
          <m:rPr>
            <m:sty m:val="bi"/>
          </m:rPr>
          <w:rPr>
            <w:rFonts w:ascii="Cambria Math" w:hAnsi="Cambria Math"/>
          </w:rPr>
          <m:t>α</m:t>
        </m:r>
      </m:oMath>
      <w:r>
        <w:rPr>
          <w:b/>
        </w:rPr>
        <w:t xml:space="preserve"> </w:t>
      </w:r>
      <w:r w:rsidRPr="00390CBC">
        <w:t>is the labor share of income</w:t>
      </w:r>
      <w:r>
        <w:rPr>
          <w:b/>
        </w:rPr>
        <w:t xml:space="preserve"> (</w:t>
      </w:r>
      <m:oMath>
        <m:r>
          <m:rPr>
            <m:sty m:val="bi"/>
          </m:rPr>
          <w:rPr>
            <w:rFonts w:ascii="Cambria Math" w:hAnsi="Cambria Math"/>
          </w:rPr>
          <m:t>0&lt;α&lt;1)</m:t>
        </m:r>
      </m:oMath>
      <w:r>
        <w:rPr>
          <w:b/>
        </w:rPr>
        <w:t xml:space="preserve"> </w:t>
      </w:r>
      <w:r>
        <w:t>in the West Bank.</w:t>
      </w:r>
      <w:r>
        <w:rPr>
          <w:i/>
        </w:rPr>
        <w:t xml:space="preserve"> </w:t>
      </w:r>
      <w:r>
        <w:t>Note that</w:t>
      </w:r>
      <w:r w:rsidRPr="00A052DD">
        <w:t xml:space="preserve"> </w:t>
      </w:r>
      <m:oMath>
        <m:bar>
          <m:barPr>
            <m:pos m:val="top"/>
            <m:ctrlPr>
              <w:rPr>
                <w:rFonts w:ascii="Cambria Math" w:hAnsi="Cambria Math"/>
                <w:b/>
                <w:i/>
              </w:rPr>
            </m:ctrlPr>
          </m:barPr>
          <m:e>
            <m:r>
              <m:rPr>
                <m:sty m:val="bi"/>
              </m:rPr>
              <w:rPr>
                <w:rFonts w:ascii="Cambria Math" w:hAnsi="Cambria Math"/>
              </w:rPr>
              <m:t>A</m:t>
            </m:r>
          </m:e>
        </m:bar>
      </m:oMath>
      <w:r w:rsidRPr="00FE56F6">
        <w:rPr>
          <w:b/>
        </w:rPr>
        <w:t xml:space="preserve"> </w:t>
      </w:r>
      <m:oMath>
        <m:r>
          <m:rPr>
            <m:sty m:val="bi"/>
          </m:rPr>
          <w:rPr>
            <w:rFonts w:ascii="Cambria Math" w:hAnsi="Cambria Math"/>
          </w:rPr>
          <m:t>≫</m:t>
        </m:r>
      </m:oMath>
      <w:r w:rsidRPr="00FE56F6">
        <w:rPr>
          <w:b/>
        </w:rPr>
        <w:t xml:space="preserve"> </w:t>
      </w:r>
      <m:oMath>
        <m:bar>
          <m:barPr>
            <m:ctrlPr>
              <w:rPr>
                <w:rFonts w:ascii="Cambria Math" w:hAnsi="Cambria Math"/>
                <w:b/>
                <w:i/>
              </w:rPr>
            </m:ctrlPr>
          </m:barPr>
          <m:e>
            <m:r>
              <m:rPr>
                <m:sty m:val="bi"/>
              </m:rPr>
              <w:rPr>
                <w:rFonts w:ascii="Cambria Math" w:hAnsi="Cambria Math"/>
              </w:rPr>
              <m:t>A</m:t>
            </m:r>
          </m:e>
        </m:bar>
      </m:oMath>
      <w:r w:rsidRPr="00FE56F6">
        <w:rPr>
          <w:b/>
        </w:rPr>
        <w:t xml:space="preserve"> </w:t>
      </w:r>
      <w:r>
        <w:t>due to the long-term effects of Israel’s economic policies in the West Bank and the negative effects of protracted conflict, which has disproportionately affected Palestinians economically.</w:t>
      </w:r>
      <w:r>
        <w:rPr>
          <w:rStyle w:val="FootnoteReference"/>
        </w:rPr>
        <w:footnoteReference w:id="200"/>
      </w:r>
      <w:r>
        <w:t xml:space="preserve"> As a result of the disproportional level of development, many Palestinians have been both commuters and migrants to Israel since they gained access to the Israeli labor market in the aftermath of the 1967 Six-Day War. </w:t>
      </w:r>
    </w:p>
    <w:p w14:paraId="60A8048A" w14:textId="77777777" w:rsidR="00F14AB5" w:rsidRPr="00844DFF" w:rsidRDefault="00F14AB5" w:rsidP="00F14AB5">
      <w:pPr>
        <w:ind w:firstLine="720"/>
      </w:pPr>
      <w:r>
        <w:t xml:space="preserve">Suppose that the Israeli government decides to increase the number of WBPL allowed to work in Israel at a constant rate over a given period of time in an attempt to increase the amount of capital flowing into the West Bank. Each additional WBPL permitted to work in Israel theoretically represents a risk for violence, which would lower the TFP associated with trust between Israelis and Palestinians if this risk is actualized. </w:t>
      </w:r>
      <w:r w:rsidRPr="00A052DD">
        <w:t xml:space="preserve">Each year a fraction </w:t>
      </w:r>
      <w:r>
        <w:t>(</w:t>
      </w:r>
      <w:r w:rsidRPr="00FE56F6">
        <w:rPr>
          <w:b/>
        </w:rPr>
        <w:t xml:space="preserve">0 &lt; </w:t>
      </w:r>
      <m:oMath>
        <m:r>
          <m:rPr>
            <m:sty m:val="bi"/>
          </m:rPr>
          <w:rPr>
            <w:rFonts w:ascii="Cambria Math" w:hAnsi="Cambria Math"/>
          </w:rPr>
          <m:t>n</m:t>
        </m:r>
      </m:oMath>
      <w:r w:rsidRPr="00FE56F6">
        <w:rPr>
          <w:b/>
        </w:rPr>
        <w:t xml:space="preserve"> &lt; 1</w:t>
      </w:r>
      <w:r>
        <w:rPr>
          <w:b/>
        </w:rPr>
        <w:t>)</w:t>
      </w:r>
      <w:r w:rsidRPr="00A052DD">
        <w:t xml:space="preserve"> of </w:t>
      </w:r>
      <w:r>
        <w:t>these newly permitted WBPL</w:t>
      </w:r>
      <w:r w:rsidRPr="00A052DD">
        <w:t xml:space="preserve"> </w:t>
      </w:r>
      <w:r>
        <w:t xml:space="preserve">are pacified </w:t>
      </w:r>
      <w:r w:rsidRPr="00A052DD">
        <w:t>as a result of the positive</w:t>
      </w:r>
      <w:r>
        <w:t xml:space="preserve"> economic</w:t>
      </w:r>
      <w:r w:rsidRPr="00A052DD">
        <w:t xml:space="preserve"> effects of </w:t>
      </w:r>
      <w:r>
        <w:t xml:space="preserve">earning higher wages in Israel. As more West Bank Palestinians are pacified through the positive effects of economic development, the risk for violence during social interactions between all Israelis and </w:t>
      </w:r>
      <w:r>
        <w:lastRenderedPageBreak/>
        <w:t>Palestinians is non-linearly reduced. Additionally, as more and more Israelis have high-quality interactions with Palestinians, Israeli trust for Palestinians grows and Israelis will be less likely to choose impulsive actions. The relationship between the newly permitted WBPL and the pacification rate is represented by</w:t>
      </w:r>
      <m:oMath>
        <m:r>
          <w:rPr>
            <w:rFonts w:ascii="Cambria Math" w:hAnsi="Cambria Math"/>
            <w:sz w:val="28"/>
            <w:szCs w:val="28"/>
          </w:rPr>
          <m:t xml:space="preserve"> </m:t>
        </m:r>
        <m:acc>
          <m:accPr>
            <m:ctrlPr>
              <w:rPr>
                <w:rFonts w:ascii="Cambria Math" w:hAnsi="Cambria Math"/>
                <w:i/>
                <w:sz w:val="28"/>
                <w:szCs w:val="28"/>
              </w:rPr>
            </m:ctrlPr>
          </m:accPr>
          <m:e>
            <m:r>
              <w:rPr>
                <w:rFonts w:ascii="Cambria Math" w:hAnsi="Cambria Math"/>
                <w:sz w:val="28"/>
                <w:szCs w:val="28"/>
              </w:rPr>
              <m:t>L</m:t>
            </m:r>
          </m:e>
        </m:acc>
      </m:oMath>
      <w:r>
        <w:t xml:space="preserve"> in equation </w:t>
      </w:r>
      <w:r w:rsidRPr="004231BA">
        <w:rPr>
          <w:b/>
        </w:rPr>
        <w:t>(1),</w:t>
      </w:r>
      <w:r>
        <w:t xml:space="preserve"> where the new WBPL commuting to work in Israel over a given period of time (</w:t>
      </w:r>
      <m:oMath>
        <m:sSub>
          <m:sSubPr>
            <m:ctrlPr>
              <w:rPr>
                <w:rFonts w:ascii="Cambria Math" w:hAnsi="Cambria Math"/>
                <w:b/>
                <w:i/>
                <w:szCs w:val="28"/>
              </w:rPr>
            </m:ctrlPr>
          </m:sSubPr>
          <m:e>
            <m:r>
              <m:rPr>
                <m:sty m:val="bi"/>
              </m:rPr>
              <w:rPr>
                <w:rFonts w:ascii="Cambria Math" w:hAnsi="Cambria Math"/>
                <w:szCs w:val="28"/>
              </w:rPr>
              <m:t>P</m:t>
            </m:r>
          </m:e>
          <m:sub>
            <m:r>
              <m:rPr>
                <m:sty m:val="bi"/>
              </m:rPr>
              <w:rPr>
                <w:rFonts w:ascii="Cambria Math" w:hAnsi="Cambria Math"/>
                <w:szCs w:val="28"/>
              </w:rPr>
              <m:t xml:space="preserve">t </m:t>
            </m:r>
          </m:sub>
        </m:sSub>
      </m:oMath>
      <w:r>
        <w:rPr>
          <w:b/>
          <w:szCs w:val="28"/>
        </w:rPr>
        <w:t>)</w:t>
      </w:r>
      <w:r>
        <w:t xml:space="preserve"> constitute a stock of labor that may or may not perpetrate violence against Israelis.</w:t>
      </w:r>
    </w:p>
    <w:p w14:paraId="28C31C91" w14:textId="77777777" w:rsidR="00F14AB5" w:rsidRPr="005E185E" w:rsidRDefault="00F14AB5" w:rsidP="00F14AB5">
      <w:pPr>
        <w:spacing w:line="240" w:lineRule="auto"/>
        <w:rPr>
          <w:b/>
          <w:i/>
          <w:sz w:val="28"/>
          <w:szCs w:val="28"/>
        </w:rPr>
      </w:pPr>
      <w:r w:rsidRPr="00A052DD">
        <w:rPr>
          <w:b/>
          <w:i/>
        </w:rPr>
        <w:t xml:space="preserve"> </w:t>
      </w:r>
      <w:r w:rsidRPr="005E185E">
        <w:rPr>
          <w:b/>
          <w:i/>
          <w:sz w:val="28"/>
          <w:szCs w:val="28"/>
        </w:rPr>
        <w:t>Eq. (1)</w:t>
      </w:r>
    </w:p>
    <w:p w14:paraId="602BB8DF" w14:textId="77777777" w:rsidR="00F14AB5" w:rsidRPr="005E185E" w:rsidRDefault="00500133" w:rsidP="00F14AB5">
      <w:pPr>
        <w:jc w:val="center"/>
        <w:rPr>
          <w:sz w:val="28"/>
          <w:szCs w:val="28"/>
        </w:rPr>
      </w:pPr>
      <m:oMathPara>
        <m:oMath>
          <m:acc>
            <m:accPr>
              <m:ctrlPr>
                <w:rPr>
                  <w:rFonts w:ascii="Cambria Math" w:hAnsi="Cambria Math"/>
                  <w:i/>
                  <w:sz w:val="28"/>
                  <w:szCs w:val="28"/>
                </w:rPr>
              </m:ctrlPr>
            </m:accPr>
            <m:e>
              <m:r>
                <w:rPr>
                  <w:rFonts w:ascii="Cambria Math" w:hAnsi="Cambria Math"/>
                  <w:sz w:val="28"/>
                  <w:szCs w:val="28"/>
                </w:rPr>
                <m:t>L</m:t>
              </m:r>
            </m:e>
          </m:acc>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 xml:space="preserve">t </m:t>
              </m:r>
            </m:sub>
          </m:sSub>
          <m:r>
            <w:rPr>
              <w:rFonts w:ascii="Cambria Math" w:hAnsi="Cambria Math"/>
              <w:sz w:val="28"/>
              <w:szCs w:val="28"/>
            </w:rPr>
            <m:t>+</m:t>
          </m:r>
          <m:d>
            <m:dPr>
              <m:ctrlPr>
                <w:rPr>
                  <w:rFonts w:ascii="Cambria Math" w:hAnsi="Cambria Math"/>
                  <w:i/>
                  <w:sz w:val="28"/>
                  <w:szCs w:val="28"/>
                </w:rPr>
              </m:ctrlPr>
            </m:dPr>
            <m:e>
              <m:r>
                <w:rPr>
                  <w:rFonts w:ascii="Cambria Math" w:hAnsi="Cambria Math"/>
                  <w:sz w:val="28"/>
                  <w:szCs w:val="28"/>
                </w:rPr>
                <m:t>1-n</m:t>
              </m:r>
            </m:e>
          </m:d>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t-1</m:t>
              </m:r>
            </m:sub>
          </m:sSub>
          <m:r>
            <w:rPr>
              <w:rFonts w:ascii="Cambria Math" w:hAnsi="Cambria Math"/>
              <w:sz w:val="28"/>
              <w:szCs w:val="28"/>
            </w:rPr>
            <m:t>+(1-n</m:t>
          </m:r>
          <m:sSup>
            <m:sSupPr>
              <m:ctrlPr>
                <w:rPr>
                  <w:rFonts w:ascii="Cambria Math" w:hAnsi="Cambria Math"/>
                  <w:i/>
                  <w:sz w:val="28"/>
                  <w:szCs w:val="28"/>
                </w:rPr>
              </m:ctrlPr>
            </m:sSupPr>
            <m:e>
              <m:r>
                <w:rPr>
                  <w:rFonts w:ascii="Cambria Math" w:hAnsi="Cambria Math"/>
                  <w:sz w:val="28"/>
                  <w:szCs w:val="28"/>
                </w:rPr>
                <m:t>)</m:t>
              </m:r>
            </m:e>
            <m:sup>
              <m:r>
                <w:rPr>
                  <w:rFonts w:ascii="Cambria Math" w:hAnsi="Cambria Math"/>
                  <w:sz w:val="28"/>
                  <w:szCs w:val="28"/>
                </w:rPr>
                <m:t>2</m:t>
              </m:r>
            </m:sup>
          </m:sSup>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t-2</m:t>
              </m:r>
            </m:sub>
          </m:sSub>
          <m:r>
            <w:rPr>
              <w:rFonts w:ascii="Cambria Math" w:hAnsi="Cambria Math"/>
              <w:sz w:val="28"/>
              <w:szCs w:val="28"/>
            </w:rPr>
            <m:t>+…</m:t>
          </m:r>
        </m:oMath>
      </m:oMathPara>
    </w:p>
    <w:p w14:paraId="086026D2" w14:textId="5464A2F7" w:rsidR="00F14AB5" w:rsidRPr="005E185E" w:rsidRDefault="00F14AB5" w:rsidP="00F14AB5">
      <w:pPr>
        <w:ind w:firstLine="720"/>
      </w:pPr>
      <w:r>
        <w:t>Arab-Israelis living in Israel constitute</w:t>
      </w:r>
      <w:r w:rsidRPr="005E185E">
        <w:t xml:space="preserve"> a stock of </w:t>
      </w:r>
      <w:r>
        <w:t xml:space="preserve">Palestinians who are </w:t>
      </w:r>
      <w:r w:rsidRPr="005E185E">
        <w:t>highly unlik</w:t>
      </w:r>
      <w:r>
        <w:t xml:space="preserve">ely to engage in violence and are therefore excluded from </w:t>
      </w:r>
      <m:oMath>
        <m:acc>
          <m:accPr>
            <m:ctrlPr>
              <w:rPr>
                <w:rFonts w:ascii="Cambria Math" w:hAnsi="Cambria Math"/>
                <w:b/>
                <w:i/>
              </w:rPr>
            </m:ctrlPr>
          </m:accPr>
          <m:e>
            <m:r>
              <m:rPr>
                <m:sty m:val="bi"/>
              </m:rPr>
              <w:rPr>
                <w:rFonts w:ascii="Cambria Math" w:hAnsi="Cambria Math"/>
              </w:rPr>
              <m:t>L</m:t>
            </m:r>
          </m:e>
        </m:acc>
      </m:oMath>
      <w:r w:rsidRPr="00AE24FA">
        <w:rPr>
          <w:b/>
        </w:rPr>
        <w:t>.</w:t>
      </w:r>
      <w:r w:rsidRPr="005E185E">
        <w:t xml:space="preserve"> </w:t>
      </w:r>
      <w:r>
        <w:t xml:space="preserve">In other words, Arab-Israelis are classified as previous “migrants” who have assimilated and therefore do not contribute to the stock of laborers that may perpetrate violence at a given point in time after the policy change. </w:t>
      </w:r>
      <w:r w:rsidRPr="005E185E">
        <w:t>This is a f</w:t>
      </w:r>
      <w:r>
        <w:t>airly unique case (in the post-WWII</w:t>
      </w:r>
      <w:r w:rsidRPr="005E185E">
        <w:t xml:space="preserve"> era) in which an indigenous group of people has assimilated to a new state created by migrants and have assumed a </w:t>
      </w:r>
      <w:r>
        <w:t xml:space="preserve">role </w:t>
      </w:r>
      <w:r w:rsidRPr="005E185E">
        <w:t>in society</w:t>
      </w:r>
      <w:r>
        <w:t xml:space="preserve"> that is similar to the low-skilled migrants living in</w:t>
      </w:r>
      <w:r w:rsidRPr="005E185E">
        <w:t xml:space="preserve"> other countries.</w:t>
      </w:r>
      <w:r w:rsidRPr="005E185E">
        <w:rPr>
          <w:rStyle w:val="FootnoteReference"/>
        </w:rPr>
        <w:footnoteReference w:id="201"/>
      </w:r>
      <w:r>
        <w:t xml:space="preserve"> One implication of this is that</w:t>
      </w:r>
      <w:r w:rsidRPr="005E185E">
        <w:t xml:space="preserve"> allowing more </w:t>
      </w:r>
      <w:r>
        <w:t xml:space="preserve">WBPL </w:t>
      </w:r>
      <w:r w:rsidRPr="005E185E">
        <w:t>to work in Israel</w:t>
      </w:r>
      <w:r>
        <w:t xml:space="preserve"> likely</w:t>
      </w:r>
      <w:r w:rsidRPr="005E185E">
        <w:t xml:space="preserve"> will not </w:t>
      </w:r>
      <w:r>
        <w:t>l</w:t>
      </w:r>
      <w:r w:rsidRPr="005E185E">
        <w:t>ead to more violence perpetrated by Arab-Israelis.</w:t>
      </w:r>
      <w:r>
        <w:t xml:space="preserve"> T</w:t>
      </w:r>
      <w:r w:rsidRPr="005E185E">
        <w:t>here have been rare incidents in which Arab-Israelis have carried out attacks against Israeli citizens,</w:t>
      </w:r>
      <w:r>
        <w:t xml:space="preserve"> but</w:t>
      </w:r>
      <w:r w:rsidRPr="005E185E">
        <w:t xml:space="preserve"> only 42 of 801 fatalities (0.05%) from January 2009 to October 2015 occ</w:t>
      </w:r>
      <w:r>
        <w:t xml:space="preserve">urred within </w:t>
      </w:r>
      <w:r>
        <w:lastRenderedPageBreak/>
        <w:t>Israeli territory.</w:t>
      </w:r>
      <w:r w:rsidRPr="006761B8">
        <w:rPr>
          <w:rStyle w:val="FootnoteReference"/>
        </w:rPr>
        <w:t xml:space="preserve"> </w:t>
      </w:r>
      <w:r w:rsidRPr="005E185E">
        <w:rPr>
          <w:rStyle w:val="FootnoteReference"/>
        </w:rPr>
        <w:footnoteReference w:id="202"/>
      </w:r>
      <w:r>
        <w:t xml:space="preserve"> An implication of this statistic is that the WBPL who had been travelling to work in Israel during that period were also not very likely to have perpetrated violence within Israel. However, the commuter nature of WBPL means that people who work in Israel or their relatives could have perpetrated violence in the West Bank. This means it is unclear whether allowing more West Bank Palestinians to work in Israel will lead to an increase or reduction of overall violence</w:t>
      </w:r>
      <w:r w:rsidR="00B91A59">
        <w:t xml:space="preserve"> in Israel and the West Bank</w:t>
      </w:r>
      <w:r>
        <w:t xml:space="preserve">, though much of the literature suggests that such a policy intervention will reduce violence. Unfortunately, this makes the measurement of the Pacification Rate </w:t>
      </w:r>
      <w:r>
        <w:rPr>
          <w:b/>
          <w:i/>
        </w:rPr>
        <w:t xml:space="preserve">(n) </w:t>
      </w:r>
      <w:r>
        <w:t xml:space="preserve">rather difficult (which is discussed later). Nevertheless, WBPL are the primary agents for analysis in the model, and it is their rate of naturalization that will either decrease or increase TFP according to the degree of violence that results from their increased freedom of movement (regardless of whether that violence occurs in Israel or the West Bank). </w:t>
      </w:r>
    </w:p>
    <w:p w14:paraId="6BBDF7AA" w14:textId="77777777" w:rsidR="00F14AB5" w:rsidRPr="00A052DD" w:rsidRDefault="00F14AB5" w:rsidP="00F14AB5">
      <w:pPr>
        <w:ind w:firstLine="720"/>
      </w:pPr>
      <w:r w:rsidRPr="005E185E">
        <w:t xml:space="preserve">Suppose the </w:t>
      </w:r>
      <w:r>
        <w:t>number of</w:t>
      </w:r>
      <w:r w:rsidRPr="005E185E">
        <w:t xml:space="preserve"> </w:t>
      </w:r>
      <w:r>
        <w:t xml:space="preserve">WBPL </w:t>
      </w:r>
      <w:r w:rsidRPr="005E185E">
        <w:t xml:space="preserve">travelling to work in Israel, </w:t>
      </w:r>
      <w:r w:rsidRPr="005E185E">
        <w:rPr>
          <w:b/>
          <w:i/>
        </w:rPr>
        <w:t>p</w:t>
      </w:r>
      <m:oMath>
        <m:r>
          <m:rPr>
            <m:sty m:val="bi"/>
          </m:rPr>
          <w:rPr>
            <w:rFonts w:ascii="Cambria Math" w:hAnsi="Cambria Math"/>
          </w:rPr>
          <m:t xml:space="preserve"> ≡</m:t>
        </m:r>
        <m:sSub>
          <m:sSubPr>
            <m:ctrlPr>
              <w:rPr>
                <w:rFonts w:ascii="Cambria Math" w:hAnsi="Cambria Math"/>
                <w:b/>
                <w:i/>
              </w:rPr>
            </m:ctrlPr>
          </m:sSubPr>
          <m:e>
            <m:r>
              <m:rPr>
                <m:sty m:val="bi"/>
              </m:rPr>
              <w:rPr>
                <w:rFonts w:ascii="Cambria Math" w:hAnsi="Cambria Math"/>
              </w:rPr>
              <m:t>P</m:t>
            </m:r>
          </m:e>
          <m:sub>
            <m:r>
              <m:rPr>
                <m:sty m:val="bi"/>
              </m:rPr>
              <w:rPr>
                <w:rFonts w:ascii="Cambria Math" w:hAnsi="Cambria Math"/>
              </w:rPr>
              <m:t xml:space="preserve">t </m:t>
            </m:r>
          </m:sub>
        </m:sSub>
        <m:r>
          <m:rPr>
            <m:sty m:val="bi"/>
          </m:rPr>
          <w:rPr>
            <w:rFonts w:ascii="Cambria Math" w:hAnsi="Cambria Math"/>
          </w:rPr>
          <m:t>/</m:t>
        </m:r>
        <m:sSub>
          <m:sSubPr>
            <m:ctrlPr>
              <w:rPr>
                <w:rFonts w:ascii="Cambria Math" w:hAnsi="Cambria Math"/>
                <w:b/>
                <w:i/>
              </w:rPr>
            </m:ctrlPr>
          </m:sSubPr>
          <m:e>
            <m:r>
              <m:rPr>
                <m:sty m:val="bi"/>
              </m:rPr>
              <w:rPr>
                <w:rFonts w:ascii="Cambria Math" w:hAnsi="Cambria Math"/>
              </w:rPr>
              <m:t>L</m:t>
            </m:r>
          </m:e>
          <m:sub>
            <m:r>
              <m:rPr>
                <m:sty m:val="bi"/>
              </m:rPr>
              <w:rPr>
                <w:rFonts w:ascii="Cambria Math" w:hAnsi="Cambria Math"/>
              </w:rPr>
              <m:t>t</m:t>
            </m:r>
          </m:sub>
        </m:sSub>
      </m:oMath>
      <w:r w:rsidRPr="005E185E">
        <w:rPr>
          <w:i/>
        </w:rPr>
        <w:t xml:space="preserve"> </w:t>
      </w:r>
      <w:r w:rsidRPr="005E185E">
        <w:t>is increased at a constant r</w:t>
      </w:r>
      <w:r>
        <w:t>ate over a given period of time.</w:t>
      </w:r>
      <w:r w:rsidRPr="005E185E">
        <w:t xml:space="preserve"> The fraction of Israel’s labor stock composed of </w:t>
      </w:r>
      <w:r>
        <w:t>WBPL</w:t>
      </w:r>
      <w:r w:rsidRPr="005E185E">
        <w:t xml:space="preserve"> who may or may not be </w:t>
      </w:r>
      <w:r>
        <w:t>pacified</w:t>
      </w:r>
      <w:r w:rsidRPr="005E185E">
        <w:t xml:space="preserve"> and therefore may or may not be disposed to perpetrate violence </w:t>
      </w:r>
      <w:r w:rsidRPr="005E185E">
        <w:rPr>
          <w:b/>
        </w:rPr>
        <w:t>(0 &lt;</w:t>
      </w:r>
      <m:oMath>
        <m:r>
          <m:rPr>
            <m:sty m:val="bi"/>
          </m:rPr>
          <w:rPr>
            <w:rFonts w:ascii="Cambria Math" w:hAnsi="Cambria Math"/>
          </w:rPr>
          <m:t xml:space="preserve"> ϕ </m:t>
        </m:r>
      </m:oMath>
      <w:r w:rsidRPr="005E185E">
        <w:rPr>
          <w:b/>
        </w:rPr>
        <w:t>&lt; 1)</w:t>
      </w:r>
      <w:r w:rsidRPr="005E185E">
        <w:t xml:space="preserve"> is…</w:t>
      </w:r>
    </w:p>
    <w:p w14:paraId="71D3297E" w14:textId="77777777" w:rsidR="00F14AB5" w:rsidRPr="005E185E" w:rsidRDefault="00F14AB5" w:rsidP="00F14AB5">
      <w:pPr>
        <w:spacing w:line="240" w:lineRule="auto"/>
        <w:rPr>
          <w:b/>
          <w:i/>
          <w:sz w:val="28"/>
          <w:szCs w:val="28"/>
        </w:rPr>
      </w:pPr>
      <w:r w:rsidRPr="005E185E">
        <w:rPr>
          <w:b/>
          <w:i/>
          <w:sz w:val="28"/>
          <w:szCs w:val="28"/>
        </w:rPr>
        <w:t>Eq. (2)</w:t>
      </w:r>
    </w:p>
    <w:p w14:paraId="4CEBC6FA" w14:textId="77777777" w:rsidR="00F14AB5" w:rsidRPr="005E185E" w:rsidRDefault="00F14AB5" w:rsidP="00F14AB5">
      <w:pPr>
        <w:rPr>
          <w:sz w:val="28"/>
          <w:szCs w:val="28"/>
        </w:rPr>
      </w:pPr>
      <m:oMathPara>
        <m:oMath>
          <m:r>
            <w:rPr>
              <w:rFonts w:ascii="Cambria Math" w:hAnsi="Cambria Math"/>
              <w:sz w:val="28"/>
              <w:szCs w:val="28"/>
            </w:rPr>
            <m:t>ϕ≡</m:t>
          </m:r>
          <m:f>
            <m:fPr>
              <m:ctrlPr>
                <w:rPr>
                  <w:rFonts w:ascii="Cambria Math" w:hAnsi="Cambria Math"/>
                  <w:i/>
                  <w:sz w:val="28"/>
                  <w:szCs w:val="28"/>
                </w:rPr>
              </m:ctrlPr>
            </m:fPr>
            <m:num>
              <m:sSub>
                <m:sSubPr>
                  <m:ctrlPr>
                    <w:rPr>
                      <w:rFonts w:ascii="Cambria Math" w:hAnsi="Cambria Math"/>
                      <w:i/>
                      <w:sz w:val="28"/>
                      <w:szCs w:val="28"/>
                    </w:rPr>
                  </m:ctrlPr>
                </m:sSubPr>
                <m:e>
                  <m:acc>
                    <m:accPr>
                      <m:ctrlPr>
                        <w:rPr>
                          <w:rFonts w:ascii="Cambria Math" w:hAnsi="Cambria Math"/>
                          <w:i/>
                          <w:sz w:val="28"/>
                          <w:szCs w:val="28"/>
                        </w:rPr>
                      </m:ctrlPr>
                    </m:accPr>
                    <m:e>
                      <m:r>
                        <w:rPr>
                          <w:rFonts w:ascii="Cambria Math" w:hAnsi="Cambria Math"/>
                          <w:sz w:val="28"/>
                          <w:szCs w:val="28"/>
                        </w:rPr>
                        <m:t>L</m:t>
                      </m:r>
                    </m:e>
                  </m:acc>
                </m:e>
                <m:sub>
                  <m:r>
                    <w:rPr>
                      <w:rFonts w:ascii="Cambria Math" w:hAnsi="Cambria Math"/>
                      <w:sz w:val="28"/>
                      <w:szCs w:val="28"/>
                    </w:rPr>
                    <m:t>t</m:t>
                  </m:r>
                </m:sub>
              </m:sSub>
            </m:num>
            <m:den>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t</m:t>
                  </m:r>
                </m:sub>
              </m:sSub>
            </m:den>
          </m:f>
          <m:r>
            <w:rPr>
              <w:rFonts w:ascii="Cambria Math" w:hAnsi="Cambria Math"/>
              <w:sz w:val="28"/>
              <w:szCs w:val="28"/>
            </w:rPr>
            <m:t>≡</m:t>
          </m:r>
          <m:nary>
            <m:naryPr>
              <m:limLoc m:val="subSup"/>
              <m:ctrlPr>
                <w:rPr>
                  <w:rFonts w:ascii="Cambria Math" w:hAnsi="Cambria Math"/>
                  <w:i/>
                  <w:sz w:val="28"/>
                  <w:szCs w:val="28"/>
                </w:rPr>
              </m:ctrlPr>
            </m:naryPr>
            <m:sub>
              <m:r>
                <w:rPr>
                  <w:rFonts w:ascii="Cambria Math" w:hAnsi="Cambria Math"/>
                  <w:sz w:val="28"/>
                  <w:szCs w:val="28"/>
                </w:rPr>
                <m:t>0</m:t>
              </m:r>
            </m:sub>
            <m:sup>
              <m:r>
                <w:rPr>
                  <w:rFonts w:ascii="Cambria Math" w:hAnsi="Cambria Math"/>
                  <w:sz w:val="28"/>
                  <w:szCs w:val="28"/>
                </w:rPr>
                <m:t>∞</m:t>
              </m:r>
            </m:sup>
            <m:e>
              <m:r>
                <w:rPr>
                  <w:rFonts w:ascii="Cambria Math" w:hAnsi="Cambria Math"/>
                  <w:sz w:val="28"/>
                  <w:szCs w:val="28"/>
                </w:rPr>
                <m:t>p(1-n</m:t>
              </m:r>
              <m:sSup>
                <m:sSupPr>
                  <m:ctrlPr>
                    <w:rPr>
                      <w:rFonts w:ascii="Cambria Math" w:hAnsi="Cambria Math"/>
                      <w:i/>
                      <w:sz w:val="28"/>
                      <w:szCs w:val="28"/>
                    </w:rPr>
                  </m:ctrlPr>
                </m:sSupPr>
                <m:e>
                  <m:r>
                    <w:rPr>
                      <w:rFonts w:ascii="Cambria Math" w:hAnsi="Cambria Math"/>
                      <w:sz w:val="28"/>
                      <w:szCs w:val="28"/>
                    </w:rPr>
                    <m:t>)</m:t>
                  </m:r>
                </m:e>
                <m:sup>
                  <m:r>
                    <w:rPr>
                      <w:rFonts w:ascii="Cambria Math" w:hAnsi="Cambria Math"/>
                      <w:sz w:val="28"/>
                      <w:szCs w:val="28"/>
                    </w:rPr>
                    <m:t>t</m:t>
                  </m:r>
                </m:sup>
              </m:sSup>
            </m:e>
          </m:nary>
          <m:r>
            <w:rPr>
              <w:rFonts w:ascii="Cambria Math" w:hAnsi="Cambria Math"/>
              <w:sz w:val="28"/>
              <w:szCs w:val="28"/>
            </w:rPr>
            <m:t xml:space="preserve"> dt≈</m:t>
          </m:r>
          <m:f>
            <m:fPr>
              <m:ctrlPr>
                <w:rPr>
                  <w:rFonts w:ascii="Cambria Math" w:hAnsi="Cambria Math"/>
                  <w:i/>
                  <w:sz w:val="28"/>
                  <w:szCs w:val="28"/>
                </w:rPr>
              </m:ctrlPr>
            </m:fPr>
            <m:num>
              <m:r>
                <w:rPr>
                  <w:rFonts w:ascii="Cambria Math" w:hAnsi="Cambria Math"/>
                  <w:sz w:val="28"/>
                  <w:szCs w:val="28"/>
                </w:rPr>
                <m:t>p</m:t>
              </m:r>
            </m:num>
            <m:den>
              <m:r>
                <w:rPr>
                  <w:rFonts w:ascii="Cambria Math" w:hAnsi="Cambria Math"/>
                  <w:sz w:val="28"/>
                  <w:szCs w:val="28"/>
                </w:rPr>
                <m:t>n</m:t>
              </m:r>
            </m:den>
          </m:f>
        </m:oMath>
      </m:oMathPara>
    </w:p>
    <w:p w14:paraId="0C3D3692" w14:textId="77777777" w:rsidR="00F14AB5" w:rsidRPr="00320BB9" w:rsidRDefault="00F14AB5" w:rsidP="00F14AB5">
      <w:r>
        <w:lastRenderedPageBreak/>
        <w:t xml:space="preserve">Note that </w:t>
      </w:r>
      <w:r>
        <w:rPr>
          <w:b/>
          <w:i/>
        </w:rPr>
        <w:t xml:space="preserve">(n) </w:t>
      </w:r>
      <w:r>
        <w:t xml:space="preserve">still represents the fraction of newly permitted WBPL that are pacified, so a higher </w:t>
      </w:r>
      <w:r>
        <w:rPr>
          <w:b/>
          <w:i/>
        </w:rPr>
        <w:t xml:space="preserve">(n) </w:t>
      </w:r>
      <w:r>
        <w:t xml:space="preserve">score will result in a lower </w:t>
      </w:r>
      <m:oMath>
        <m:r>
          <w:rPr>
            <w:rFonts w:ascii="Cambria Math" w:hAnsi="Cambria Math"/>
            <w:sz w:val="28"/>
            <w:szCs w:val="28"/>
          </w:rPr>
          <m:t>ϕ</m:t>
        </m:r>
      </m:oMath>
      <w:r>
        <w:rPr>
          <w:sz w:val="28"/>
          <w:szCs w:val="28"/>
        </w:rPr>
        <w:t>.</w:t>
      </w:r>
      <w:r>
        <w:rPr>
          <w:rStyle w:val="FootnoteReference"/>
          <w:sz w:val="28"/>
          <w:szCs w:val="28"/>
        </w:rPr>
        <w:footnoteReference w:id="203"/>
      </w:r>
      <w:r>
        <w:rPr>
          <w:sz w:val="28"/>
          <w:szCs w:val="28"/>
        </w:rPr>
        <w:t xml:space="preserve"> </w:t>
      </w:r>
      <w:r>
        <w:rPr>
          <w:szCs w:val="28"/>
        </w:rPr>
        <w:t xml:space="preserve">This means that as </w:t>
      </w:r>
      <m:oMath>
        <m:r>
          <w:rPr>
            <w:rFonts w:ascii="Cambria Math" w:hAnsi="Cambria Math"/>
            <w:sz w:val="28"/>
            <w:szCs w:val="28"/>
          </w:rPr>
          <m:t>ϕ</m:t>
        </m:r>
      </m:oMath>
      <w:r>
        <w:rPr>
          <w:sz w:val="28"/>
          <w:szCs w:val="28"/>
        </w:rPr>
        <w:t xml:space="preserve"> </w:t>
      </w:r>
      <w:r>
        <w:rPr>
          <w:szCs w:val="28"/>
        </w:rPr>
        <w:t>asymptotically approaches 0, the level of violence that results from allowing more Palestinians to work in Israel should also approach 0. This is due to how the other two parameters, the Palestinian Propensity for Violence (</w:t>
      </w:r>
      <w:r>
        <w:rPr>
          <w:b/>
          <w:i/>
          <w:szCs w:val="28"/>
        </w:rPr>
        <w:t xml:space="preserve">v) </w:t>
      </w:r>
      <w:r>
        <w:rPr>
          <w:szCs w:val="28"/>
        </w:rPr>
        <w:t>and the Agitation score (</w:t>
      </w:r>
      <w:r>
        <w:rPr>
          <w:b/>
          <w:i/>
          <w:szCs w:val="28"/>
        </w:rPr>
        <w:t>r</w:t>
      </w:r>
      <w:r>
        <w:rPr>
          <w:szCs w:val="28"/>
        </w:rPr>
        <w:t>), relate to TFP in the Israeli and West Bank economies.</w:t>
      </w:r>
    </w:p>
    <w:p w14:paraId="05504ED6" w14:textId="58986905" w:rsidR="00362D90" w:rsidRPr="00A052DD" w:rsidRDefault="00F14AB5" w:rsidP="005B4AD8">
      <w:pPr>
        <w:ind w:firstLine="720"/>
      </w:pPr>
      <w:r w:rsidRPr="00A052DD">
        <w:t>Increasing the number of Palestinians legally working in the Israeli labor force changes TFP in Israel to…</w:t>
      </w:r>
    </w:p>
    <w:p w14:paraId="308FD860" w14:textId="77777777" w:rsidR="00F14AB5" w:rsidRPr="005E185E" w:rsidRDefault="00F14AB5" w:rsidP="00F14AB5">
      <w:pPr>
        <w:spacing w:line="240" w:lineRule="auto"/>
        <w:rPr>
          <w:b/>
          <w:i/>
          <w:sz w:val="28"/>
          <w:szCs w:val="28"/>
        </w:rPr>
      </w:pPr>
      <w:r w:rsidRPr="005E185E">
        <w:rPr>
          <w:b/>
          <w:i/>
          <w:sz w:val="28"/>
          <w:szCs w:val="28"/>
        </w:rPr>
        <w:t>Eq. (3)</w:t>
      </w:r>
    </w:p>
    <w:p w14:paraId="196CA701" w14:textId="77777777" w:rsidR="00F14AB5" w:rsidRPr="00F14AB5" w:rsidRDefault="00500133" w:rsidP="00F14AB5">
      <w:pPr>
        <w:spacing w:line="240" w:lineRule="auto"/>
        <w:rPr>
          <w:sz w:val="28"/>
          <w:szCs w:val="28"/>
        </w:rPr>
      </w:pPr>
      <m:oMathPara>
        <m:oMath>
          <m:acc>
            <m:accPr>
              <m:chr m:val="̃"/>
              <m:ctrlPr>
                <w:rPr>
                  <w:rFonts w:ascii="Cambria Math" w:hAnsi="Cambria Math"/>
                  <w:i/>
                  <w:sz w:val="28"/>
                  <w:szCs w:val="28"/>
                </w:rPr>
              </m:ctrlPr>
            </m:accPr>
            <m:e>
              <m:r>
                <w:rPr>
                  <w:rFonts w:ascii="Cambria Math" w:hAnsi="Cambria Math"/>
                  <w:sz w:val="28"/>
                  <w:szCs w:val="28"/>
                </w:rPr>
                <m:t>A</m:t>
              </m:r>
            </m:e>
          </m:acc>
          <m:r>
            <w:rPr>
              <w:rFonts w:ascii="Cambria Math" w:hAnsi="Cambria Math"/>
              <w:sz w:val="28"/>
              <w:szCs w:val="28"/>
            </w:rPr>
            <m:t>≡</m:t>
          </m:r>
          <m:bar>
            <m:barPr>
              <m:pos m:val="top"/>
              <m:ctrlPr>
                <w:rPr>
                  <w:rFonts w:ascii="Cambria Math" w:hAnsi="Cambria Math"/>
                  <w:i/>
                  <w:sz w:val="28"/>
                  <w:szCs w:val="28"/>
                </w:rPr>
              </m:ctrlPr>
            </m:barPr>
            <m:e>
              <m:r>
                <w:rPr>
                  <w:rFonts w:ascii="Cambria Math" w:hAnsi="Cambria Math"/>
                  <w:sz w:val="28"/>
                  <w:szCs w:val="28"/>
                </w:rPr>
                <m:t>A</m:t>
              </m:r>
            </m:e>
          </m:bar>
          <m:r>
            <w:rPr>
              <w:rFonts w:ascii="Cambria Math" w:hAnsi="Cambria Math"/>
              <w:sz w:val="28"/>
              <w:szCs w:val="28"/>
            </w:rPr>
            <m:t>-(</m:t>
          </m:r>
          <m:bar>
            <m:barPr>
              <m:pos m:val="top"/>
              <m:ctrlPr>
                <w:rPr>
                  <w:rFonts w:ascii="Cambria Math" w:hAnsi="Cambria Math"/>
                  <w:i/>
                  <w:sz w:val="28"/>
                  <w:szCs w:val="28"/>
                </w:rPr>
              </m:ctrlPr>
            </m:barPr>
            <m:e>
              <m:r>
                <w:rPr>
                  <w:rFonts w:ascii="Cambria Math" w:hAnsi="Cambria Math"/>
                  <w:sz w:val="28"/>
                  <w:szCs w:val="28"/>
                </w:rPr>
                <m:t>A</m:t>
              </m:r>
            </m:e>
          </m:bar>
          <m:r>
            <w:rPr>
              <w:rFonts w:ascii="Cambria Math" w:hAnsi="Cambria Math"/>
              <w:sz w:val="28"/>
              <w:szCs w:val="28"/>
            </w:rPr>
            <m:t>-</m:t>
          </m:r>
          <m:bar>
            <m:barPr>
              <m:ctrlPr>
                <w:rPr>
                  <w:rFonts w:ascii="Cambria Math" w:hAnsi="Cambria Math"/>
                  <w:i/>
                  <w:sz w:val="28"/>
                  <w:szCs w:val="28"/>
                </w:rPr>
              </m:ctrlPr>
            </m:barPr>
            <m:e>
              <m:r>
                <w:rPr>
                  <w:rFonts w:ascii="Cambria Math" w:hAnsi="Cambria Math"/>
                  <w:sz w:val="28"/>
                  <w:szCs w:val="28"/>
                </w:rPr>
                <m:t>A</m:t>
              </m:r>
            </m:e>
          </m:bar>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vϕ</m:t>
              </m:r>
            </m:num>
            <m:den>
              <m:r>
                <w:rPr>
                  <w:rFonts w:ascii="Cambria Math" w:hAnsi="Cambria Math"/>
                  <w:sz w:val="28"/>
                  <w:szCs w:val="28"/>
                </w:rPr>
                <m:t>1-rϕ</m:t>
              </m:r>
            </m:den>
          </m:f>
        </m:oMath>
      </m:oMathPara>
    </w:p>
    <w:p w14:paraId="69D5E093" w14:textId="77777777" w:rsidR="00F14AB5" w:rsidRPr="005E185E" w:rsidRDefault="00F14AB5" w:rsidP="00F14AB5">
      <w:pPr>
        <w:spacing w:line="240" w:lineRule="auto"/>
        <w:rPr>
          <w:sz w:val="28"/>
          <w:szCs w:val="28"/>
        </w:rPr>
      </w:pPr>
    </w:p>
    <w:p w14:paraId="784F99D1" w14:textId="77777777" w:rsidR="00F14AB5" w:rsidRPr="005E185E" w:rsidRDefault="00F14AB5" w:rsidP="00F14AB5">
      <w:r w:rsidRPr="005E185E">
        <w:t>where</w:t>
      </w:r>
      <w:r w:rsidRPr="005E185E">
        <w:rPr>
          <w:b/>
        </w:rPr>
        <w:t xml:space="preserve"> </w:t>
      </w:r>
      <w:r>
        <w:rPr>
          <w:b/>
        </w:rPr>
        <w:t>(</w:t>
      </w:r>
      <w:r w:rsidRPr="005E185E">
        <w:rPr>
          <w:b/>
        </w:rPr>
        <w:t xml:space="preserve">0 &lt; </w:t>
      </w:r>
      <m:oMath>
        <m:r>
          <m:rPr>
            <m:sty m:val="bi"/>
          </m:rPr>
          <w:rPr>
            <w:rFonts w:ascii="Cambria Math" w:hAnsi="Cambria Math"/>
          </w:rPr>
          <m:t xml:space="preserve">v </m:t>
        </m:r>
      </m:oMath>
      <w:r w:rsidRPr="005E185E">
        <w:rPr>
          <w:b/>
        </w:rPr>
        <w:t>&lt; 1</w:t>
      </w:r>
      <w:r>
        <w:rPr>
          <w:b/>
        </w:rPr>
        <w:t>)</w:t>
      </w:r>
      <w:r w:rsidRPr="005E185E">
        <w:rPr>
          <w:b/>
        </w:rPr>
        <w:t xml:space="preserve"> </w:t>
      </w:r>
      <w:r w:rsidRPr="005E185E">
        <w:t>is the collective propensity</w:t>
      </w:r>
      <w:r>
        <w:t xml:space="preserve"> for violence embodied in each WBPL</w:t>
      </w:r>
      <w:r w:rsidRPr="005E185E">
        <w:t xml:space="preserve"> travelling to work in Israel and </w:t>
      </w:r>
      <w:r>
        <w:t>(</w:t>
      </w:r>
      <w:r w:rsidRPr="005E185E">
        <w:rPr>
          <w:b/>
          <w:i/>
        </w:rPr>
        <w:t>r</w:t>
      </w:r>
      <w:r w:rsidRPr="005E185E">
        <w:rPr>
          <w:b/>
        </w:rPr>
        <w:t xml:space="preserve"> </w:t>
      </w:r>
      <m:oMath>
        <m:r>
          <m:rPr>
            <m:sty m:val="bi"/>
          </m:rPr>
          <w:rPr>
            <w:rFonts w:ascii="Cambria Math" w:hAnsi="Cambria Math"/>
          </w:rPr>
          <m:t>≶</m:t>
        </m:r>
      </m:oMath>
      <w:r w:rsidRPr="005E185E">
        <w:rPr>
          <w:b/>
        </w:rPr>
        <w:t xml:space="preserve"> 0</w:t>
      </w:r>
      <w:r>
        <w:rPr>
          <w:b/>
        </w:rPr>
        <w:t>)</w:t>
      </w:r>
      <w:r w:rsidRPr="005E185E">
        <w:t xml:space="preserve"> is the degree to whi</w:t>
      </w:r>
      <w:r>
        <w:t>ch Palestinians who aren’t yet pacified</w:t>
      </w:r>
      <w:r w:rsidRPr="005E185E">
        <w:t xml:space="preserve"> non-linearly reduce cumulative TFP through</w:t>
      </w:r>
      <w:r>
        <w:t xml:space="preserve"> the</w:t>
      </w:r>
      <w:r w:rsidRPr="005E185E">
        <w:t xml:space="preserve"> violence </w:t>
      </w:r>
      <w:r>
        <w:t>that may result</w:t>
      </w:r>
      <w:r w:rsidRPr="005E185E">
        <w:t xml:space="preserve"> from their increased </w:t>
      </w:r>
      <w:r>
        <w:t>interaction</w:t>
      </w:r>
      <w:r w:rsidRPr="005E185E">
        <w:t xml:space="preserve"> with Israelis. Note that without including </w:t>
      </w:r>
      <w:r>
        <w:t>Agitation</w:t>
      </w:r>
      <w:r w:rsidRPr="005E185E">
        <w:t xml:space="preserve"> </w:t>
      </w:r>
      <w:r w:rsidRPr="005E185E">
        <w:rPr>
          <w:b/>
        </w:rPr>
        <w:t>(</w:t>
      </w:r>
      <w:r w:rsidRPr="005E185E">
        <w:rPr>
          <w:b/>
          <w:i/>
        </w:rPr>
        <w:t>r=0</w:t>
      </w:r>
      <w:r w:rsidRPr="005E185E">
        <w:rPr>
          <w:b/>
        </w:rPr>
        <w:t>)</w:t>
      </w:r>
      <w:r w:rsidRPr="005E185E">
        <w:t>, violence would be a function of the pre-liberalization attitudes of Israelis and Palest</w:t>
      </w:r>
      <w:r>
        <w:t>inians towards each other. This</w:t>
      </w:r>
      <w:r w:rsidRPr="005E185E">
        <w:t xml:space="preserve"> would reduce Is</w:t>
      </w:r>
      <w:r>
        <w:t>raeli TFP during liberalization</w:t>
      </w:r>
      <w:r w:rsidRPr="005E185E">
        <w:t xml:space="preserve"> </w:t>
      </w:r>
      <w:r>
        <w:t>(</w:t>
      </w:r>
      <m:oMath>
        <m:bar>
          <m:barPr>
            <m:pos m:val="top"/>
            <m:ctrlPr>
              <w:rPr>
                <w:rFonts w:ascii="Cambria Math" w:hAnsi="Cambria Math"/>
                <w:b/>
                <w:i/>
              </w:rPr>
            </m:ctrlPr>
          </m:barPr>
          <m:e>
            <m:r>
              <m:rPr>
                <m:sty m:val="bi"/>
              </m:rPr>
              <w:rPr>
                <w:rFonts w:ascii="Cambria Math" w:hAnsi="Cambria Math"/>
              </w:rPr>
              <m:t>A</m:t>
            </m:r>
          </m:e>
        </m:bar>
      </m:oMath>
      <w:r>
        <w:rPr>
          <w:b/>
        </w:rPr>
        <w:t xml:space="preserve">) </w:t>
      </w:r>
      <w:r w:rsidRPr="005E185E">
        <w:t xml:space="preserve">to a weighted average of pre-immigration TFP in Israel and the West Bank with weight </w:t>
      </w:r>
      <w:r>
        <w:t>(</w:t>
      </w:r>
      <w:r w:rsidRPr="005E185E">
        <w:rPr>
          <w:b/>
        </w:rPr>
        <w:t xml:space="preserve">0 &lt; </w:t>
      </w:r>
      <w:r w:rsidRPr="005E185E">
        <w:rPr>
          <w:b/>
          <w:i/>
        </w:rPr>
        <w:t>v</w:t>
      </w:r>
      <m:oMath>
        <m:r>
          <m:rPr>
            <m:sty m:val="bi"/>
          </m:rPr>
          <w:rPr>
            <w:rFonts w:ascii="Cambria Math" w:hAnsi="Cambria Math"/>
          </w:rPr>
          <m:t>ϕ</m:t>
        </m:r>
      </m:oMath>
      <w:r w:rsidRPr="005E185E">
        <w:rPr>
          <w:b/>
          <w:i/>
        </w:rPr>
        <w:t xml:space="preserve"> &lt;</w:t>
      </w:r>
      <w:r w:rsidRPr="005E185E">
        <w:rPr>
          <w:b/>
        </w:rPr>
        <w:t xml:space="preserve"> 1</w:t>
      </w:r>
      <w:r>
        <w:rPr>
          <w:b/>
        </w:rPr>
        <w:t>)</w:t>
      </w:r>
      <w:r w:rsidRPr="005E185E">
        <w:rPr>
          <w:i/>
        </w:rPr>
        <w:t xml:space="preserve">. </w:t>
      </w:r>
      <w:r w:rsidRPr="005E185E">
        <w:t>This is however unrealistic in this context, as this would imply</w:t>
      </w:r>
      <w:r>
        <w:t xml:space="preserve"> totally free movement for the newly permitted WBPL laborers</w:t>
      </w:r>
      <w:r w:rsidRPr="005E185E">
        <w:t xml:space="preserve"> without impediment by barriers or checkpoints, which would result in violence to the degree that pre-liberalization attitudes are hostile</w:t>
      </w:r>
      <w:r>
        <w:t xml:space="preserve"> and result in impulsive (read violent) action</w:t>
      </w:r>
      <w:r w:rsidRPr="005E185E">
        <w:t>.</w:t>
      </w:r>
      <w:r>
        <w:t xml:space="preserve"> This</w:t>
      </w:r>
      <w:r w:rsidRPr="005E185E">
        <w:t xml:space="preserve"> is</w:t>
      </w:r>
      <w:r>
        <w:t xml:space="preserve"> unrealistic because Israel is not going to dismantle all border and security measures. </w:t>
      </w:r>
    </w:p>
    <w:p w14:paraId="20CCD991" w14:textId="77777777" w:rsidR="00F14AB5" w:rsidRDefault="00F14AB5" w:rsidP="00F14AB5">
      <w:pPr>
        <w:ind w:firstLine="720"/>
      </w:pPr>
      <w:r>
        <w:lastRenderedPageBreak/>
        <w:t xml:space="preserve">Figure 8 </w:t>
      </w:r>
      <w:r w:rsidRPr="005E185E">
        <w:t>shows how Israeli TFP (</w:t>
      </w:r>
      <m:oMath>
        <m:bar>
          <m:barPr>
            <m:pos m:val="top"/>
            <m:ctrlPr>
              <w:rPr>
                <w:rFonts w:ascii="Cambria Math" w:hAnsi="Cambria Math"/>
                <w:b/>
                <w:i/>
              </w:rPr>
            </m:ctrlPr>
          </m:barPr>
          <m:e>
            <m:r>
              <m:rPr>
                <m:sty m:val="bi"/>
              </m:rPr>
              <w:rPr>
                <w:rFonts w:ascii="Cambria Math" w:hAnsi="Cambria Math"/>
              </w:rPr>
              <m:t>A</m:t>
            </m:r>
          </m:e>
        </m:bar>
      </m:oMath>
      <w:r w:rsidRPr="005E185E">
        <w:rPr>
          <w:b/>
        </w:rPr>
        <w:t>)</w:t>
      </w:r>
      <w:r w:rsidRPr="005E185E">
        <w:t xml:space="preserve"> is shaped by the fraction of </w:t>
      </w:r>
      <w:r>
        <w:t>newly permitted WBPL</w:t>
      </w:r>
      <w:r w:rsidRPr="005E185E">
        <w:t xml:space="preserve"> </w:t>
      </w:r>
      <w:r>
        <w:t xml:space="preserve">who </w:t>
      </w:r>
      <w:r w:rsidRPr="005E185E">
        <w:t>may</w:t>
      </w:r>
      <w:r>
        <w:t xml:space="preserve"> or may not</w:t>
      </w:r>
      <w:r w:rsidRPr="005E185E">
        <w:t xml:space="preserve"> be disposed to perpetrate violence with more freedom of movement. There, </w:t>
      </w:r>
      <m:oMath>
        <m:r>
          <m:rPr>
            <m:sty m:val="bi"/>
          </m:rPr>
          <w:rPr>
            <w:rFonts w:ascii="Cambria Math" w:hAnsi="Cambria Math"/>
          </w:rPr>
          <m:t xml:space="preserve">γ≡ </m:t>
        </m:r>
        <m:bar>
          <m:barPr>
            <m:pos m:val="top"/>
            <m:ctrlPr>
              <w:rPr>
                <w:rFonts w:ascii="Cambria Math" w:hAnsi="Cambria Math"/>
                <w:b/>
                <w:i/>
              </w:rPr>
            </m:ctrlPr>
          </m:barPr>
          <m:e>
            <m:r>
              <m:rPr>
                <m:sty m:val="bi"/>
              </m:rPr>
              <w:rPr>
                <w:rFonts w:ascii="Cambria Math" w:hAnsi="Cambria Math"/>
              </w:rPr>
              <m:t>A</m:t>
            </m:r>
          </m:e>
        </m:bar>
        <m:r>
          <m:rPr>
            <m:sty m:val="bi"/>
          </m:rPr>
          <w:rPr>
            <w:rFonts w:ascii="Cambria Math" w:hAnsi="Cambria Math"/>
          </w:rPr>
          <m:t>-</m:t>
        </m:r>
        <m:bar>
          <m:barPr>
            <m:ctrlPr>
              <w:rPr>
                <w:rFonts w:ascii="Cambria Math" w:hAnsi="Cambria Math"/>
                <w:b/>
                <w:i/>
              </w:rPr>
            </m:ctrlPr>
          </m:barPr>
          <m:e>
            <m:r>
              <m:rPr>
                <m:sty m:val="bi"/>
              </m:rPr>
              <w:rPr>
                <w:rFonts w:ascii="Cambria Math" w:hAnsi="Cambria Math"/>
              </w:rPr>
              <m:t>A</m:t>
            </m:r>
          </m:e>
        </m:bar>
      </m:oMath>
      <w:r w:rsidRPr="005E185E">
        <w:t xml:space="preserve"> denotes the gap between I</w:t>
      </w:r>
      <w:r>
        <w:t xml:space="preserve">sraeli and West Bank TFP; </w:t>
      </w:r>
      <w:r w:rsidRPr="005E185E">
        <w:t>the production lines denote the effect of liberalizing Palestinian movement restrictions and integrating more Palestinians i</w:t>
      </w:r>
      <w:r>
        <w:t>nto the Israeli labor force on Israeli</w:t>
      </w:r>
      <w:r w:rsidRPr="005E185E">
        <w:t xml:space="preserve"> TFP given different </w:t>
      </w:r>
      <w:r>
        <w:t xml:space="preserve">agitation </w:t>
      </w:r>
      <w:r w:rsidRPr="007A047E">
        <w:rPr>
          <w:b/>
          <w:i/>
        </w:rPr>
        <w:t>(r)</w:t>
      </w:r>
      <w:r w:rsidRPr="005E185E">
        <w:rPr>
          <w:b/>
          <w:i/>
        </w:rPr>
        <w:t xml:space="preserve"> </w:t>
      </w:r>
      <w:r w:rsidRPr="005E185E">
        <w:t>values.</w:t>
      </w:r>
      <w:r>
        <w:t xml:space="preserve"> Note that if </w:t>
      </w:r>
      <w:r w:rsidRPr="009612AA">
        <w:rPr>
          <w:b/>
          <w:i/>
        </w:rPr>
        <w:t>r</w:t>
      </w:r>
      <w:r w:rsidRPr="009612AA">
        <w:rPr>
          <w:b/>
        </w:rPr>
        <w:t xml:space="preserve"> &gt; 0</w:t>
      </w:r>
      <w:r>
        <w:t xml:space="preserve">, TFP is reduced at a much more drastic rate than it is increased if </w:t>
      </w:r>
      <w:r w:rsidRPr="009612AA">
        <w:rPr>
          <w:b/>
          <w:i/>
        </w:rPr>
        <w:t>r</w:t>
      </w:r>
      <w:r w:rsidRPr="009612AA">
        <w:rPr>
          <w:b/>
        </w:rPr>
        <w:t xml:space="preserve"> &lt; 0</w:t>
      </w:r>
      <w:r>
        <w:t xml:space="preserve">. In other words, if violent interactions result from increased freedom of movement for Palestinians, TFP is reduced quickly, but if very few or no violent interactions occur, then TFP is slightly increased. This is important because it tempers expectations and establishes a long-term time horizon (think years instead of months) for the positive effects of economic development in the West Bank to be observed, but a short-term time horizon for the negative effects of violence to be observed in Israel. This is intuitive, as it is much easier to see if the number of fatalities increases in the short-term but a long-period in which violence is slowly reduced may not be noticed as easily. This is consistent with the literature on how institutions and norms affect TFP. </w:t>
      </w:r>
    </w:p>
    <w:p w14:paraId="6DC36637" w14:textId="77777777" w:rsidR="00F14AB5" w:rsidRDefault="00F14AB5" w:rsidP="00F14AB5">
      <w:pPr>
        <w:ind w:firstLine="720"/>
      </w:pPr>
      <w:r>
        <w:t xml:space="preserve">Clemens and Pritchett note that most models of norms and institutions exhibit multiple equilibria with high transition barriers between equilibria. In other words, once a norm is established, such as the cycle of violence in the Israeli-Palestinian conflict, it is difficult to break that norm. However, they also note that norms and institutions are ontologically social, which renders the application of the GAM as a model of the relationship between economic development and violence ideal for this context. In Figure 8, the benefits and/or consequences are more pronounced as you move right </w:t>
      </w:r>
      <w:r>
        <w:lastRenderedPageBreak/>
        <w:t>across the horizontal axis, as moving right represents a higher proportion of Palestinians working in Israel.</w:t>
      </w:r>
      <w:r w:rsidRPr="00F021FB">
        <w:t xml:space="preserve"> </w:t>
      </w:r>
    </w:p>
    <w:p w14:paraId="5469A341" w14:textId="3D425B2F" w:rsidR="00707E1F" w:rsidRDefault="00F14AB5" w:rsidP="00707E1F">
      <w:pPr>
        <w:ind w:firstLine="720"/>
      </w:pPr>
      <w:r>
        <w:t xml:space="preserve">In order to assess the relative benefits and/or consequences of the proposed policy change, it is necessary to evaluate how the policy may affect TFP for both economies. </w:t>
      </w:r>
      <w:r w:rsidRPr="005E185E">
        <w:t xml:space="preserve">The first term of </w:t>
      </w:r>
      <w:r w:rsidRPr="00EE7411">
        <w:rPr>
          <w:b/>
        </w:rPr>
        <w:t>(4)</w:t>
      </w:r>
      <w:r w:rsidRPr="005E185E">
        <w:t xml:space="preserve"> is the gain to Israeli production </w:t>
      </w:r>
      <w:r>
        <w:t xml:space="preserve">that should result </w:t>
      </w:r>
      <w:r w:rsidRPr="005E185E">
        <w:t xml:space="preserve">from </w:t>
      </w:r>
      <w:r w:rsidR="00F02782">
        <w:t>the increase in labor supply.</w:t>
      </w:r>
      <w:r w:rsidRPr="005E185E">
        <w:t xml:space="preserve"> The second term is the loss to West Bank production from the departing labor and the level of violence that may result from the increased interactions occurring during the commute of the new </w:t>
      </w:r>
      <w:r>
        <w:t>WBPL. These definite integrals must be evaluated with respect to the populations of the two economies and must account for the increased number of WBPL in the Israeli workforce.</w:t>
      </w:r>
    </w:p>
    <w:p w14:paraId="6E0BE83F" w14:textId="77777777" w:rsidR="00BB605D" w:rsidRDefault="00BB605D" w:rsidP="00707E1F">
      <w:pPr>
        <w:ind w:firstLine="720"/>
      </w:pPr>
    </w:p>
    <w:p w14:paraId="2E0509D0" w14:textId="35B0E6CD" w:rsidR="00707E1F" w:rsidRPr="00226515" w:rsidRDefault="00707E1F" w:rsidP="00707E1F">
      <w:pPr>
        <w:ind w:firstLine="720"/>
      </w:pPr>
      <w:r>
        <w:rPr>
          <w:noProof/>
        </w:rPr>
        <mc:AlternateContent>
          <mc:Choice Requires="wps">
            <w:drawing>
              <wp:anchor distT="0" distB="0" distL="114300" distR="114300" simplePos="0" relativeHeight="251676672" behindDoc="0" locked="0" layoutInCell="1" allowOverlap="1" wp14:anchorId="23547DB3" wp14:editId="5E93204F">
                <wp:simplePos x="0" y="0"/>
                <wp:positionH relativeFrom="column">
                  <wp:posOffset>1143000</wp:posOffset>
                </wp:positionH>
                <wp:positionV relativeFrom="paragraph">
                  <wp:posOffset>76200</wp:posOffset>
                </wp:positionV>
                <wp:extent cx="3086100" cy="457200"/>
                <wp:effectExtent l="0" t="0" r="12700" b="0"/>
                <wp:wrapThrough wrapText="bothSides">
                  <wp:wrapPolygon edited="0">
                    <wp:start x="0" y="0"/>
                    <wp:lineTo x="0" y="20400"/>
                    <wp:lineTo x="21511" y="20400"/>
                    <wp:lineTo x="21511" y="0"/>
                    <wp:lineTo x="0" y="0"/>
                  </wp:wrapPolygon>
                </wp:wrapThrough>
                <wp:docPr id="21" name="Text Box 21"/>
                <wp:cNvGraphicFramePr/>
                <a:graphic xmlns:a="http://schemas.openxmlformats.org/drawingml/2006/main">
                  <a:graphicData uri="http://schemas.microsoft.com/office/word/2010/wordprocessingShape">
                    <wps:wsp>
                      <wps:cNvSpPr txBox="1"/>
                      <wps:spPr>
                        <a:xfrm>
                          <a:off x="0" y="0"/>
                          <a:ext cx="3086100" cy="457200"/>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0DE313B8" w14:textId="7C02470F" w:rsidR="00D14100" w:rsidRPr="00707E1F" w:rsidRDefault="00D14100" w:rsidP="00707E1F">
                            <w:pPr>
                              <w:pStyle w:val="Caption"/>
                              <w:jc w:val="center"/>
                              <w:rPr>
                                <w:b w:val="0"/>
                                <w:i/>
                                <w:noProof/>
                                <w:color w:val="auto"/>
                                <w:sz w:val="24"/>
                              </w:rPr>
                            </w:pPr>
                            <w:r w:rsidRPr="00707E1F">
                              <w:rPr>
                                <w:color w:val="auto"/>
                                <w:sz w:val="24"/>
                              </w:rPr>
                              <w:t xml:space="preserve">Figure </w:t>
                            </w:r>
                            <w:r w:rsidRPr="00707E1F">
                              <w:rPr>
                                <w:color w:val="auto"/>
                                <w:sz w:val="24"/>
                              </w:rPr>
                              <w:fldChar w:fldCharType="begin"/>
                            </w:r>
                            <w:r w:rsidRPr="00707E1F">
                              <w:rPr>
                                <w:color w:val="auto"/>
                                <w:sz w:val="24"/>
                              </w:rPr>
                              <w:instrText xml:space="preserve"> SEQ Figure \* ARABIC </w:instrText>
                            </w:r>
                            <w:r w:rsidRPr="00707E1F">
                              <w:rPr>
                                <w:color w:val="auto"/>
                                <w:sz w:val="24"/>
                              </w:rPr>
                              <w:fldChar w:fldCharType="separate"/>
                            </w:r>
                            <w:r w:rsidR="00500133">
                              <w:rPr>
                                <w:noProof/>
                                <w:color w:val="auto"/>
                                <w:sz w:val="24"/>
                              </w:rPr>
                              <w:t>8</w:t>
                            </w:r>
                            <w:r w:rsidRPr="00707E1F">
                              <w:rPr>
                                <w:color w:val="auto"/>
                                <w:sz w:val="24"/>
                              </w:rPr>
                              <w:fldChar w:fldCharType="end"/>
                            </w:r>
                            <w:r w:rsidRPr="00707E1F">
                              <w:rPr>
                                <w:color w:val="auto"/>
                                <w:sz w:val="24"/>
                              </w:rPr>
                              <w:t xml:space="preserve">: Israeli Total Factor Productivity as a Function of the Agitation Rate </w:t>
                            </w:r>
                            <w:r w:rsidRPr="00707E1F">
                              <w:rPr>
                                <w:i/>
                                <w:color w:val="auto"/>
                                <w:sz w:val="24"/>
                              </w:rPr>
                              <w:t>(r)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id="_x0000_t202" coordsize="21600,21600" o:spt="202" path="m0,0l0,21600,21600,21600,21600,0xe">
                <v:stroke joinstyle="miter"/>
                <v:path gradientshapeok="t" o:connecttype="rect"/>
              </v:shapetype>
              <v:shape id="Text Box 21" o:spid="_x0000_s1026" type="#_x0000_t202" style="position:absolute;left:0;text-align:left;margin-left:90pt;margin-top:6pt;width:243pt;height:36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" stroked="f">
                <v:textbox inset="0,0,0,0">
                  <w:txbxContent>
                    <w:p w14:paraId="0DE313B8" w14:textId="7C02470F" w:rsidR="00D14100" w:rsidRPr="00707E1F" w:rsidRDefault="00D14100" w:rsidP="00707E1F">
                      <w:pPr>
                        <w:pStyle w:val="Caption"/>
                        <w:jc w:val="center"/>
                        <w:rPr>
                          <w:b w:val="0"/>
                          <w:i/>
                          <w:noProof/>
                          <w:color w:val="auto"/>
                          <w:sz w:val="24"/>
                        </w:rPr>
                      </w:pPr>
                      <w:r w:rsidRPr="00707E1F">
                        <w:rPr>
                          <w:color w:val="auto"/>
                          <w:sz w:val="24"/>
                        </w:rPr>
                        <w:t xml:space="preserve">Figure </w:t>
                      </w:r>
                      <w:r w:rsidRPr="00707E1F">
                        <w:rPr>
                          <w:color w:val="auto"/>
                          <w:sz w:val="24"/>
                        </w:rPr>
                        <w:fldChar w:fldCharType="begin"/>
                      </w:r>
                      <w:r w:rsidRPr="00707E1F">
                        <w:rPr>
                          <w:color w:val="auto"/>
                          <w:sz w:val="24"/>
                        </w:rPr>
                        <w:instrText xml:space="preserve"> SEQ Figure \* ARABIC </w:instrText>
                      </w:r>
                      <w:r w:rsidRPr="00707E1F">
                        <w:rPr>
                          <w:color w:val="auto"/>
                          <w:sz w:val="24"/>
                        </w:rPr>
                        <w:fldChar w:fldCharType="separate"/>
                      </w:r>
                      <w:r w:rsidR="00500133">
                        <w:rPr>
                          <w:noProof/>
                          <w:color w:val="auto"/>
                          <w:sz w:val="24"/>
                        </w:rPr>
                        <w:t>8</w:t>
                      </w:r>
                      <w:r w:rsidRPr="00707E1F">
                        <w:rPr>
                          <w:color w:val="auto"/>
                          <w:sz w:val="24"/>
                        </w:rPr>
                        <w:fldChar w:fldCharType="end"/>
                      </w:r>
                      <w:r w:rsidRPr="00707E1F">
                        <w:rPr>
                          <w:color w:val="auto"/>
                          <w:sz w:val="24"/>
                        </w:rPr>
                        <w:t xml:space="preserve">: Israeli Total Factor Productivity as a Function of the Agitation Rate </w:t>
                      </w:r>
                      <w:r w:rsidRPr="00707E1F">
                        <w:rPr>
                          <w:i/>
                          <w:color w:val="auto"/>
                          <w:sz w:val="24"/>
                        </w:rPr>
                        <w:t>(r)</w:t>
                      </w:r>
                    </w:p>
                  </w:txbxContent>
                </v:textbox>
                <w10:wrap type="through"/>
              </v:shape>
            </w:pict>
          </mc:Fallback>
        </mc:AlternateContent>
      </w:r>
    </w:p>
    <w:p w14:paraId="3C216213" w14:textId="77283078" w:rsidR="00F14AB5" w:rsidRPr="00A052DD" w:rsidRDefault="00F14AB5" w:rsidP="00F14AB5">
      <w:r w:rsidRPr="00A052DD">
        <w:rPr>
          <w:noProof/>
        </w:rPr>
        <mc:AlternateContent>
          <mc:Choice Requires="wps">
            <w:drawing>
              <wp:anchor distT="0" distB="0" distL="114300" distR="114300" simplePos="0" relativeHeight="251671552" behindDoc="0" locked="0" layoutInCell="1" allowOverlap="1" wp14:anchorId="3532AA13" wp14:editId="73B36574">
                <wp:simplePos x="0" y="0"/>
                <wp:positionH relativeFrom="column">
                  <wp:posOffset>4572000</wp:posOffset>
                </wp:positionH>
                <wp:positionV relativeFrom="paragraph">
                  <wp:posOffset>918845</wp:posOffset>
                </wp:positionV>
                <wp:extent cx="342900" cy="457200"/>
                <wp:effectExtent l="0" t="0" r="0" b="0"/>
                <wp:wrapSquare wrapText="bothSides"/>
                <wp:docPr id="33" name="Text Box 33"/>
                <wp:cNvGraphicFramePr/>
                <a:graphic xmlns:a="http://schemas.openxmlformats.org/drawingml/2006/main">
                  <a:graphicData uri="http://schemas.microsoft.com/office/word/2010/wordprocessingShape">
                    <wps:wsp>
                      <wps:cNvSpPr txBox="1"/>
                      <wps:spPr>
                        <a:xfrm>
                          <a:off x="0" y="0"/>
                          <a:ext cx="3429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3C1FA0D" w14:textId="77777777" w:rsidR="00D14100" w:rsidRDefault="00D14100" w:rsidP="00F14AB5">
                            <m:oMathPara>
                              <m:oMath>
                                <m:r>
                                  <w:rPr>
                                    <w:rFonts w:ascii="Cambria Math" w:hAnsi="Cambria Math"/>
                                    <w:color w:val="4F81BD" w:themeColor="accent1"/>
                                    <w:sz w:val="32"/>
                                  </w:rPr>
                                  <m:t>γ</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3" o:spid="_x0000_s1027" type="#_x0000_t202" style="position:absolute;margin-left:5in;margin-top:72.35pt;width:27pt;height: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" filled="f" stroked="f">
                <v:textbox>
                  <w:txbxContent>
                    <w:p w14:paraId="73C1FA0D" w14:textId="77777777" w:rsidR="00D14100" w:rsidRDefault="00D14100" w:rsidP="00F14AB5">
                      <m:oMathPara>
                        <m:oMath>
                          <m:r>
                            <w:rPr>
                              <w:rFonts w:ascii="Cambria Math" w:hAnsi="Cambria Math"/>
                              <w:color w:val="4F81BD" w:themeColor="accent1"/>
                              <w:sz w:val="32"/>
                            </w:rPr>
                            <m:t>γ</m:t>
                          </m:r>
                        </m:oMath>
                      </m:oMathPara>
                    </w:p>
                  </w:txbxContent>
                </v:textbox>
                <w10:wrap type="square"/>
              </v:shape>
            </w:pict>
          </mc:Fallback>
        </mc:AlternateContent>
      </w:r>
      <w:r w:rsidRPr="00A052DD">
        <w:rPr>
          <w:noProof/>
        </w:rPr>
        <mc:AlternateContent>
          <mc:Choice Requires="wps">
            <w:drawing>
              <wp:anchor distT="0" distB="0" distL="114300" distR="114300" simplePos="0" relativeHeight="251670528" behindDoc="0" locked="0" layoutInCell="1" allowOverlap="1" wp14:anchorId="44480914" wp14:editId="1A911A83">
                <wp:simplePos x="0" y="0"/>
                <wp:positionH relativeFrom="column">
                  <wp:posOffset>2628900</wp:posOffset>
                </wp:positionH>
                <wp:positionV relativeFrom="paragraph">
                  <wp:posOffset>1604645</wp:posOffset>
                </wp:positionV>
                <wp:extent cx="1028700" cy="342900"/>
                <wp:effectExtent l="0" t="0" r="0" b="12700"/>
                <wp:wrapSquare wrapText="bothSides"/>
                <wp:docPr id="32" name="Text Box 32"/>
                <wp:cNvGraphicFramePr/>
                <a:graphic xmlns:a="http://schemas.openxmlformats.org/drawingml/2006/main">
                  <a:graphicData uri="http://schemas.microsoft.com/office/word/2010/wordprocessingShape">
                    <wps:wsp>
                      <wps:cNvSpPr txBox="1"/>
                      <wps:spPr>
                        <a:xfrm>
                          <a:off x="0" y="0"/>
                          <a:ext cx="10287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2B21494" w14:textId="77777777" w:rsidR="00D14100" w:rsidRPr="00976347" w:rsidRDefault="00500133" w:rsidP="00F14AB5">
                            <w:pPr>
                              <w:rPr>
                                <w:sz w:val="32"/>
                              </w:rPr>
                            </w:pPr>
                            <m:oMathPara>
                              <m:oMath>
                                <m:acc>
                                  <m:accPr>
                                    <m:chr m:val="̃"/>
                                    <m:ctrlPr>
                                      <w:rPr>
                                        <w:rFonts w:ascii="Cambria Math" w:hAnsi="Cambria Math"/>
                                        <w:i/>
                                        <w:sz w:val="32"/>
                                      </w:rPr>
                                    </m:ctrlPr>
                                  </m:accPr>
                                  <m:e>
                                    <m:r>
                                      <w:rPr>
                                        <w:rFonts w:ascii="Cambria Math" w:hAnsi="Cambria Math"/>
                                        <w:sz w:val="32"/>
                                      </w:rPr>
                                      <m:t>A</m:t>
                                    </m:r>
                                  </m:e>
                                </m:acc>
                                <m:r>
                                  <w:rPr>
                                    <w:rFonts w:ascii="Cambria Math" w:hAnsi="Cambria Math"/>
                                    <w:sz w:val="32"/>
                                  </w:rPr>
                                  <m:t>(r&gt;0)</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2" o:spid="_x0000_s1028" type="#_x0000_t202" style="position:absolute;margin-left:207pt;margin-top:126.35pt;width:81pt;height:2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" filled="f" stroked="f">
                <v:textbox>
                  <w:txbxContent>
                    <w:p w14:paraId="42B21494" w14:textId="77777777" w:rsidR="00D14100" w:rsidRPr="00976347" w:rsidRDefault="00D14100" w:rsidP="00F14AB5">
                      <w:pPr>
                        <w:rPr>
                          <w:sz w:val="32"/>
                        </w:rPr>
                      </w:pPr>
                      <m:oMathPara>
                        <m:oMath>
                          <m:acc>
                            <m:accPr>
                              <m:chr m:val="̃"/>
                              <m:ctrlPr>
                                <w:rPr>
                                  <w:rFonts w:ascii="Cambria Math" w:hAnsi="Cambria Math"/>
                                  <w:i/>
                                  <w:sz w:val="32"/>
                                </w:rPr>
                              </m:ctrlPr>
                            </m:accPr>
                            <m:e>
                              <m:r>
                                <w:rPr>
                                  <w:rFonts w:ascii="Cambria Math" w:hAnsi="Cambria Math"/>
                                  <w:sz w:val="32"/>
                                </w:rPr>
                                <m:t>A</m:t>
                              </m:r>
                            </m:e>
                          </m:acc>
                          <m:r>
                            <w:rPr>
                              <w:rFonts w:ascii="Cambria Math" w:hAnsi="Cambria Math"/>
                              <w:sz w:val="32"/>
                            </w:rPr>
                            <m:t>(r&gt;0)</m:t>
                          </m:r>
                        </m:oMath>
                      </m:oMathPara>
                    </w:p>
                  </w:txbxContent>
                </v:textbox>
                <w10:wrap type="square"/>
              </v:shape>
            </w:pict>
          </mc:Fallback>
        </mc:AlternateContent>
      </w:r>
      <w:r w:rsidRPr="00A052DD">
        <w:rPr>
          <w:noProof/>
        </w:rPr>
        <mc:AlternateContent>
          <mc:Choice Requires="wps">
            <w:drawing>
              <wp:anchor distT="0" distB="0" distL="114300" distR="114300" simplePos="0" relativeHeight="251669504" behindDoc="0" locked="0" layoutInCell="1" allowOverlap="1" wp14:anchorId="4BB2C9B0" wp14:editId="24F04453">
                <wp:simplePos x="0" y="0"/>
                <wp:positionH relativeFrom="column">
                  <wp:posOffset>2057400</wp:posOffset>
                </wp:positionH>
                <wp:positionV relativeFrom="paragraph">
                  <wp:posOffset>347345</wp:posOffset>
                </wp:positionV>
                <wp:extent cx="1028700" cy="342900"/>
                <wp:effectExtent l="0" t="0" r="0" b="12700"/>
                <wp:wrapSquare wrapText="bothSides"/>
                <wp:docPr id="31" name="Text Box 31"/>
                <wp:cNvGraphicFramePr/>
                <a:graphic xmlns:a="http://schemas.openxmlformats.org/drawingml/2006/main">
                  <a:graphicData uri="http://schemas.microsoft.com/office/word/2010/wordprocessingShape">
                    <wps:wsp>
                      <wps:cNvSpPr txBox="1"/>
                      <wps:spPr>
                        <a:xfrm>
                          <a:off x="0" y="0"/>
                          <a:ext cx="10287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9E268FB" w14:textId="77777777" w:rsidR="00D14100" w:rsidRPr="00976347" w:rsidRDefault="00500133" w:rsidP="00F14AB5">
                            <w:pPr>
                              <w:rPr>
                                <w:sz w:val="32"/>
                              </w:rPr>
                            </w:pPr>
                            <m:oMathPara>
                              <m:oMath>
                                <m:acc>
                                  <m:accPr>
                                    <m:chr m:val="̃"/>
                                    <m:ctrlPr>
                                      <w:rPr>
                                        <w:rFonts w:ascii="Cambria Math" w:hAnsi="Cambria Math"/>
                                        <w:i/>
                                        <w:sz w:val="32"/>
                                      </w:rPr>
                                    </m:ctrlPr>
                                  </m:accPr>
                                  <m:e>
                                    <m:r>
                                      <w:rPr>
                                        <w:rFonts w:ascii="Cambria Math" w:hAnsi="Cambria Math"/>
                                        <w:sz w:val="32"/>
                                      </w:rPr>
                                      <m:t>A</m:t>
                                    </m:r>
                                  </m:e>
                                </m:acc>
                                <m:r>
                                  <w:rPr>
                                    <w:rFonts w:ascii="Cambria Math" w:hAnsi="Cambria Math"/>
                                    <w:sz w:val="32"/>
                                  </w:rPr>
                                  <m:t>(r&lt;0)</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 o:spid="_x0000_s1029" type="#_x0000_t202" style="position:absolute;margin-left:162pt;margin-top:27.35pt;width:81pt;height:2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" filled="f" stroked="f">
                <v:textbox>
                  <w:txbxContent>
                    <w:p w14:paraId="69E268FB" w14:textId="77777777" w:rsidR="00D14100" w:rsidRPr="00976347" w:rsidRDefault="00D14100" w:rsidP="00F14AB5">
                      <w:pPr>
                        <w:rPr>
                          <w:sz w:val="32"/>
                        </w:rPr>
                      </w:pPr>
                      <m:oMathPara>
                        <m:oMath>
                          <m:acc>
                            <m:accPr>
                              <m:chr m:val="̃"/>
                              <m:ctrlPr>
                                <w:rPr>
                                  <w:rFonts w:ascii="Cambria Math" w:hAnsi="Cambria Math"/>
                                  <w:i/>
                                  <w:sz w:val="32"/>
                                </w:rPr>
                              </m:ctrlPr>
                            </m:accPr>
                            <m:e>
                              <m:r>
                                <w:rPr>
                                  <w:rFonts w:ascii="Cambria Math" w:hAnsi="Cambria Math"/>
                                  <w:sz w:val="32"/>
                                </w:rPr>
                                <m:t>A</m:t>
                              </m:r>
                            </m:e>
                          </m:acc>
                          <m:r>
                            <w:rPr>
                              <w:rFonts w:ascii="Cambria Math" w:hAnsi="Cambria Math"/>
                              <w:sz w:val="32"/>
                            </w:rPr>
                            <m:t>(r&lt;0)</m:t>
                          </m:r>
                        </m:oMath>
                      </m:oMathPara>
                    </w:p>
                  </w:txbxContent>
                </v:textbox>
                <w10:wrap type="square"/>
              </v:shape>
            </w:pict>
          </mc:Fallback>
        </mc:AlternateContent>
      </w:r>
      <w:r w:rsidRPr="00A052DD">
        <w:rPr>
          <w:noProof/>
        </w:rPr>
        <mc:AlternateContent>
          <mc:Choice Requires="wps">
            <w:drawing>
              <wp:anchor distT="0" distB="0" distL="114300" distR="114300" simplePos="0" relativeHeight="251668480" behindDoc="0" locked="0" layoutInCell="1" allowOverlap="1" wp14:anchorId="3079E065" wp14:editId="4EA25E07">
                <wp:simplePos x="0" y="0"/>
                <wp:positionH relativeFrom="column">
                  <wp:posOffset>3543300</wp:posOffset>
                </wp:positionH>
                <wp:positionV relativeFrom="paragraph">
                  <wp:posOffset>575945</wp:posOffset>
                </wp:positionV>
                <wp:extent cx="457200" cy="457200"/>
                <wp:effectExtent l="0" t="0" r="0" b="0"/>
                <wp:wrapSquare wrapText="bothSides"/>
                <wp:docPr id="30" name="Text Box 30"/>
                <wp:cNvGraphicFramePr/>
                <a:graphic xmlns:a="http://schemas.openxmlformats.org/drawingml/2006/main">
                  <a:graphicData uri="http://schemas.microsoft.com/office/word/2010/wordprocessingShape">
                    <wps:wsp>
                      <wps:cNvSpPr txBox="1"/>
                      <wps:spPr>
                        <a:xfrm>
                          <a:off x="0" y="0"/>
                          <a:ext cx="4572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0D41E96" w14:textId="77777777" w:rsidR="00D14100" w:rsidRPr="00976347" w:rsidRDefault="00D14100" w:rsidP="00F14AB5">
                            <w:pPr>
                              <w:rPr>
                                <w:i/>
                                <w:color w:val="4F81BD" w:themeColor="accent1"/>
                                <w:sz w:val="32"/>
                              </w:rPr>
                            </w:pPr>
                            <w:r w:rsidRPr="00976347">
                              <w:rPr>
                                <w:i/>
                                <w:color w:val="4F81BD" w:themeColor="accent1"/>
                                <w:sz w:val="32"/>
                              </w:rPr>
                              <w:t>v</w:t>
                            </w:r>
                            <m:oMath>
                              <m:r>
                                <w:rPr>
                                  <w:rFonts w:ascii="Cambria Math" w:hAnsi="Cambria Math"/>
                                  <w:color w:val="4F81BD" w:themeColor="accent1"/>
                                  <w:sz w:val="32"/>
                                </w:rPr>
                                <m:t>γ</m:t>
                              </m:r>
                            </m:oMath>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0" o:spid="_x0000_s1030" type="#_x0000_t202" style="position:absolute;margin-left:279pt;margin-top:45.35pt;width:36pt;height:3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" filled="f" stroked="f">
                <v:textbox>
                  <w:txbxContent>
                    <w:p w14:paraId="60D41E96" w14:textId="77777777" w:rsidR="00D14100" w:rsidRPr="00976347" w:rsidRDefault="00D14100" w:rsidP="00F14AB5">
                      <w:pPr>
                        <w:rPr>
                          <w:i/>
                          <w:color w:val="4F81BD" w:themeColor="accent1"/>
                          <w:sz w:val="32"/>
                        </w:rPr>
                      </w:pPr>
                      <w:proofErr w:type="gramStart"/>
                      <w:r w:rsidRPr="00976347">
                        <w:rPr>
                          <w:i/>
                          <w:color w:val="4F81BD" w:themeColor="accent1"/>
                          <w:sz w:val="32"/>
                        </w:rPr>
                        <w:t>v</w:t>
                      </w:r>
                      <m:oMath>
                        <m:r>
                          <w:rPr>
                            <w:rFonts w:ascii="Cambria Math" w:hAnsi="Cambria Math"/>
                            <w:color w:val="4F81BD" w:themeColor="accent1"/>
                            <w:sz w:val="32"/>
                          </w:rPr>
                          <m:t>γ</m:t>
                        </m:r>
                      </m:oMath>
                      <w:proofErr w:type="gramEnd"/>
                    </w:p>
                  </w:txbxContent>
                </v:textbox>
                <w10:wrap type="square"/>
              </v:shape>
            </w:pict>
          </mc:Fallback>
        </mc:AlternateContent>
      </w:r>
      <w:r w:rsidRPr="00A052DD">
        <w:rPr>
          <w:noProof/>
        </w:rPr>
        <mc:AlternateContent>
          <mc:Choice Requires="wps">
            <w:drawing>
              <wp:anchor distT="0" distB="0" distL="114300" distR="114300" simplePos="0" relativeHeight="251666432" behindDoc="0" locked="0" layoutInCell="1" allowOverlap="1" wp14:anchorId="45FE1C7E" wp14:editId="4097E178">
                <wp:simplePos x="0" y="0"/>
                <wp:positionH relativeFrom="column">
                  <wp:posOffset>3886200</wp:posOffset>
                </wp:positionH>
                <wp:positionV relativeFrom="paragraph">
                  <wp:posOffset>575945</wp:posOffset>
                </wp:positionV>
                <wp:extent cx="228600" cy="457200"/>
                <wp:effectExtent l="0" t="0" r="25400" b="25400"/>
                <wp:wrapThrough wrapText="bothSides">
                  <wp:wrapPolygon edited="0">
                    <wp:start x="4800" y="0"/>
                    <wp:lineTo x="0" y="10800"/>
                    <wp:lineTo x="0" y="12000"/>
                    <wp:lineTo x="4800" y="21600"/>
                    <wp:lineTo x="21600" y="21600"/>
                    <wp:lineTo x="21600" y="0"/>
                    <wp:lineTo x="4800" y="0"/>
                  </wp:wrapPolygon>
                </wp:wrapThrough>
                <wp:docPr id="26" name="Left Brace 26"/>
                <wp:cNvGraphicFramePr/>
                <a:graphic xmlns:a="http://schemas.openxmlformats.org/drawingml/2006/main">
                  <a:graphicData uri="http://schemas.microsoft.com/office/word/2010/wordprocessingShape">
                    <wps:wsp>
                      <wps:cNvSpPr/>
                      <wps:spPr>
                        <a:xfrm>
                          <a:off x="0" y="0"/>
                          <a:ext cx="228600" cy="457200"/>
                        </a:xfrm>
                        <a:prstGeom prst="leftBrace">
                          <a:avLst/>
                        </a:prstGeom>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87" coordsize="21600,21600" o:spt="87" adj="1800,10800" path="m2160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26" o:spid="_x0000_s1026" type="#_x0000_t87" style="position:absolute;margin-left:306pt;margin-top:45.35pt;width:18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" adj="900" strokecolor="#4579b8 [3044]">
                <w10:wrap type="through"/>
              </v:shape>
            </w:pict>
          </mc:Fallback>
        </mc:AlternateContent>
      </w:r>
      <w:r w:rsidRPr="00A052DD">
        <w:rPr>
          <w:noProof/>
        </w:rPr>
        <mc:AlternateContent>
          <mc:Choice Requires="wps">
            <w:drawing>
              <wp:anchor distT="0" distB="0" distL="114300" distR="114300" simplePos="0" relativeHeight="251667456" behindDoc="0" locked="0" layoutInCell="1" allowOverlap="1" wp14:anchorId="1DB18E50" wp14:editId="3FAD651C">
                <wp:simplePos x="0" y="0"/>
                <wp:positionH relativeFrom="column">
                  <wp:posOffset>4343400</wp:posOffset>
                </wp:positionH>
                <wp:positionV relativeFrom="paragraph">
                  <wp:posOffset>575945</wp:posOffset>
                </wp:positionV>
                <wp:extent cx="228600" cy="1143000"/>
                <wp:effectExtent l="0" t="0" r="25400" b="25400"/>
                <wp:wrapThrough wrapText="bothSides">
                  <wp:wrapPolygon edited="0">
                    <wp:start x="0" y="0"/>
                    <wp:lineTo x="0" y="21600"/>
                    <wp:lineTo x="16800" y="21600"/>
                    <wp:lineTo x="21600" y="11520"/>
                    <wp:lineTo x="21600" y="10560"/>
                    <wp:lineTo x="16800" y="0"/>
                    <wp:lineTo x="0" y="0"/>
                  </wp:wrapPolygon>
                </wp:wrapThrough>
                <wp:docPr id="29" name="Right Brace 29"/>
                <wp:cNvGraphicFramePr/>
                <a:graphic xmlns:a="http://schemas.openxmlformats.org/drawingml/2006/main">
                  <a:graphicData uri="http://schemas.microsoft.com/office/word/2010/wordprocessingShape">
                    <wps:wsp>
                      <wps:cNvSpPr/>
                      <wps:spPr>
                        <a:xfrm>
                          <a:off x="0" y="0"/>
                          <a:ext cx="228600" cy="1143000"/>
                        </a:xfrm>
                        <a:prstGeom prst="rightBrace">
                          <a:avLst/>
                        </a:prstGeom>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88" coordsize="21600,21600" o:spt="88" adj="1800,10800" path="m0,0qx10800@0l10800@2qy21600@11,10800@3l10800@1qy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9" o:spid="_x0000_s1026" type="#_x0000_t88" style="position:absolute;margin-left:342pt;margin-top:45.35pt;width:18pt;height:90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" adj="360" strokecolor="#4579b8 [3044]">
                <w10:wrap type="through"/>
              </v:shape>
            </w:pict>
          </mc:Fallback>
        </mc:AlternateContent>
      </w:r>
      <w:r w:rsidRPr="00A052DD">
        <w:rPr>
          <w:noProof/>
        </w:rPr>
        <mc:AlternateContent>
          <mc:Choice Requires="wps">
            <w:drawing>
              <wp:anchor distT="0" distB="0" distL="114300" distR="114300" simplePos="0" relativeHeight="251665408" behindDoc="0" locked="0" layoutInCell="1" allowOverlap="1" wp14:anchorId="7A0CB909" wp14:editId="5523949D">
                <wp:simplePos x="0" y="0"/>
                <wp:positionH relativeFrom="column">
                  <wp:posOffset>-914400</wp:posOffset>
                </wp:positionH>
                <wp:positionV relativeFrom="paragraph">
                  <wp:posOffset>575945</wp:posOffset>
                </wp:positionV>
                <wp:extent cx="4000500" cy="2171700"/>
                <wp:effectExtent l="0" t="0" r="38100" b="0"/>
                <wp:wrapThrough wrapText="bothSides">
                  <wp:wrapPolygon edited="0">
                    <wp:start x="10971" y="0"/>
                    <wp:lineTo x="18651" y="4042"/>
                    <wp:lineTo x="20846" y="8084"/>
                    <wp:lineTo x="21394" y="10863"/>
                    <wp:lineTo x="21669" y="10863"/>
                    <wp:lineTo x="21669" y="8084"/>
                    <wp:lineTo x="19886" y="4295"/>
                    <wp:lineTo x="19749" y="4042"/>
                    <wp:lineTo x="13577" y="0"/>
                    <wp:lineTo x="13440" y="0"/>
                    <wp:lineTo x="10971" y="0"/>
                  </wp:wrapPolygon>
                </wp:wrapThrough>
                <wp:docPr id="24" name="Arc 24"/>
                <wp:cNvGraphicFramePr/>
                <a:graphic xmlns:a="http://schemas.openxmlformats.org/drawingml/2006/main">
                  <a:graphicData uri="http://schemas.microsoft.com/office/word/2010/wordprocessingShape">
                    <wps:wsp>
                      <wps:cNvSpPr/>
                      <wps:spPr>
                        <a:xfrm>
                          <a:off x="0" y="0"/>
                          <a:ext cx="4000500" cy="2171700"/>
                        </a:xfrm>
                        <a:prstGeom prst="arc">
                          <a:avLst>
                            <a:gd name="adj1" fmla="val 16404424"/>
                            <a:gd name="adj2" fmla="val 0"/>
                          </a:avLst>
                        </a:prstGeom>
                        <a:ln w="12700" cmpd="sng">
                          <a:solidFill>
                            <a:srgbClr val="000000"/>
                          </a:solidFill>
                          <a:prstDash val="sysDot"/>
                        </a:ln>
                        <a:effectLst/>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rc 24" o:spid="_x0000_s1026" style="position:absolute;margin-left:-71.95pt;margin-top:45.35pt;width:315pt;height:17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000500,21717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" path="m2064862,567nsc3143853,19497,4000500,499807,4000500,1085850l2000250,1085850,2064862,567xem2064862,567nfc3143853,19497,4000500,499807,4000500,1085850e" filled="f" strokeweight="1pt">
                <v:stroke dashstyle="1 1"/>
                <v:path arrowok="t" o:connecttype="custom" o:connectlocs="2064862,567;4000500,1085850" o:connectangles="0,0"/>
                <w10:wrap type="through"/>
              </v:shape>
            </w:pict>
          </mc:Fallback>
        </mc:AlternateContent>
      </w:r>
      <w:r w:rsidRPr="00A052DD">
        <w:rPr>
          <w:noProof/>
        </w:rPr>
        <mc:AlternateContent>
          <mc:Choice Requires="wps">
            <w:drawing>
              <wp:anchor distT="0" distB="0" distL="114300" distR="114300" simplePos="0" relativeHeight="251664384" behindDoc="0" locked="0" layoutInCell="1" allowOverlap="1" wp14:anchorId="51093F19" wp14:editId="6AC689C8">
                <wp:simplePos x="0" y="0"/>
                <wp:positionH relativeFrom="column">
                  <wp:posOffset>1143000</wp:posOffset>
                </wp:positionH>
                <wp:positionV relativeFrom="paragraph">
                  <wp:posOffset>575945</wp:posOffset>
                </wp:positionV>
                <wp:extent cx="3086100" cy="1143000"/>
                <wp:effectExtent l="0" t="0" r="38100" b="25400"/>
                <wp:wrapNone/>
                <wp:docPr id="18" name="Straight Connector 18"/>
                <wp:cNvGraphicFramePr/>
                <a:graphic xmlns:a="http://schemas.openxmlformats.org/drawingml/2006/main">
                  <a:graphicData uri="http://schemas.microsoft.com/office/word/2010/wordprocessingShape">
                    <wps:wsp>
                      <wps:cNvCnPr/>
                      <wps:spPr>
                        <a:xfrm>
                          <a:off x="0" y="0"/>
                          <a:ext cx="3086100" cy="1143000"/>
                        </a:xfrm>
                        <a:prstGeom prst="line">
                          <a:avLst/>
                        </a:prstGeom>
                        <a:ln w="12700" cmpd="sng">
                          <a:solidFill>
                            <a:schemeClr val="tx1"/>
                          </a:solidFill>
                          <a:prstDash val="sysDot"/>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8"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0pt,45.35pt" to="333pt,135.3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" strokecolor="black [3213]" strokeweight="1pt">
                <v:stroke dashstyle="1 1"/>
              </v:line>
            </w:pict>
          </mc:Fallback>
        </mc:AlternateContent>
      </w:r>
      <w:r w:rsidRPr="00A052DD">
        <w:rPr>
          <w:noProof/>
        </w:rPr>
        <mc:AlternateContent>
          <mc:Choice Requires="wps">
            <w:drawing>
              <wp:anchor distT="0" distB="0" distL="114300" distR="114300" simplePos="0" relativeHeight="251663360" behindDoc="0" locked="0" layoutInCell="1" allowOverlap="1" wp14:anchorId="5DA0A67B" wp14:editId="16817BE5">
                <wp:simplePos x="0" y="0"/>
                <wp:positionH relativeFrom="column">
                  <wp:posOffset>1143000</wp:posOffset>
                </wp:positionH>
                <wp:positionV relativeFrom="paragraph">
                  <wp:posOffset>575945</wp:posOffset>
                </wp:positionV>
                <wp:extent cx="2286000" cy="114300"/>
                <wp:effectExtent l="0" t="0" r="25400" b="38100"/>
                <wp:wrapNone/>
                <wp:docPr id="17" name="Straight Connector 17"/>
                <wp:cNvGraphicFramePr/>
                <a:graphic xmlns:a="http://schemas.openxmlformats.org/drawingml/2006/main">
                  <a:graphicData uri="http://schemas.microsoft.com/office/word/2010/wordprocessingShape">
                    <wps:wsp>
                      <wps:cNvCnPr/>
                      <wps:spPr>
                        <a:xfrm>
                          <a:off x="0" y="0"/>
                          <a:ext cx="2286000" cy="114300"/>
                        </a:xfrm>
                        <a:prstGeom prst="line">
                          <a:avLst/>
                        </a:prstGeom>
                        <a:ln w="12700" cmpd="sng">
                          <a:solidFill>
                            <a:schemeClr val="tx1"/>
                          </a:solidFill>
                          <a:prstDash val="sysDot"/>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7"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90pt,45.35pt" to="270pt,54.3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" strokecolor="black [3213]" strokeweight="1pt">
                <v:stroke dashstyle="1 1"/>
              </v:line>
            </w:pict>
          </mc:Fallback>
        </mc:AlternateContent>
      </w:r>
      <w:r w:rsidRPr="00A052DD">
        <w:rPr>
          <w:noProof/>
        </w:rPr>
        <mc:AlternateContent>
          <mc:Choice Requires="wps">
            <w:drawing>
              <wp:anchor distT="0" distB="0" distL="114300" distR="114300" simplePos="0" relativeHeight="251662336" behindDoc="0" locked="0" layoutInCell="1" allowOverlap="1" wp14:anchorId="128ADC98" wp14:editId="743D7BAC">
                <wp:simplePos x="0" y="0"/>
                <wp:positionH relativeFrom="column">
                  <wp:posOffset>1143000</wp:posOffset>
                </wp:positionH>
                <wp:positionV relativeFrom="paragraph">
                  <wp:posOffset>575945</wp:posOffset>
                </wp:positionV>
                <wp:extent cx="3086100" cy="457200"/>
                <wp:effectExtent l="0" t="0" r="38100" b="25400"/>
                <wp:wrapNone/>
                <wp:docPr id="16" name="Straight Connector 16"/>
                <wp:cNvGraphicFramePr/>
                <a:graphic xmlns:a="http://schemas.openxmlformats.org/drawingml/2006/main">
                  <a:graphicData uri="http://schemas.microsoft.com/office/word/2010/wordprocessingShape">
                    <wps:wsp>
                      <wps:cNvCnPr/>
                      <wps:spPr>
                        <a:xfrm>
                          <a:off x="0" y="0"/>
                          <a:ext cx="3086100" cy="457200"/>
                        </a:xfrm>
                        <a:prstGeom prst="line">
                          <a:avLst/>
                        </a:prstGeom>
                        <a:ln w="12700" cmpd="sng">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6"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90pt,45.35pt" to="333pt,81.3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" strokecolor="black [3213]" strokeweight="1pt"/>
            </w:pict>
          </mc:Fallback>
        </mc:AlternateContent>
      </w:r>
      <w:r w:rsidRPr="00A052DD">
        <w:rPr>
          <w:noProof/>
        </w:rPr>
        <mc:AlternateContent>
          <mc:Choice Requires="wpg">
            <w:drawing>
              <wp:anchor distT="0" distB="0" distL="114300" distR="114300" simplePos="0" relativeHeight="251661312" behindDoc="0" locked="0" layoutInCell="1" allowOverlap="1" wp14:anchorId="75BE681F" wp14:editId="24AD6A2B">
                <wp:simplePos x="0" y="0"/>
                <wp:positionH relativeFrom="column">
                  <wp:posOffset>1028700</wp:posOffset>
                </wp:positionH>
                <wp:positionV relativeFrom="paragraph">
                  <wp:posOffset>294005</wp:posOffset>
                </wp:positionV>
                <wp:extent cx="3314700" cy="2171700"/>
                <wp:effectExtent l="0" t="50800" r="38100" b="38100"/>
                <wp:wrapNone/>
                <wp:docPr id="5" name="Group 5"/>
                <wp:cNvGraphicFramePr/>
                <a:graphic xmlns:a="http://schemas.openxmlformats.org/drawingml/2006/main">
                  <a:graphicData uri="http://schemas.microsoft.com/office/word/2010/wordprocessingGroup">
                    <wpg:wgp>
                      <wpg:cNvGrpSpPr/>
                      <wpg:grpSpPr>
                        <a:xfrm>
                          <a:off x="0" y="0"/>
                          <a:ext cx="3314700" cy="2171700"/>
                          <a:chOff x="0" y="0"/>
                          <a:chExt cx="3314700" cy="2171700"/>
                        </a:xfrm>
                        <a:effectLst/>
                      </wpg:grpSpPr>
                      <wpg:grpSp>
                        <wpg:cNvPr id="6" name="Group 6"/>
                        <wpg:cNvGrpSpPr/>
                        <wpg:grpSpPr>
                          <a:xfrm>
                            <a:off x="125095" y="0"/>
                            <a:ext cx="3075305" cy="2171700"/>
                            <a:chOff x="0" y="0"/>
                            <a:chExt cx="3086100" cy="2171700"/>
                          </a:xfrm>
                        </wpg:grpSpPr>
                        <wps:wsp>
                          <wps:cNvPr id="7" name="Straight Connector 7"/>
                          <wps:cNvCnPr/>
                          <wps:spPr>
                            <a:xfrm>
                              <a:off x="0" y="2171700"/>
                              <a:ext cx="3086100" cy="0"/>
                            </a:xfrm>
                            <a:prstGeom prst="line">
                              <a:avLst/>
                            </a:prstGeom>
                            <a:ln w="12700" cmpd="sng">
                              <a:solidFill>
                                <a:schemeClr val="dk1"/>
                              </a:solidFill>
                              <a:tailEnd w="sm" len="sm"/>
                            </a:ln>
                            <a:effectLst/>
                          </wps:spPr>
                          <wps:style>
                            <a:lnRef idx="2">
                              <a:schemeClr val="dk1"/>
                            </a:lnRef>
                            <a:fillRef idx="0">
                              <a:schemeClr val="dk1"/>
                            </a:fillRef>
                            <a:effectRef idx="1">
                              <a:schemeClr val="dk1"/>
                            </a:effectRef>
                            <a:fontRef idx="minor">
                              <a:schemeClr val="tx1"/>
                            </a:fontRef>
                          </wps:style>
                          <wps:bodyPr/>
                        </wps:wsp>
                        <wps:wsp>
                          <wps:cNvPr id="8" name="Straight Arrow Connector 8"/>
                          <wps:cNvCnPr/>
                          <wps:spPr>
                            <a:xfrm flipV="1">
                              <a:off x="0" y="0"/>
                              <a:ext cx="0" cy="2171700"/>
                            </a:xfrm>
                            <a:prstGeom prst="straightConnector1">
                              <a:avLst/>
                            </a:prstGeom>
                            <a:ln w="12700" cmpd="sng">
                              <a:solidFill>
                                <a:schemeClr val="dk1"/>
                              </a:solidFill>
                              <a:tailEnd type="arrow" w="sm" len="sm"/>
                            </a:ln>
                            <a:effectLst/>
                          </wps:spPr>
                          <wps:style>
                            <a:lnRef idx="2">
                              <a:schemeClr val="dk1"/>
                            </a:lnRef>
                            <a:fillRef idx="0">
                              <a:schemeClr val="dk1"/>
                            </a:fillRef>
                            <a:effectRef idx="1">
                              <a:schemeClr val="dk1"/>
                            </a:effectRef>
                            <a:fontRef idx="minor">
                              <a:schemeClr val="tx1"/>
                            </a:fontRef>
                          </wps:style>
                          <wps:bodyPr/>
                        </wps:wsp>
                        <wps:wsp>
                          <wps:cNvPr id="9" name="Straight Arrow Connector 9"/>
                          <wps:cNvCnPr/>
                          <wps:spPr>
                            <a:xfrm flipV="1">
                              <a:off x="3086100" y="0"/>
                              <a:ext cx="0" cy="2171700"/>
                            </a:xfrm>
                            <a:prstGeom prst="straightConnector1">
                              <a:avLst/>
                            </a:prstGeom>
                            <a:ln w="12700" cmpd="sng">
                              <a:solidFill>
                                <a:schemeClr val="dk1"/>
                              </a:solidFill>
                              <a:tailEnd type="arrow" w="sm" len="sm"/>
                            </a:ln>
                            <a:effectLst/>
                          </wps:spPr>
                          <wps:style>
                            <a:lnRef idx="2">
                              <a:schemeClr val="dk1"/>
                            </a:lnRef>
                            <a:fillRef idx="0">
                              <a:schemeClr val="dk1"/>
                            </a:fillRef>
                            <a:effectRef idx="1">
                              <a:schemeClr val="dk1"/>
                            </a:effectRef>
                            <a:fontRef idx="minor">
                              <a:schemeClr val="tx1"/>
                            </a:fontRef>
                          </wps:style>
                          <wps:bodyPr/>
                        </wps:wsp>
                      </wpg:grpSp>
                      <wpg:grpSp>
                        <wpg:cNvPr id="11" name="Group 10"/>
                        <wpg:cNvGrpSpPr/>
                        <wpg:grpSpPr>
                          <a:xfrm>
                            <a:off x="0" y="281940"/>
                            <a:ext cx="3314700" cy="1143000"/>
                            <a:chOff x="0" y="0"/>
                            <a:chExt cx="3314700" cy="1143000"/>
                          </a:xfrm>
                        </wpg:grpSpPr>
                        <wps:wsp>
                          <wps:cNvPr id="12" name="Straight Connector 11"/>
                          <wps:cNvCnPr/>
                          <wps:spPr>
                            <a:xfrm>
                              <a:off x="3086100" y="0"/>
                              <a:ext cx="228600" cy="0"/>
                            </a:xfrm>
                            <a:prstGeom prst="line">
                              <a:avLst/>
                            </a:prstGeom>
                            <a:ln w="6350"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wps:wsp>
                          <wps:cNvPr id="13" name="Straight Connector 12"/>
                          <wps:cNvCnPr/>
                          <wps:spPr>
                            <a:xfrm>
                              <a:off x="3086100" y="1143000"/>
                              <a:ext cx="228600" cy="0"/>
                            </a:xfrm>
                            <a:prstGeom prst="line">
                              <a:avLst/>
                            </a:prstGeom>
                            <a:ln w="6350"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wps:wsp>
                          <wps:cNvPr id="14" name="Straight Connector 13"/>
                          <wps:cNvCnPr/>
                          <wps:spPr>
                            <a:xfrm>
                              <a:off x="0" y="0"/>
                              <a:ext cx="228600" cy="0"/>
                            </a:xfrm>
                            <a:prstGeom prst="line">
                              <a:avLst/>
                            </a:prstGeom>
                            <a:ln w="6350"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wpg:grpSp>
                    </wpg:wgp>
                  </a:graphicData>
                </a:graphic>
              </wp:anchor>
            </w:drawing>
          </mc:Choice>
          <mc:Fallback>
            <w:pict>
              <v:group id="Group 5" o:spid="_x0000_s1026" style="position:absolute;margin-left:81pt;margin-top:23.15pt;width:261pt;height:171pt;z-index:251661312" coordsize="3314700,21717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">
                <v:group id="Group 6" o:spid="_x0000_s1027" style="position:absolute;left:125095;width:3075305;height:2171700" coordsize="3086100,21717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zQsdX8IAAADaAAAADwAA&#10;AAAAAAAAAAAAAACpAgAAZHJzL2Rvd25yZXYueG1sUEsFBgAAAAAEAAQA+gAAAJgDAAAAAA==&#10;">
                  <v:line id="Straight Connector 7" o:spid="_x0000_s1028" style="position:absolute;visibility:visible;mso-wrap-style:square" from="0,2171700" to="3086100,2171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9pBD9sAAAADaAAAADwAAAGRycy9kb3ducmV2LnhtbESPzWrDMBCE74W8g9hCbrHsEJrWtRKM&#10;IeAem/YBFmv9Q62VsRT/vH0UCPQ4zMw3THZeTC8mGl1nWUESxSCIK6s7bhT8/lx27yCcR9bYWyYF&#10;Kzk4nzYvGabazvxN09U3IkDYpaig9X5IpXRVSwZdZAfi4NV2NOiDHBupR5wD3PRyH8dv0mDHYaHF&#10;gYqWqr/rzSgw8ddhKspL4+yaJ3NZrx+TLJTavi75JwhPi/8PP9ulVnCEx5VwA+TpDg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PaQQ/bAAAAA2gAAAA8AAAAAAAAAAAAAAAAA&#10;oQIAAGRycy9kb3ducmV2LnhtbFBLBQYAAAAABAAEAPkAAACOAwAAAAA=&#10;" strokecolor="black [3200]" strokeweight="1pt">
                    <v:stroke endarrowwidth="narrow" endarrowlength="short"/>
                  </v:line>
                  <v:shapetype id="_x0000_t32" coordsize="21600,21600" o:spt="32" o:oned="t" path="m0,0l21600,21600e" filled="f">
                    <v:path arrowok="t" fillok="f" o:connecttype="none"/>
                    <o:lock v:ext="edit" shapetype="t"/>
                  </v:shapetype>
                  <v:shape id="Straight Arrow Connector 8" o:spid="_x0000_s1029" type="#_x0000_t32" style="position:absolute;width:0;height:21717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" strokecolor="black [3200]" strokeweight="1pt">
                    <v:stroke endarrow="open" endarrowwidth="narrow" endarrowlength="short"/>
                  </v:shape>
                  <v:shape id="Straight Arrow Connector 9" o:spid="_x0000_s1030" type="#_x0000_t32" style="position:absolute;left:3086100;width:0;height:21717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zlf2sMAAADaAAAADwAAAGRycy9kb3ducmV2LnhtbESPW2vCQBSE3wX/w3IE3+pGkWKjq4iX&#10;2rfSeHk+ZI9JSPZsyK4x+ffdQsHHYWa+YVabzlSipcYVlhVMJxEI4tTqgjMFl/PxbQHCeWSNlWVS&#10;0JODzXo4WGGs7ZN/qE18JgKEXYwKcu/rWEqX5mTQTWxNHLy7bQz6IJtM6gafAW4qOYuid2mw4LCQ&#10;Y027nNIyeRgF34d52RuatsniVCb72+m66z8rpcajbrsE4anzr/B/+0sr+IC/K+EGyPUv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Gs5X9rDAAAA2gAAAA8AAAAAAAAAAAAA&#10;AAAAoQIAAGRycy9kb3ducmV2LnhtbFBLBQYAAAAABAAEAPkAAACRAwAAAAA=&#10;" strokecolor="black [3200]" strokeweight="1pt">
                    <v:stroke endarrow="open" endarrowwidth="narrow" endarrowlength="short"/>
                  </v:shape>
                </v:group>
                <v:group id="Group 10" o:spid="_x0000_s1031" style="position:absolute;top:281940;width:3314700;height:1143000" coordsize="3314700,1143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7T3CGsUAAADbAAAA&#10;DwAAAAAAAAAAAAAAAACpAgAAZHJzL2Rvd25yZXYueG1sUEsFBgAAAAAEAAQA+gAAAJsDAAAAAA==&#10;">
                  <v:line id="Straight Connector 11" o:spid="_x0000_s1032" style="position:absolute;visibility:visible;mso-wrap-style:square" from="3086100,0" to="33147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4c+MgMIAAADbAAAADwAAAGRycy9kb3ducmV2LnhtbERPS2vCQBC+F/wPywje6sYSSkhdxQeC&#10;4KFEvfQ2ZKdJanY27G5N4q/vFgq9zcf3nOV6MK24k/ONZQWLeQKCuLS64UrB9XJ4zkD4gKyxtUwK&#10;RvKwXk2elphr23NB93OoRAxhn6OCOoQul9KXNRn0c9sRR+7TOoMhQldJ7bCP4aaVL0nyKg02HBtq&#10;7GhXU3k7fxsF2aXz+3H3cbDv7utRnNKCUtwqNZsOmzcQgYbwL/5zH3Wcv4DfX+IBcvUD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4c+MgMIAAADbAAAADwAAAAAAAAAAAAAA&#10;AAChAgAAZHJzL2Rvd25yZXYueG1sUEsFBgAAAAAEAAQA+QAAAJADAAAAAA==&#10;" strokeweight=".5pt"/>
                  <v:line id="Straight Connector 12" o:spid="_x0000_s1033" style="position:absolute;visibility:visible;mso-wrap-style:square" from="3086100,1143000" to="3314700,1143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R0S98EAAADbAAAADwAAAGRycy9kb3ducmV2LnhtbERPTYvCMBC9C/6HMII3TVdEpGsUVxGE&#10;PUitl70NzdhWm0lJotb99UZY2Ns83ucsVp1pxJ2cry0r+BgnIIgLq2suFZzy3WgOwgdkjY1lUvAk&#10;D6tlv7fAVNsHZ3Q/hlLEEPYpKqhCaFMpfVGRQT+2LXHkztYZDBG6UmqHjxhuGjlJkpk0WHNsqLCl&#10;TUXF9XgzCuZ567fPzc/OHtzlN/ueZjTFL6WGg279CSJQF/7Ff+69jvMn8P4lHiCXL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RHRL3wQAAANsAAAAPAAAAAAAAAAAAAAAA&#10;AKECAABkcnMvZG93bnJldi54bWxQSwUGAAAAAAQABAD5AAAAjwMAAAAA&#10;" strokeweight=".5pt"/>
                  <v:line id="Straight Connector 13" o:spid="_x0000_s1034" style="position:absolute;visibility:visible;mso-wrap-style:square" from="0,0" to="2286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lG3bMEAAADbAAAADwAAAGRycy9kb3ducmV2LnhtbERPS4vCMBC+L/gfwgje1tQHi1SjqIsg&#10;7EGqXrwNzdhWm0lJslr99Rthwdt8fM+ZLVpTixs5X1lWMOgnIIhzqysuFBwPm88JCB+QNdaWScGD&#10;PCzmnY8ZptreOaPbPhQihrBPUUEZQpNK6fOSDPq+bYgjd7bOYIjQFVI7vMdwU8thknxJgxXHhhIb&#10;WpeUX/e/RsHk0Pjvx/q0sTt3eWY/44zGuFKq122XUxCB2vAW/7u3Os4fweuXeICc/wE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UbdswQAAANsAAAAPAAAAAAAAAAAAAAAA&#10;AKECAABkcnMvZG93bnJldi54bWxQSwUGAAAAAAQABAD5AAAAjwMAAAAA&#10;" strokeweight=".5pt"/>
                </v:group>
              </v:group>
            </w:pict>
          </mc:Fallback>
        </mc:AlternateContent>
      </w:r>
      <w:r w:rsidRPr="00A052DD">
        <w:rPr>
          <w:noProof/>
        </w:rPr>
        <mc:AlternateContent>
          <mc:Choice Requires="wps">
            <w:drawing>
              <wp:anchor distT="0" distB="0" distL="114300" distR="114300" simplePos="0" relativeHeight="251660288" behindDoc="0" locked="0" layoutInCell="1" allowOverlap="1" wp14:anchorId="2BCEC5AB" wp14:editId="368206FD">
                <wp:simplePos x="0" y="0"/>
                <wp:positionH relativeFrom="column">
                  <wp:posOffset>4343400</wp:posOffset>
                </wp:positionH>
                <wp:positionV relativeFrom="paragraph">
                  <wp:posOffset>1604645</wp:posOffset>
                </wp:positionV>
                <wp:extent cx="342900" cy="457200"/>
                <wp:effectExtent l="0" t="0" r="0" b="0"/>
                <wp:wrapSquare wrapText="bothSides"/>
                <wp:docPr id="15" name="Text Box 15"/>
                <wp:cNvGraphicFramePr/>
                <a:graphic xmlns:a="http://schemas.openxmlformats.org/drawingml/2006/main">
                  <a:graphicData uri="http://schemas.microsoft.com/office/word/2010/wordprocessingShape">
                    <wps:wsp>
                      <wps:cNvSpPr txBox="1"/>
                      <wps:spPr>
                        <a:xfrm>
                          <a:off x="0" y="0"/>
                          <a:ext cx="3429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7B12535" w14:textId="77777777" w:rsidR="00D14100" w:rsidRPr="000E2F05" w:rsidRDefault="00500133" w:rsidP="00F14AB5">
                            <w:pPr>
                              <w:rPr>
                                <w:sz w:val="32"/>
                              </w:rPr>
                            </w:pPr>
                            <m:oMathPara>
                              <m:oMath>
                                <m:bar>
                                  <m:barPr>
                                    <m:ctrlPr>
                                      <w:rPr>
                                        <w:rFonts w:ascii="Cambria Math" w:hAnsi="Cambria Math"/>
                                        <w:i/>
                                        <w:sz w:val="32"/>
                                      </w:rPr>
                                    </m:ctrlPr>
                                  </m:barPr>
                                  <m:e>
                                    <m:r>
                                      <w:rPr>
                                        <w:rFonts w:ascii="Cambria Math" w:hAnsi="Cambria Math"/>
                                        <w:sz w:val="32"/>
                                      </w:rPr>
                                      <m:t>A</m:t>
                                    </m:r>
                                  </m:e>
                                </m:ba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5" o:spid="_x0000_s1031" type="#_x0000_t202" style="position:absolute;margin-left:342pt;margin-top:126.35pt;width:27pt;height:3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" filled="f" stroked="f">
                <v:textbox>
                  <w:txbxContent>
                    <w:p w14:paraId="37B12535" w14:textId="77777777" w:rsidR="00D14100" w:rsidRPr="000E2F05" w:rsidRDefault="00D14100" w:rsidP="00F14AB5">
                      <w:pPr>
                        <w:rPr>
                          <w:sz w:val="32"/>
                        </w:rPr>
                      </w:pPr>
                      <m:oMathPara>
                        <m:oMath>
                          <m:bar>
                            <m:barPr>
                              <m:ctrlPr>
                                <w:rPr>
                                  <w:rFonts w:ascii="Cambria Math" w:hAnsi="Cambria Math"/>
                                  <w:i/>
                                  <w:sz w:val="32"/>
                                </w:rPr>
                              </m:ctrlPr>
                            </m:barPr>
                            <m:e>
                              <m:r>
                                <w:rPr>
                                  <w:rFonts w:ascii="Cambria Math" w:hAnsi="Cambria Math"/>
                                  <w:sz w:val="32"/>
                                </w:rPr>
                                <m:t>A</m:t>
                              </m:r>
                            </m:e>
                          </m:bar>
                        </m:oMath>
                      </m:oMathPara>
                    </w:p>
                  </w:txbxContent>
                </v:textbox>
                <w10:wrap type="square"/>
              </v:shape>
            </w:pict>
          </mc:Fallback>
        </mc:AlternateContent>
      </w:r>
      <w:r w:rsidRPr="00A052DD">
        <w:rPr>
          <w:noProof/>
        </w:rPr>
        <mc:AlternateContent>
          <mc:Choice Requires="wps">
            <w:drawing>
              <wp:anchor distT="0" distB="0" distL="114300" distR="114300" simplePos="0" relativeHeight="251659264" behindDoc="0" locked="0" layoutInCell="1" allowOverlap="1" wp14:anchorId="3552F7E5" wp14:editId="4AFCD9D1">
                <wp:simplePos x="0" y="0"/>
                <wp:positionH relativeFrom="column">
                  <wp:posOffset>685800</wp:posOffset>
                </wp:positionH>
                <wp:positionV relativeFrom="paragraph">
                  <wp:posOffset>461645</wp:posOffset>
                </wp:positionV>
                <wp:extent cx="342900" cy="342900"/>
                <wp:effectExtent l="0" t="0" r="0" b="12700"/>
                <wp:wrapSquare wrapText="bothSides"/>
                <wp:docPr id="19" name="Text Box 19"/>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4527FF6" w14:textId="77777777" w:rsidR="00D14100" w:rsidRPr="000E2F05" w:rsidRDefault="00500133" w:rsidP="00F14AB5">
                            <w:pPr>
                              <w:rPr>
                                <w:sz w:val="32"/>
                              </w:rPr>
                            </w:pPr>
                            <m:oMathPara>
                              <m:oMath>
                                <m:bar>
                                  <m:barPr>
                                    <m:pos m:val="top"/>
                                    <m:ctrlPr>
                                      <w:rPr>
                                        <w:rFonts w:ascii="Cambria Math" w:hAnsi="Cambria Math"/>
                                        <w:i/>
                                        <w:sz w:val="32"/>
                                      </w:rPr>
                                    </m:ctrlPr>
                                  </m:barPr>
                                  <m:e>
                                    <m:r>
                                      <w:rPr>
                                        <w:rFonts w:ascii="Cambria Math" w:hAnsi="Cambria Math"/>
                                        <w:sz w:val="32"/>
                                      </w:rPr>
                                      <m:t>A</m:t>
                                    </m:r>
                                  </m:e>
                                </m:ba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9" o:spid="_x0000_s1032" type="#_x0000_t202" style="position:absolute;margin-left:54pt;margin-top:36.35pt;width:27pt;height:2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" filled="f" stroked="f">
                <v:textbox>
                  <w:txbxContent>
                    <w:p w14:paraId="24527FF6" w14:textId="77777777" w:rsidR="00D14100" w:rsidRPr="000E2F05" w:rsidRDefault="00D14100" w:rsidP="00F14AB5">
                      <w:pPr>
                        <w:rPr>
                          <w:sz w:val="32"/>
                        </w:rPr>
                      </w:pPr>
                      <m:oMathPara>
                        <m:oMath>
                          <m:bar>
                            <m:barPr>
                              <m:pos m:val="top"/>
                              <m:ctrlPr>
                                <w:rPr>
                                  <w:rFonts w:ascii="Cambria Math" w:hAnsi="Cambria Math"/>
                                  <w:i/>
                                  <w:sz w:val="32"/>
                                </w:rPr>
                              </m:ctrlPr>
                            </m:barPr>
                            <m:e>
                              <m:r>
                                <w:rPr>
                                  <w:rFonts w:ascii="Cambria Math" w:hAnsi="Cambria Math"/>
                                  <w:sz w:val="32"/>
                                </w:rPr>
                                <m:t>A</m:t>
                              </m:r>
                            </m:e>
                          </m:bar>
                        </m:oMath>
                      </m:oMathPara>
                    </w:p>
                  </w:txbxContent>
                </v:textbox>
                <w10:wrap type="square"/>
              </v:shape>
            </w:pict>
          </mc:Fallback>
        </mc:AlternateContent>
      </w:r>
    </w:p>
    <w:p w14:paraId="67BC3EE1" w14:textId="77777777" w:rsidR="00F14AB5" w:rsidRPr="00A052DD" w:rsidRDefault="00F14AB5" w:rsidP="00F14AB5"/>
    <w:p w14:paraId="3BC51E9F" w14:textId="77777777" w:rsidR="00F14AB5" w:rsidRPr="00A052DD" w:rsidRDefault="00F14AB5" w:rsidP="00F14AB5"/>
    <w:p w14:paraId="14348E49" w14:textId="77777777" w:rsidR="00F14AB5" w:rsidRPr="00A052DD" w:rsidRDefault="00F14AB5" w:rsidP="00F14AB5"/>
    <w:p w14:paraId="3F4335CD" w14:textId="77777777" w:rsidR="00F14AB5" w:rsidRPr="00A052DD" w:rsidRDefault="00F14AB5" w:rsidP="00F14AB5"/>
    <w:p w14:paraId="1073C48E" w14:textId="77777777" w:rsidR="00F14AB5" w:rsidRPr="00A052DD" w:rsidRDefault="00F14AB5" w:rsidP="00F14AB5"/>
    <w:p w14:paraId="20480A3A" w14:textId="7E6CFC43" w:rsidR="00F14AB5" w:rsidRDefault="00F14AB5" w:rsidP="00F14AB5">
      <w:r w:rsidRPr="00A052DD">
        <w:rPr>
          <w:noProof/>
        </w:rPr>
        <mc:AlternateContent>
          <mc:Choice Requires="wps">
            <w:drawing>
              <wp:anchor distT="0" distB="0" distL="114300" distR="114300" simplePos="0" relativeHeight="251674624" behindDoc="0" locked="0" layoutInCell="1" allowOverlap="1" wp14:anchorId="613D07A8" wp14:editId="7D5BA4F9">
                <wp:simplePos x="0" y="0"/>
                <wp:positionH relativeFrom="column">
                  <wp:posOffset>2628900</wp:posOffset>
                </wp:positionH>
                <wp:positionV relativeFrom="paragraph">
                  <wp:posOffset>328930</wp:posOffset>
                </wp:positionV>
                <wp:extent cx="342900" cy="457200"/>
                <wp:effectExtent l="0" t="0" r="0" b="0"/>
                <wp:wrapSquare wrapText="bothSides"/>
                <wp:docPr id="36" name="Text Box 36"/>
                <wp:cNvGraphicFramePr/>
                <a:graphic xmlns:a="http://schemas.openxmlformats.org/drawingml/2006/main">
                  <a:graphicData uri="http://schemas.microsoft.com/office/word/2010/wordprocessingShape">
                    <wps:wsp>
                      <wps:cNvSpPr txBox="1"/>
                      <wps:spPr>
                        <a:xfrm>
                          <a:off x="0" y="0"/>
                          <a:ext cx="3429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A7AF911" w14:textId="77777777" w:rsidR="00D14100" w:rsidRPr="00F63D52" w:rsidRDefault="00D14100" w:rsidP="00F14AB5">
                            <w:pPr>
                              <w:rPr>
                                <w:sz w:val="28"/>
                              </w:rPr>
                            </w:pPr>
                            <m:oMathPara>
                              <m:oMath>
                                <m:r>
                                  <w:rPr>
                                    <w:rFonts w:ascii="Cambria Math" w:hAnsi="Cambria Math"/>
                                    <w:sz w:val="28"/>
                                  </w:rPr>
                                  <m:t>ϕ</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6" o:spid="_x0000_s1033" type="#_x0000_t202" style="position:absolute;margin-left:207pt;margin-top:25.9pt;width:27pt;height:3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" filled="f" stroked="f">
                <v:textbox>
                  <w:txbxContent>
                    <w:p w14:paraId="0A7AF911" w14:textId="77777777" w:rsidR="00D14100" w:rsidRPr="00F63D52" w:rsidRDefault="00D14100" w:rsidP="00F14AB5">
                      <w:pPr>
                        <w:rPr>
                          <w:sz w:val="28"/>
                        </w:rPr>
                      </w:pPr>
                      <m:oMathPara>
                        <m:oMath>
                          <m:r>
                            <w:rPr>
                              <w:rFonts w:ascii="Cambria Math" w:hAnsi="Cambria Math"/>
                              <w:sz w:val="28"/>
                            </w:rPr>
                            <m:t>ϕ</m:t>
                          </m:r>
                        </m:oMath>
                      </m:oMathPara>
                    </w:p>
                  </w:txbxContent>
                </v:textbox>
                <w10:wrap type="square"/>
              </v:shape>
            </w:pict>
          </mc:Fallback>
        </mc:AlternateContent>
      </w:r>
      <w:r w:rsidRPr="00A052DD">
        <w:rPr>
          <w:noProof/>
        </w:rPr>
        <mc:AlternateContent>
          <mc:Choice Requires="wps">
            <w:drawing>
              <wp:anchor distT="0" distB="0" distL="114300" distR="114300" simplePos="0" relativeHeight="251673600" behindDoc="0" locked="0" layoutInCell="1" allowOverlap="1" wp14:anchorId="3FD4E8B5" wp14:editId="65F03228">
                <wp:simplePos x="0" y="0"/>
                <wp:positionH relativeFrom="column">
                  <wp:posOffset>4229100</wp:posOffset>
                </wp:positionH>
                <wp:positionV relativeFrom="paragraph">
                  <wp:posOffset>403860</wp:posOffset>
                </wp:positionV>
                <wp:extent cx="228600" cy="342900"/>
                <wp:effectExtent l="0" t="0" r="0" b="12700"/>
                <wp:wrapSquare wrapText="bothSides"/>
                <wp:docPr id="35" name="Text Box 35"/>
                <wp:cNvGraphicFramePr/>
                <a:graphic xmlns:a="http://schemas.openxmlformats.org/drawingml/2006/main">
                  <a:graphicData uri="http://schemas.microsoft.com/office/word/2010/wordprocessingShape">
                    <wps:wsp>
                      <wps:cNvSpPr txBox="1"/>
                      <wps:spPr>
                        <a:xfrm>
                          <a:off x="0" y="0"/>
                          <a:ext cx="2286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0DEE027" w14:textId="77777777" w:rsidR="00D14100" w:rsidRPr="00F63D52" w:rsidRDefault="00D14100" w:rsidP="00F14AB5">
                            <w:pPr>
                              <w:rPr>
                                <w:sz w:val="32"/>
                              </w:rPr>
                            </w:pPr>
                            <w:r>
                              <w:rPr>
                                <w:sz w:val="3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5" o:spid="_x0000_s1034" type="#_x0000_t202" style="position:absolute;margin-left:333pt;margin-top:31.8pt;width:18pt;height:2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" filled="f" stroked="f">
                <v:textbox>
                  <w:txbxContent>
                    <w:p w14:paraId="00DEE027" w14:textId="77777777" w:rsidR="00D14100" w:rsidRPr="00F63D52" w:rsidRDefault="00D14100" w:rsidP="00F14AB5">
                      <w:pPr>
                        <w:rPr>
                          <w:sz w:val="32"/>
                        </w:rPr>
                      </w:pPr>
                      <w:r>
                        <w:rPr>
                          <w:sz w:val="32"/>
                        </w:rPr>
                        <w:t>1</w:t>
                      </w:r>
                    </w:p>
                  </w:txbxContent>
                </v:textbox>
                <w10:wrap type="square"/>
              </v:shape>
            </w:pict>
          </mc:Fallback>
        </mc:AlternateContent>
      </w:r>
      <w:r w:rsidRPr="00A052DD">
        <w:rPr>
          <w:noProof/>
        </w:rPr>
        <mc:AlternateContent>
          <mc:Choice Requires="wps">
            <w:drawing>
              <wp:anchor distT="0" distB="0" distL="114300" distR="114300" simplePos="0" relativeHeight="251672576" behindDoc="0" locked="0" layoutInCell="1" allowOverlap="1" wp14:anchorId="4AC11088" wp14:editId="6BA40FBD">
                <wp:simplePos x="0" y="0"/>
                <wp:positionH relativeFrom="column">
                  <wp:posOffset>914400</wp:posOffset>
                </wp:positionH>
                <wp:positionV relativeFrom="paragraph">
                  <wp:posOffset>443230</wp:posOffset>
                </wp:positionV>
                <wp:extent cx="228600" cy="342900"/>
                <wp:effectExtent l="0" t="0" r="0" b="12700"/>
                <wp:wrapSquare wrapText="bothSides"/>
                <wp:docPr id="34" name="Text Box 34"/>
                <wp:cNvGraphicFramePr/>
                <a:graphic xmlns:a="http://schemas.openxmlformats.org/drawingml/2006/main">
                  <a:graphicData uri="http://schemas.microsoft.com/office/word/2010/wordprocessingShape">
                    <wps:wsp>
                      <wps:cNvSpPr txBox="1"/>
                      <wps:spPr>
                        <a:xfrm>
                          <a:off x="0" y="0"/>
                          <a:ext cx="2286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9698712" w14:textId="77777777" w:rsidR="00D14100" w:rsidRPr="00F63D52" w:rsidRDefault="00D14100" w:rsidP="00F14AB5">
                            <w:pPr>
                              <w:rPr>
                                <w:sz w:val="32"/>
                              </w:rPr>
                            </w:pPr>
                            <w:r w:rsidRPr="00F63D52">
                              <w:rPr>
                                <w:sz w:val="32"/>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4" o:spid="_x0000_s1035" type="#_x0000_t202" style="position:absolute;margin-left:1in;margin-top:34.9pt;width:18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" filled="f" stroked="f">
                <v:textbox>
                  <w:txbxContent>
                    <w:p w14:paraId="09698712" w14:textId="77777777" w:rsidR="00D14100" w:rsidRPr="00F63D52" w:rsidRDefault="00D14100" w:rsidP="00F14AB5">
                      <w:pPr>
                        <w:rPr>
                          <w:sz w:val="32"/>
                        </w:rPr>
                      </w:pPr>
                      <w:r w:rsidRPr="00F63D52">
                        <w:rPr>
                          <w:sz w:val="32"/>
                        </w:rPr>
                        <w:t>0</w:t>
                      </w:r>
                    </w:p>
                  </w:txbxContent>
                </v:textbox>
                <w10:wrap type="square"/>
              </v:shape>
            </w:pict>
          </mc:Fallback>
        </mc:AlternateContent>
      </w:r>
    </w:p>
    <w:p w14:paraId="6F356260" w14:textId="77777777" w:rsidR="00BB605D" w:rsidRDefault="00BB605D" w:rsidP="00F14AB5">
      <w:pPr>
        <w:ind w:firstLine="720"/>
      </w:pPr>
    </w:p>
    <w:p w14:paraId="06BD2439" w14:textId="77777777" w:rsidR="00F14AB5" w:rsidRPr="00A052DD" w:rsidRDefault="00F14AB5" w:rsidP="00F14AB5">
      <w:pPr>
        <w:ind w:firstLine="720"/>
      </w:pPr>
      <w:r>
        <w:t>Therefore, at</w:t>
      </w:r>
      <w:r w:rsidRPr="00A052DD">
        <w:t xml:space="preserve"> time </w:t>
      </w:r>
      <w:r w:rsidRPr="00FE56F6">
        <w:rPr>
          <w:b/>
          <w:i/>
        </w:rPr>
        <w:t>t</w:t>
      </w:r>
      <w:r w:rsidRPr="00FE56F6">
        <w:rPr>
          <w:b/>
        </w:rPr>
        <w:t xml:space="preserve"> </w:t>
      </w:r>
      <w:r w:rsidRPr="00A052DD">
        <w:t xml:space="preserve">the population of Israel is </w:t>
      </w:r>
      <m:oMath>
        <m:sSub>
          <m:sSubPr>
            <m:ctrlPr>
              <w:rPr>
                <w:rFonts w:ascii="Cambria Math" w:hAnsi="Cambria Math"/>
                <w:b/>
                <w:i/>
              </w:rPr>
            </m:ctrlPr>
          </m:sSubPr>
          <m:e>
            <m:r>
              <m:rPr>
                <m:sty m:val="bi"/>
              </m:rPr>
              <w:rPr>
                <w:rFonts w:ascii="Cambria Math" w:hAnsi="Cambria Math"/>
              </w:rPr>
              <m:t>L</m:t>
            </m:r>
          </m:e>
          <m:sub>
            <m:r>
              <m:rPr>
                <m:sty m:val="bi"/>
              </m:rPr>
              <w:rPr>
                <w:rFonts w:ascii="Cambria Math" w:hAnsi="Cambria Math"/>
              </w:rPr>
              <m:t>t</m:t>
            </m:r>
          </m:sub>
        </m:sSub>
        <m:r>
          <m:rPr>
            <m:sty m:val="bi"/>
          </m:rPr>
          <w:rPr>
            <w:rFonts w:ascii="Cambria Math" w:hAnsi="Cambria Math"/>
          </w:rPr>
          <m:t>=</m:t>
        </m:r>
        <m:sSub>
          <m:sSubPr>
            <m:ctrlPr>
              <w:rPr>
                <w:rFonts w:ascii="Cambria Math" w:hAnsi="Cambria Math"/>
                <w:b/>
                <w:i/>
              </w:rPr>
            </m:ctrlPr>
          </m:sSubPr>
          <m:e>
            <m:r>
              <m:rPr>
                <m:sty m:val="bi"/>
              </m:rPr>
              <w:rPr>
                <w:rFonts w:ascii="Cambria Math" w:hAnsi="Cambria Math"/>
              </w:rPr>
              <m:t>L</m:t>
            </m:r>
          </m:e>
          <m:sub>
            <m:r>
              <m:rPr>
                <m:sty m:val="bi"/>
              </m:rPr>
              <w:rPr>
                <w:rFonts w:ascii="Cambria Math" w:hAnsi="Cambria Math"/>
              </w:rPr>
              <m:t>0</m:t>
            </m:r>
          </m:sub>
        </m:sSub>
        <m:r>
          <m:rPr>
            <m:sty m:val="bi"/>
          </m:rPr>
          <w:rPr>
            <w:rFonts w:ascii="Cambria Math" w:hAnsi="Cambria Math"/>
          </w:rPr>
          <m:t>(1+p)</m:t>
        </m:r>
      </m:oMath>
      <w:r w:rsidRPr="00FE56F6">
        <w:rPr>
          <w:b/>
          <w:i/>
          <w:vertAlign w:val="superscript"/>
        </w:rPr>
        <w:t>t</w:t>
      </w:r>
      <w:r>
        <w:rPr>
          <w:i/>
          <w:vertAlign w:val="superscript"/>
        </w:rPr>
        <w:t xml:space="preserve"> </w:t>
      </w:r>
      <w:r w:rsidRPr="00A052DD">
        <w:rPr>
          <w:i/>
          <w:vertAlign w:val="superscript"/>
        </w:rPr>
        <w:t xml:space="preserve"> </w:t>
      </w:r>
      <w:r w:rsidRPr="00A052DD">
        <w:t xml:space="preserve">and the gain in production per period between Israel and the West Bank due to decreased violence is… </w:t>
      </w:r>
    </w:p>
    <w:p w14:paraId="21234752" w14:textId="77777777" w:rsidR="00F14AB5" w:rsidRPr="005E185E" w:rsidRDefault="00F14AB5" w:rsidP="00F14AB5">
      <w:pPr>
        <w:spacing w:line="240" w:lineRule="auto"/>
        <w:rPr>
          <w:b/>
          <w:i/>
          <w:sz w:val="28"/>
          <w:szCs w:val="28"/>
        </w:rPr>
      </w:pPr>
      <w:r w:rsidRPr="005E185E">
        <w:rPr>
          <w:b/>
          <w:i/>
          <w:sz w:val="28"/>
          <w:szCs w:val="28"/>
        </w:rPr>
        <w:lastRenderedPageBreak/>
        <w:t>Eq. (4)</w:t>
      </w:r>
    </w:p>
    <w:p w14:paraId="6173D97F" w14:textId="77777777" w:rsidR="00F14AB5" w:rsidRPr="005E185E" w:rsidRDefault="00500133" w:rsidP="00F14AB5">
      <w:pPr>
        <w:rPr>
          <w:sz w:val="28"/>
          <w:szCs w:val="28"/>
        </w:rPr>
      </w:pPr>
      <m:oMathPara>
        <m:oMath>
          <m:nary>
            <m:naryPr>
              <m:limLoc m:val="subSup"/>
              <m:ctrlPr>
                <w:rPr>
                  <w:rFonts w:ascii="Cambria Math" w:hAnsi="Cambria Math"/>
                  <w:i/>
                  <w:sz w:val="28"/>
                  <w:szCs w:val="28"/>
                </w:rPr>
              </m:ctrlPr>
            </m:naryPr>
            <m:sub>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0</m:t>
                  </m:r>
                </m:sub>
              </m:sSub>
            </m:sub>
            <m:sup>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0</m:t>
                  </m:r>
                </m:sub>
              </m:sSub>
              <m:r>
                <w:rPr>
                  <w:rFonts w:ascii="Cambria Math" w:hAnsi="Cambria Math"/>
                  <w:sz w:val="28"/>
                  <w:szCs w:val="28"/>
                </w:rPr>
                <m:t>(1+p</m:t>
              </m:r>
              <m:sSup>
                <m:sSupPr>
                  <m:ctrlPr>
                    <w:rPr>
                      <w:rFonts w:ascii="Cambria Math" w:hAnsi="Cambria Math"/>
                      <w:i/>
                      <w:sz w:val="28"/>
                      <w:szCs w:val="28"/>
                    </w:rPr>
                  </m:ctrlPr>
                </m:sSupPr>
                <m:e>
                  <m:r>
                    <w:rPr>
                      <w:rFonts w:ascii="Cambria Math" w:hAnsi="Cambria Math"/>
                      <w:sz w:val="28"/>
                      <w:szCs w:val="28"/>
                    </w:rPr>
                    <m:t>)</m:t>
                  </m:r>
                </m:e>
                <m:sup>
                  <m:r>
                    <w:rPr>
                      <w:rFonts w:ascii="Cambria Math" w:hAnsi="Cambria Math"/>
                      <w:sz w:val="28"/>
                      <w:szCs w:val="28"/>
                    </w:rPr>
                    <m:t>t</m:t>
                  </m:r>
                </m:sup>
              </m:sSup>
              <m:r>
                <w:rPr>
                  <w:rFonts w:ascii="Cambria Math" w:hAnsi="Cambria Math"/>
                  <w:sz w:val="28"/>
                  <w:szCs w:val="28"/>
                  <w:vertAlign w:val="superscript"/>
                </w:rPr>
                <m:t xml:space="preserve"> </m:t>
              </m:r>
            </m:sup>
            <m:e>
              <m:bar>
                <m:barPr>
                  <m:pos m:val="top"/>
                  <m:ctrlPr>
                    <w:rPr>
                      <w:rFonts w:ascii="Cambria Math" w:hAnsi="Cambria Math"/>
                      <w:i/>
                      <w:sz w:val="28"/>
                      <w:szCs w:val="28"/>
                    </w:rPr>
                  </m:ctrlPr>
                </m:barPr>
                <m:e>
                  <m:r>
                    <w:rPr>
                      <w:rFonts w:ascii="Cambria Math" w:hAnsi="Cambria Math"/>
                      <w:sz w:val="28"/>
                      <w:szCs w:val="28"/>
                    </w:rPr>
                    <m:t>A</m:t>
                  </m:r>
                </m:e>
              </m:bar>
              <m:r>
                <w:rPr>
                  <w:rFonts w:ascii="Cambria Math" w:hAnsi="Cambria Math"/>
                  <w:sz w:val="28"/>
                  <w:szCs w:val="28"/>
                </w:rPr>
                <m:t>α</m:t>
              </m:r>
              <m:sSubSup>
                <m:sSubSupPr>
                  <m:ctrlPr>
                    <w:rPr>
                      <w:rFonts w:ascii="Cambria Math" w:hAnsi="Cambria Math"/>
                      <w:i/>
                      <w:sz w:val="28"/>
                      <w:szCs w:val="28"/>
                    </w:rPr>
                  </m:ctrlPr>
                </m:sSubSupPr>
                <m:e>
                  <m:r>
                    <w:rPr>
                      <w:rFonts w:ascii="Cambria Math" w:hAnsi="Cambria Math"/>
                      <w:sz w:val="28"/>
                      <w:szCs w:val="28"/>
                    </w:rPr>
                    <m:t>L</m:t>
                  </m:r>
                </m:e>
                <m:sub>
                  <m:r>
                    <w:rPr>
                      <w:rFonts w:ascii="Cambria Math" w:hAnsi="Cambria Math"/>
                      <w:sz w:val="28"/>
                      <w:szCs w:val="28"/>
                    </w:rPr>
                    <m:t>t</m:t>
                  </m:r>
                </m:sub>
                <m:sup>
                  <m:r>
                    <w:rPr>
                      <w:rFonts w:ascii="Cambria Math" w:hAnsi="Cambria Math"/>
                      <w:sz w:val="28"/>
                      <w:szCs w:val="28"/>
                    </w:rPr>
                    <m:t>α-1</m:t>
                  </m:r>
                </m:sup>
              </m:sSubSup>
              <m:r>
                <w:rPr>
                  <w:rFonts w:ascii="Cambria Math" w:hAnsi="Cambria Math"/>
                  <w:sz w:val="28"/>
                  <w:szCs w:val="28"/>
                </w:rPr>
                <m:t>d</m:t>
              </m:r>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t</m:t>
                  </m:r>
                </m:sub>
              </m:sSub>
            </m:e>
          </m:nary>
          <m:r>
            <w:rPr>
              <w:rFonts w:ascii="Cambria Math" w:hAnsi="Cambria Math"/>
              <w:sz w:val="28"/>
              <w:szCs w:val="28"/>
            </w:rPr>
            <m:t>-</m:t>
          </m:r>
          <m:nary>
            <m:naryPr>
              <m:limLoc m:val="subSup"/>
              <m:ctrlPr>
                <w:rPr>
                  <w:rFonts w:ascii="Cambria Math" w:hAnsi="Cambria Math"/>
                  <w:i/>
                  <w:sz w:val="28"/>
                  <w:szCs w:val="28"/>
                </w:rPr>
              </m:ctrlPr>
            </m:naryPr>
            <m:sub>
              <m:bar>
                <m:barPr>
                  <m:pos m:val="top"/>
                  <m:ctrlPr>
                    <w:rPr>
                      <w:rFonts w:ascii="Cambria Math" w:hAnsi="Cambria Math"/>
                      <w:i/>
                      <w:sz w:val="28"/>
                      <w:szCs w:val="28"/>
                    </w:rPr>
                  </m:ctrlPr>
                </m:barPr>
                <m:e>
                  <m:r>
                    <w:rPr>
                      <w:rFonts w:ascii="Cambria Math" w:hAnsi="Cambria Math"/>
                      <w:sz w:val="28"/>
                      <w:szCs w:val="28"/>
                    </w:rPr>
                    <m:t>L</m:t>
                  </m:r>
                </m:e>
              </m:bar>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0</m:t>
                  </m:r>
                </m:sub>
              </m:sSub>
              <m:r>
                <w:rPr>
                  <w:rFonts w:ascii="Cambria Math" w:hAnsi="Cambria Math"/>
                  <w:sz w:val="28"/>
                  <w:szCs w:val="28"/>
                </w:rPr>
                <m:t>(1+p</m:t>
              </m:r>
              <m:sSup>
                <m:sSupPr>
                  <m:ctrlPr>
                    <w:rPr>
                      <w:rFonts w:ascii="Cambria Math" w:hAnsi="Cambria Math"/>
                      <w:i/>
                      <w:sz w:val="28"/>
                      <w:szCs w:val="28"/>
                    </w:rPr>
                  </m:ctrlPr>
                </m:sSupPr>
                <m:e>
                  <m:r>
                    <w:rPr>
                      <w:rFonts w:ascii="Cambria Math" w:hAnsi="Cambria Math"/>
                      <w:sz w:val="28"/>
                      <w:szCs w:val="28"/>
                    </w:rPr>
                    <m:t>)</m:t>
                  </m:r>
                </m:e>
                <m:sup>
                  <m:r>
                    <w:rPr>
                      <w:rFonts w:ascii="Cambria Math" w:hAnsi="Cambria Math"/>
                      <w:sz w:val="28"/>
                      <w:szCs w:val="28"/>
                    </w:rPr>
                    <m:t>t</m:t>
                  </m:r>
                </m:sup>
              </m:sSup>
            </m:sub>
            <m:sup>
              <m:bar>
                <m:barPr>
                  <m:pos m:val="top"/>
                  <m:ctrlPr>
                    <w:rPr>
                      <w:rFonts w:ascii="Cambria Math" w:hAnsi="Cambria Math"/>
                      <w:i/>
                      <w:sz w:val="28"/>
                      <w:szCs w:val="28"/>
                    </w:rPr>
                  </m:ctrlPr>
                </m:barPr>
                <m:e>
                  <m:r>
                    <w:rPr>
                      <w:rFonts w:ascii="Cambria Math" w:hAnsi="Cambria Math"/>
                      <w:sz w:val="28"/>
                      <w:szCs w:val="28"/>
                    </w:rPr>
                    <m:t>L</m:t>
                  </m:r>
                </m:e>
              </m:bar>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0</m:t>
                  </m:r>
                </m:sub>
              </m:sSub>
            </m:sup>
            <m:e>
              <m:bar>
                <m:barPr>
                  <m:ctrlPr>
                    <w:rPr>
                      <w:rFonts w:ascii="Cambria Math" w:hAnsi="Cambria Math"/>
                      <w:i/>
                      <w:sz w:val="28"/>
                      <w:szCs w:val="28"/>
                    </w:rPr>
                  </m:ctrlPr>
                </m:barPr>
                <m:e>
                  <m:r>
                    <w:rPr>
                      <w:rFonts w:ascii="Cambria Math" w:hAnsi="Cambria Math"/>
                      <w:sz w:val="28"/>
                      <w:szCs w:val="28"/>
                    </w:rPr>
                    <m:t>A</m:t>
                  </m:r>
                </m:e>
              </m:bar>
              <m:r>
                <w:rPr>
                  <w:rFonts w:ascii="Cambria Math" w:hAnsi="Cambria Math"/>
                  <w:sz w:val="28"/>
                  <w:szCs w:val="28"/>
                </w:rPr>
                <m:t>α</m:t>
              </m:r>
              <m:sSubSup>
                <m:sSubSupPr>
                  <m:ctrlPr>
                    <w:rPr>
                      <w:rFonts w:ascii="Cambria Math" w:hAnsi="Cambria Math"/>
                      <w:i/>
                      <w:sz w:val="28"/>
                      <w:szCs w:val="28"/>
                    </w:rPr>
                  </m:ctrlPr>
                </m:sSubSupPr>
                <m:e>
                  <m:r>
                    <w:rPr>
                      <w:rFonts w:ascii="Cambria Math" w:hAnsi="Cambria Math"/>
                      <w:sz w:val="28"/>
                      <w:szCs w:val="28"/>
                    </w:rPr>
                    <m:t>L</m:t>
                  </m:r>
                </m:e>
                <m:sub>
                  <m:r>
                    <w:rPr>
                      <w:rFonts w:ascii="Cambria Math" w:hAnsi="Cambria Math"/>
                      <w:sz w:val="28"/>
                      <w:szCs w:val="28"/>
                    </w:rPr>
                    <m:t>t</m:t>
                  </m:r>
                </m:sub>
                <m:sup>
                  <m:r>
                    <w:rPr>
                      <w:rFonts w:ascii="Cambria Math" w:hAnsi="Cambria Math"/>
                      <w:sz w:val="28"/>
                      <w:szCs w:val="28"/>
                    </w:rPr>
                    <m:t>α-1</m:t>
                  </m:r>
                </m:sup>
              </m:sSubSup>
              <m:r>
                <w:rPr>
                  <w:rFonts w:ascii="Cambria Math" w:hAnsi="Cambria Math"/>
                  <w:sz w:val="28"/>
                  <w:szCs w:val="28"/>
                </w:rPr>
                <m:t>d</m:t>
              </m:r>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t</m:t>
                  </m:r>
                </m:sub>
              </m:sSub>
            </m:e>
          </m:nary>
        </m:oMath>
      </m:oMathPara>
    </w:p>
    <w:p w14:paraId="346BCCA2" w14:textId="77777777" w:rsidR="00F14AB5" w:rsidRPr="005E185E" w:rsidRDefault="00F14AB5" w:rsidP="00F14AB5">
      <w:r w:rsidRPr="005E185E">
        <w:t xml:space="preserve">where </w:t>
      </w:r>
      <m:oMath>
        <m:bar>
          <m:barPr>
            <m:pos m:val="top"/>
            <m:ctrlPr>
              <w:rPr>
                <w:rFonts w:ascii="Cambria Math" w:hAnsi="Cambria Math"/>
                <w:b/>
                <w:i/>
              </w:rPr>
            </m:ctrlPr>
          </m:barPr>
          <m:e>
            <m:r>
              <m:rPr>
                <m:sty m:val="bi"/>
              </m:rPr>
              <w:rPr>
                <w:rFonts w:ascii="Cambria Math" w:hAnsi="Cambria Math"/>
              </w:rPr>
              <m:t>L</m:t>
            </m:r>
          </m:e>
        </m:bar>
        <m:r>
          <w:rPr>
            <w:rFonts w:ascii="Cambria Math" w:hAnsi="Cambria Math"/>
          </w:rPr>
          <m:t xml:space="preserve"> </m:t>
        </m:r>
      </m:oMath>
      <w:r w:rsidRPr="005E185E">
        <w:t xml:space="preserve">is the combined labor supply in both Israel and the West Bank. </w:t>
      </w:r>
      <w:r>
        <w:t xml:space="preserve">This equation </w:t>
      </w:r>
      <w:r w:rsidRPr="006170A3">
        <w:rPr>
          <w:b/>
        </w:rPr>
        <w:t>(4)</w:t>
      </w:r>
      <w:r>
        <w:t xml:space="preserve"> forms the starting point to finding the optimal number of WBPL to permit to work in Israel. On one hand, you don’t want to increase the number of WBPL so drastically that TFP in Israel and the West Bank is at risk of a large reduction if violence increases. On the other, you don’t want to increase the number of WBPL so minimally that the positive effects of economic development have little effect on the resulting level of violence because the actual number of Palestinians affected by increased wages is too small. The optimal policy will maximize production between the two economies by integrating the right amount of WBPL over the best period of time. Unfortunately, this equation </w:t>
      </w:r>
      <w:r w:rsidRPr="006170A3">
        <w:rPr>
          <w:b/>
        </w:rPr>
        <w:t>(4)</w:t>
      </w:r>
      <w:r>
        <w:t xml:space="preserve"> is cumbersome and difficult to calculate, so it would be beneficial to reduce this to a more wieldy equation. </w:t>
      </w:r>
    </w:p>
    <w:p w14:paraId="2696211E" w14:textId="77777777" w:rsidR="00F14AB5" w:rsidRPr="001D28BD" w:rsidRDefault="00F14AB5" w:rsidP="00F14AB5">
      <w:pPr>
        <w:ind w:firstLine="720"/>
      </w:pPr>
      <w:r>
        <w:t xml:space="preserve">Suppose that at time </w:t>
      </w:r>
      <w:r w:rsidRPr="005E185E">
        <w:t>0</w:t>
      </w:r>
      <w:r>
        <w:t xml:space="preserve"> </w:t>
      </w:r>
      <w:r w:rsidRPr="006170A3">
        <w:rPr>
          <w:b/>
        </w:rPr>
        <w:t>(</w:t>
      </w:r>
      <w:r w:rsidRPr="006170A3">
        <w:rPr>
          <w:b/>
          <w:i/>
        </w:rPr>
        <w:t>t=0</w:t>
      </w:r>
      <w:r w:rsidRPr="006170A3">
        <w:rPr>
          <w:b/>
        </w:rPr>
        <w:t>),</w:t>
      </w:r>
      <w:r w:rsidRPr="005E185E">
        <w:t xml:space="preserve"> the initial population of the West Bank is a multiple </w:t>
      </w:r>
      <m:oMath>
        <m:r>
          <m:rPr>
            <m:sty m:val="bi"/>
          </m:rPr>
          <w:rPr>
            <w:rFonts w:ascii="Cambria Math" w:hAnsi="Cambria Math"/>
          </w:rPr>
          <m:t>β</m:t>
        </m:r>
        <m:r>
          <w:rPr>
            <w:rFonts w:ascii="Cambria Math" w:hAnsi="Cambria Math"/>
          </w:rPr>
          <m:t xml:space="preserve"> </m:t>
        </m:r>
      </m:oMath>
      <w:r w:rsidRPr="005E185E">
        <w:t xml:space="preserve">times the initial population of Israel, thus </w:t>
      </w:r>
      <m:oMath>
        <m:r>
          <m:rPr>
            <m:sty m:val="bi"/>
          </m:rPr>
          <w:rPr>
            <w:rFonts w:ascii="Cambria Math" w:hAnsi="Cambria Math"/>
          </w:rPr>
          <m:t>β≡</m:t>
        </m:r>
        <m:d>
          <m:dPr>
            <m:ctrlPr>
              <w:rPr>
                <w:rFonts w:ascii="Cambria Math" w:hAnsi="Cambria Math"/>
                <w:b/>
                <w:i/>
              </w:rPr>
            </m:ctrlPr>
          </m:dPr>
          <m:e>
            <m:f>
              <m:fPr>
                <m:ctrlPr>
                  <w:rPr>
                    <w:rFonts w:ascii="Cambria Math" w:hAnsi="Cambria Math"/>
                    <w:b/>
                    <w:i/>
                  </w:rPr>
                </m:ctrlPr>
              </m:fPr>
              <m:num>
                <m:bar>
                  <m:barPr>
                    <m:pos m:val="top"/>
                    <m:ctrlPr>
                      <w:rPr>
                        <w:rFonts w:ascii="Cambria Math" w:hAnsi="Cambria Math"/>
                        <w:b/>
                        <w:i/>
                      </w:rPr>
                    </m:ctrlPr>
                  </m:barPr>
                  <m:e>
                    <m:r>
                      <m:rPr>
                        <m:sty m:val="bi"/>
                      </m:rPr>
                      <w:rPr>
                        <w:rFonts w:ascii="Cambria Math" w:hAnsi="Cambria Math"/>
                      </w:rPr>
                      <m:t>L</m:t>
                    </m:r>
                  </m:e>
                </m:bar>
              </m:num>
              <m:den>
                <m:sSub>
                  <m:sSubPr>
                    <m:ctrlPr>
                      <w:rPr>
                        <w:rFonts w:ascii="Cambria Math" w:hAnsi="Cambria Math"/>
                        <w:b/>
                        <w:i/>
                      </w:rPr>
                    </m:ctrlPr>
                  </m:sSubPr>
                  <m:e>
                    <m:r>
                      <m:rPr>
                        <m:sty m:val="bi"/>
                      </m:rPr>
                      <w:rPr>
                        <w:rFonts w:ascii="Cambria Math" w:hAnsi="Cambria Math"/>
                      </w:rPr>
                      <m:t>L</m:t>
                    </m:r>
                  </m:e>
                  <m:sub>
                    <m:r>
                      <m:rPr>
                        <m:sty m:val="bi"/>
                      </m:rPr>
                      <w:rPr>
                        <w:rFonts w:ascii="Cambria Math" w:hAnsi="Cambria Math"/>
                      </w:rPr>
                      <m:t>0</m:t>
                    </m:r>
                  </m:sub>
                </m:sSub>
              </m:den>
            </m:f>
          </m:e>
        </m:d>
        <m:r>
          <m:rPr>
            <m:sty m:val="bi"/>
          </m:rPr>
          <w:rPr>
            <w:rFonts w:ascii="Cambria Math" w:hAnsi="Cambria Math"/>
          </w:rPr>
          <m:t>-1&gt;1</m:t>
        </m:r>
      </m:oMath>
      <w:r w:rsidRPr="005E185E">
        <w:rPr>
          <w:b/>
        </w:rPr>
        <w:t>.</w:t>
      </w:r>
      <w:r w:rsidRPr="005E185E">
        <w:t xml:space="preserve"> The solution to </w:t>
      </w:r>
      <w:r w:rsidRPr="006170A3">
        <w:rPr>
          <w:b/>
        </w:rPr>
        <w:t>(4)</w:t>
      </w:r>
      <w:r w:rsidRPr="005E185E">
        <w:t xml:space="preserve"> takes a tractable form using the first-order Taylor approximation that, for any</w:t>
      </w:r>
      <w:r w:rsidRPr="005E185E">
        <w:rPr>
          <w:i/>
        </w:rPr>
        <w:t xml:space="preserve"> Z</w:t>
      </w:r>
      <w:r w:rsidRPr="005E185E">
        <w:t xml:space="preserve"> and small </w:t>
      </w:r>
      <w:r w:rsidRPr="005E185E">
        <w:rPr>
          <w:i/>
        </w:rPr>
        <w:t>x,</w:t>
      </w:r>
      <w:r w:rsidRPr="005E185E">
        <w:rPr>
          <w:b/>
          <w:i/>
        </w:rPr>
        <w:t xml:space="preserve"> </w:t>
      </w:r>
      <m:oMath>
        <m:r>
          <m:rPr>
            <m:sty m:val="bi"/>
          </m:rPr>
          <w:rPr>
            <w:rFonts w:ascii="Cambria Math" w:hAnsi="Cambria Math"/>
          </w:rPr>
          <m:t>(Z±(1+x</m:t>
        </m:r>
        <m:sSup>
          <m:sSupPr>
            <m:ctrlPr>
              <w:rPr>
                <w:rFonts w:ascii="Cambria Math" w:hAnsi="Cambria Math"/>
                <w:b/>
                <w:i/>
              </w:rPr>
            </m:ctrlPr>
          </m:sSupPr>
          <m:e>
            <m:r>
              <m:rPr>
                <m:sty m:val="bi"/>
              </m:rPr>
              <w:rPr>
                <w:rFonts w:ascii="Cambria Math" w:hAnsi="Cambria Math"/>
              </w:rPr>
              <m:t>)</m:t>
            </m:r>
          </m:e>
          <m:sup>
            <m:r>
              <m:rPr>
                <m:sty m:val="bi"/>
              </m:rPr>
              <w:rPr>
                <w:rFonts w:ascii="Cambria Math" w:hAnsi="Cambria Math"/>
              </w:rPr>
              <m:t>t</m:t>
            </m:r>
          </m:sup>
        </m:sSup>
        <m:sSup>
          <m:sSupPr>
            <m:ctrlPr>
              <w:rPr>
                <w:rFonts w:ascii="Cambria Math" w:hAnsi="Cambria Math"/>
                <w:b/>
                <w:i/>
              </w:rPr>
            </m:ctrlPr>
          </m:sSupPr>
          <m:e>
            <m:r>
              <m:rPr>
                <m:sty m:val="bi"/>
              </m:rPr>
              <w:rPr>
                <w:rFonts w:ascii="Cambria Math" w:hAnsi="Cambria Math"/>
              </w:rPr>
              <m:t>)</m:t>
            </m:r>
          </m:e>
          <m:sup>
            <m:r>
              <m:rPr>
                <m:sty m:val="bi"/>
              </m:rPr>
              <w:rPr>
                <w:rFonts w:ascii="Cambria Math" w:hAnsi="Cambria Math"/>
              </w:rPr>
              <m:t>α</m:t>
            </m:r>
          </m:sup>
        </m:sSup>
        <m:r>
          <m:rPr>
            <m:sty m:val="bi"/>
          </m:rPr>
          <w:rPr>
            <w:rFonts w:ascii="Cambria Math" w:hAnsi="Cambria Math"/>
          </w:rPr>
          <m:t>≈(Z-1</m:t>
        </m:r>
        <m:sSup>
          <m:sSupPr>
            <m:ctrlPr>
              <w:rPr>
                <w:rFonts w:ascii="Cambria Math" w:hAnsi="Cambria Math"/>
                <w:b/>
                <w:i/>
              </w:rPr>
            </m:ctrlPr>
          </m:sSupPr>
          <m:e>
            <m:r>
              <m:rPr>
                <m:sty m:val="bi"/>
              </m:rPr>
              <w:rPr>
                <w:rFonts w:ascii="Cambria Math" w:hAnsi="Cambria Math"/>
              </w:rPr>
              <m:t>)</m:t>
            </m:r>
          </m:e>
          <m:sup>
            <m:r>
              <m:rPr>
                <m:sty m:val="bi"/>
              </m:rPr>
              <w:rPr>
                <w:rFonts w:ascii="Cambria Math" w:hAnsi="Cambria Math"/>
              </w:rPr>
              <m:t>α</m:t>
            </m:r>
          </m:sup>
        </m:sSup>
        <m:r>
          <m:rPr>
            <m:sty m:val="bi"/>
          </m:rPr>
          <w:rPr>
            <w:rFonts w:ascii="Cambria Math" w:hAnsi="Cambria Math"/>
          </w:rPr>
          <m:t>±(Z-1</m:t>
        </m:r>
        <m:sSup>
          <m:sSupPr>
            <m:ctrlPr>
              <w:rPr>
                <w:rFonts w:ascii="Cambria Math" w:hAnsi="Cambria Math"/>
                <w:b/>
                <w:i/>
              </w:rPr>
            </m:ctrlPr>
          </m:sSupPr>
          <m:e>
            <m:r>
              <m:rPr>
                <m:sty m:val="bi"/>
              </m:rPr>
              <w:rPr>
                <w:rFonts w:ascii="Cambria Math" w:hAnsi="Cambria Math"/>
              </w:rPr>
              <m:t>)</m:t>
            </m:r>
          </m:e>
          <m:sup>
            <m:r>
              <m:rPr>
                <m:sty m:val="bi"/>
              </m:rPr>
              <w:rPr>
                <w:rFonts w:ascii="Cambria Math" w:hAnsi="Cambria Math"/>
              </w:rPr>
              <m:t>α-1</m:t>
            </m:r>
          </m:sup>
        </m:sSup>
        <m:r>
          <m:rPr>
            <m:sty m:val="bi"/>
          </m:rPr>
          <w:rPr>
            <w:rFonts w:ascii="Cambria Math" w:hAnsi="Cambria Math"/>
          </w:rPr>
          <m:t>αxt.</m:t>
        </m:r>
      </m:oMath>
      <w:r>
        <w:rPr>
          <w:b/>
          <w:i/>
        </w:rPr>
        <w:t xml:space="preserve"> </w:t>
      </w:r>
      <w:r w:rsidRPr="005E185E">
        <w:t>Thus</w:t>
      </w:r>
      <w:r>
        <w:t>,</w:t>
      </w:r>
      <w:r w:rsidRPr="005E185E">
        <w:t xml:space="preserve"> the gain per period between Israel and the West Bank due to decreased violence (4) reduces to…</w:t>
      </w:r>
    </w:p>
    <w:p w14:paraId="68815390" w14:textId="77777777" w:rsidR="00F14AB5" w:rsidRPr="005E185E" w:rsidRDefault="00F14AB5" w:rsidP="00F14AB5">
      <w:pPr>
        <w:spacing w:line="240" w:lineRule="auto"/>
        <w:rPr>
          <w:sz w:val="28"/>
          <w:szCs w:val="28"/>
        </w:rPr>
      </w:pPr>
      <w:r w:rsidRPr="005E185E">
        <w:rPr>
          <w:b/>
          <w:i/>
          <w:sz w:val="28"/>
          <w:szCs w:val="28"/>
        </w:rPr>
        <w:t>Eq. (5)</w:t>
      </w:r>
    </w:p>
    <w:p w14:paraId="446FA915" w14:textId="77777777" w:rsidR="00F14AB5" w:rsidRPr="005E185E" w:rsidRDefault="00F14AB5" w:rsidP="00F14AB5">
      <w:pPr>
        <w:rPr>
          <w:sz w:val="28"/>
          <w:szCs w:val="28"/>
        </w:rPr>
      </w:pPr>
      <m:oMathPara>
        <m:oMath>
          <m:r>
            <w:rPr>
              <w:rFonts w:ascii="Cambria Math" w:hAnsi="Cambria Math"/>
              <w:sz w:val="28"/>
              <w:szCs w:val="28"/>
            </w:rPr>
            <m:t>αtp</m:t>
          </m:r>
          <m:sSubSup>
            <m:sSubSupPr>
              <m:ctrlPr>
                <w:rPr>
                  <w:rFonts w:ascii="Cambria Math" w:hAnsi="Cambria Math"/>
                  <w:i/>
                  <w:sz w:val="28"/>
                  <w:szCs w:val="28"/>
                </w:rPr>
              </m:ctrlPr>
            </m:sSubSupPr>
            <m:e>
              <m:r>
                <w:rPr>
                  <w:rFonts w:ascii="Cambria Math" w:hAnsi="Cambria Math"/>
                  <w:sz w:val="28"/>
                  <w:szCs w:val="28"/>
                </w:rPr>
                <m:t>L</m:t>
              </m:r>
            </m:e>
            <m:sub>
              <m:r>
                <w:rPr>
                  <w:rFonts w:ascii="Cambria Math" w:hAnsi="Cambria Math"/>
                  <w:sz w:val="28"/>
                  <w:szCs w:val="28"/>
                </w:rPr>
                <m:t>0</m:t>
              </m:r>
            </m:sub>
            <m:sup>
              <m:r>
                <w:rPr>
                  <w:rFonts w:ascii="Cambria Math" w:hAnsi="Cambria Math"/>
                  <w:sz w:val="28"/>
                  <w:szCs w:val="28"/>
                </w:rPr>
                <m:t>α</m:t>
              </m:r>
            </m:sup>
          </m:sSubSup>
          <m:r>
            <w:rPr>
              <w:rFonts w:ascii="Cambria Math" w:hAnsi="Cambria Math"/>
              <w:sz w:val="28"/>
              <w:szCs w:val="28"/>
            </w:rPr>
            <m:t>(</m:t>
          </m:r>
          <m:bar>
            <m:barPr>
              <m:pos m:val="top"/>
              <m:ctrlPr>
                <w:rPr>
                  <w:rFonts w:ascii="Cambria Math" w:hAnsi="Cambria Math"/>
                  <w:i/>
                  <w:sz w:val="28"/>
                  <w:szCs w:val="28"/>
                </w:rPr>
              </m:ctrlPr>
            </m:barPr>
            <m:e>
              <m:r>
                <w:rPr>
                  <w:rFonts w:ascii="Cambria Math" w:hAnsi="Cambria Math"/>
                  <w:sz w:val="28"/>
                  <w:szCs w:val="28"/>
                </w:rPr>
                <m:t>A</m:t>
              </m:r>
            </m:e>
          </m:bar>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β</m:t>
              </m:r>
            </m:e>
            <m:sup>
              <m:r>
                <w:rPr>
                  <w:rFonts w:ascii="Cambria Math" w:hAnsi="Cambria Math"/>
                  <w:sz w:val="28"/>
                  <w:szCs w:val="28"/>
                </w:rPr>
                <m:t>α-1</m:t>
              </m:r>
            </m:sup>
          </m:sSup>
          <m:bar>
            <m:barPr>
              <m:ctrlPr>
                <w:rPr>
                  <w:rFonts w:ascii="Cambria Math" w:hAnsi="Cambria Math"/>
                  <w:i/>
                  <w:sz w:val="28"/>
                  <w:szCs w:val="28"/>
                </w:rPr>
              </m:ctrlPr>
            </m:barPr>
            <m:e>
              <m:r>
                <w:rPr>
                  <w:rFonts w:ascii="Cambria Math" w:hAnsi="Cambria Math"/>
                  <w:sz w:val="28"/>
                  <w:szCs w:val="28"/>
                </w:rPr>
                <m:t>A</m:t>
              </m:r>
            </m:e>
          </m:bar>
          <m:r>
            <w:rPr>
              <w:rFonts w:ascii="Cambria Math" w:hAnsi="Cambria Math"/>
              <w:sz w:val="28"/>
              <w:szCs w:val="28"/>
            </w:rPr>
            <m:t>)</m:t>
          </m:r>
        </m:oMath>
      </m:oMathPara>
    </w:p>
    <w:p w14:paraId="0AB66871" w14:textId="77777777" w:rsidR="00F14AB5" w:rsidRPr="003E182A" w:rsidRDefault="00F14AB5" w:rsidP="00F14AB5">
      <w:r w:rsidRPr="005E185E">
        <w:t xml:space="preserve">Unfortunately, </w:t>
      </w:r>
      <w:r>
        <w:t xml:space="preserve">accounting for the elasticity of labor demand means that </w:t>
      </w:r>
      <w:r w:rsidRPr="005E185E">
        <w:t xml:space="preserve">increasing the number of Palestinian laborers working in Israel reduces </w:t>
      </w:r>
      <w:r>
        <w:t>the</w:t>
      </w:r>
      <w:r w:rsidRPr="005E185E">
        <w:t xml:space="preserve"> TFP of Arab-Israelis, </w:t>
      </w:r>
      <w:r w:rsidRPr="005E185E">
        <w:lastRenderedPageBreak/>
        <w:t xml:space="preserve">foreign laborers, and other laborers living in Israel who compete for similar jobs. The reduction in TFP across the entire Israeli economy is greater to the degree that the increase in </w:t>
      </w:r>
      <w:r>
        <w:t>WBPL</w:t>
      </w:r>
      <w:r w:rsidRPr="005E185E">
        <w:t xml:space="preserve"> working in Israel leads to an increase in violence. </w:t>
      </w:r>
      <w:r>
        <w:t xml:space="preserve">However it is also expected that in the long-term the benefits of a widespread reduction in violence will increase TFP to a greater degree than the increased competition for jobs will reduce TFP in the short-term. </w:t>
      </w:r>
    </w:p>
    <w:p w14:paraId="12D17A6A" w14:textId="77777777" w:rsidR="00F14AB5" w:rsidRDefault="00F14AB5" w:rsidP="00F14AB5">
      <w:pPr>
        <w:ind w:firstLine="720"/>
      </w:pPr>
      <w:r w:rsidRPr="005E185E">
        <w:t xml:space="preserve">The per-period gain in </w:t>
      </w:r>
      <w:r w:rsidRPr="006170A3">
        <w:rPr>
          <w:b/>
        </w:rPr>
        <w:t>(4)</w:t>
      </w:r>
      <w:r w:rsidRPr="005E185E">
        <w:t xml:space="preserve"> corresponds to the green area i</w:t>
      </w:r>
      <w:r>
        <w:t xml:space="preserve">n Figure 9. In that figure, </w:t>
      </w:r>
      <w:r w:rsidRPr="005E185E">
        <w:t xml:space="preserve">the horizontal axis is </w:t>
      </w:r>
      <m:oMath>
        <m:bar>
          <m:barPr>
            <m:pos m:val="top"/>
            <m:ctrlPr>
              <w:rPr>
                <w:rFonts w:ascii="Cambria Math" w:hAnsi="Cambria Math"/>
                <w:i/>
              </w:rPr>
            </m:ctrlPr>
          </m:barPr>
          <m:e>
            <m:r>
              <w:rPr>
                <w:rFonts w:ascii="Cambria Math" w:hAnsi="Cambria Math"/>
              </w:rPr>
              <m:t>L</m:t>
            </m:r>
          </m:e>
        </m:bar>
        <m:r>
          <w:rPr>
            <w:rFonts w:ascii="Cambria Math" w:hAnsi="Cambria Math"/>
          </w:rPr>
          <m:t>.</m:t>
        </m:r>
      </m:oMath>
      <w:r w:rsidRPr="005E185E">
        <w:t xml:space="preserve"> The marginal product of labor is </w:t>
      </w:r>
      <m:oMath>
        <m:sSub>
          <m:sSubPr>
            <m:ctrlPr>
              <w:rPr>
                <w:rFonts w:ascii="Cambria Math" w:hAnsi="Cambria Math"/>
                <w:b/>
                <w:i/>
              </w:rPr>
            </m:ctrlPr>
          </m:sSubPr>
          <m:e>
            <m:r>
              <m:rPr>
                <m:sty m:val="bi"/>
              </m:rPr>
              <w:rPr>
                <w:rFonts w:ascii="Cambria Math" w:hAnsi="Cambria Math"/>
              </w:rPr>
              <m:t>Y</m:t>
            </m:r>
          </m:e>
          <m:sub>
            <m:r>
              <m:rPr>
                <m:sty m:val="bi"/>
              </m:rPr>
              <w:rPr>
                <w:rFonts w:ascii="Cambria Math" w:hAnsi="Cambria Math"/>
              </w:rPr>
              <m:t>L</m:t>
            </m:r>
          </m:sub>
        </m:sSub>
      </m:oMath>
      <w:r w:rsidRPr="005E185E">
        <w:t xml:space="preserve"> in Israel, and the labor supply in Israel is read right-to-left from origin </w:t>
      </w:r>
      <w:r w:rsidRPr="005E185E">
        <w:rPr>
          <w:b/>
        </w:rPr>
        <w:t>O</w:t>
      </w:r>
      <w:r w:rsidRPr="005E185E">
        <w:t>. The marginal product of labor is</w:t>
      </w:r>
      <w:r w:rsidRPr="005E185E">
        <w:rPr>
          <w:b/>
        </w:rPr>
        <w:t xml:space="preserve"> Y’</w:t>
      </w:r>
      <w:r w:rsidRPr="005E185E">
        <w:rPr>
          <w:b/>
          <w:vertAlign w:val="subscript"/>
        </w:rPr>
        <w:t>L’</w:t>
      </w:r>
      <w:r w:rsidRPr="005E185E">
        <w:t xml:space="preserve"> in the West Bank, and labor supply in the West Bank is read left-to-right from origin </w:t>
      </w:r>
      <w:r w:rsidRPr="005E185E">
        <w:rPr>
          <w:b/>
        </w:rPr>
        <w:t>O’.</w:t>
      </w:r>
      <w:r w:rsidRPr="005E185E">
        <w:t xml:space="preserve"> As labor moves from the West Bank to Israel the dotted vertical line shifts to the left. </w:t>
      </w:r>
    </w:p>
    <w:p w14:paraId="0951F34D" w14:textId="77777777" w:rsidR="00F14AB5" w:rsidRDefault="00F14AB5" w:rsidP="00F14AB5">
      <w:pPr>
        <w:ind w:firstLine="720"/>
      </w:pPr>
      <w:r>
        <w:t>This model requires a slightly different measure of TFP than is typically used. TFP is normally calculated as a residual and is tracked by observing the change in TFP over time. Since this study seeks to estimate the impact of integrating more WBPL into the Israeli labor force, Israel’s current TFP can be used as a normalized baseline for analysis.</w:t>
      </w:r>
    </w:p>
    <w:p w14:paraId="27EF8CB1" w14:textId="77777777" w:rsidR="00F14AB5" w:rsidRPr="00064C50" w:rsidRDefault="00F14AB5" w:rsidP="00F14AB5">
      <w:pPr>
        <w:ind w:firstLine="720"/>
      </w:pPr>
      <w:r>
        <w:t xml:space="preserve"> </w:t>
      </w:r>
      <w:r w:rsidRPr="009951FC">
        <w:t>Normalizing</w:t>
      </w:r>
      <w:r>
        <w:t xml:space="preserve"> TFP in Israel </w:t>
      </w:r>
      <w:r w:rsidRPr="009951FC">
        <w:t xml:space="preserve"> </w:t>
      </w:r>
      <w:r>
        <w:t>(</w:t>
      </w:r>
      <m:oMath>
        <m:bar>
          <m:barPr>
            <m:pos m:val="top"/>
            <m:ctrlPr>
              <w:rPr>
                <w:rFonts w:ascii="Cambria Math" w:hAnsi="Cambria Math"/>
                <w:b/>
                <w:i/>
              </w:rPr>
            </m:ctrlPr>
          </m:barPr>
          <m:e>
            <m:r>
              <m:rPr>
                <m:sty m:val="bi"/>
              </m:rPr>
              <w:rPr>
                <w:rFonts w:ascii="Cambria Math" w:hAnsi="Cambria Math"/>
              </w:rPr>
              <m:t>A</m:t>
            </m:r>
          </m:e>
        </m:bar>
        <m:r>
          <m:rPr>
            <m:sty m:val="bi"/>
          </m:rPr>
          <w:rPr>
            <w:rFonts w:ascii="Cambria Math" w:hAnsi="Cambria Math"/>
          </w:rPr>
          <m:t>≡1</m:t>
        </m:r>
      </m:oMath>
      <w:r>
        <w:rPr>
          <w:b/>
        </w:rPr>
        <w:t>)</w:t>
      </w:r>
      <w:r>
        <w:t xml:space="preserve"> makes the loss-per-period…</w:t>
      </w:r>
    </w:p>
    <w:p w14:paraId="2BF5333A" w14:textId="77777777" w:rsidR="00F14AB5" w:rsidRPr="005E185E" w:rsidRDefault="00F14AB5" w:rsidP="00F14AB5">
      <w:pPr>
        <w:widowControl w:val="0"/>
        <w:autoSpaceDE w:val="0"/>
        <w:autoSpaceDN w:val="0"/>
        <w:adjustRightInd w:val="0"/>
        <w:rPr>
          <w:b/>
          <w:i/>
          <w:sz w:val="28"/>
          <w:szCs w:val="28"/>
        </w:rPr>
      </w:pPr>
      <w:r w:rsidRPr="005E185E">
        <w:rPr>
          <w:b/>
          <w:i/>
          <w:sz w:val="28"/>
          <w:szCs w:val="28"/>
        </w:rPr>
        <w:t>Eq. (6)</w:t>
      </w:r>
    </w:p>
    <w:p w14:paraId="48EDE779" w14:textId="202997E5" w:rsidR="00F14AB5" w:rsidRDefault="00500133" w:rsidP="00707E1F">
      <w:pPr>
        <w:widowControl w:val="0"/>
        <w:autoSpaceDE w:val="0"/>
        <w:autoSpaceDN w:val="0"/>
        <w:adjustRightInd w:val="0"/>
        <w:spacing w:line="240" w:lineRule="auto"/>
        <w:jc w:val="center"/>
        <w:rPr>
          <w:sz w:val="28"/>
          <w:szCs w:val="20"/>
        </w:rPr>
      </w:pPr>
      <m:oMathPara>
        <m:oMath>
          <m:d>
            <m:dPr>
              <m:ctrlPr>
                <w:rPr>
                  <w:rFonts w:ascii="Cambria Math" w:hAnsi="Cambria Math"/>
                  <w:i/>
                  <w:sz w:val="28"/>
                  <w:szCs w:val="20"/>
                </w:rPr>
              </m:ctrlPr>
            </m:dPr>
            <m:e>
              <m:r>
                <w:rPr>
                  <w:rFonts w:ascii="Cambria Math" w:hAnsi="Cambria Math"/>
                  <w:sz w:val="28"/>
                  <w:szCs w:val="20"/>
                </w:rPr>
                <m:t>1-</m:t>
              </m:r>
              <m:acc>
                <m:accPr>
                  <m:chr m:val="̃"/>
                  <m:ctrlPr>
                    <w:rPr>
                      <w:rFonts w:ascii="Cambria Math" w:hAnsi="Cambria Math"/>
                      <w:i/>
                      <w:sz w:val="28"/>
                      <w:szCs w:val="20"/>
                    </w:rPr>
                  </m:ctrlPr>
                </m:accPr>
                <m:e>
                  <m:r>
                    <w:rPr>
                      <w:rFonts w:ascii="Cambria Math" w:hAnsi="Cambria Math"/>
                      <w:sz w:val="28"/>
                      <w:szCs w:val="20"/>
                    </w:rPr>
                    <m:t>A</m:t>
                  </m:r>
                </m:e>
              </m:acc>
            </m:e>
          </m:d>
          <m:r>
            <w:rPr>
              <w:rFonts w:ascii="Cambria Math" w:hAnsi="Cambria Math"/>
              <w:sz w:val="28"/>
              <w:szCs w:val="20"/>
            </w:rPr>
            <m:t>α</m:t>
          </m:r>
          <m:sSubSup>
            <m:sSubSupPr>
              <m:ctrlPr>
                <w:rPr>
                  <w:rFonts w:ascii="Cambria Math" w:hAnsi="Cambria Math"/>
                  <w:i/>
                  <w:sz w:val="28"/>
                  <w:szCs w:val="20"/>
                </w:rPr>
              </m:ctrlPr>
            </m:sSubSupPr>
            <m:e>
              <m:r>
                <w:rPr>
                  <w:rFonts w:ascii="Cambria Math" w:hAnsi="Cambria Math"/>
                  <w:sz w:val="28"/>
                  <w:szCs w:val="20"/>
                </w:rPr>
                <m:t>L</m:t>
              </m:r>
            </m:e>
            <m:sub>
              <m:r>
                <w:rPr>
                  <w:rFonts w:ascii="Cambria Math" w:hAnsi="Cambria Math"/>
                  <w:sz w:val="28"/>
                  <w:szCs w:val="20"/>
                </w:rPr>
                <m:t>t</m:t>
              </m:r>
            </m:sub>
            <m:sup>
              <m:r>
                <w:rPr>
                  <w:rFonts w:ascii="Cambria Math" w:hAnsi="Cambria Math"/>
                  <w:sz w:val="28"/>
                  <w:szCs w:val="20"/>
                </w:rPr>
                <m:t>α-1</m:t>
              </m:r>
            </m:sup>
          </m:sSubSup>
          <m:r>
            <w:rPr>
              <w:rFonts w:ascii="Cambria Math" w:hAnsi="Cambria Math"/>
              <w:sz w:val="28"/>
              <w:szCs w:val="20"/>
            </w:rPr>
            <m:t>∙</m:t>
          </m:r>
          <m:sSub>
            <m:sSubPr>
              <m:ctrlPr>
                <w:rPr>
                  <w:rFonts w:ascii="Cambria Math" w:hAnsi="Cambria Math"/>
                  <w:i/>
                  <w:sz w:val="28"/>
                  <w:szCs w:val="20"/>
                </w:rPr>
              </m:ctrlPr>
            </m:sSubPr>
            <m:e>
              <m:r>
                <w:rPr>
                  <w:rFonts w:ascii="Cambria Math" w:hAnsi="Cambria Math"/>
                  <w:sz w:val="28"/>
                  <w:szCs w:val="20"/>
                </w:rPr>
                <m:t>L</m:t>
              </m:r>
            </m:e>
            <m:sub>
              <m:r>
                <w:rPr>
                  <w:rFonts w:ascii="Cambria Math" w:hAnsi="Cambria Math"/>
                  <w:sz w:val="28"/>
                  <w:szCs w:val="20"/>
                </w:rPr>
                <m:t>t</m:t>
              </m:r>
            </m:sub>
          </m:sSub>
        </m:oMath>
      </m:oMathPara>
    </w:p>
    <w:p w14:paraId="395ABF2D" w14:textId="32E1A83D" w:rsidR="00707E1F" w:rsidRPr="00707E1F" w:rsidRDefault="00707E1F" w:rsidP="00707E1F">
      <w:pPr>
        <w:pStyle w:val="Caption"/>
        <w:keepNext/>
        <w:jc w:val="center"/>
        <w:rPr>
          <w:color w:val="auto"/>
          <w:sz w:val="24"/>
        </w:rPr>
      </w:pPr>
      <w:bookmarkStart w:id="63" w:name="_Toc324264458"/>
      <w:bookmarkStart w:id="64" w:name="_Toc324264705"/>
      <w:r w:rsidRPr="00707E1F">
        <w:rPr>
          <w:color w:val="auto"/>
          <w:sz w:val="24"/>
        </w:rPr>
        <w:lastRenderedPageBreak/>
        <w:t xml:space="preserve">Figure </w:t>
      </w:r>
      <w:r w:rsidRPr="00707E1F">
        <w:rPr>
          <w:color w:val="auto"/>
          <w:sz w:val="24"/>
        </w:rPr>
        <w:fldChar w:fldCharType="begin"/>
      </w:r>
      <w:r w:rsidRPr="00707E1F">
        <w:rPr>
          <w:color w:val="auto"/>
          <w:sz w:val="24"/>
        </w:rPr>
        <w:instrText xml:space="preserve"> SEQ Figure \* ARABIC </w:instrText>
      </w:r>
      <w:r w:rsidRPr="00707E1F">
        <w:rPr>
          <w:color w:val="auto"/>
          <w:sz w:val="24"/>
        </w:rPr>
        <w:fldChar w:fldCharType="separate"/>
      </w:r>
      <w:r w:rsidR="00500133">
        <w:rPr>
          <w:noProof/>
          <w:color w:val="auto"/>
          <w:sz w:val="24"/>
        </w:rPr>
        <w:t>9</w:t>
      </w:r>
      <w:r w:rsidRPr="00707E1F">
        <w:rPr>
          <w:color w:val="auto"/>
          <w:sz w:val="24"/>
        </w:rPr>
        <w:fldChar w:fldCharType="end"/>
      </w:r>
      <w:r w:rsidRPr="00707E1F">
        <w:rPr>
          <w:color w:val="auto"/>
          <w:sz w:val="24"/>
        </w:rPr>
        <w:t>: The Dynamic Gains and Losses in Production Resulting from Increasing the Number of WBPL Working in Israel</w:t>
      </w:r>
      <w:bookmarkEnd w:id="63"/>
      <w:bookmarkEnd w:id="64"/>
    </w:p>
    <w:p w14:paraId="107E86EC" w14:textId="7FF46548" w:rsidR="00F14AB5" w:rsidRPr="009F776A" w:rsidRDefault="00F14AB5" w:rsidP="00F02782">
      <w:pPr>
        <w:ind w:firstLine="720"/>
      </w:pPr>
      <w:r>
        <w:rPr>
          <w:noProof/>
        </w:rPr>
        <w:drawing>
          <wp:inline distT="0" distB="0" distL="0" distR="0" wp14:anchorId="0FFCB9CD" wp14:editId="466349C3">
            <wp:extent cx="4415127" cy="2642968"/>
            <wp:effectExtent l="0" t="0" r="508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6-03-26 at 5.50.20 PM.png"/>
                    <pic:cNvPicPr/>
                  </pic:nvPicPr>
                  <pic:blipFill rotWithShape="1">
                    <a:blip r:embed="rId26">
                      <a:extLst>
                        <a:ext uri="{28A0092B-C50C-407E-A947-70E740481C1C}">
                          <a14:useLocalDpi xmlns:a14="http://schemas.microsoft.com/office/drawing/2010/main" val="0"/>
                        </a:ext>
                      </a:extLst>
                    </a:blip>
                    <a:srcRect r="949" b="961"/>
                    <a:stretch/>
                  </pic:blipFill>
                  <pic:spPr bwMode="auto">
                    <a:xfrm>
                      <a:off x="0" y="0"/>
                      <a:ext cx="4415626" cy="2643267"/>
                    </a:xfrm>
                    <a:prstGeom prst="rect">
                      <a:avLst/>
                    </a:prstGeom>
                    <a:ln>
                      <a:noFill/>
                    </a:ln>
                    <a:extLst>
                      <a:ext uri="{53640926-AAD7-44d8-BBD7-CCE9431645EC}">
                        <a14:shadowObscured xmlns:a14="http://schemas.microsoft.com/office/drawing/2010/main"/>
                      </a:ext>
                    </a:extLst>
                  </pic:spPr>
                </pic:pic>
              </a:graphicData>
            </a:graphic>
          </wp:inline>
        </w:drawing>
      </w:r>
    </w:p>
    <w:p w14:paraId="610ACC40" w14:textId="77777777" w:rsidR="00F14AB5" w:rsidRPr="009951FC" w:rsidRDefault="00F14AB5" w:rsidP="00F14AB5">
      <w:pPr>
        <w:ind w:firstLine="720"/>
      </w:pPr>
      <w:r>
        <w:t>This is the red area in Figure 9</w:t>
      </w:r>
      <w:r w:rsidRPr="009951FC">
        <w:t xml:space="preserve">. The time to complete the transition towards </w:t>
      </w:r>
      <w:r>
        <w:t>pacification</w:t>
      </w:r>
      <w:r w:rsidRPr="009951FC">
        <w:t xml:space="preserve"> between Israelis and </w:t>
      </w:r>
      <w:r>
        <w:t>the WBPL commuting to Israel</w:t>
      </w:r>
      <w:r w:rsidRPr="009951FC">
        <w:t>, thereby equalizing the marginal produc</w:t>
      </w:r>
      <w:r>
        <w:t>t of labor, as shown in Figure 9</w:t>
      </w:r>
      <w:r w:rsidRPr="009951FC">
        <w:t xml:space="preserve">, is </w:t>
      </w:r>
      <w:r w:rsidRPr="009951FC">
        <w:rPr>
          <w:b/>
        </w:rPr>
        <w:t>T</w:t>
      </w:r>
      <w:r w:rsidRPr="009951FC">
        <w:t>. The dynamically efficient level of Israeli liberalization of Palestin</w:t>
      </w:r>
      <w:r>
        <w:t xml:space="preserve">ian labor mobility restrictions </w:t>
      </w:r>
      <w:r>
        <w:rPr>
          <w:b/>
          <w:i/>
        </w:rPr>
        <w:t>(</w:t>
      </w:r>
      <w:r w:rsidRPr="00C91FF2">
        <w:rPr>
          <w:b/>
          <w:i/>
        </w:rPr>
        <w:t>p</w:t>
      </w:r>
      <w:r>
        <w:rPr>
          <w:b/>
          <w:i/>
        </w:rPr>
        <w:t>*</w:t>
      </w:r>
      <w:r>
        <w:rPr>
          <w:i/>
        </w:rPr>
        <w:t>)</w:t>
      </w:r>
      <w:r w:rsidRPr="009951FC">
        <w:rPr>
          <w:i/>
        </w:rPr>
        <w:t xml:space="preserve"> </w:t>
      </w:r>
      <w:r w:rsidRPr="009951FC">
        <w:t>sets the present value benefits equal to the present value costs.</w:t>
      </w:r>
      <w:r>
        <w:t xml:space="preserve"> In other words, the dynamically efficient rate</w:t>
      </w:r>
      <w:r>
        <w:rPr>
          <w:i/>
        </w:rPr>
        <w:t xml:space="preserve"> </w:t>
      </w:r>
      <w:r>
        <w:t xml:space="preserve">is the point in time at which the negative economic effects of violence offset the positive economic effects of integrating more West Bank Palestinians into the Israeli labor force. Using equations </w:t>
      </w:r>
      <w:r w:rsidRPr="006761B8">
        <w:rPr>
          <w:b/>
        </w:rPr>
        <w:t>(4)</w:t>
      </w:r>
      <w:r>
        <w:t xml:space="preserve"> and </w:t>
      </w:r>
      <w:r w:rsidRPr="006761B8">
        <w:rPr>
          <w:b/>
        </w:rPr>
        <w:t>(6)</w:t>
      </w:r>
      <w:r>
        <w:t>, it is now possible to calculate the dynamically efficient rate as follows:</w:t>
      </w:r>
    </w:p>
    <w:p w14:paraId="764A8CC9" w14:textId="77777777" w:rsidR="00F14AB5" w:rsidRDefault="00F14AB5" w:rsidP="009F031A">
      <w:pPr>
        <w:spacing w:line="240" w:lineRule="auto"/>
        <w:rPr>
          <w:b/>
          <w:i/>
          <w:sz w:val="28"/>
          <w:szCs w:val="28"/>
        </w:rPr>
      </w:pPr>
      <w:r w:rsidRPr="005E185E">
        <w:rPr>
          <w:b/>
          <w:i/>
          <w:sz w:val="28"/>
          <w:szCs w:val="28"/>
        </w:rPr>
        <w:t>Eq. (7)</w:t>
      </w:r>
    </w:p>
    <w:p w14:paraId="2507FD8C" w14:textId="77777777" w:rsidR="00F14AB5" w:rsidRPr="001D28BD" w:rsidRDefault="00500133" w:rsidP="00F14AB5">
      <w:pPr>
        <w:rPr>
          <w:b/>
          <w:i/>
          <w:sz w:val="28"/>
          <w:szCs w:val="28"/>
        </w:rPr>
      </w:pPr>
      <m:oMathPara>
        <m:oMath>
          <m:nary>
            <m:naryPr>
              <m:limLoc m:val="subSup"/>
              <m:ctrlPr>
                <w:rPr>
                  <w:rFonts w:ascii="Cambria Math" w:hAnsi="Cambria Math"/>
                  <w:i/>
                  <w:sz w:val="28"/>
                  <w:szCs w:val="28"/>
                </w:rPr>
              </m:ctrlPr>
            </m:naryPr>
            <m:sub>
              <m:r>
                <w:rPr>
                  <w:rFonts w:ascii="Cambria Math" w:hAnsi="Cambria Math"/>
                  <w:sz w:val="28"/>
                  <w:szCs w:val="28"/>
                </w:rPr>
                <m:t>0</m:t>
              </m:r>
            </m:sub>
            <m:sup>
              <m:r>
                <w:rPr>
                  <w:rFonts w:ascii="Cambria Math" w:hAnsi="Cambria Math"/>
                  <w:sz w:val="28"/>
                  <w:szCs w:val="28"/>
                </w:rPr>
                <m:t>T</m:t>
              </m:r>
            </m:sup>
            <m:e>
              <m:nary>
                <m:naryPr>
                  <m:limLoc m:val="subSup"/>
                  <m:ctrlPr>
                    <w:rPr>
                      <w:rFonts w:ascii="Cambria Math" w:hAnsi="Cambria Math"/>
                      <w:i/>
                      <w:sz w:val="28"/>
                      <w:szCs w:val="28"/>
                    </w:rPr>
                  </m:ctrlPr>
                </m:naryPr>
                <m:sub>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0</m:t>
                      </m:r>
                    </m:sub>
                  </m:sSub>
                </m:sub>
                <m:sup>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0</m:t>
                      </m:r>
                    </m:sub>
                  </m:sSub>
                  <m:r>
                    <w:rPr>
                      <w:rFonts w:ascii="Cambria Math" w:hAnsi="Cambria Math"/>
                      <w:sz w:val="28"/>
                      <w:szCs w:val="28"/>
                    </w:rPr>
                    <m:t>(1+p</m:t>
                  </m:r>
                  <m:sSup>
                    <m:sSupPr>
                      <m:ctrlPr>
                        <w:rPr>
                          <w:rFonts w:ascii="Cambria Math" w:hAnsi="Cambria Math"/>
                          <w:i/>
                          <w:sz w:val="28"/>
                          <w:szCs w:val="28"/>
                        </w:rPr>
                      </m:ctrlPr>
                    </m:sSupPr>
                    <m:e>
                      <m:r>
                        <w:rPr>
                          <w:rFonts w:ascii="Cambria Math" w:hAnsi="Cambria Math"/>
                          <w:sz w:val="28"/>
                          <w:szCs w:val="28"/>
                        </w:rPr>
                        <m:t>)</m:t>
                      </m:r>
                    </m:e>
                    <m:sup>
                      <m:r>
                        <w:rPr>
                          <w:rFonts w:ascii="Cambria Math" w:hAnsi="Cambria Math"/>
                          <w:sz w:val="28"/>
                          <w:szCs w:val="28"/>
                        </w:rPr>
                        <m:t>t</m:t>
                      </m:r>
                    </m:sup>
                  </m:sSup>
                </m:sup>
                <m:e>
                  <m:r>
                    <w:rPr>
                      <w:rFonts w:ascii="Cambria Math" w:hAnsi="Cambria Math"/>
                      <w:sz w:val="28"/>
                      <w:szCs w:val="28"/>
                    </w:rPr>
                    <m:t>(</m:t>
                  </m:r>
                </m:e>
              </m:nary>
            </m:e>
          </m:nary>
          <m:r>
            <w:rPr>
              <w:rFonts w:ascii="Cambria Math" w:hAnsi="Cambria Math"/>
              <w:sz w:val="28"/>
              <w:szCs w:val="28"/>
            </w:rPr>
            <m:t>α</m:t>
          </m:r>
          <m:sSubSup>
            <m:sSubSupPr>
              <m:ctrlPr>
                <w:rPr>
                  <w:rFonts w:ascii="Cambria Math" w:hAnsi="Cambria Math"/>
                  <w:i/>
                  <w:sz w:val="28"/>
                  <w:szCs w:val="28"/>
                </w:rPr>
              </m:ctrlPr>
            </m:sSubSupPr>
            <m:e>
              <m:r>
                <w:rPr>
                  <w:rFonts w:ascii="Cambria Math" w:hAnsi="Cambria Math"/>
                  <w:sz w:val="28"/>
                  <w:szCs w:val="28"/>
                </w:rPr>
                <m:t>L</m:t>
              </m:r>
            </m:e>
            <m:sub>
              <m:r>
                <w:rPr>
                  <w:rFonts w:ascii="Cambria Math" w:hAnsi="Cambria Math"/>
                  <w:sz w:val="28"/>
                  <w:szCs w:val="28"/>
                </w:rPr>
                <m:t>t</m:t>
              </m:r>
            </m:sub>
            <m:sup>
              <m:r>
                <w:rPr>
                  <w:rFonts w:ascii="Cambria Math" w:hAnsi="Cambria Math"/>
                  <w:sz w:val="28"/>
                  <w:szCs w:val="28"/>
                </w:rPr>
                <m:t>α-1</m:t>
              </m:r>
            </m:sup>
          </m:sSubSup>
          <m:r>
            <w:rPr>
              <w:rFonts w:ascii="Cambria Math" w:hAnsi="Cambria Math"/>
              <w:sz w:val="28"/>
              <w:szCs w:val="28"/>
            </w:rPr>
            <m:t>-</m:t>
          </m:r>
          <m:bar>
            <m:barPr>
              <m:ctrlPr>
                <w:rPr>
                  <w:rFonts w:ascii="Cambria Math" w:hAnsi="Cambria Math"/>
                  <w:i/>
                  <w:sz w:val="28"/>
                  <w:szCs w:val="28"/>
                </w:rPr>
              </m:ctrlPr>
            </m:barPr>
            <m:e>
              <m:r>
                <w:rPr>
                  <w:rFonts w:ascii="Cambria Math" w:hAnsi="Cambria Math"/>
                  <w:sz w:val="28"/>
                  <w:szCs w:val="28"/>
                </w:rPr>
                <m:t>A</m:t>
              </m:r>
            </m:e>
          </m:bar>
          <m:r>
            <w:rPr>
              <w:rFonts w:ascii="Cambria Math" w:hAnsi="Cambria Math"/>
              <w:sz w:val="28"/>
              <w:szCs w:val="28"/>
            </w:rPr>
            <m:t>α</m:t>
          </m:r>
          <m:d>
            <m:dPr>
              <m:ctrlPr>
                <w:rPr>
                  <w:rFonts w:ascii="Cambria Math" w:hAnsi="Cambria Math"/>
                  <w:i/>
                  <w:sz w:val="28"/>
                  <w:szCs w:val="28"/>
                </w:rPr>
              </m:ctrlPr>
            </m:dPr>
            <m:e>
              <m:bar>
                <m:barPr>
                  <m:pos m:val="top"/>
                  <m:ctrlPr>
                    <w:rPr>
                      <w:rFonts w:ascii="Cambria Math" w:hAnsi="Cambria Math"/>
                      <w:i/>
                      <w:sz w:val="28"/>
                      <w:szCs w:val="28"/>
                    </w:rPr>
                  </m:ctrlPr>
                </m:barPr>
                <m:e>
                  <m:r>
                    <w:rPr>
                      <w:rFonts w:ascii="Cambria Math" w:hAnsi="Cambria Math"/>
                      <w:sz w:val="28"/>
                      <w:szCs w:val="28"/>
                    </w:rPr>
                    <m:t>L</m:t>
                  </m:r>
                </m:e>
              </m:bar>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t</m:t>
                  </m:r>
                </m:sub>
              </m:sSub>
              <m:sSup>
                <m:sSupPr>
                  <m:ctrlPr>
                    <w:rPr>
                      <w:rFonts w:ascii="Cambria Math" w:hAnsi="Cambria Math"/>
                      <w:i/>
                      <w:sz w:val="28"/>
                      <w:szCs w:val="28"/>
                    </w:rPr>
                  </m:ctrlPr>
                </m:sSupPr>
                <m:e>
                  <m:r>
                    <w:rPr>
                      <w:rFonts w:ascii="Cambria Math" w:hAnsi="Cambria Math"/>
                      <w:sz w:val="28"/>
                      <w:szCs w:val="28"/>
                    </w:rPr>
                    <m:t>)</m:t>
                  </m:r>
                </m:e>
                <m:sup>
                  <m:r>
                    <w:rPr>
                      <w:rFonts w:ascii="Cambria Math" w:hAnsi="Cambria Math"/>
                      <w:sz w:val="28"/>
                      <w:szCs w:val="28"/>
                    </w:rPr>
                    <m:t>α-1</m:t>
                  </m:r>
                </m:sup>
              </m:sSup>
            </m:e>
          </m:d>
          <m:r>
            <w:rPr>
              <w:rFonts w:ascii="Cambria Math" w:hAnsi="Cambria Math"/>
              <w:sz w:val="28"/>
              <w:szCs w:val="28"/>
            </w:rPr>
            <m:t>d</m:t>
          </m:r>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t</m:t>
              </m:r>
            </m:sub>
          </m:sSub>
          <m:sSup>
            <m:sSupPr>
              <m:ctrlPr>
                <w:rPr>
                  <w:rFonts w:ascii="Cambria Math" w:hAnsi="Cambria Math"/>
                  <w:i/>
                  <w:sz w:val="28"/>
                  <w:szCs w:val="28"/>
                </w:rPr>
              </m:ctrlPr>
            </m:sSupPr>
            <m:e>
              <m:r>
                <w:rPr>
                  <w:rFonts w:ascii="Cambria Math" w:hAnsi="Cambria Math"/>
                  <w:sz w:val="28"/>
                  <w:szCs w:val="28"/>
                </w:rPr>
                <m:t>e</m:t>
              </m:r>
            </m:e>
            <m:sup>
              <m:r>
                <w:rPr>
                  <w:rFonts w:ascii="Cambria Math" w:hAnsi="Cambria Math"/>
                  <w:sz w:val="28"/>
                  <w:szCs w:val="28"/>
                </w:rPr>
                <m:t>-ρt</m:t>
              </m:r>
            </m:sup>
          </m:sSup>
          <m:r>
            <w:rPr>
              <w:rFonts w:ascii="Cambria Math" w:hAnsi="Cambria Math"/>
              <w:sz w:val="28"/>
              <w:szCs w:val="28"/>
            </w:rPr>
            <m:t>dt=</m:t>
          </m:r>
          <m:nary>
            <m:naryPr>
              <m:limLoc m:val="subSup"/>
              <m:ctrlPr>
                <w:rPr>
                  <w:rFonts w:ascii="Cambria Math" w:hAnsi="Cambria Math"/>
                  <w:i/>
                  <w:sz w:val="28"/>
                  <w:szCs w:val="28"/>
                </w:rPr>
              </m:ctrlPr>
            </m:naryPr>
            <m:sub>
              <m:r>
                <w:rPr>
                  <w:rFonts w:ascii="Cambria Math" w:hAnsi="Cambria Math"/>
                  <w:sz w:val="28"/>
                  <w:szCs w:val="28"/>
                </w:rPr>
                <m:t>0</m:t>
              </m:r>
            </m:sub>
            <m:sup>
              <m:r>
                <w:rPr>
                  <w:rFonts w:ascii="Cambria Math" w:hAnsi="Cambria Math"/>
                  <w:sz w:val="28"/>
                  <w:szCs w:val="28"/>
                </w:rPr>
                <m:t>T</m:t>
              </m:r>
            </m:sup>
            <m:e>
              <m:r>
                <w:rPr>
                  <w:rFonts w:ascii="Cambria Math" w:hAnsi="Cambria Math"/>
                  <w:sz w:val="28"/>
                  <w:szCs w:val="28"/>
                </w:rPr>
                <m:t>(1</m:t>
              </m:r>
            </m:e>
          </m:nary>
          <m:r>
            <w:rPr>
              <w:rFonts w:ascii="Cambria Math" w:hAnsi="Cambria Math"/>
              <w:sz w:val="28"/>
              <w:szCs w:val="28"/>
            </w:rPr>
            <m:t>-</m:t>
          </m:r>
          <m:acc>
            <m:accPr>
              <m:chr m:val="̃"/>
              <m:ctrlPr>
                <w:rPr>
                  <w:rFonts w:ascii="Cambria Math" w:hAnsi="Cambria Math"/>
                  <w:i/>
                  <w:sz w:val="28"/>
                  <w:szCs w:val="28"/>
                </w:rPr>
              </m:ctrlPr>
            </m:accPr>
            <m:e>
              <m:r>
                <w:rPr>
                  <w:rFonts w:ascii="Cambria Math" w:hAnsi="Cambria Math"/>
                  <w:sz w:val="28"/>
                  <w:szCs w:val="28"/>
                </w:rPr>
                <m:t>A</m:t>
              </m:r>
            </m:e>
          </m:acc>
          <m:r>
            <w:rPr>
              <w:rFonts w:ascii="Cambria Math" w:hAnsi="Cambria Math"/>
              <w:sz w:val="28"/>
              <w:szCs w:val="28"/>
            </w:rPr>
            <m:t>)α</m:t>
          </m:r>
          <m:sSubSup>
            <m:sSubSupPr>
              <m:ctrlPr>
                <w:rPr>
                  <w:rFonts w:ascii="Cambria Math" w:hAnsi="Cambria Math"/>
                  <w:i/>
                  <w:sz w:val="28"/>
                  <w:szCs w:val="28"/>
                </w:rPr>
              </m:ctrlPr>
            </m:sSubSupPr>
            <m:e>
              <m:r>
                <w:rPr>
                  <w:rFonts w:ascii="Cambria Math" w:hAnsi="Cambria Math"/>
                  <w:sz w:val="28"/>
                  <w:szCs w:val="28"/>
                </w:rPr>
                <m:t>L</m:t>
              </m:r>
            </m:e>
            <m:sub>
              <m:r>
                <w:rPr>
                  <w:rFonts w:ascii="Cambria Math" w:hAnsi="Cambria Math"/>
                  <w:sz w:val="28"/>
                  <w:szCs w:val="28"/>
                </w:rPr>
                <m:t>t</m:t>
              </m:r>
            </m:sub>
            <m:sup>
              <m:r>
                <w:rPr>
                  <w:rFonts w:ascii="Cambria Math" w:hAnsi="Cambria Math"/>
                  <w:sz w:val="28"/>
                  <w:szCs w:val="28"/>
                </w:rPr>
                <m:t>α-1</m:t>
              </m:r>
            </m:sup>
          </m:sSub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t</m:t>
              </m:r>
            </m:sub>
          </m:sSub>
          <m:sSup>
            <m:sSupPr>
              <m:ctrlPr>
                <w:rPr>
                  <w:rFonts w:ascii="Cambria Math" w:hAnsi="Cambria Math"/>
                  <w:i/>
                  <w:sz w:val="28"/>
                  <w:szCs w:val="28"/>
                </w:rPr>
              </m:ctrlPr>
            </m:sSupPr>
            <m:e>
              <m:r>
                <w:rPr>
                  <w:rFonts w:ascii="Cambria Math" w:hAnsi="Cambria Math"/>
                  <w:sz w:val="28"/>
                  <w:szCs w:val="28"/>
                </w:rPr>
                <m:t>e</m:t>
              </m:r>
            </m:e>
            <m:sup>
              <m:r>
                <w:rPr>
                  <w:rFonts w:ascii="Cambria Math" w:hAnsi="Cambria Math"/>
                  <w:sz w:val="28"/>
                  <w:szCs w:val="28"/>
                </w:rPr>
                <m:t>-ρt</m:t>
              </m:r>
            </m:sup>
          </m:sSup>
          <m:r>
            <w:rPr>
              <w:rFonts w:ascii="Cambria Math" w:hAnsi="Cambria Math"/>
              <w:sz w:val="28"/>
              <w:szCs w:val="28"/>
            </w:rPr>
            <m:t>dt</m:t>
          </m:r>
        </m:oMath>
      </m:oMathPara>
    </w:p>
    <w:p w14:paraId="3E96A785" w14:textId="6A295340" w:rsidR="00F14AB5" w:rsidRPr="009951FC" w:rsidRDefault="00F14AB5" w:rsidP="00F14AB5">
      <w:pPr>
        <w:ind w:firstLine="720"/>
      </w:pPr>
      <w:r>
        <w:lastRenderedPageBreak/>
        <w:t xml:space="preserve">Fortunately, this unwieldy equation can be simplified </w:t>
      </w:r>
      <w:r w:rsidRPr="009951FC">
        <w:t xml:space="preserve">utilizing the </w:t>
      </w:r>
      <w:r>
        <w:t>Taylor-A</w:t>
      </w:r>
      <w:r w:rsidRPr="009951FC">
        <w:t>pproximation in equation</w:t>
      </w:r>
      <w:r w:rsidRPr="00A75D39">
        <w:rPr>
          <w:b/>
        </w:rPr>
        <w:t xml:space="preserve"> </w:t>
      </w:r>
      <w:r w:rsidRPr="00456A36">
        <w:rPr>
          <w:b/>
        </w:rPr>
        <w:t>(5)</w:t>
      </w:r>
      <w:r w:rsidRPr="009951FC">
        <w:t xml:space="preserve"> and </w:t>
      </w:r>
      <w:r>
        <w:t xml:space="preserve">over a sufficiently long transition time </w:t>
      </w:r>
      <w:r w:rsidRPr="00EC66D3">
        <w:rPr>
          <w:b/>
        </w:rPr>
        <w:t>(T)</w:t>
      </w:r>
      <w:r>
        <w:t xml:space="preserve">, </w:t>
      </w:r>
      <w:r w:rsidRPr="009951FC">
        <w:t>to the condition</w:t>
      </w:r>
      <w:r>
        <w:t>:</w:t>
      </w:r>
      <w:r w:rsidRPr="009951FC">
        <w:t xml:space="preserve"> </w:t>
      </w:r>
      <m:oMath>
        <m:r>
          <m:rPr>
            <m:sty m:val="b"/>
          </m:rPr>
          <w:rPr>
            <w:rFonts w:ascii="Cambria Math" w:hAnsi="Cambria Math"/>
          </w:rPr>
          <m:t>m∙</m:t>
        </m:r>
        <m:d>
          <m:dPr>
            <m:ctrlPr>
              <w:rPr>
                <w:rFonts w:ascii="Cambria Math" w:hAnsi="Cambria Math"/>
                <w:b/>
              </w:rPr>
            </m:ctrlPr>
          </m:dPr>
          <m:e>
            <m:f>
              <m:fPr>
                <m:ctrlPr>
                  <w:rPr>
                    <w:rFonts w:ascii="Cambria Math" w:hAnsi="Cambria Math"/>
                    <w:b/>
                  </w:rPr>
                </m:ctrlPr>
              </m:fPr>
              <m:num>
                <m:r>
                  <m:rPr>
                    <m:sty m:val="b"/>
                  </m:rPr>
                  <w:rPr>
                    <w:rFonts w:ascii="Cambria Math" w:hAnsi="Cambria Math"/>
                    <w:sz w:val="28"/>
                  </w:rPr>
                  <m:t>α</m:t>
                </m:r>
                <m:sSubSup>
                  <m:sSubSupPr>
                    <m:ctrlPr>
                      <w:rPr>
                        <w:rFonts w:ascii="Cambria Math" w:hAnsi="Cambria Math"/>
                        <w:b/>
                      </w:rPr>
                    </m:ctrlPr>
                  </m:sSubSupPr>
                  <m:e>
                    <m:r>
                      <m:rPr>
                        <m:sty m:val="b"/>
                      </m:rPr>
                      <w:rPr>
                        <w:rFonts w:ascii="Cambria Math" w:hAnsi="Cambria Math"/>
                      </w:rPr>
                      <m:t>L</m:t>
                    </m:r>
                  </m:e>
                  <m:sub>
                    <m:r>
                      <m:rPr>
                        <m:sty m:val="b"/>
                      </m:rPr>
                      <w:rPr>
                        <w:rFonts w:ascii="Cambria Math" w:hAnsi="Cambria Math"/>
                      </w:rPr>
                      <m:t>0</m:t>
                    </m:r>
                  </m:sub>
                  <m:sup>
                    <m:r>
                      <m:rPr>
                        <m:sty m:val="b"/>
                      </m:rPr>
                      <w:rPr>
                        <w:rFonts w:ascii="Cambria Math" w:hAnsi="Cambria Math"/>
                        <w:sz w:val="28"/>
                      </w:rPr>
                      <m:t>α</m:t>
                    </m:r>
                  </m:sup>
                </m:sSubSup>
              </m:num>
              <m:den>
                <m:sSup>
                  <m:sSupPr>
                    <m:ctrlPr>
                      <w:rPr>
                        <w:rFonts w:ascii="Cambria Math" w:hAnsi="Cambria Math"/>
                        <w:b/>
                      </w:rPr>
                    </m:ctrlPr>
                  </m:sSupPr>
                  <m:e>
                    <m:r>
                      <m:rPr>
                        <m:sty m:val="b"/>
                      </m:rPr>
                      <w:rPr>
                        <w:rFonts w:ascii="Cambria Math" w:hAnsi="Cambria Math"/>
                      </w:rPr>
                      <m:t>ρ</m:t>
                    </m:r>
                  </m:e>
                  <m:sup>
                    <m:r>
                      <m:rPr>
                        <m:sty m:val="b"/>
                      </m:rPr>
                      <w:rPr>
                        <w:rFonts w:ascii="Cambria Math" w:hAnsi="Cambria Math"/>
                      </w:rPr>
                      <m:t>2</m:t>
                    </m:r>
                  </m:sup>
                </m:sSup>
              </m:den>
            </m:f>
          </m:e>
        </m:d>
        <m:d>
          <m:dPr>
            <m:ctrlPr>
              <w:rPr>
                <w:rFonts w:ascii="Cambria Math" w:hAnsi="Cambria Math"/>
                <w:b/>
              </w:rPr>
            </m:ctrlPr>
          </m:dPr>
          <m:e>
            <m:r>
              <m:rPr>
                <m:sty m:val="b"/>
              </m:rPr>
              <w:rPr>
                <w:rFonts w:ascii="Cambria Math" w:hAnsi="Cambria Math"/>
              </w:rPr>
              <m:t>1-</m:t>
            </m:r>
            <m:sSup>
              <m:sSupPr>
                <m:ctrlPr>
                  <w:rPr>
                    <w:rFonts w:ascii="Cambria Math" w:hAnsi="Cambria Math"/>
                    <w:b/>
                  </w:rPr>
                </m:ctrlPr>
              </m:sSupPr>
              <m:e>
                <m:r>
                  <m:rPr>
                    <m:sty m:val="b"/>
                  </m:rPr>
                  <w:rPr>
                    <w:rFonts w:ascii="Cambria Math" w:hAnsi="Cambria Math"/>
                  </w:rPr>
                  <m:t>β</m:t>
                </m:r>
              </m:e>
              <m:sup>
                <m:r>
                  <m:rPr>
                    <m:sty m:val="b"/>
                  </m:rPr>
                  <w:rPr>
                    <w:rFonts w:ascii="Cambria Math" w:hAnsi="Cambria Math"/>
                    <w:sz w:val="28"/>
                  </w:rPr>
                  <m:t>α</m:t>
                </m:r>
                <m:r>
                  <m:rPr>
                    <m:sty m:val="b"/>
                  </m:rPr>
                  <w:rPr>
                    <w:rFonts w:ascii="Cambria Math" w:hAnsi="Cambria Math"/>
                  </w:rPr>
                  <m:t>-1</m:t>
                </m:r>
              </m:sup>
            </m:sSup>
            <m:bar>
              <m:barPr>
                <m:ctrlPr>
                  <w:rPr>
                    <w:rFonts w:ascii="Cambria Math" w:hAnsi="Cambria Math"/>
                    <w:b/>
                  </w:rPr>
                </m:ctrlPr>
              </m:barPr>
              <m:e>
                <m:r>
                  <m:rPr>
                    <m:sty m:val="b"/>
                  </m:rPr>
                  <w:rPr>
                    <w:rFonts w:ascii="Cambria Math" w:hAnsi="Cambria Math"/>
                  </w:rPr>
                  <m:t>A</m:t>
                </m:r>
              </m:e>
            </m:bar>
          </m:e>
        </m:d>
        <m:r>
          <m:rPr>
            <m:sty m:val="b"/>
          </m:rPr>
          <w:rPr>
            <w:rFonts w:ascii="Cambria Math" w:hAnsi="Cambria Math"/>
          </w:rPr>
          <m:t>=(</m:t>
        </m:r>
        <m:f>
          <m:fPr>
            <m:ctrlPr>
              <w:rPr>
                <w:rFonts w:ascii="Cambria Math" w:hAnsi="Cambria Math"/>
                <w:b/>
              </w:rPr>
            </m:ctrlPr>
          </m:fPr>
          <m:num>
            <m:r>
              <m:rPr>
                <m:sty m:val="b"/>
              </m:rPr>
              <w:rPr>
                <w:rFonts w:ascii="Cambria Math" w:hAnsi="Cambria Math"/>
                <w:sz w:val="28"/>
              </w:rPr>
              <m:t>α</m:t>
            </m:r>
            <m:sSubSup>
              <m:sSubSupPr>
                <m:ctrlPr>
                  <w:rPr>
                    <w:rFonts w:ascii="Cambria Math" w:hAnsi="Cambria Math"/>
                    <w:b/>
                  </w:rPr>
                </m:ctrlPr>
              </m:sSubSupPr>
              <m:e>
                <m:r>
                  <m:rPr>
                    <m:sty m:val="b"/>
                  </m:rPr>
                  <w:rPr>
                    <w:rFonts w:ascii="Cambria Math" w:hAnsi="Cambria Math"/>
                  </w:rPr>
                  <m:t>L</m:t>
                </m:r>
              </m:e>
              <m:sub>
                <m:r>
                  <m:rPr>
                    <m:sty m:val="b"/>
                  </m:rPr>
                  <w:rPr>
                    <w:rFonts w:ascii="Cambria Math" w:hAnsi="Cambria Math"/>
                  </w:rPr>
                  <m:t>0</m:t>
                </m:r>
              </m:sub>
              <m:sup>
                <m:r>
                  <m:rPr>
                    <m:sty m:val="b"/>
                  </m:rPr>
                  <w:rPr>
                    <w:rFonts w:ascii="Cambria Math" w:hAnsi="Cambria Math"/>
                    <w:sz w:val="28"/>
                  </w:rPr>
                  <m:t>α</m:t>
                </m:r>
              </m:sup>
            </m:sSubSup>
          </m:num>
          <m:den>
            <m:r>
              <m:rPr>
                <m:sty m:val="b"/>
              </m:rPr>
              <w:rPr>
                <w:rFonts w:ascii="Cambria Math" w:hAnsi="Cambria Math"/>
              </w:rPr>
              <m:t>ρ</m:t>
            </m:r>
          </m:den>
        </m:f>
        <m:r>
          <m:rPr>
            <m:sty m:val="b"/>
          </m:rPr>
          <w:rPr>
            <w:rFonts w:ascii="Cambria Math" w:hAnsi="Cambria Math"/>
          </w:rPr>
          <m:t>)(1-</m:t>
        </m:r>
        <m:acc>
          <m:accPr>
            <m:chr m:val="̃"/>
            <m:ctrlPr>
              <w:rPr>
                <w:rFonts w:ascii="Cambria Math" w:hAnsi="Cambria Math"/>
                <w:b/>
              </w:rPr>
            </m:ctrlPr>
          </m:accPr>
          <m:e>
            <m:r>
              <m:rPr>
                <m:sty m:val="b"/>
              </m:rPr>
              <w:rPr>
                <w:rFonts w:ascii="Cambria Math" w:hAnsi="Cambria Math"/>
              </w:rPr>
              <m:t>A)</m:t>
            </m:r>
          </m:e>
        </m:acc>
        <m:r>
          <m:rPr>
            <m:sty m:val="b"/>
          </m:rPr>
          <w:rPr>
            <w:rFonts w:ascii="Cambria Math" w:hAnsi="Cambria Math"/>
          </w:rPr>
          <m:t>(</m:t>
        </m:r>
        <m:f>
          <m:fPr>
            <m:ctrlPr>
              <w:rPr>
                <w:rFonts w:ascii="Cambria Math" w:hAnsi="Cambria Math"/>
                <w:b/>
              </w:rPr>
            </m:ctrlPr>
          </m:fPr>
          <m:num>
            <m:r>
              <m:rPr>
                <m:sty m:val="b"/>
              </m:rPr>
              <w:rPr>
                <w:rFonts w:ascii="Cambria Math" w:hAnsi="Cambria Math"/>
              </w:rPr>
              <m:t>1+</m:t>
            </m:r>
            <m:r>
              <m:rPr>
                <m:sty m:val="b"/>
              </m:rPr>
              <w:rPr>
                <w:rFonts w:ascii="Cambria Math" w:hAnsi="Cambria Math"/>
                <w:sz w:val="28"/>
              </w:rPr>
              <m:t>α</m:t>
            </m:r>
            <m:r>
              <m:rPr>
                <m:sty m:val="b"/>
              </m:rPr>
              <w:rPr>
                <w:rFonts w:ascii="Cambria Math" w:hAnsi="Cambria Math"/>
              </w:rPr>
              <m:t>p</m:t>
            </m:r>
          </m:num>
          <m:den>
            <m:r>
              <m:rPr>
                <m:sty m:val="b"/>
              </m:rPr>
              <w:rPr>
                <w:rFonts w:ascii="Cambria Math" w:hAnsi="Cambria Math"/>
              </w:rPr>
              <m:t>ρ</m:t>
            </m:r>
          </m:den>
        </m:f>
      </m:oMath>
      <w:r w:rsidRPr="005E185E">
        <w:rPr>
          <w:b/>
        </w:rPr>
        <w:t>)</w:t>
      </w:r>
      <w:r w:rsidRPr="009951FC">
        <w:rPr>
          <w:b/>
        </w:rPr>
        <w:t>.</w:t>
      </w:r>
      <w:r>
        <w:t xml:space="preserve"> Using this approximation and equations</w:t>
      </w:r>
      <w:r w:rsidRPr="009951FC">
        <w:t xml:space="preserve"> </w:t>
      </w:r>
      <w:r w:rsidRPr="00A75D39">
        <w:rPr>
          <w:b/>
        </w:rPr>
        <w:t>(2)</w:t>
      </w:r>
      <w:r w:rsidRPr="009951FC">
        <w:t xml:space="preserve"> and </w:t>
      </w:r>
      <w:r w:rsidRPr="00A75D39">
        <w:rPr>
          <w:b/>
        </w:rPr>
        <w:t xml:space="preserve">(3), </w:t>
      </w:r>
      <w:r w:rsidRPr="009951FC">
        <w:t>the first-order approximation of the dynamic</w:t>
      </w:r>
      <w:r w:rsidR="002E23AF">
        <w:t>ally efficient level of Israeli-</w:t>
      </w:r>
      <w:r w:rsidRPr="009951FC">
        <w:t xml:space="preserve">Palestinian labor </w:t>
      </w:r>
      <w:r w:rsidR="002E23AF">
        <w:t>integration</w:t>
      </w:r>
      <w:r w:rsidRPr="009951FC">
        <w:t xml:space="preserve"> is…</w:t>
      </w:r>
    </w:p>
    <w:p w14:paraId="34A573FB" w14:textId="77777777" w:rsidR="00F14AB5" w:rsidRPr="005E185E" w:rsidRDefault="00F14AB5" w:rsidP="009F031A">
      <w:pPr>
        <w:spacing w:line="240" w:lineRule="auto"/>
        <w:rPr>
          <w:b/>
          <w:i/>
          <w:sz w:val="28"/>
          <w:szCs w:val="28"/>
        </w:rPr>
      </w:pPr>
      <w:r w:rsidRPr="005E185E">
        <w:rPr>
          <w:b/>
          <w:i/>
          <w:sz w:val="28"/>
          <w:szCs w:val="28"/>
        </w:rPr>
        <w:t>Eq. (8)</w:t>
      </w:r>
    </w:p>
    <w:p w14:paraId="4A5F35C8" w14:textId="77777777" w:rsidR="00F14AB5" w:rsidRPr="005947C0" w:rsidRDefault="00500133" w:rsidP="00F14AB5">
      <w:pPr>
        <w:rPr>
          <w:sz w:val="28"/>
        </w:rPr>
      </w:pPr>
      <m:oMathPara>
        <m:oMath>
          <m:sSup>
            <m:sSupPr>
              <m:ctrlPr>
                <w:rPr>
                  <w:rFonts w:ascii="Cambria Math" w:hAnsi="Cambria Math"/>
                  <w:i/>
                  <w:sz w:val="28"/>
                </w:rPr>
              </m:ctrlPr>
            </m:sSupPr>
            <m:e>
              <m:r>
                <w:rPr>
                  <w:rFonts w:ascii="Cambria Math" w:hAnsi="Cambria Math"/>
                  <w:sz w:val="28"/>
                </w:rPr>
                <m:t>p</m:t>
              </m:r>
            </m:e>
            <m:sup>
              <m:r>
                <w:rPr>
                  <w:rFonts w:ascii="Cambria Math" w:hAnsi="Cambria Math"/>
                  <w:sz w:val="28"/>
                </w:rPr>
                <m:t>*</m:t>
              </m:r>
            </m:sup>
          </m:sSup>
          <m:r>
            <w:rPr>
              <w:rFonts w:ascii="Cambria Math" w:hAnsi="Cambria Math"/>
              <w:sz w:val="28"/>
            </w:rPr>
            <m:t>=</m:t>
          </m:r>
          <m:f>
            <m:fPr>
              <m:ctrlPr>
                <w:rPr>
                  <w:rFonts w:ascii="Cambria Math" w:hAnsi="Cambria Math"/>
                  <w:i/>
                  <w:sz w:val="28"/>
                </w:rPr>
              </m:ctrlPr>
            </m:fPr>
            <m:num>
              <m:r>
                <w:rPr>
                  <w:rFonts w:ascii="Cambria Math" w:hAnsi="Cambria Math"/>
                  <w:sz w:val="28"/>
                </w:rPr>
                <m:t>n-ρv</m:t>
              </m:r>
              <m:acc>
                <m:accPr>
                  <m:chr m:val="̃"/>
                  <m:ctrlPr>
                    <w:rPr>
                      <w:rFonts w:ascii="Cambria Math" w:hAnsi="Cambria Math"/>
                      <w:i/>
                      <w:sz w:val="28"/>
                    </w:rPr>
                  </m:ctrlPr>
                </m:accPr>
                <m:e>
                  <m:r>
                    <w:rPr>
                      <w:rFonts w:ascii="Cambria Math" w:hAnsi="Cambria Math"/>
                      <w:sz w:val="28"/>
                    </w:rPr>
                    <m:t>γ</m:t>
                  </m:r>
                </m:e>
              </m:acc>
            </m:num>
            <m:den>
              <m:r>
                <w:rPr>
                  <w:rFonts w:ascii="Cambria Math" w:hAnsi="Cambria Math"/>
                  <w:sz w:val="28"/>
                </w:rPr>
                <m:t>αv</m:t>
              </m:r>
              <m:acc>
                <m:accPr>
                  <m:chr m:val="̃"/>
                  <m:ctrlPr>
                    <w:rPr>
                      <w:rFonts w:ascii="Cambria Math" w:hAnsi="Cambria Math"/>
                      <w:i/>
                      <w:sz w:val="28"/>
                    </w:rPr>
                  </m:ctrlPr>
                </m:accPr>
                <m:e>
                  <m:r>
                    <w:rPr>
                      <w:rFonts w:ascii="Cambria Math" w:hAnsi="Cambria Math"/>
                      <w:sz w:val="28"/>
                    </w:rPr>
                    <m:t>γ</m:t>
                  </m:r>
                </m:e>
              </m:acc>
              <m:r>
                <w:rPr>
                  <w:rFonts w:ascii="Cambria Math" w:hAnsi="Cambria Math"/>
                  <w:sz w:val="28"/>
                </w:rPr>
                <m:t>+r</m:t>
              </m:r>
            </m:den>
          </m:f>
        </m:oMath>
      </m:oMathPara>
    </w:p>
    <w:p w14:paraId="419F0C14" w14:textId="6C184C1B" w:rsidR="00F14AB5" w:rsidRPr="000F2402" w:rsidRDefault="00F14AB5" w:rsidP="00F14AB5">
      <w:pPr>
        <w:rPr>
          <w:szCs w:val="28"/>
        </w:rPr>
      </w:pPr>
      <w:r w:rsidRPr="009951FC">
        <w:t xml:space="preserve">where </w:t>
      </w:r>
      <m:oMath>
        <m:acc>
          <m:accPr>
            <m:chr m:val="̃"/>
            <m:ctrlPr>
              <w:rPr>
                <w:rFonts w:ascii="Cambria Math" w:hAnsi="Cambria Math"/>
                <w:b/>
                <w:i/>
              </w:rPr>
            </m:ctrlPr>
          </m:accPr>
          <m:e>
            <m:r>
              <m:rPr>
                <m:sty m:val="bi"/>
              </m:rPr>
              <w:rPr>
                <w:rFonts w:ascii="Cambria Math" w:hAnsi="Cambria Math"/>
              </w:rPr>
              <m:t>γ</m:t>
            </m:r>
          </m:e>
        </m:acc>
        <m:r>
          <m:rPr>
            <m:sty m:val="bi"/>
          </m:rPr>
          <w:rPr>
            <w:rFonts w:ascii="Cambria Math" w:hAnsi="Cambria Math"/>
          </w:rPr>
          <m:t>=</m:t>
        </m:r>
        <m:f>
          <m:fPr>
            <m:ctrlPr>
              <w:rPr>
                <w:rFonts w:ascii="Cambria Math" w:hAnsi="Cambria Math"/>
                <w:b/>
                <w:i/>
              </w:rPr>
            </m:ctrlPr>
          </m:fPr>
          <m:num>
            <m:r>
              <m:rPr>
                <m:sty m:val="bi"/>
              </m:rPr>
              <w:rPr>
                <w:rFonts w:ascii="Cambria Math" w:hAnsi="Cambria Math"/>
              </w:rPr>
              <m:t>1-</m:t>
            </m:r>
            <m:bar>
              <m:barPr>
                <m:ctrlPr>
                  <w:rPr>
                    <w:rFonts w:ascii="Cambria Math" w:hAnsi="Cambria Math"/>
                    <w:b/>
                    <w:i/>
                  </w:rPr>
                </m:ctrlPr>
              </m:barPr>
              <m:e>
                <m:r>
                  <m:rPr>
                    <m:sty m:val="bi"/>
                  </m:rPr>
                  <w:rPr>
                    <w:rFonts w:ascii="Cambria Math" w:hAnsi="Cambria Math"/>
                  </w:rPr>
                  <m:t>A</m:t>
                </m:r>
              </m:e>
            </m:bar>
          </m:num>
          <m:den>
            <m:r>
              <m:rPr>
                <m:sty m:val="bi"/>
              </m:rPr>
              <w:rPr>
                <w:rFonts w:ascii="Cambria Math" w:hAnsi="Cambria Math"/>
              </w:rPr>
              <m:t>1-</m:t>
            </m:r>
            <m:bar>
              <m:barPr>
                <m:ctrlPr>
                  <w:rPr>
                    <w:rFonts w:ascii="Cambria Math" w:hAnsi="Cambria Math"/>
                    <w:b/>
                    <w:i/>
                  </w:rPr>
                </m:ctrlPr>
              </m:barPr>
              <m:e>
                <m:r>
                  <m:rPr>
                    <m:sty m:val="bi"/>
                  </m:rPr>
                  <w:rPr>
                    <w:rFonts w:ascii="Cambria Math" w:hAnsi="Cambria Math"/>
                  </w:rPr>
                  <m:t>A</m:t>
                </m:r>
              </m:e>
            </m:bar>
            <m:sSup>
              <m:sSupPr>
                <m:ctrlPr>
                  <w:rPr>
                    <w:rFonts w:ascii="Cambria Math" w:hAnsi="Cambria Math"/>
                    <w:b/>
                    <w:i/>
                  </w:rPr>
                </m:ctrlPr>
              </m:sSupPr>
              <m:e>
                <m:r>
                  <m:rPr>
                    <m:sty m:val="bi"/>
                  </m:rPr>
                  <w:rPr>
                    <w:rFonts w:ascii="Cambria Math" w:hAnsi="Cambria Math"/>
                  </w:rPr>
                  <m:t>β</m:t>
                </m:r>
              </m:e>
              <m:sup>
                <m:r>
                  <w:rPr>
                    <w:rFonts w:ascii="Cambria Math" w:hAnsi="Cambria Math"/>
                    <w:sz w:val="28"/>
                  </w:rPr>
                  <m:t>α</m:t>
                </m:r>
                <m:r>
                  <m:rPr>
                    <m:sty m:val="bi"/>
                  </m:rPr>
                  <w:rPr>
                    <w:rFonts w:ascii="Cambria Math" w:hAnsi="Cambria Math"/>
                  </w:rPr>
                  <m:t>-1</m:t>
                </m:r>
              </m:sup>
            </m:sSup>
          </m:den>
        </m:f>
      </m:oMath>
      <w:r w:rsidRPr="009951FC">
        <w:rPr>
          <w:sz w:val="28"/>
        </w:rPr>
        <w:t xml:space="preserve"> </w:t>
      </w:r>
      <w:r w:rsidRPr="009951FC">
        <w:t>is a modified measure of the init</w:t>
      </w:r>
      <w:r>
        <w:t xml:space="preserve">ial gap in productivity between </w:t>
      </w:r>
      <w:r w:rsidRPr="009951FC">
        <w:t>Israel and the West Bank</w:t>
      </w:r>
      <w:r>
        <w:t xml:space="preserve"> as is d</w:t>
      </w:r>
      <w:r w:rsidR="0017550F">
        <w:t>isplayed graphically in Figure 8</w:t>
      </w:r>
      <w:r>
        <w:t xml:space="preserve"> </w:t>
      </w:r>
      <w:r w:rsidRPr="009951FC">
        <w:rPr>
          <w:b/>
          <w:szCs w:val="28"/>
        </w:rPr>
        <w:t>(</w:t>
      </w:r>
      <m:oMath>
        <m:f>
          <m:fPr>
            <m:type m:val="skw"/>
            <m:ctrlPr>
              <w:rPr>
                <w:rFonts w:ascii="Cambria Math" w:hAnsi="Cambria Math"/>
                <w:b/>
                <w:i/>
                <w:szCs w:val="28"/>
              </w:rPr>
            </m:ctrlPr>
          </m:fPr>
          <m:num>
            <m:r>
              <m:rPr>
                <m:sty m:val="bi"/>
              </m:rPr>
              <w:rPr>
                <w:rFonts w:ascii="Cambria Math" w:hAnsi="Cambria Math"/>
                <w:szCs w:val="28"/>
              </w:rPr>
              <m:t>d</m:t>
            </m:r>
            <m:acc>
              <m:accPr>
                <m:chr m:val="̃"/>
                <m:ctrlPr>
                  <w:rPr>
                    <w:rFonts w:ascii="Cambria Math" w:hAnsi="Cambria Math"/>
                    <w:b/>
                    <w:i/>
                    <w:szCs w:val="28"/>
                  </w:rPr>
                </m:ctrlPr>
              </m:accPr>
              <m:e>
                <m:r>
                  <m:rPr>
                    <m:sty m:val="bi"/>
                  </m:rPr>
                  <w:rPr>
                    <w:rFonts w:ascii="Cambria Math" w:hAnsi="Cambria Math"/>
                    <w:szCs w:val="28"/>
                  </w:rPr>
                  <m:t>γ</m:t>
                </m:r>
              </m:e>
            </m:acc>
          </m:num>
          <m:den>
            <m:r>
              <m:rPr>
                <m:sty m:val="bi"/>
              </m:rPr>
              <w:rPr>
                <w:rFonts w:ascii="Cambria Math" w:hAnsi="Cambria Math"/>
                <w:szCs w:val="28"/>
              </w:rPr>
              <m:t>dγ</m:t>
            </m:r>
          </m:den>
        </m:f>
        <m:r>
          <m:rPr>
            <m:sty m:val="bi"/>
          </m:rPr>
          <w:rPr>
            <w:rFonts w:ascii="Cambria Math" w:hAnsi="Cambria Math"/>
            <w:szCs w:val="28"/>
          </w:rPr>
          <m:t xml:space="preserve"> &gt;0)</m:t>
        </m:r>
      </m:oMath>
      <w:r>
        <w:rPr>
          <w:szCs w:val="28"/>
        </w:rPr>
        <w:t>.</w:t>
      </w:r>
    </w:p>
    <w:p w14:paraId="0D9F2D9D" w14:textId="77777777" w:rsidR="00F14AB5" w:rsidRPr="005E185E" w:rsidRDefault="00F14AB5" w:rsidP="00F14AB5">
      <w:pPr>
        <w:rPr>
          <w:szCs w:val="28"/>
        </w:rPr>
      </w:pPr>
      <w:r w:rsidRPr="005E185E">
        <w:rPr>
          <w:b/>
          <w:szCs w:val="28"/>
        </w:rPr>
        <w:tab/>
      </w:r>
      <w:r w:rsidRPr="005E185E">
        <w:rPr>
          <w:szCs w:val="28"/>
        </w:rPr>
        <w:t xml:space="preserve">The determinants of optimal integration in equation </w:t>
      </w:r>
      <w:r w:rsidRPr="00A75D39">
        <w:rPr>
          <w:b/>
          <w:szCs w:val="28"/>
        </w:rPr>
        <w:t xml:space="preserve">(8) </w:t>
      </w:r>
      <w:r w:rsidRPr="005E185E">
        <w:rPr>
          <w:szCs w:val="28"/>
        </w:rPr>
        <w:t xml:space="preserve">are intuitive given the assumptions in the model. The integration rate that maximizes cumulative economic production between Israel and the West Bank is greater to the extent that the </w:t>
      </w:r>
      <w:r>
        <w:rPr>
          <w:szCs w:val="28"/>
        </w:rPr>
        <w:t>Pacification score</w:t>
      </w:r>
      <w:r w:rsidRPr="005E185E">
        <w:rPr>
          <w:szCs w:val="28"/>
        </w:rPr>
        <w:t xml:space="preserve"> </w:t>
      </w:r>
      <w:r w:rsidRPr="00A75D39">
        <w:rPr>
          <w:b/>
          <w:szCs w:val="28"/>
        </w:rPr>
        <w:t>(</w:t>
      </w:r>
      <w:r w:rsidRPr="00A75D39">
        <w:rPr>
          <w:b/>
          <w:i/>
          <w:szCs w:val="28"/>
        </w:rPr>
        <w:t>n</w:t>
      </w:r>
      <w:r w:rsidRPr="00A75D39">
        <w:rPr>
          <w:b/>
          <w:szCs w:val="28"/>
        </w:rPr>
        <w:t>)</w:t>
      </w:r>
      <w:r>
        <w:rPr>
          <w:b/>
          <w:szCs w:val="28"/>
        </w:rPr>
        <w:t xml:space="preserve"> </w:t>
      </w:r>
      <w:r w:rsidRPr="005E185E">
        <w:rPr>
          <w:szCs w:val="28"/>
        </w:rPr>
        <w:t xml:space="preserve">is higher. In other words, as the </w:t>
      </w:r>
      <w:r>
        <w:rPr>
          <w:szCs w:val="28"/>
        </w:rPr>
        <w:t>Pacification score (</w:t>
      </w:r>
      <w:r w:rsidRPr="005E185E">
        <w:rPr>
          <w:b/>
          <w:i/>
          <w:szCs w:val="28"/>
        </w:rPr>
        <w:t>n</w:t>
      </w:r>
      <w:r>
        <w:rPr>
          <w:b/>
          <w:i/>
          <w:szCs w:val="28"/>
        </w:rPr>
        <w:t>)</w:t>
      </w:r>
      <w:r w:rsidRPr="005E185E">
        <w:rPr>
          <w:b/>
          <w:szCs w:val="28"/>
        </w:rPr>
        <w:t xml:space="preserve"> </w:t>
      </w:r>
      <w:r>
        <w:rPr>
          <w:szCs w:val="28"/>
        </w:rPr>
        <w:t xml:space="preserve">increases, </w:t>
      </w:r>
      <w:r w:rsidRPr="005E185E">
        <w:rPr>
          <w:szCs w:val="28"/>
        </w:rPr>
        <w:t xml:space="preserve">more West Bank Palestinians can be allowed freedom of movement </w:t>
      </w:r>
      <w:r>
        <w:rPr>
          <w:szCs w:val="28"/>
        </w:rPr>
        <w:t xml:space="preserve">within the West Bank </w:t>
      </w:r>
      <w:r w:rsidRPr="005E185E">
        <w:rPr>
          <w:szCs w:val="28"/>
        </w:rPr>
        <w:t xml:space="preserve">and more </w:t>
      </w:r>
      <w:r>
        <w:rPr>
          <w:szCs w:val="28"/>
        </w:rPr>
        <w:t>WBPL</w:t>
      </w:r>
      <w:r w:rsidRPr="005E185E">
        <w:rPr>
          <w:szCs w:val="28"/>
        </w:rPr>
        <w:t xml:space="preserve"> can be allowed to work in Israel</w:t>
      </w:r>
      <w:r>
        <w:rPr>
          <w:szCs w:val="28"/>
        </w:rPr>
        <w:t>.</w:t>
      </w:r>
      <w:r w:rsidRPr="005E185E">
        <w:rPr>
          <w:szCs w:val="28"/>
        </w:rPr>
        <w:t xml:space="preserve"> Optimal migration is lower to the extent that:</w:t>
      </w:r>
    </w:p>
    <w:p w14:paraId="2EA5AB6A" w14:textId="77777777" w:rsidR="00F14AB5" w:rsidRPr="005E185E" w:rsidRDefault="00F14AB5" w:rsidP="00F14AB5">
      <w:pPr>
        <w:pStyle w:val="ListParagraph"/>
        <w:numPr>
          <w:ilvl w:val="0"/>
          <w:numId w:val="5"/>
        </w:numPr>
        <w:spacing w:line="480" w:lineRule="auto"/>
        <w:rPr>
          <w:rFonts w:ascii="Times New Roman" w:hAnsi="Times New Roman" w:cs="Times New Roman"/>
        </w:rPr>
      </w:pPr>
      <w:r w:rsidRPr="005E185E">
        <w:rPr>
          <w:rFonts w:ascii="Times New Roman" w:hAnsi="Times New Roman" w:cs="Times New Roman"/>
        </w:rPr>
        <w:t xml:space="preserve">The actual level of violence is higher due to higher </w:t>
      </w:r>
      <w:r>
        <w:rPr>
          <w:rFonts w:ascii="Times New Roman" w:hAnsi="Times New Roman" w:cs="Times New Roman"/>
        </w:rPr>
        <w:t xml:space="preserve">initial </w:t>
      </w:r>
      <w:r w:rsidRPr="005E185E">
        <w:rPr>
          <w:rFonts w:ascii="Times New Roman" w:hAnsi="Times New Roman" w:cs="Times New Roman"/>
        </w:rPr>
        <w:t>Propensity for Violence</w:t>
      </w:r>
      <w:r w:rsidRPr="005E185E">
        <w:rPr>
          <w:rFonts w:ascii="Times New Roman" w:hAnsi="Times New Roman" w:cs="Times New Roman"/>
          <w:i/>
        </w:rPr>
        <w:t xml:space="preserve"> </w:t>
      </w:r>
      <w:r w:rsidRPr="005E185E">
        <w:rPr>
          <w:rFonts w:ascii="Times New Roman" w:hAnsi="Times New Roman" w:cs="Times New Roman"/>
          <w:b/>
          <w:i/>
        </w:rPr>
        <w:t>(v)</w:t>
      </w:r>
    </w:p>
    <w:p w14:paraId="24ADD102" w14:textId="77777777" w:rsidR="00F14AB5" w:rsidRPr="005E185E" w:rsidRDefault="00F14AB5" w:rsidP="00F14AB5">
      <w:pPr>
        <w:pStyle w:val="ListParagraph"/>
        <w:numPr>
          <w:ilvl w:val="0"/>
          <w:numId w:val="5"/>
        </w:numPr>
        <w:spacing w:line="480" w:lineRule="auto"/>
        <w:rPr>
          <w:rFonts w:ascii="Times New Roman" w:hAnsi="Times New Roman" w:cs="Times New Roman"/>
        </w:rPr>
      </w:pPr>
      <w:r w:rsidRPr="005E185E">
        <w:rPr>
          <w:rFonts w:ascii="Times New Roman" w:hAnsi="Times New Roman" w:cs="Times New Roman"/>
        </w:rPr>
        <w:t xml:space="preserve">The initial productivity gap between Israel and the West Bank, </w:t>
      </w:r>
      <m:oMath>
        <m:r>
          <m:rPr>
            <m:sty m:val="bi"/>
          </m:rPr>
          <w:rPr>
            <w:rFonts w:ascii="Cambria Math" w:hAnsi="Cambria Math" w:cs="Times New Roman"/>
          </w:rPr>
          <m:t>γ</m:t>
        </m:r>
        <m:r>
          <w:rPr>
            <w:rFonts w:ascii="Cambria Math" w:hAnsi="Cambria Math" w:cs="Times New Roman"/>
          </w:rPr>
          <m:t>,</m:t>
        </m:r>
      </m:oMath>
      <w:r w:rsidRPr="005E185E">
        <w:rPr>
          <w:rFonts w:ascii="Times New Roman" w:hAnsi="Times New Roman" w:cs="Times New Roman"/>
        </w:rPr>
        <w:t xml:space="preserve"> is higher</w:t>
      </w:r>
    </w:p>
    <w:p w14:paraId="3B3808DA" w14:textId="77777777" w:rsidR="00F14AB5" w:rsidRPr="005E185E" w:rsidRDefault="00F14AB5" w:rsidP="00F14AB5">
      <w:pPr>
        <w:pStyle w:val="ListParagraph"/>
        <w:numPr>
          <w:ilvl w:val="0"/>
          <w:numId w:val="5"/>
        </w:numPr>
        <w:spacing w:line="480" w:lineRule="auto"/>
        <w:rPr>
          <w:rFonts w:ascii="Times New Roman" w:hAnsi="Times New Roman" w:cs="Times New Roman"/>
        </w:rPr>
      </w:pPr>
      <w:r w:rsidRPr="005E185E">
        <w:rPr>
          <w:rFonts w:ascii="Times New Roman" w:hAnsi="Times New Roman" w:cs="Times New Roman"/>
        </w:rPr>
        <w:t xml:space="preserve">The discount rate </w:t>
      </w:r>
      <m:oMath>
        <m:r>
          <m:rPr>
            <m:sty m:val="bi"/>
          </m:rPr>
          <w:rPr>
            <w:rFonts w:ascii="Cambria Math" w:hAnsi="Cambria Math" w:cs="Times New Roman"/>
          </w:rPr>
          <m:t>ρ</m:t>
        </m:r>
      </m:oMath>
      <w:r w:rsidRPr="005E185E">
        <w:rPr>
          <w:rFonts w:ascii="Times New Roman" w:hAnsi="Times New Roman" w:cs="Times New Roman"/>
        </w:rPr>
        <w:t xml:space="preserve"> is higher </w:t>
      </w:r>
    </w:p>
    <w:p w14:paraId="6FB865D7" w14:textId="77777777" w:rsidR="00F14AB5" w:rsidRPr="003E182A" w:rsidRDefault="00F14AB5" w:rsidP="00F14AB5">
      <w:pPr>
        <w:pStyle w:val="ListParagraph"/>
        <w:numPr>
          <w:ilvl w:val="0"/>
          <w:numId w:val="5"/>
        </w:numPr>
        <w:spacing w:line="480" w:lineRule="auto"/>
        <w:rPr>
          <w:rFonts w:ascii="Times New Roman" w:hAnsi="Times New Roman" w:cs="Times New Roman"/>
        </w:rPr>
      </w:pPr>
      <w:r>
        <w:rPr>
          <w:rFonts w:ascii="Times New Roman" w:hAnsi="Times New Roman" w:cs="Times New Roman"/>
        </w:rPr>
        <w:t>Agitation</w:t>
      </w:r>
      <w:r w:rsidRPr="005E185E">
        <w:rPr>
          <w:rFonts w:ascii="Times New Roman" w:hAnsi="Times New Roman" w:cs="Times New Roman"/>
        </w:rPr>
        <w:t xml:space="preserve"> </w:t>
      </w:r>
      <w:r w:rsidRPr="005E185E">
        <w:rPr>
          <w:rFonts w:ascii="Times New Roman" w:hAnsi="Times New Roman" w:cs="Times New Roman"/>
          <w:b/>
        </w:rPr>
        <w:t>(</w:t>
      </w:r>
      <w:r w:rsidRPr="005E185E">
        <w:rPr>
          <w:rFonts w:ascii="Times New Roman" w:hAnsi="Times New Roman" w:cs="Times New Roman"/>
          <w:b/>
          <w:i/>
        </w:rPr>
        <w:t>r</w:t>
      </w:r>
      <w:r w:rsidRPr="005E185E">
        <w:rPr>
          <w:rFonts w:ascii="Times New Roman" w:hAnsi="Times New Roman" w:cs="Times New Roman"/>
          <w:b/>
        </w:rPr>
        <w:t xml:space="preserve">) </w:t>
      </w:r>
      <w:r>
        <w:rPr>
          <w:rFonts w:ascii="Times New Roman" w:hAnsi="Times New Roman" w:cs="Times New Roman"/>
        </w:rPr>
        <w:t xml:space="preserve">effects are higher, leading to high violence levels </w:t>
      </w:r>
    </w:p>
    <w:p w14:paraId="1027D05C" w14:textId="77777777" w:rsidR="00F14AB5" w:rsidRPr="00455FAB" w:rsidRDefault="00F14AB5" w:rsidP="00F14AB5">
      <w:pPr>
        <w:tabs>
          <w:tab w:val="left" w:pos="450"/>
        </w:tabs>
        <w:ind w:left="360" w:firstLine="360"/>
      </w:pPr>
      <w:r w:rsidRPr="005E185E">
        <w:t xml:space="preserve">The corresponding optimal transition time </w:t>
      </w:r>
      <w:r w:rsidRPr="005E185E">
        <w:rPr>
          <w:b/>
          <w:i/>
        </w:rPr>
        <w:t>T</w:t>
      </w:r>
      <w:r w:rsidRPr="005E185E">
        <w:t xml:space="preserve">, inversely related to </w:t>
      </w:r>
      <m:oMath>
        <m:sSup>
          <m:sSupPr>
            <m:ctrlPr>
              <w:rPr>
                <w:rFonts w:ascii="Cambria Math" w:hAnsi="Cambria Math"/>
                <w:b/>
                <w:i/>
              </w:rPr>
            </m:ctrlPr>
          </m:sSupPr>
          <m:e>
            <m:r>
              <m:rPr>
                <m:sty m:val="bi"/>
              </m:rPr>
              <w:rPr>
                <w:rFonts w:ascii="Cambria Math" w:hAnsi="Cambria Math"/>
              </w:rPr>
              <m:t>p</m:t>
            </m:r>
          </m:e>
          <m:sup>
            <m:r>
              <m:rPr>
                <m:sty m:val="bi"/>
              </m:rPr>
              <w:rPr>
                <w:rFonts w:ascii="Cambria Math" w:hAnsi="Cambria Math"/>
              </w:rPr>
              <m:t>*</m:t>
            </m:r>
          </m:sup>
        </m:sSup>
      </m:oMath>
      <w:r w:rsidRPr="005E185E">
        <w:t xml:space="preserve"> is…</w:t>
      </w:r>
    </w:p>
    <w:p w14:paraId="62711896" w14:textId="77777777" w:rsidR="00F14AB5" w:rsidRPr="005E185E" w:rsidRDefault="00F14AB5" w:rsidP="009F031A">
      <w:pPr>
        <w:spacing w:line="240" w:lineRule="auto"/>
        <w:ind w:left="360"/>
        <w:rPr>
          <w:b/>
          <w:i/>
          <w:sz w:val="28"/>
          <w:szCs w:val="28"/>
        </w:rPr>
      </w:pPr>
      <w:r w:rsidRPr="005E185E">
        <w:rPr>
          <w:b/>
          <w:i/>
          <w:sz w:val="28"/>
          <w:szCs w:val="28"/>
        </w:rPr>
        <w:lastRenderedPageBreak/>
        <w:t>Eq. 9</w:t>
      </w:r>
    </w:p>
    <w:p w14:paraId="27C9110E" w14:textId="77777777" w:rsidR="00F14AB5" w:rsidRPr="005E185E" w:rsidRDefault="00500133" w:rsidP="00F14AB5">
      <w:pPr>
        <w:ind w:left="360"/>
        <w:rPr>
          <w:sz w:val="28"/>
          <w:szCs w:val="28"/>
        </w:rPr>
      </w:pPr>
      <m:oMathPara>
        <m:oMath>
          <m:sSup>
            <m:sSupPr>
              <m:ctrlPr>
                <w:rPr>
                  <w:rFonts w:ascii="Cambria Math" w:hAnsi="Cambria Math"/>
                  <w:i/>
                  <w:sz w:val="28"/>
                  <w:szCs w:val="28"/>
                </w:rPr>
              </m:ctrlPr>
            </m:sSupPr>
            <m:e>
              <m:r>
                <w:rPr>
                  <w:rFonts w:ascii="Cambria Math" w:hAnsi="Cambria Math"/>
                  <w:sz w:val="28"/>
                  <w:szCs w:val="28"/>
                </w:rPr>
                <m:t>T</m:t>
              </m:r>
            </m:e>
            <m:sup>
              <m:r>
                <w:rPr>
                  <w:rFonts w:ascii="Cambria Math" w:hAnsi="Cambria Math"/>
                  <w:sz w:val="28"/>
                  <w:szCs w:val="28"/>
                </w:rPr>
                <m:t>*</m:t>
              </m:r>
            </m:sup>
          </m:sSup>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αv</m:t>
              </m:r>
              <m:acc>
                <m:accPr>
                  <m:chr m:val="̃"/>
                  <m:ctrlPr>
                    <w:rPr>
                      <w:rFonts w:ascii="Cambria Math" w:hAnsi="Cambria Math"/>
                      <w:i/>
                      <w:sz w:val="28"/>
                      <w:szCs w:val="28"/>
                    </w:rPr>
                  </m:ctrlPr>
                </m:accPr>
                <m:e>
                  <m:r>
                    <w:rPr>
                      <w:rFonts w:ascii="Cambria Math" w:hAnsi="Cambria Math"/>
                      <w:sz w:val="28"/>
                      <w:szCs w:val="28"/>
                    </w:rPr>
                    <m:t>γ</m:t>
                  </m:r>
                </m:e>
              </m:acc>
              <m:r>
                <w:rPr>
                  <w:rFonts w:ascii="Cambria Math" w:hAnsi="Cambria Math"/>
                  <w:sz w:val="28"/>
                  <w:szCs w:val="28"/>
                </w:rPr>
                <m:t>+r</m:t>
              </m:r>
            </m:num>
            <m:den>
              <m:r>
                <w:rPr>
                  <w:rFonts w:ascii="Cambria Math" w:hAnsi="Cambria Math"/>
                  <w:sz w:val="28"/>
                  <w:szCs w:val="28"/>
                </w:rPr>
                <m:t>n-ρv</m:t>
              </m:r>
              <m:acc>
                <m:accPr>
                  <m:chr m:val="̃"/>
                  <m:ctrlPr>
                    <w:rPr>
                      <w:rFonts w:ascii="Cambria Math" w:hAnsi="Cambria Math"/>
                      <w:i/>
                      <w:sz w:val="28"/>
                      <w:szCs w:val="28"/>
                    </w:rPr>
                  </m:ctrlPr>
                </m:accPr>
                <m:e>
                  <m:r>
                    <w:rPr>
                      <w:rFonts w:ascii="Cambria Math" w:hAnsi="Cambria Math"/>
                      <w:sz w:val="28"/>
                      <w:szCs w:val="28"/>
                    </w:rPr>
                    <m:t>γ</m:t>
                  </m:r>
                </m:e>
              </m:acc>
            </m:den>
          </m:f>
          <m:r>
            <w:rPr>
              <w:rFonts w:ascii="Cambria Math" w:hAnsi="Cambria Math"/>
              <w:sz w:val="28"/>
              <w:szCs w:val="28"/>
            </w:rPr>
            <m:t>(β-1-(1-γ</m:t>
          </m:r>
          <m:sSup>
            <m:sSupPr>
              <m:ctrlPr>
                <w:rPr>
                  <w:rFonts w:ascii="Cambria Math" w:hAnsi="Cambria Math"/>
                  <w:i/>
                  <w:sz w:val="28"/>
                  <w:szCs w:val="28"/>
                </w:rPr>
              </m:ctrlPr>
            </m:sSupPr>
            <m:e>
              <m:r>
                <w:rPr>
                  <w:rFonts w:ascii="Cambria Math" w:hAnsi="Cambria Math"/>
                  <w:sz w:val="28"/>
                  <w:szCs w:val="28"/>
                </w:rPr>
                <m:t>)</m:t>
              </m:r>
            </m:e>
            <m:sup>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1-α</m:t>
                  </m:r>
                </m:den>
              </m:f>
            </m:sup>
          </m:sSup>
        </m:oMath>
      </m:oMathPara>
    </w:p>
    <w:p w14:paraId="03F46600" w14:textId="58A85470" w:rsidR="00E5392D" w:rsidRDefault="00F14AB5" w:rsidP="00E5392D">
      <w:pPr>
        <w:ind w:firstLine="720"/>
      </w:pPr>
      <w:r w:rsidRPr="00212710">
        <w:t xml:space="preserve">The determinants of </w:t>
      </w:r>
      <m:oMath>
        <m:sSup>
          <m:sSupPr>
            <m:ctrlPr>
              <w:rPr>
                <w:rFonts w:ascii="Cambria Math" w:hAnsi="Cambria Math"/>
                <w:b/>
                <w:i/>
              </w:rPr>
            </m:ctrlPr>
          </m:sSupPr>
          <m:e>
            <m:r>
              <m:rPr>
                <m:sty m:val="bi"/>
              </m:rPr>
              <w:rPr>
                <w:rFonts w:ascii="Cambria Math" w:hAnsi="Cambria Math"/>
              </w:rPr>
              <m:t>T</m:t>
            </m:r>
          </m:e>
          <m:sup>
            <m:r>
              <m:rPr>
                <m:sty m:val="bi"/>
              </m:rPr>
              <w:rPr>
                <w:rFonts w:ascii="Cambria Math" w:hAnsi="Cambria Math"/>
              </w:rPr>
              <m:t>*</m:t>
            </m:r>
          </m:sup>
        </m:sSup>
      </m:oMath>
      <w:r>
        <w:t xml:space="preserve"> are also intuitive. In addition to the inverse of</w:t>
      </w:r>
      <w:r w:rsidRPr="00212710">
        <w:t xml:space="preserve"> those listed for </w:t>
      </w:r>
      <m:oMath>
        <m:sSup>
          <m:sSupPr>
            <m:ctrlPr>
              <w:rPr>
                <w:rFonts w:ascii="Cambria Math" w:hAnsi="Cambria Math"/>
                <w:b/>
                <w:i/>
              </w:rPr>
            </m:ctrlPr>
          </m:sSupPr>
          <m:e>
            <m:r>
              <m:rPr>
                <m:sty m:val="bi"/>
              </m:rPr>
              <w:rPr>
                <w:rFonts w:ascii="Cambria Math" w:hAnsi="Cambria Math"/>
              </w:rPr>
              <m:t>p</m:t>
            </m:r>
          </m:e>
          <m:sup>
            <m:r>
              <m:rPr>
                <m:sty m:val="bi"/>
              </m:rPr>
              <w:rPr>
                <w:rFonts w:ascii="Cambria Math" w:hAnsi="Cambria Math"/>
              </w:rPr>
              <m:t>*</m:t>
            </m:r>
          </m:sup>
        </m:sSup>
      </m:oMath>
      <w:r>
        <w:t>,</w:t>
      </w:r>
      <w:r w:rsidRPr="00212710">
        <w:t xml:space="preserve"> the optimal transition time is longer to the extent that the pop</w:t>
      </w:r>
      <w:r>
        <w:t>ulation of the West Bank constitutes a larger proportion of the cumulative</w:t>
      </w:r>
      <w:r w:rsidRPr="00212710">
        <w:t xml:space="preserve"> population of Israel</w:t>
      </w:r>
      <w:r>
        <w:t xml:space="preserve"> and the West Bank. As measured by the model, the optimal transition time is longer when</w:t>
      </w:r>
      <w:r w:rsidRPr="00A75D39">
        <w:rPr>
          <w:b/>
        </w:rPr>
        <w:t xml:space="preserve"> </w:t>
      </w:r>
      <m:oMath>
        <m:r>
          <m:rPr>
            <m:sty m:val="bi"/>
          </m:rPr>
          <w:rPr>
            <w:rFonts w:ascii="Cambria Math" w:hAnsi="Cambria Math"/>
          </w:rPr>
          <m:t>β</m:t>
        </m:r>
      </m:oMath>
      <w:r>
        <w:t xml:space="preserve"> is larger and it is also longer when the disparity in economic outcomes between Israel and the West Bank is particularly stark </w:t>
      </w:r>
      <w:r w:rsidRPr="00212710">
        <w:t xml:space="preserve">(larger </w:t>
      </w:r>
      <m:oMath>
        <m:r>
          <m:rPr>
            <m:sty m:val="bi"/>
          </m:rPr>
          <w:rPr>
            <w:rFonts w:ascii="Cambria Math" w:hAnsi="Cambria Math"/>
          </w:rPr>
          <m:t>γ</m:t>
        </m:r>
        <m:r>
          <w:rPr>
            <w:rFonts w:ascii="Cambria Math" w:hAnsi="Cambria Math"/>
          </w:rPr>
          <m:t>)</m:t>
        </m:r>
      </m:oMath>
      <w:r w:rsidRPr="00212710">
        <w:t>. In other words</w:t>
      </w:r>
      <w:r>
        <w:t>, the optimal transition time</w:t>
      </w:r>
      <w:r w:rsidRPr="00212710">
        <w:t xml:space="preserve"> lengthens as the West Bank population continues to grow relative to the Israeli population and</w:t>
      </w:r>
      <w:r>
        <w:t xml:space="preserve"> as economic cond</w:t>
      </w:r>
      <w:r w:rsidR="00E5392D">
        <w:t>itions worsen for Palestinians.</w:t>
      </w:r>
    </w:p>
    <w:p w14:paraId="1172954E" w14:textId="77777777" w:rsidR="005B4AD8" w:rsidRDefault="005B4AD8" w:rsidP="000D7AFE">
      <w:pPr>
        <w:sectPr w:rsidR="005B4AD8" w:rsidSect="002146AD">
          <w:type w:val="continuous"/>
          <w:pgSz w:w="12240" w:h="15840"/>
          <w:pgMar w:top="1440" w:right="1440" w:bottom="1440" w:left="2304" w:header="720" w:footer="720" w:gutter="0"/>
          <w:cols w:space="720"/>
          <w:docGrid w:linePitch="360"/>
        </w:sectPr>
      </w:pPr>
    </w:p>
    <w:p w14:paraId="00890BBA" w14:textId="7D38B7E9" w:rsidR="00F14AB5" w:rsidRDefault="00F14AB5" w:rsidP="00882E52">
      <w:pPr>
        <w:pStyle w:val="Heading2"/>
      </w:pPr>
      <w:bookmarkStart w:id="65" w:name="_Toc324423962"/>
      <w:r>
        <w:lastRenderedPageBreak/>
        <w:t>3.6</w:t>
      </w:r>
      <w:r w:rsidRPr="00A53C07">
        <w:t xml:space="preserve"> Calibrating the Model on Current Evidence</w:t>
      </w:r>
      <w:bookmarkEnd w:id="65"/>
    </w:p>
    <w:p w14:paraId="2BBCF600" w14:textId="77777777" w:rsidR="00E73FAF" w:rsidRDefault="00E73FAF" w:rsidP="00E73FAF">
      <w:pPr>
        <w:spacing w:line="240" w:lineRule="auto"/>
      </w:pPr>
    </w:p>
    <w:p w14:paraId="0B3630CD" w14:textId="77777777" w:rsidR="00E73FAF" w:rsidRDefault="00E73FAF" w:rsidP="00E73FAF">
      <w:pPr>
        <w:spacing w:line="240" w:lineRule="auto"/>
        <w:sectPr w:rsidR="00E73FAF" w:rsidSect="002146AD">
          <w:type w:val="continuous"/>
          <w:pgSz w:w="12240" w:h="15840"/>
          <w:pgMar w:top="1440" w:right="1440" w:bottom="1440" w:left="2304" w:header="720" w:footer="720" w:gutter="0"/>
          <w:cols w:space="720"/>
          <w:docGrid w:linePitch="360"/>
        </w:sectPr>
      </w:pPr>
    </w:p>
    <w:p w14:paraId="24939E09" w14:textId="730E97E1" w:rsidR="00F14AB5" w:rsidRDefault="00F14AB5" w:rsidP="00F14AB5">
      <w:pPr>
        <w:ind w:firstLine="720"/>
      </w:pPr>
      <w:r>
        <w:lastRenderedPageBreak/>
        <w:t>The model can be used to analyze a number of different variables, but I am concerned with</w:t>
      </w:r>
      <w:r w:rsidR="00665E43">
        <w:t xml:space="preserve"> the </w:t>
      </w:r>
      <w:r w:rsidR="002E23AF">
        <w:t>dynamically efficient level of Israeli-Palestinian labor integration:</w:t>
      </w:r>
      <w:r>
        <w:t xml:space="preserve"> </w:t>
      </w:r>
      <w:r w:rsidR="002E23AF">
        <w:t>the actual number of WBPL that can</w:t>
      </w:r>
      <w:r>
        <w:t xml:space="preserve"> be permitted to work in Israel </w:t>
      </w:r>
      <w:r w:rsidR="002E23AF">
        <w:t>without reducing Israeli TFP (</w:t>
      </w:r>
      <w:r>
        <w:t xml:space="preserve">which is represented by equation </w:t>
      </w:r>
      <w:r>
        <w:rPr>
          <w:b/>
        </w:rPr>
        <w:t>(8)</w:t>
      </w:r>
      <w:r w:rsidR="002E23AF">
        <w:t>)</w:t>
      </w:r>
      <w:r>
        <w:t xml:space="preserve">. </w:t>
      </w:r>
      <w:r w:rsidRPr="005E185E">
        <w:t xml:space="preserve">Some of the parameters in the expression for optimal integration </w:t>
      </w:r>
      <w:r w:rsidRPr="00A75D39">
        <w:rPr>
          <w:b/>
        </w:rPr>
        <w:t>(8)</w:t>
      </w:r>
      <w:r>
        <w:t xml:space="preserve"> are well known, while </w:t>
      </w:r>
      <w:r w:rsidRPr="005E185E">
        <w:t xml:space="preserve">others are unknown. </w:t>
      </w:r>
      <w:r>
        <w:t xml:space="preserve">Calibrating the model— as I attempt to do below— will be very difficult. Clemens and Pritchett present evidence that there isn’t a strong correlation between the number of migrants in a country’s labor force and TFP, which suggests that there are many other factors at play and that causal mechanisms are not well defined. Calibrating the model also requires a wide range of data specific to this context, and some of the data needed is unavailable in the Israeli-Palestinian context. The focus of the following sections is to define the parameters in the model as plausibly as possible given available data and </w:t>
      </w:r>
      <w:r>
        <w:lastRenderedPageBreak/>
        <w:t>research. The</w:t>
      </w:r>
      <w:r w:rsidRPr="005E185E">
        <w:t xml:space="preserve"> known parameters of the model are explained, and the unknown paramet</w:t>
      </w:r>
      <w:r>
        <w:t>ers are given values based on three rational scenarios: best-case scenario, worst-case scenario, and most likely scenario. These scenarios act as counterfactuals, and they establish bounds for the expected effects of increasing the number of WBPL working in Israel given the previously outlined assumptions that are implicit in the mathematical model. T</w:t>
      </w:r>
      <w:r w:rsidRPr="005E185E">
        <w:t xml:space="preserve">he values calculated for </w:t>
      </w:r>
      <w:r>
        <w:t xml:space="preserve">the unknown parameters in the model </w:t>
      </w:r>
      <w:r w:rsidRPr="005E185E">
        <w:t xml:space="preserve">will be based on the best </w:t>
      </w:r>
      <w:r w:rsidR="00DE2DEF">
        <w:t>research</w:t>
      </w:r>
      <w:r>
        <w:t xml:space="preserve"> and </w:t>
      </w:r>
      <w:r w:rsidRPr="005E185E">
        <w:t xml:space="preserve">data available in order to illuminate the </w:t>
      </w:r>
      <w:r>
        <w:t xml:space="preserve">number of WBPL that can be permitted to work in Israel before Israeli TFP is reduced. Table 7 summarizes the known parameters, which are as follows. </w:t>
      </w:r>
    </w:p>
    <w:p w14:paraId="4E229357" w14:textId="53F4451E" w:rsidR="00F14AB5" w:rsidRPr="00A01CE8" w:rsidRDefault="00F14AB5" w:rsidP="00F14AB5">
      <w:pPr>
        <w:ind w:firstLine="720"/>
      </w:pPr>
      <w:r>
        <w:t xml:space="preserve">As of September 2015, there were 113,200 WBPL working in an Israeli labor force comprised of 3,881,000 laborers, thus </w:t>
      </w:r>
      <w:r w:rsidRPr="006F7F8F">
        <w:rPr>
          <w:b/>
          <w:i/>
        </w:rPr>
        <w:t>p=0.029</w:t>
      </w:r>
      <w:r>
        <w:rPr>
          <w:i/>
        </w:rPr>
        <w:t xml:space="preserve"> </w:t>
      </w:r>
      <w:r>
        <w:t xml:space="preserve">(according to </w:t>
      </w:r>
      <w:r w:rsidRPr="005E185E">
        <w:rPr>
          <w:b/>
          <w:i/>
        </w:rPr>
        <w:t>p</w:t>
      </w:r>
      <m:oMath>
        <m:r>
          <m:rPr>
            <m:sty m:val="bi"/>
          </m:rPr>
          <w:rPr>
            <w:rFonts w:ascii="Cambria Math" w:hAnsi="Cambria Math"/>
          </w:rPr>
          <m:t xml:space="preserve"> ≡</m:t>
        </m:r>
        <m:sSub>
          <m:sSubPr>
            <m:ctrlPr>
              <w:rPr>
                <w:rFonts w:ascii="Cambria Math" w:hAnsi="Cambria Math"/>
                <w:b/>
                <w:i/>
              </w:rPr>
            </m:ctrlPr>
          </m:sSubPr>
          <m:e>
            <m:r>
              <m:rPr>
                <m:sty m:val="bi"/>
              </m:rPr>
              <w:rPr>
                <w:rFonts w:ascii="Cambria Math" w:hAnsi="Cambria Math"/>
              </w:rPr>
              <m:t>P</m:t>
            </m:r>
          </m:e>
          <m:sub>
            <m:r>
              <m:rPr>
                <m:sty m:val="bi"/>
              </m:rPr>
              <w:rPr>
                <w:rFonts w:ascii="Cambria Math" w:hAnsi="Cambria Math"/>
              </w:rPr>
              <m:t>0</m:t>
            </m:r>
          </m:sub>
        </m:sSub>
        <m:r>
          <m:rPr>
            <m:sty m:val="bi"/>
          </m:rPr>
          <w:rPr>
            <w:rFonts w:ascii="Cambria Math" w:hAnsi="Cambria Math"/>
          </w:rPr>
          <m:t>/</m:t>
        </m:r>
        <m:sSub>
          <m:sSubPr>
            <m:ctrlPr>
              <w:rPr>
                <w:rFonts w:ascii="Cambria Math" w:hAnsi="Cambria Math"/>
                <w:b/>
                <w:i/>
              </w:rPr>
            </m:ctrlPr>
          </m:sSubPr>
          <m:e>
            <m:r>
              <m:rPr>
                <m:sty m:val="bi"/>
              </m:rPr>
              <w:rPr>
                <w:rFonts w:ascii="Cambria Math" w:hAnsi="Cambria Math"/>
              </w:rPr>
              <m:t>L</m:t>
            </m:r>
          </m:e>
          <m:sub>
            <m:r>
              <m:rPr>
                <m:sty m:val="bi"/>
              </m:rPr>
              <w:rPr>
                <w:rFonts w:ascii="Cambria Math" w:hAnsi="Cambria Math"/>
              </w:rPr>
              <m:t>0</m:t>
            </m:r>
          </m:sub>
        </m:sSub>
      </m:oMath>
      <w:r>
        <w:t>).</w:t>
      </w:r>
      <w:r>
        <w:rPr>
          <w:rStyle w:val="FootnoteReference"/>
        </w:rPr>
        <w:footnoteReference w:id="204"/>
      </w:r>
      <w:r>
        <w:t xml:space="preserve"> In other words, approximately 0.03% of the Israeli labor force is comprised of WBPL that pose a threat for violence and thereby lower productivity by reducing interpersonal trust. </w:t>
      </w:r>
      <w:r w:rsidRPr="005E185E">
        <w:t xml:space="preserve">The </w:t>
      </w:r>
      <w:r>
        <w:t xml:space="preserve">worldwide </w:t>
      </w:r>
      <w:r w:rsidRPr="005E185E">
        <w:t xml:space="preserve">gap between rich-and-poor-country productivity, after accounting for differences in human capital, is roughly </w:t>
      </w:r>
      <m:oMath>
        <m:r>
          <m:rPr>
            <m:sty m:val="bi"/>
          </m:rPr>
          <w:rPr>
            <w:rFonts w:ascii="Cambria Math" w:hAnsi="Cambria Math"/>
          </w:rPr>
          <m:t>γ=0.8</m:t>
        </m:r>
        <m:r>
          <w:rPr>
            <w:rFonts w:ascii="Cambria Math" w:hAnsi="Cambria Math"/>
          </w:rPr>
          <m:t>.</m:t>
        </m:r>
        <m:r>
          <w:rPr>
            <w:rStyle w:val="FootnoteReference"/>
            <w:rFonts w:ascii="Cambria Math" w:hAnsi="Cambria Math"/>
            <w:i/>
          </w:rPr>
          <w:footnoteReference w:id="205"/>
        </m:r>
      </m:oMath>
      <w:r>
        <w:t xml:space="preserve"> There are currently no known studies that measure this gap between Israel and the West Bank, and calculating this gap is beyond the scope of this study. I use</w:t>
      </w:r>
      <m:oMath>
        <m:r>
          <m:rPr>
            <m:sty m:val="bi"/>
          </m:rPr>
          <w:rPr>
            <w:rFonts w:ascii="Cambria Math" w:hAnsi="Cambria Math"/>
          </w:rPr>
          <m:t xml:space="preserve"> γ=0.8</m:t>
        </m:r>
      </m:oMath>
      <w:r>
        <w:t xml:space="preserve"> for my measure of the productivity gap between Israel and the West Bank, but future studies using my method would benefit by determining this gap more precisely. Since initial Israeli TFP is normalized </w:t>
      </w:r>
      <w:r w:rsidRPr="009E5880">
        <w:rPr>
          <w:b/>
        </w:rPr>
        <w:t>(</w:t>
      </w:r>
      <m:oMath>
        <m:bar>
          <m:barPr>
            <m:pos m:val="top"/>
            <m:ctrlPr>
              <w:rPr>
                <w:rFonts w:ascii="Cambria Math" w:hAnsi="Cambria Math"/>
                <w:b/>
                <w:i/>
              </w:rPr>
            </m:ctrlPr>
          </m:barPr>
          <m:e>
            <m:r>
              <m:rPr>
                <m:sty m:val="bi"/>
              </m:rPr>
              <w:rPr>
                <w:rFonts w:ascii="Cambria Math" w:hAnsi="Cambria Math"/>
              </w:rPr>
              <m:t>A</m:t>
            </m:r>
          </m:e>
        </m:bar>
        <m:r>
          <m:rPr>
            <m:sty m:val="bi"/>
          </m:rPr>
          <w:rPr>
            <w:rFonts w:ascii="Cambria Math" w:hAnsi="Cambria Math"/>
          </w:rPr>
          <m:t>≡1),</m:t>
        </m:r>
      </m:oMath>
      <w:r>
        <w:t xml:space="preserve"> this implies that West Bank TFP is 80% lower </w:t>
      </w:r>
      <w:r w:rsidRPr="009E5880">
        <w:rPr>
          <w:b/>
        </w:rPr>
        <w:t>(</w:t>
      </w:r>
      <m:oMath>
        <m:bar>
          <m:barPr>
            <m:ctrlPr>
              <w:rPr>
                <w:rFonts w:ascii="Cambria Math" w:hAnsi="Cambria Math"/>
                <w:b/>
                <w:i/>
              </w:rPr>
            </m:ctrlPr>
          </m:barPr>
          <m:e>
            <m:r>
              <m:rPr>
                <m:sty m:val="bi"/>
              </m:rPr>
              <w:rPr>
                <w:rFonts w:ascii="Cambria Math" w:hAnsi="Cambria Math"/>
              </w:rPr>
              <m:t>A</m:t>
            </m:r>
          </m:e>
        </m:bar>
        <m:r>
          <m:rPr>
            <m:sty m:val="bi"/>
          </m:rPr>
          <w:rPr>
            <w:rFonts w:ascii="Cambria Math" w:hAnsi="Cambria Math"/>
          </w:rPr>
          <m:t>≡0.2)</m:t>
        </m:r>
      </m:oMath>
      <w:r>
        <w:rPr>
          <w:b/>
        </w:rPr>
        <w:t xml:space="preserve"> </w:t>
      </w:r>
      <w:r>
        <w:t xml:space="preserve">due to the differential levels </w:t>
      </w:r>
      <w:r>
        <w:lastRenderedPageBreak/>
        <w:t>of economic development in both</w:t>
      </w:r>
      <w:r w:rsidR="00DE2DEF">
        <w:t xml:space="preserve"> areas</w:t>
      </w:r>
      <w:r>
        <w:t>.</w:t>
      </w:r>
      <w:r>
        <w:rPr>
          <w:rStyle w:val="FootnoteReference"/>
        </w:rPr>
        <w:footnoteReference w:id="206"/>
      </w:r>
      <w:r>
        <w:t xml:space="preserve"> </w:t>
      </w:r>
      <w:r w:rsidRPr="005E185E">
        <w:t>R</w:t>
      </w:r>
      <w:r>
        <w:t>elative to the labor force of the West Bank, the combined labor force of Israel and the West Bank in 2014 was</w:t>
      </w:r>
      <w:r w:rsidRPr="002A1470">
        <w:rPr>
          <w:b/>
        </w:rPr>
        <w:t xml:space="preserve"> </w:t>
      </w:r>
      <m:oMath>
        <m:r>
          <m:rPr>
            <m:sty m:val="bi"/>
          </m:rPr>
          <w:rPr>
            <w:rFonts w:ascii="Cambria Math" w:hAnsi="Cambria Math"/>
          </w:rPr>
          <m:t>β=2</m:t>
        </m:r>
      </m:oMath>
      <w:r>
        <w:rPr>
          <w:b/>
        </w:rPr>
        <w:t>.98</w:t>
      </w:r>
      <w:r>
        <w:t>.</w:t>
      </w:r>
      <w:r>
        <w:rPr>
          <w:rStyle w:val="FootnoteReference"/>
        </w:rPr>
        <w:footnoteReference w:id="207"/>
      </w:r>
      <w:r>
        <w:t xml:space="preserve"> These are the numbers that I use in my calculations of the modified productivity gap, which is </w:t>
      </w:r>
      <m:oMath>
        <m:acc>
          <m:accPr>
            <m:chr m:val="̃"/>
            <m:ctrlPr>
              <w:rPr>
                <w:rFonts w:ascii="Cambria Math" w:hAnsi="Cambria Math"/>
                <w:b/>
                <w:i/>
              </w:rPr>
            </m:ctrlPr>
          </m:accPr>
          <m:e>
            <m:r>
              <m:rPr>
                <m:sty m:val="bi"/>
              </m:rPr>
              <w:rPr>
                <w:rFonts w:ascii="Cambria Math" w:hAnsi="Cambria Math"/>
              </w:rPr>
              <m:t>γ</m:t>
            </m:r>
          </m:e>
        </m:acc>
        <m:r>
          <m:rPr>
            <m:sty m:val="bi"/>
          </m:rPr>
          <w:rPr>
            <w:rFonts w:ascii="Cambria Math" w:hAnsi="Cambria Math"/>
          </w:rPr>
          <m:t>=1.78.</m:t>
        </m:r>
        <m:r>
          <m:rPr>
            <m:sty m:val="bi"/>
          </m:rPr>
          <w:rPr>
            <w:rStyle w:val="FootnoteReference"/>
            <w:rFonts w:ascii="Cambria Math" w:hAnsi="Cambria Math"/>
            <w:b/>
            <w:i/>
          </w:rPr>
          <w:footnoteReference w:id="208"/>
        </m:r>
      </m:oMath>
      <w:r w:rsidRPr="00B71365">
        <w:rPr>
          <w:b/>
        </w:rPr>
        <w:t xml:space="preserve"> </w:t>
      </w:r>
      <w:r w:rsidRPr="005E185E">
        <w:t xml:space="preserve">The labor share of income </w:t>
      </w:r>
      <m:oMath>
        <m:r>
          <m:rPr>
            <m:sty m:val="bi"/>
          </m:rPr>
          <w:rPr>
            <w:rFonts w:ascii="Cambria Math" w:hAnsi="Cambria Math"/>
          </w:rPr>
          <m:t>(α)</m:t>
        </m:r>
      </m:oMath>
      <w:r w:rsidRPr="005E185E">
        <w:t xml:space="preserve"> </w:t>
      </w:r>
      <w:r>
        <w:t xml:space="preserve">in Israel in 2014 was </w:t>
      </w:r>
      <w:r w:rsidRPr="00B471AD">
        <w:rPr>
          <w:b/>
        </w:rPr>
        <w:t>57%</w:t>
      </w:r>
      <w:r w:rsidRPr="005E185E">
        <w:t>.</w:t>
      </w:r>
      <w:r w:rsidRPr="005E185E">
        <w:rPr>
          <w:rStyle w:val="FootnoteReference"/>
        </w:rPr>
        <w:footnoteReference w:id="209"/>
      </w:r>
      <w:r w:rsidRPr="005E185E">
        <w:t xml:space="preserve"> </w:t>
      </w:r>
      <w:r>
        <w:t>While there are no statistics available for the labor share of income in the West Bank,</w:t>
      </w:r>
      <w:r w:rsidRPr="00A53C07">
        <w:t xml:space="preserve"> the average for the developing world in the Middle East and North Africa is about </w:t>
      </w:r>
      <w:r w:rsidRPr="00B471AD">
        <w:rPr>
          <w:b/>
        </w:rPr>
        <w:t>38%</w:t>
      </w:r>
      <w:r w:rsidRPr="00A53C07">
        <w:t>.</w:t>
      </w:r>
      <w:r w:rsidR="00167622">
        <w:t xml:space="preserve"> However, the model is only concerned with Israeli TFP, thus the labor share of income is only relevant in Israel and the labor share of income measure is precise. All of my measures are context specific and precise except for the productivity gap between Israel and the West Bank, but</w:t>
      </w:r>
      <w:r>
        <w:t xml:space="preserve"> future studies would benefit from </w:t>
      </w:r>
      <w:r w:rsidR="00167622">
        <w:t>a more precise measure of this gap because it is an important variable in the model</w:t>
      </w:r>
      <w:r>
        <w:t>.</w:t>
      </w:r>
      <w:r w:rsidRPr="00A53C07">
        <w:t xml:space="preserve"> </w:t>
      </w:r>
    </w:p>
    <w:p w14:paraId="1F7B4E4E" w14:textId="77777777" w:rsidR="00F14AB5" w:rsidRDefault="00F14AB5" w:rsidP="00F14AB5">
      <w:pPr>
        <w:ind w:firstLine="720"/>
      </w:pPr>
      <w:r w:rsidRPr="005E185E">
        <w:t xml:space="preserve">The discount rate </w:t>
      </w:r>
      <m:oMath>
        <m:r>
          <m:rPr>
            <m:sty m:val="bi"/>
          </m:rPr>
          <w:rPr>
            <w:rFonts w:ascii="Cambria Math" w:hAnsi="Cambria Math"/>
          </w:rPr>
          <m:t>(ρ)</m:t>
        </m:r>
      </m:oMath>
      <w:r w:rsidRPr="004B2DE9">
        <w:rPr>
          <w:i/>
        </w:rPr>
        <w:t xml:space="preserve"> </w:t>
      </w:r>
      <w:r>
        <w:t>for the Central Bank of</w:t>
      </w:r>
      <w:r w:rsidRPr="005E185E">
        <w:t xml:space="preserve"> Israel was 0.01</w:t>
      </w:r>
      <w:r>
        <w:t>%</w:t>
      </w:r>
      <w:r w:rsidRPr="004B2DE9">
        <w:t xml:space="preserve"> </w:t>
      </w:r>
      <w:r>
        <w:t>in 2014, but this official measure doesn’t account for individual’s decisions that subconsciously assume a discount rate on future earnings.</w:t>
      </w:r>
      <w:r w:rsidRPr="005E185E">
        <w:rPr>
          <w:rStyle w:val="FootnoteReference"/>
        </w:rPr>
        <w:footnoteReference w:id="210"/>
      </w:r>
      <w:r>
        <w:rPr>
          <w:i/>
        </w:rPr>
        <w:t xml:space="preserve"> </w:t>
      </w:r>
      <w:r>
        <w:t xml:space="preserve">Clemens and Pritchett set their discount rate at </w:t>
      </w:r>
      <w:r w:rsidRPr="00B471AD">
        <w:rPr>
          <w:b/>
        </w:rPr>
        <w:t>0.5%</w:t>
      </w:r>
      <w:r>
        <w:t xml:space="preserve">, and the RAND Corporation’s </w:t>
      </w:r>
      <w:r>
        <w:rPr>
          <w:i/>
        </w:rPr>
        <w:t xml:space="preserve">Building a Successful Palestinian State </w:t>
      </w:r>
      <w:r>
        <w:t xml:space="preserve">also sets the discount rate at </w:t>
      </w:r>
      <w:r w:rsidRPr="00B471AD">
        <w:rPr>
          <w:b/>
        </w:rPr>
        <w:t>0.5%</w:t>
      </w:r>
      <w:r>
        <w:t xml:space="preserve"> for the Palestinian economies.</w:t>
      </w:r>
      <w:r>
        <w:rPr>
          <w:rStyle w:val="FootnoteReference"/>
        </w:rPr>
        <w:footnoteReference w:id="211"/>
      </w:r>
      <w:r>
        <w:t xml:space="preserve"> I use the plausible social discount rate utilized in the RAND Corporation study on the Palestinian economies </w:t>
      </w:r>
      <w:r w:rsidRPr="00B471AD">
        <w:rPr>
          <w:b/>
        </w:rPr>
        <w:lastRenderedPageBreak/>
        <w:t>(0.5%)</w:t>
      </w:r>
      <w:r>
        <w:t xml:space="preserve"> and disregard the official discount rate from the Central Bank of Israel. A discount rate of 0.5% is safely within the recommended range for discount rates </w:t>
      </w:r>
      <w:r w:rsidRPr="00B471AD">
        <w:rPr>
          <w:b/>
        </w:rPr>
        <w:t>(1.3%-8%)</w:t>
      </w:r>
      <w:r>
        <w:t xml:space="preserve"> and is therefore considered a risk-free measure that will not bias results.</w:t>
      </w:r>
      <w:r>
        <w:rPr>
          <w:rStyle w:val="FootnoteReference"/>
        </w:rPr>
        <w:footnoteReference w:id="212"/>
      </w:r>
      <w:r>
        <w:t xml:space="preserve"> </w:t>
      </w:r>
    </w:p>
    <w:p w14:paraId="146C123C" w14:textId="5022595C" w:rsidR="00E73FAF" w:rsidRPr="005F67F7" w:rsidRDefault="00F14AB5" w:rsidP="00DC2F86">
      <w:pPr>
        <w:ind w:firstLine="720"/>
      </w:pPr>
      <w:r>
        <w:t xml:space="preserve">The unknown parameters for which values are personally calculated are the Propensity for Violence Rate </w:t>
      </w:r>
      <w:r w:rsidRPr="00A75D39">
        <w:rPr>
          <w:b/>
        </w:rPr>
        <w:t>(</w:t>
      </w:r>
      <w:r w:rsidRPr="00A75D39">
        <w:rPr>
          <w:b/>
          <w:i/>
        </w:rPr>
        <w:t>v)</w:t>
      </w:r>
      <w:r w:rsidRPr="00A75D39">
        <w:rPr>
          <w:b/>
        </w:rPr>
        <w:t>,</w:t>
      </w:r>
      <w:r>
        <w:t xml:space="preserve"> the Pacification Rate </w:t>
      </w:r>
      <w:r w:rsidRPr="00A75D39">
        <w:rPr>
          <w:b/>
        </w:rPr>
        <w:t>(</w:t>
      </w:r>
      <w:r w:rsidRPr="00A75D39">
        <w:rPr>
          <w:b/>
          <w:i/>
        </w:rPr>
        <w:t>n)</w:t>
      </w:r>
      <w:r w:rsidRPr="00A75D39">
        <w:rPr>
          <w:b/>
        </w:rPr>
        <w:t>,</w:t>
      </w:r>
      <w:r>
        <w:t xml:space="preserve"> and the Agitation Rate </w:t>
      </w:r>
      <w:r w:rsidRPr="00A75D39">
        <w:rPr>
          <w:b/>
        </w:rPr>
        <w:t>(</w:t>
      </w:r>
      <w:r w:rsidRPr="00A75D39">
        <w:rPr>
          <w:b/>
          <w:i/>
        </w:rPr>
        <w:t>r)</w:t>
      </w:r>
      <w:r>
        <w:t xml:space="preserve">. Unfortunately, only the Propensity for Violence can be precisely estimated with available data, but the Pacification Rate and the Agitation Rate can be reasonably estimated. Calculating and testing different values for these three parameters will determine how Israeli TFP changes after more WBPL are permitted to work in Israel </w:t>
      </w:r>
      <w:r w:rsidRPr="00C44A71">
        <w:rPr>
          <w:b/>
        </w:rPr>
        <w:t>(</w:t>
      </w:r>
      <w:r>
        <w:t xml:space="preserve">represented by </w:t>
      </w:r>
      <m:oMath>
        <m:acc>
          <m:accPr>
            <m:chr m:val="̃"/>
            <m:ctrlPr>
              <w:rPr>
                <w:rFonts w:ascii="Cambria Math" w:hAnsi="Cambria Math"/>
                <w:b/>
                <w:i/>
              </w:rPr>
            </m:ctrlPr>
          </m:accPr>
          <m:e>
            <m:r>
              <m:rPr>
                <m:sty m:val="bi"/>
              </m:rPr>
              <w:rPr>
                <w:rFonts w:ascii="Cambria Math" w:hAnsi="Cambria Math"/>
              </w:rPr>
              <m:t>A</m:t>
            </m:r>
          </m:e>
        </m:acc>
      </m:oMath>
      <w:r>
        <w:rPr>
          <w:b/>
        </w:rPr>
        <w:t xml:space="preserve"> </w:t>
      </w:r>
      <w:r w:rsidR="0017550F">
        <w:t>in Equation 3 and Figure 8</w:t>
      </w:r>
      <w:r>
        <w:t>).</w:t>
      </w:r>
    </w:p>
    <w:p w14:paraId="6F257302" w14:textId="0B295CF0" w:rsidR="00707E1F" w:rsidRPr="00707E1F" w:rsidRDefault="00707E1F" w:rsidP="00707E1F">
      <w:pPr>
        <w:pStyle w:val="Caption"/>
        <w:keepNext/>
        <w:jc w:val="center"/>
        <w:rPr>
          <w:color w:val="auto"/>
          <w:sz w:val="24"/>
        </w:rPr>
      </w:pPr>
      <w:bookmarkStart w:id="66" w:name="_Toc323490975"/>
      <w:bookmarkStart w:id="67" w:name="_Toc324146562"/>
      <w:bookmarkStart w:id="68" w:name="_Toc324264459"/>
      <w:bookmarkStart w:id="69" w:name="_Toc324264706"/>
      <w:r w:rsidRPr="00707E1F">
        <w:rPr>
          <w:color w:val="auto"/>
          <w:sz w:val="24"/>
        </w:rPr>
        <w:t xml:space="preserve">Table </w:t>
      </w:r>
      <w:r w:rsidRPr="00707E1F">
        <w:rPr>
          <w:color w:val="auto"/>
          <w:sz w:val="24"/>
        </w:rPr>
        <w:fldChar w:fldCharType="begin"/>
      </w:r>
      <w:r w:rsidRPr="00707E1F">
        <w:rPr>
          <w:color w:val="auto"/>
          <w:sz w:val="24"/>
        </w:rPr>
        <w:instrText xml:space="preserve"> SEQ Table \* ARABIC </w:instrText>
      </w:r>
      <w:r w:rsidRPr="00707E1F">
        <w:rPr>
          <w:color w:val="auto"/>
          <w:sz w:val="24"/>
        </w:rPr>
        <w:fldChar w:fldCharType="separate"/>
      </w:r>
      <w:r w:rsidR="00500133">
        <w:rPr>
          <w:noProof/>
          <w:color w:val="auto"/>
          <w:sz w:val="24"/>
        </w:rPr>
        <w:t>7</w:t>
      </w:r>
      <w:r w:rsidRPr="00707E1F">
        <w:rPr>
          <w:color w:val="auto"/>
          <w:sz w:val="24"/>
        </w:rPr>
        <w:fldChar w:fldCharType="end"/>
      </w:r>
      <w:r w:rsidRPr="00707E1F">
        <w:rPr>
          <w:color w:val="auto"/>
          <w:sz w:val="24"/>
        </w:rPr>
        <w:t>: Known Measures in the Model</w:t>
      </w:r>
      <w:bookmarkEnd w:id="66"/>
      <w:bookmarkEnd w:id="67"/>
      <w:bookmarkEnd w:id="68"/>
      <w:bookmarkEnd w:id="69"/>
    </w:p>
    <w:tbl>
      <w:tblPr>
        <w:tblStyle w:val="LightGrid"/>
        <w:tblW w:w="0" w:type="auto"/>
        <w:tblInd w:w="918" w:type="dxa"/>
        <w:tblLook w:val="04A0" w:firstRow="1" w:lastRow="0" w:firstColumn="1" w:lastColumn="0" w:noHBand="0" w:noVBand="1"/>
      </w:tblPr>
      <w:tblGrid>
        <w:gridCol w:w="2236"/>
        <w:gridCol w:w="2236"/>
        <w:gridCol w:w="2237"/>
      </w:tblGrid>
      <w:tr w:rsidR="00F14AB5" w14:paraId="3E2CC51C" w14:textId="77777777" w:rsidTr="00F14AB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6" w:type="dxa"/>
          </w:tcPr>
          <w:p w14:paraId="1B55DFCC" w14:textId="77777777" w:rsidR="00F14AB5" w:rsidRPr="00C10A3E" w:rsidRDefault="00F14AB5" w:rsidP="00DC2F86">
            <w:pPr>
              <w:spacing w:line="240" w:lineRule="auto"/>
              <w:jc w:val="center"/>
            </w:pPr>
            <w:r w:rsidRPr="00C10A3E">
              <w:t>Measure</w:t>
            </w:r>
          </w:p>
        </w:tc>
        <w:tc>
          <w:tcPr>
            <w:tcW w:w="2236" w:type="dxa"/>
          </w:tcPr>
          <w:p w14:paraId="48775759" w14:textId="77777777" w:rsidR="00F14AB5" w:rsidRPr="00C10A3E" w:rsidRDefault="00F14AB5" w:rsidP="00DC2F86">
            <w:pPr>
              <w:spacing w:line="240" w:lineRule="auto"/>
              <w:jc w:val="center"/>
              <w:cnfStyle w:val="100000000000" w:firstRow="1" w:lastRow="0" w:firstColumn="0" w:lastColumn="0" w:oddVBand="0" w:evenVBand="0" w:oddHBand="0" w:evenHBand="0" w:firstRowFirstColumn="0" w:firstRowLastColumn="0" w:lastRowFirstColumn="0" w:lastRowLastColumn="0"/>
            </w:pPr>
            <w:r w:rsidRPr="00C10A3E">
              <w:t>Symbol in the Model</w:t>
            </w:r>
          </w:p>
        </w:tc>
        <w:tc>
          <w:tcPr>
            <w:tcW w:w="2237" w:type="dxa"/>
          </w:tcPr>
          <w:p w14:paraId="255EBAB0" w14:textId="77777777" w:rsidR="00F14AB5" w:rsidRPr="00C10A3E" w:rsidRDefault="00F14AB5" w:rsidP="00DC2F86">
            <w:pPr>
              <w:spacing w:line="240" w:lineRule="auto"/>
              <w:jc w:val="center"/>
              <w:cnfStyle w:val="100000000000" w:firstRow="1" w:lastRow="0" w:firstColumn="0" w:lastColumn="0" w:oddVBand="0" w:evenVBand="0" w:oddHBand="0" w:evenHBand="0" w:firstRowFirstColumn="0" w:firstRowLastColumn="0" w:lastRowFirstColumn="0" w:lastRowLastColumn="0"/>
            </w:pPr>
            <w:r w:rsidRPr="00C10A3E">
              <w:t>Value</w:t>
            </w:r>
          </w:p>
        </w:tc>
      </w:tr>
      <w:tr w:rsidR="00F14AB5" w14:paraId="1F58DD53" w14:textId="77777777" w:rsidTr="00F14A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6" w:type="dxa"/>
          </w:tcPr>
          <w:p w14:paraId="56928E79" w14:textId="77777777" w:rsidR="00F14AB5" w:rsidRPr="00C10A3E" w:rsidRDefault="00F14AB5" w:rsidP="00DC2F86">
            <w:pPr>
              <w:spacing w:line="240" w:lineRule="auto"/>
              <w:jc w:val="center"/>
              <w:rPr>
                <w:b w:val="0"/>
              </w:rPr>
            </w:pPr>
            <w:r w:rsidRPr="00C10A3E">
              <w:rPr>
                <w:b w:val="0"/>
              </w:rPr>
              <w:t>Israeli TFP</w:t>
            </w:r>
          </w:p>
        </w:tc>
        <w:tc>
          <w:tcPr>
            <w:tcW w:w="2236" w:type="dxa"/>
          </w:tcPr>
          <w:p w14:paraId="4F70A6DA" w14:textId="77777777" w:rsidR="00F14AB5" w:rsidRPr="00C10A3E" w:rsidRDefault="00500133" w:rsidP="00DC2F86">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ＭＳ 明朝"/>
                <w:b/>
              </w:rPr>
            </w:pPr>
            <m:oMathPara>
              <m:oMath>
                <m:bar>
                  <m:barPr>
                    <m:pos m:val="top"/>
                    <m:ctrlPr>
                      <w:rPr>
                        <w:rFonts w:ascii="Cambria Math" w:eastAsia="ＭＳ 明朝" w:hAnsi="Cambria Math"/>
                        <w:b/>
                        <w:i/>
                      </w:rPr>
                    </m:ctrlPr>
                  </m:barPr>
                  <m:e>
                    <m:r>
                      <m:rPr>
                        <m:sty m:val="bi"/>
                      </m:rPr>
                      <w:rPr>
                        <w:rFonts w:ascii="Cambria Math" w:eastAsia="ＭＳ 明朝" w:hAnsi="Cambria Math"/>
                      </w:rPr>
                      <m:t>A</m:t>
                    </m:r>
                  </m:e>
                </m:bar>
              </m:oMath>
            </m:oMathPara>
          </w:p>
        </w:tc>
        <w:tc>
          <w:tcPr>
            <w:tcW w:w="2237" w:type="dxa"/>
          </w:tcPr>
          <w:p w14:paraId="2FBDCC71" w14:textId="77777777" w:rsidR="00F14AB5" w:rsidRPr="00C10A3E" w:rsidRDefault="00F14AB5" w:rsidP="00DC2F86">
            <w:pPr>
              <w:spacing w:line="240" w:lineRule="auto"/>
              <w:jc w:val="center"/>
              <w:cnfStyle w:val="000000100000" w:firstRow="0" w:lastRow="0" w:firstColumn="0" w:lastColumn="0" w:oddVBand="0" w:evenVBand="0" w:oddHBand="1" w:evenHBand="0" w:firstRowFirstColumn="0" w:firstRowLastColumn="0" w:lastRowFirstColumn="0" w:lastRowLastColumn="0"/>
              <w:rPr>
                <w:b/>
              </w:rPr>
            </w:pPr>
            <w:r w:rsidRPr="00C10A3E">
              <w:rPr>
                <w:b/>
              </w:rPr>
              <w:t>1</w:t>
            </w:r>
          </w:p>
        </w:tc>
      </w:tr>
      <w:tr w:rsidR="00F14AB5" w14:paraId="4D09F092" w14:textId="77777777" w:rsidTr="00F14AB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6" w:type="dxa"/>
          </w:tcPr>
          <w:p w14:paraId="2F2F7D90" w14:textId="77777777" w:rsidR="00F14AB5" w:rsidRPr="00C10A3E" w:rsidRDefault="00F14AB5" w:rsidP="00DC2F86">
            <w:pPr>
              <w:spacing w:line="240" w:lineRule="auto"/>
              <w:jc w:val="center"/>
              <w:rPr>
                <w:b w:val="0"/>
              </w:rPr>
            </w:pPr>
            <w:r w:rsidRPr="00C10A3E">
              <w:rPr>
                <w:b w:val="0"/>
              </w:rPr>
              <w:t>West Bank TFP</w:t>
            </w:r>
          </w:p>
        </w:tc>
        <w:tc>
          <w:tcPr>
            <w:tcW w:w="2236" w:type="dxa"/>
          </w:tcPr>
          <w:p w14:paraId="4BF0D0EF" w14:textId="77777777" w:rsidR="00F14AB5" w:rsidRPr="00C10A3E" w:rsidRDefault="00500133" w:rsidP="00DC2F86">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ＭＳ 明朝"/>
                <w:b/>
              </w:rPr>
            </w:pPr>
            <m:oMathPara>
              <m:oMath>
                <m:bar>
                  <m:barPr>
                    <m:ctrlPr>
                      <w:rPr>
                        <w:rFonts w:ascii="Cambria Math" w:eastAsia="ＭＳ 明朝" w:hAnsi="Cambria Math"/>
                        <w:b/>
                        <w:i/>
                      </w:rPr>
                    </m:ctrlPr>
                  </m:barPr>
                  <m:e>
                    <m:r>
                      <m:rPr>
                        <m:sty m:val="bi"/>
                      </m:rPr>
                      <w:rPr>
                        <w:rFonts w:ascii="Cambria Math" w:eastAsia="ＭＳ 明朝" w:hAnsi="Cambria Math"/>
                      </w:rPr>
                      <m:t>A</m:t>
                    </m:r>
                  </m:e>
                </m:bar>
              </m:oMath>
            </m:oMathPara>
          </w:p>
        </w:tc>
        <w:tc>
          <w:tcPr>
            <w:tcW w:w="2237" w:type="dxa"/>
          </w:tcPr>
          <w:p w14:paraId="708C2F92" w14:textId="77777777" w:rsidR="00F14AB5" w:rsidRPr="00C10A3E" w:rsidRDefault="00F14AB5" w:rsidP="00DC2F86">
            <w:pPr>
              <w:spacing w:line="240" w:lineRule="auto"/>
              <w:jc w:val="center"/>
              <w:cnfStyle w:val="000000010000" w:firstRow="0" w:lastRow="0" w:firstColumn="0" w:lastColumn="0" w:oddVBand="0" w:evenVBand="0" w:oddHBand="0" w:evenHBand="1" w:firstRowFirstColumn="0" w:firstRowLastColumn="0" w:lastRowFirstColumn="0" w:lastRowLastColumn="0"/>
              <w:rPr>
                <w:b/>
              </w:rPr>
            </w:pPr>
            <w:r w:rsidRPr="00C10A3E">
              <w:rPr>
                <w:b/>
              </w:rPr>
              <w:t>0.2</w:t>
            </w:r>
          </w:p>
        </w:tc>
      </w:tr>
      <w:tr w:rsidR="00F14AB5" w14:paraId="3F490EA4" w14:textId="77777777" w:rsidTr="00F14A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6" w:type="dxa"/>
          </w:tcPr>
          <w:p w14:paraId="115EE6AF" w14:textId="77777777" w:rsidR="00F14AB5" w:rsidRPr="00C10A3E" w:rsidRDefault="00F14AB5" w:rsidP="00DC2F86">
            <w:pPr>
              <w:spacing w:line="240" w:lineRule="auto"/>
              <w:jc w:val="center"/>
              <w:rPr>
                <w:b w:val="0"/>
              </w:rPr>
            </w:pPr>
            <w:r w:rsidRPr="00C10A3E">
              <w:rPr>
                <w:b w:val="0"/>
              </w:rPr>
              <w:t>Productivity Gap</w:t>
            </w:r>
          </w:p>
        </w:tc>
        <w:tc>
          <w:tcPr>
            <w:tcW w:w="2236" w:type="dxa"/>
          </w:tcPr>
          <w:p w14:paraId="00C492A8" w14:textId="77777777" w:rsidR="00F14AB5" w:rsidRPr="00C10A3E" w:rsidRDefault="00F14AB5" w:rsidP="00DC2F86">
            <w:pPr>
              <w:spacing w:line="240" w:lineRule="auto"/>
              <w:jc w:val="center"/>
              <w:cnfStyle w:val="000000100000" w:firstRow="0" w:lastRow="0" w:firstColumn="0" w:lastColumn="0" w:oddVBand="0" w:evenVBand="0" w:oddHBand="1" w:evenHBand="0" w:firstRowFirstColumn="0" w:firstRowLastColumn="0" w:lastRowFirstColumn="0" w:lastRowLastColumn="0"/>
              <w:rPr>
                <w:b/>
              </w:rPr>
            </w:pPr>
            <m:oMathPara>
              <m:oMath>
                <m:r>
                  <m:rPr>
                    <m:sty m:val="bi"/>
                  </m:rPr>
                  <w:rPr>
                    <w:rFonts w:ascii="Cambria Math" w:hAnsi="Cambria Math"/>
                  </w:rPr>
                  <m:t>γ</m:t>
                </m:r>
              </m:oMath>
            </m:oMathPara>
          </w:p>
        </w:tc>
        <w:tc>
          <w:tcPr>
            <w:tcW w:w="2237" w:type="dxa"/>
          </w:tcPr>
          <w:p w14:paraId="103AEAA9" w14:textId="77777777" w:rsidR="00F14AB5" w:rsidRPr="00C10A3E" w:rsidRDefault="00F14AB5" w:rsidP="00DC2F86">
            <w:pPr>
              <w:spacing w:line="240" w:lineRule="auto"/>
              <w:jc w:val="center"/>
              <w:cnfStyle w:val="000000100000" w:firstRow="0" w:lastRow="0" w:firstColumn="0" w:lastColumn="0" w:oddVBand="0" w:evenVBand="0" w:oddHBand="1" w:evenHBand="0" w:firstRowFirstColumn="0" w:firstRowLastColumn="0" w:lastRowFirstColumn="0" w:lastRowLastColumn="0"/>
              <w:rPr>
                <w:b/>
              </w:rPr>
            </w:pPr>
            <w:r w:rsidRPr="00C10A3E">
              <w:rPr>
                <w:b/>
              </w:rPr>
              <w:t>0.8</w:t>
            </w:r>
          </w:p>
        </w:tc>
      </w:tr>
      <w:tr w:rsidR="00F14AB5" w14:paraId="10B218FC" w14:textId="77777777" w:rsidTr="00F14AB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6" w:type="dxa"/>
          </w:tcPr>
          <w:p w14:paraId="70C38639" w14:textId="77777777" w:rsidR="00F14AB5" w:rsidRPr="00C10A3E" w:rsidRDefault="00F14AB5" w:rsidP="00DC2F86">
            <w:pPr>
              <w:spacing w:line="240" w:lineRule="auto"/>
              <w:jc w:val="center"/>
              <w:rPr>
                <w:b w:val="0"/>
              </w:rPr>
            </w:pPr>
            <w:r w:rsidRPr="00C10A3E">
              <w:rPr>
                <w:b w:val="0"/>
              </w:rPr>
              <w:t>Modified Productivity Gap</w:t>
            </w:r>
          </w:p>
        </w:tc>
        <w:tc>
          <w:tcPr>
            <w:tcW w:w="2236" w:type="dxa"/>
          </w:tcPr>
          <w:p w14:paraId="18013CBC" w14:textId="77777777" w:rsidR="00F14AB5" w:rsidRPr="00C10A3E" w:rsidRDefault="00500133" w:rsidP="00DC2F86">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ＭＳ 明朝"/>
                <w:b/>
              </w:rPr>
            </w:pPr>
            <m:oMathPara>
              <m:oMath>
                <m:acc>
                  <m:accPr>
                    <m:chr m:val="̃"/>
                    <m:ctrlPr>
                      <w:rPr>
                        <w:rFonts w:ascii="Cambria Math" w:eastAsia="ＭＳ 明朝" w:hAnsi="Cambria Math"/>
                        <w:b/>
                        <w:i/>
                      </w:rPr>
                    </m:ctrlPr>
                  </m:accPr>
                  <m:e>
                    <m:r>
                      <m:rPr>
                        <m:sty m:val="bi"/>
                      </m:rPr>
                      <w:rPr>
                        <w:rFonts w:ascii="Cambria Math" w:eastAsia="ＭＳ 明朝" w:hAnsi="Cambria Math"/>
                      </w:rPr>
                      <m:t>γ</m:t>
                    </m:r>
                  </m:e>
                </m:acc>
              </m:oMath>
            </m:oMathPara>
          </w:p>
        </w:tc>
        <w:tc>
          <w:tcPr>
            <w:tcW w:w="2237" w:type="dxa"/>
          </w:tcPr>
          <w:p w14:paraId="0283ADE0" w14:textId="77777777" w:rsidR="00F14AB5" w:rsidRPr="00C10A3E" w:rsidRDefault="00F14AB5" w:rsidP="00DC2F86">
            <w:pPr>
              <w:spacing w:line="240" w:lineRule="auto"/>
              <w:jc w:val="center"/>
              <w:cnfStyle w:val="000000010000" w:firstRow="0" w:lastRow="0" w:firstColumn="0" w:lastColumn="0" w:oddVBand="0" w:evenVBand="0" w:oddHBand="0" w:evenHBand="1" w:firstRowFirstColumn="0" w:firstRowLastColumn="0" w:lastRowFirstColumn="0" w:lastRowLastColumn="0"/>
              <w:rPr>
                <w:b/>
              </w:rPr>
            </w:pPr>
            <w:r>
              <w:rPr>
                <w:b/>
              </w:rPr>
              <w:t>1.78</w:t>
            </w:r>
          </w:p>
        </w:tc>
      </w:tr>
      <w:tr w:rsidR="00F14AB5" w14:paraId="139BB147" w14:textId="77777777" w:rsidTr="00F14A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6" w:type="dxa"/>
          </w:tcPr>
          <w:p w14:paraId="1B752E47" w14:textId="77777777" w:rsidR="00F14AB5" w:rsidRPr="00C10A3E" w:rsidRDefault="00F14AB5" w:rsidP="00DC2F86">
            <w:pPr>
              <w:spacing w:line="240" w:lineRule="auto"/>
              <w:jc w:val="center"/>
              <w:rPr>
                <w:b w:val="0"/>
              </w:rPr>
            </w:pPr>
            <w:r w:rsidRPr="00C10A3E">
              <w:rPr>
                <w:b w:val="0"/>
              </w:rPr>
              <w:t>Population Proportion</w:t>
            </w:r>
          </w:p>
        </w:tc>
        <w:tc>
          <w:tcPr>
            <w:tcW w:w="2236" w:type="dxa"/>
          </w:tcPr>
          <w:p w14:paraId="797D2325" w14:textId="77777777" w:rsidR="00F14AB5" w:rsidRPr="00C10A3E" w:rsidRDefault="00F14AB5" w:rsidP="00DC2F86">
            <w:pPr>
              <w:spacing w:line="240" w:lineRule="auto"/>
              <w:jc w:val="center"/>
              <w:cnfStyle w:val="000000100000" w:firstRow="0" w:lastRow="0" w:firstColumn="0" w:lastColumn="0" w:oddVBand="0" w:evenVBand="0" w:oddHBand="1" w:evenHBand="0" w:firstRowFirstColumn="0" w:firstRowLastColumn="0" w:lastRowFirstColumn="0" w:lastRowLastColumn="0"/>
              <w:rPr>
                <w:b/>
              </w:rPr>
            </w:pPr>
            <m:oMathPara>
              <m:oMath>
                <m:r>
                  <m:rPr>
                    <m:sty m:val="bi"/>
                  </m:rPr>
                  <w:rPr>
                    <w:rFonts w:ascii="Cambria Math" w:hAnsi="Cambria Math"/>
                  </w:rPr>
                  <m:t>β</m:t>
                </m:r>
              </m:oMath>
            </m:oMathPara>
          </w:p>
        </w:tc>
        <w:tc>
          <w:tcPr>
            <w:tcW w:w="2237" w:type="dxa"/>
          </w:tcPr>
          <w:p w14:paraId="50BA3BF9" w14:textId="77777777" w:rsidR="00F14AB5" w:rsidRPr="00C10A3E" w:rsidRDefault="00F14AB5" w:rsidP="00DC2F86">
            <w:pPr>
              <w:spacing w:line="240" w:lineRule="auto"/>
              <w:jc w:val="center"/>
              <w:cnfStyle w:val="000000100000" w:firstRow="0" w:lastRow="0" w:firstColumn="0" w:lastColumn="0" w:oddVBand="0" w:evenVBand="0" w:oddHBand="1" w:evenHBand="0" w:firstRowFirstColumn="0" w:firstRowLastColumn="0" w:lastRowFirstColumn="0" w:lastRowLastColumn="0"/>
              <w:rPr>
                <w:b/>
              </w:rPr>
            </w:pPr>
            <w:r>
              <w:rPr>
                <w:b/>
              </w:rPr>
              <w:t>2.98</w:t>
            </w:r>
          </w:p>
        </w:tc>
      </w:tr>
      <w:tr w:rsidR="00F14AB5" w14:paraId="75973FD2" w14:textId="77777777" w:rsidTr="00F14AB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6" w:type="dxa"/>
          </w:tcPr>
          <w:p w14:paraId="56ECA0E5" w14:textId="77777777" w:rsidR="00F14AB5" w:rsidRPr="00C10A3E" w:rsidRDefault="00F14AB5" w:rsidP="00DC2F86">
            <w:pPr>
              <w:spacing w:line="240" w:lineRule="auto"/>
              <w:jc w:val="center"/>
              <w:rPr>
                <w:b w:val="0"/>
              </w:rPr>
            </w:pPr>
            <w:r w:rsidRPr="00C10A3E">
              <w:rPr>
                <w:b w:val="0"/>
              </w:rPr>
              <w:t>Social Discount Rate</w:t>
            </w:r>
          </w:p>
        </w:tc>
        <w:tc>
          <w:tcPr>
            <w:tcW w:w="2236" w:type="dxa"/>
          </w:tcPr>
          <w:p w14:paraId="4EE5628F" w14:textId="77777777" w:rsidR="00F14AB5" w:rsidRPr="00C10A3E" w:rsidRDefault="00F14AB5" w:rsidP="00DC2F86">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ＭＳ 明朝"/>
                <w:b/>
              </w:rPr>
            </w:pPr>
            <m:oMathPara>
              <m:oMath>
                <m:r>
                  <m:rPr>
                    <m:sty m:val="bi"/>
                  </m:rPr>
                  <w:rPr>
                    <w:rFonts w:ascii="Cambria Math" w:eastAsia="ＭＳ 明朝" w:hAnsi="Cambria Math"/>
                  </w:rPr>
                  <m:t>ρ</m:t>
                </m:r>
              </m:oMath>
            </m:oMathPara>
          </w:p>
        </w:tc>
        <w:tc>
          <w:tcPr>
            <w:tcW w:w="2237" w:type="dxa"/>
          </w:tcPr>
          <w:p w14:paraId="5102DAF8" w14:textId="77777777" w:rsidR="00F14AB5" w:rsidRPr="00C10A3E" w:rsidRDefault="00F14AB5" w:rsidP="00DC2F86">
            <w:pPr>
              <w:spacing w:line="240" w:lineRule="auto"/>
              <w:jc w:val="center"/>
              <w:cnfStyle w:val="000000010000" w:firstRow="0" w:lastRow="0" w:firstColumn="0" w:lastColumn="0" w:oddVBand="0" w:evenVBand="0" w:oddHBand="0" w:evenHBand="1" w:firstRowFirstColumn="0" w:firstRowLastColumn="0" w:lastRowFirstColumn="0" w:lastRowLastColumn="0"/>
              <w:rPr>
                <w:b/>
              </w:rPr>
            </w:pPr>
            <w:r w:rsidRPr="00C10A3E">
              <w:rPr>
                <w:b/>
              </w:rPr>
              <w:t>0.5</w:t>
            </w:r>
          </w:p>
        </w:tc>
      </w:tr>
      <w:tr w:rsidR="00F14AB5" w14:paraId="5C56604E" w14:textId="77777777" w:rsidTr="00F14A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6" w:type="dxa"/>
          </w:tcPr>
          <w:p w14:paraId="4678526D" w14:textId="77777777" w:rsidR="00F14AB5" w:rsidRPr="00C10A3E" w:rsidRDefault="00F14AB5" w:rsidP="00DC2F86">
            <w:pPr>
              <w:spacing w:line="240" w:lineRule="auto"/>
              <w:jc w:val="center"/>
              <w:rPr>
                <w:b w:val="0"/>
              </w:rPr>
            </w:pPr>
            <w:r w:rsidRPr="00C10A3E">
              <w:rPr>
                <w:b w:val="0"/>
              </w:rPr>
              <w:t>Labor Share of Income in Israel</w:t>
            </w:r>
          </w:p>
        </w:tc>
        <w:tc>
          <w:tcPr>
            <w:tcW w:w="2236" w:type="dxa"/>
          </w:tcPr>
          <w:p w14:paraId="10FEF23F" w14:textId="77777777" w:rsidR="00F14AB5" w:rsidRPr="00C10A3E" w:rsidRDefault="00F14AB5" w:rsidP="00DC2F86">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ＭＳ 明朝"/>
                <w:b/>
              </w:rPr>
            </w:pPr>
            <m:oMathPara>
              <m:oMath>
                <m:r>
                  <m:rPr>
                    <m:sty m:val="bi"/>
                  </m:rPr>
                  <w:rPr>
                    <w:rFonts w:ascii="Cambria Math" w:eastAsia="ＭＳ 明朝" w:hAnsi="Cambria Math"/>
                  </w:rPr>
                  <m:t>α</m:t>
                </m:r>
              </m:oMath>
            </m:oMathPara>
          </w:p>
        </w:tc>
        <w:tc>
          <w:tcPr>
            <w:tcW w:w="2237" w:type="dxa"/>
          </w:tcPr>
          <w:p w14:paraId="1FA01BC7" w14:textId="77777777" w:rsidR="00F14AB5" w:rsidRPr="00C10A3E" w:rsidRDefault="00F14AB5" w:rsidP="00DC2F86">
            <w:pPr>
              <w:spacing w:line="240" w:lineRule="auto"/>
              <w:jc w:val="center"/>
              <w:cnfStyle w:val="000000100000" w:firstRow="0" w:lastRow="0" w:firstColumn="0" w:lastColumn="0" w:oddVBand="0" w:evenVBand="0" w:oddHBand="1" w:evenHBand="0" w:firstRowFirstColumn="0" w:firstRowLastColumn="0" w:lastRowFirstColumn="0" w:lastRowLastColumn="0"/>
              <w:rPr>
                <w:b/>
              </w:rPr>
            </w:pPr>
            <w:r w:rsidRPr="00C10A3E">
              <w:rPr>
                <w:b/>
              </w:rPr>
              <w:t>0.57</w:t>
            </w:r>
          </w:p>
        </w:tc>
      </w:tr>
      <w:tr w:rsidR="00F14AB5" w14:paraId="5E39D05E" w14:textId="77777777" w:rsidTr="00F14AB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6" w:type="dxa"/>
          </w:tcPr>
          <w:p w14:paraId="78B98752" w14:textId="77777777" w:rsidR="00F14AB5" w:rsidRPr="00C10A3E" w:rsidRDefault="00F14AB5" w:rsidP="00DC2F86">
            <w:pPr>
              <w:spacing w:line="240" w:lineRule="auto"/>
              <w:jc w:val="center"/>
              <w:rPr>
                <w:b w:val="0"/>
              </w:rPr>
            </w:pPr>
            <w:r w:rsidRPr="00C10A3E">
              <w:rPr>
                <w:b w:val="0"/>
              </w:rPr>
              <w:t>Labor Share of Income in MENA</w:t>
            </w:r>
          </w:p>
        </w:tc>
        <w:tc>
          <w:tcPr>
            <w:tcW w:w="2236" w:type="dxa"/>
          </w:tcPr>
          <w:p w14:paraId="00893FB7" w14:textId="77777777" w:rsidR="00F14AB5" w:rsidRPr="00C10A3E" w:rsidRDefault="00F14AB5" w:rsidP="00DC2F86">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ＭＳ 明朝"/>
                <w:b/>
              </w:rPr>
            </w:pPr>
            <m:oMathPara>
              <m:oMath>
                <m:r>
                  <m:rPr>
                    <m:sty m:val="bi"/>
                  </m:rPr>
                  <w:rPr>
                    <w:rFonts w:ascii="Cambria Math" w:eastAsia="ＭＳ 明朝" w:hAnsi="Cambria Math"/>
                  </w:rPr>
                  <m:t>α'</m:t>
                </m:r>
              </m:oMath>
            </m:oMathPara>
          </w:p>
        </w:tc>
        <w:tc>
          <w:tcPr>
            <w:tcW w:w="2237" w:type="dxa"/>
          </w:tcPr>
          <w:p w14:paraId="2C5E0AC0" w14:textId="77777777" w:rsidR="00F14AB5" w:rsidRDefault="00F14AB5" w:rsidP="00DC2F86">
            <w:pPr>
              <w:spacing w:line="240" w:lineRule="auto"/>
              <w:jc w:val="center"/>
              <w:cnfStyle w:val="000000010000" w:firstRow="0" w:lastRow="0" w:firstColumn="0" w:lastColumn="0" w:oddVBand="0" w:evenVBand="0" w:oddHBand="0" w:evenHBand="1" w:firstRowFirstColumn="0" w:firstRowLastColumn="0" w:lastRowFirstColumn="0" w:lastRowLastColumn="0"/>
              <w:rPr>
                <w:b/>
              </w:rPr>
            </w:pPr>
            <w:r w:rsidRPr="00C10A3E">
              <w:rPr>
                <w:b/>
              </w:rPr>
              <w:t>0.38</w:t>
            </w:r>
          </w:p>
          <w:p w14:paraId="2ECF353A" w14:textId="77777777" w:rsidR="00F14AB5" w:rsidRPr="00C10A3E" w:rsidRDefault="00F14AB5" w:rsidP="00DC2F86">
            <w:pPr>
              <w:spacing w:line="240" w:lineRule="auto"/>
              <w:cnfStyle w:val="000000010000" w:firstRow="0" w:lastRow="0" w:firstColumn="0" w:lastColumn="0" w:oddVBand="0" w:evenVBand="0" w:oddHBand="0" w:evenHBand="1" w:firstRowFirstColumn="0" w:firstRowLastColumn="0" w:lastRowFirstColumn="0" w:lastRowLastColumn="0"/>
              <w:rPr>
                <w:b/>
              </w:rPr>
            </w:pPr>
          </w:p>
        </w:tc>
      </w:tr>
      <w:tr w:rsidR="00F14AB5" w14:paraId="09347F95" w14:textId="77777777" w:rsidTr="00F14A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6" w:type="dxa"/>
          </w:tcPr>
          <w:p w14:paraId="6AFB839F" w14:textId="369E2C61" w:rsidR="00F14AB5" w:rsidRPr="00C10A3E" w:rsidRDefault="00F14AB5" w:rsidP="00DC2F86">
            <w:pPr>
              <w:spacing w:line="240" w:lineRule="auto"/>
              <w:jc w:val="center"/>
              <w:rPr>
                <w:b w:val="0"/>
              </w:rPr>
            </w:pPr>
            <w:r>
              <w:rPr>
                <w:b w:val="0"/>
              </w:rPr>
              <w:t>Curr</w:t>
            </w:r>
            <w:r w:rsidR="00DC2F86">
              <w:rPr>
                <w:b w:val="0"/>
              </w:rPr>
              <w:t xml:space="preserve">ent Ratio of WBPL </w:t>
            </w:r>
            <w:r>
              <w:rPr>
                <w:b w:val="0"/>
              </w:rPr>
              <w:t>e Israeli Labor Force</w:t>
            </w:r>
          </w:p>
        </w:tc>
        <w:tc>
          <w:tcPr>
            <w:tcW w:w="2236" w:type="dxa"/>
          </w:tcPr>
          <w:p w14:paraId="4DF54846" w14:textId="77777777" w:rsidR="00F14AB5" w:rsidRDefault="00F14AB5" w:rsidP="00DC2F86">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ＭＳ 明朝"/>
                <w:b/>
              </w:rPr>
            </w:pPr>
          </w:p>
          <w:p w14:paraId="55E27347" w14:textId="77777777" w:rsidR="00F14AB5" w:rsidRPr="00A04184" w:rsidRDefault="00F14AB5" w:rsidP="00DC2F86">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ＭＳ 明朝"/>
                <w:b/>
                <w:i/>
              </w:rPr>
            </w:pPr>
            <w:r w:rsidRPr="00A04184">
              <w:rPr>
                <w:rFonts w:eastAsia="ＭＳ 明朝"/>
                <w:b/>
                <w:i/>
              </w:rPr>
              <w:t>p</w:t>
            </w:r>
            <w:r>
              <w:rPr>
                <w:rFonts w:eastAsia="ＭＳ 明朝"/>
                <w:b/>
                <w:i/>
              </w:rPr>
              <w:t>*</w:t>
            </w:r>
          </w:p>
        </w:tc>
        <w:tc>
          <w:tcPr>
            <w:tcW w:w="2237" w:type="dxa"/>
          </w:tcPr>
          <w:p w14:paraId="6B6D606E" w14:textId="77777777" w:rsidR="00F14AB5" w:rsidRDefault="00F14AB5" w:rsidP="00DC2F86">
            <w:pPr>
              <w:spacing w:line="240" w:lineRule="auto"/>
              <w:jc w:val="center"/>
              <w:cnfStyle w:val="000000100000" w:firstRow="0" w:lastRow="0" w:firstColumn="0" w:lastColumn="0" w:oddVBand="0" w:evenVBand="0" w:oddHBand="1" w:evenHBand="0" w:firstRowFirstColumn="0" w:firstRowLastColumn="0" w:lastRowFirstColumn="0" w:lastRowLastColumn="0"/>
              <w:rPr>
                <w:b/>
              </w:rPr>
            </w:pPr>
          </w:p>
          <w:p w14:paraId="5E193C8B" w14:textId="77777777" w:rsidR="00F14AB5" w:rsidRPr="00C10A3E" w:rsidRDefault="00F14AB5" w:rsidP="00DC2F86">
            <w:pPr>
              <w:spacing w:line="240" w:lineRule="auto"/>
              <w:jc w:val="center"/>
              <w:cnfStyle w:val="000000100000" w:firstRow="0" w:lastRow="0" w:firstColumn="0" w:lastColumn="0" w:oddVBand="0" w:evenVBand="0" w:oddHBand="1" w:evenHBand="0" w:firstRowFirstColumn="0" w:firstRowLastColumn="0" w:lastRowFirstColumn="0" w:lastRowLastColumn="0"/>
              <w:rPr>
                <w:b/>
              </w:rPr>
            </w:pPr>
            <w:r>
              <w:rPr>
                <w:b/>
              </w:rPr>
              <w:t>0.029</w:t>
            </w:r>
          </w:p>
        </w:tc>
      </w:tr>
    </w:tbl>
    <w:p w14:paraId="3E0F3DDD" w14:textId="77777777" w:rsidR="00F14AB5" w:rsidRPr="00F776C0" w:rsidRDefault="00F14AB5" w:rsidP="009F031A">
      <w:pPr>
        <w:spacing w:line="240" w:lineRule="auto"/>
        <w:ind w:left="810" w:right="936"/>
      </w:pPr>
      <w:r w:rsidRPr="00F776C0">
        <w:rPr>
          <w:b/>
          <w:sz w:val="20"/>
        </w:rPr>
        <w:t xml:space="preserve">Note: </w:t>
      </w:r>
      <w:r w:rsidRPr="00F776C0">
        <w:rPr>
          <w:sz w:val="20"/>
        </w:rPr>
        <w:t xml:space="preserve">All measures have been previously explained, and all sources have been appropriately cited in previous sections of this chapter. </w:t>
      </w:r>
    </w:p>
    <w:p w14:paraId="26F9FB25" w14:textId="77777777" w:rsidR="00DC2F86" w:rsidRDefault="00DC2F86" w:rsidP="00882E52">
      <w:pPr>
        <w:pStyle w:val="Heading2"/>
      </w:pPr>
      <w:bookmarkStart w:id="70" w:name="_Toc324423963"/>
      <w:r>
        <w:lastRenderedPageBreak/>
        <w:t xml:space="preserve">3.7 </w:t>
      </w:r>
      <w:r w:rsidRPr="006B7EEB">
        <w:t>Calculating the Propensity for Violence (v)</w:t>
      </w:r>
      <w:bookmarkEnd w:id="70"/>
      <w:r w:rsidRPr="006B7EEB">
        <w:t xml:space="preserve"> </w:t>
      </w:r>
    </w:p>
    <w:p w14:paraId="5D0C640B" w14:textId="77777777" w:rsidR="00167622" w:rsidRDefault="00167622" w:rsidP="005F67F7">
      <w:pPr>
        <w:rPr>
          <w:b/>
        </w:rPr>
        <w:sectPr w:rsidR="00167622" w:rsidSect="002146AD">
          <w:type w:val="continuous"/>
          <w:pgSz w:w="12240" w:h="15840"/>
          <w:pgMar w:top="1440" w:right="1440" w:bottom="1440" w:left="2304" w:header="720" w:footer="720" w:gutter="0"/>
          <w:cols w:space="720"/>
          <w:docGrid w:linePitch="360"/>
        </w:sectPr>
      </w:pPr>
    </w:p>
    <w:p w14:paraId="64EE1E65" w14:textId="77777777" w:rsidR="00E5392D" w:rsidRDefault="00E5392D" w:rsidP="00882E52">
      <w:pPr>
        <w:pStyle w:val="Heading2"/>
        <w:sectPr w:rsidR="00E5392D" w:rsidSect="002146AD">
          <w:type w:val="continuous"/>
          <w:pgSz w:w="12240" w:h="15840"/>
          <w:pgMar w:top="1440" w:right="1440" w:bottom="1440" w:left="2304" w:header="720" w:footer="720" w:gutter="0"/>
          <w:cols w:space="720"/>
          <w:docGrid w:linePitch="360"/>
        </w:sectPr>
      </w:pPr>
    </w:p>
    <w:p w14:paraId="7012A5E2" w14:textId="4E9FD653" w:rsidR="005F67F7" w:rsidRPr="00385BAB" w:rsidRDefault="005F67F7" w:rsidP="005F67F7">
      <w:pPr>
        <w:ind w:firstLine="720"/>
      </w:pPr>
      <w:r w:rsidRPr="00385BAB">
        <w:lastRenderedPageBreak/>
        <w:t xml:space="preserve">The Propensity for Violence </w:t>
      </w:r>
      <w:r w:rsidRPr="00385BAB">
        <w:rPr>
          <w:b/>
          <w:i/>
        </w:rPr>
        <w:t xml:space="preserve">(v) </w:t>
      </w:r>
      <w:r>
        <w:t xml:space="preserve">is calculated using fatality statistics in order to accurately estimate the degree to which violence reduces TFP. Interpersonal trust among Israelis and Palestinians is reduced by violence; therefore the TFP associated with trust is also reduced by violence to some degree. This relationship between trust and TFP implies that fewer WBPL should be allowed to work in Israel when the Propensity for Violence Rate </w:t>
      </w:r>
      <w:r w:rsidRPr="00385BAB">
        <w:rPr>
          <w:b/>
          <w:i/>
        </w:rPr>
        <w:t xml:space="preserve">(v) </w:t>
      </w:r>
      <w:r>
        <w:t xml:space="preserve">is high, which explains why the Israeli government imposes border closures during particularly violent times. </w:t>
      </w:r>
      <w:r w:rsidRPr="00385BAB">
        <w:t>I focus on a subset of violence that is</w:t>
      </w:r>
      <w:r>
        <w:t xml:space="preserve"> precise, reliable, </w:t>
      </w:r>
      <w:r w:rsidRPr="00385BAB">
        <w:t>relevant to t</w:t>
      </w:r>
      <w:r>
        <w:t xml:space="preserve">his context and </w:t>
      </w:r>
      <w:r w:rsidRPr="00385BAB">
        <w:t>often used in research: armed violence. Armed violence refers to “the intentional use of illegitimate force (actual or threatened) with arms or explosives, against a person, group, community, or state, that undermines people centered security and/or sustainable development.”</w:t>
      </w:r>
      <w:r w:rsidRPr="00385BAB">
        <w:rPr>
          <w:rStyle w:val="FootnoteReference"/>
        </w:rPr>
        <w:footnoteReference w:id="213"/>
      </w:r>
      <w:r>
        <w:t xml:space="preserve"> </w:t>
      </w:r>
      <w:r w:rsidRPr="00385BAB">
        <w:t>The highest</w:t>
      </w:r>
      <w:r>
        <w:t xml:space="preserve"> rates of armed v</w:t>
      </w:r>
      <w:r w:rsidRPr="00385BAB">
        <w:t xml:space="preserve">iolence observed during the Second Intifada determine the Propensity for Violence measure in the worst-case scenario, while the best-case scenario unrealistically assumes that economic development will reduce the rate of violence to 0; the best and worst case scenarios form the natural bounds (between 0 and 1) for the Propensity for Violence </w:t>
      </w:r>
      <w:r w:rsidRPr="00385BAB">
        <w:rPr>
          <w:b/>
          <w:i/>
        </w:rPr>
        <w:t>(v)</w:t>
      </w:r>
      <w:r w:rsidRPr="00385BAB">
        <w:t xml:space="preserve"> that is likely to be observed if more WBPL are permitted to work in Israel. </w:t>
      </w:r>
    </w:p>
    <w:p w14:paraId="1672BC20" w14:textId="77777777" w:rsidR="005F67F7" w:rsidRDefault="005F67F7" w:rsidP="005F67F7">
      <w:pPr>
        <w:ind w:firstLine="720"/>
      </w:pPr>
      <w:r w:rsidRPr="00385BAB">
        <w:t>T</w:t>
      </w:r>
      <w:r>
        <w:t xml:space="preserve">he upper bound for the Propensity for Violence </w:t>
      </w:r>
      <w:r w:rsidRPr="00385BAB">
        <w:rPr>
          <w:b/>
          <w:i/>
        </w:rPr>
        <w:t>(v)</w:t>
      </w:r>
      <w:r w:rsidRPr="00385BAB">
        <w:t xml:space="preserve"> </w:t>
      </w:r>
      <w:r>
        <w:t xml:space="preserve">is determined by observing fatality rates </w:t>
      </w:r>
      <w:r w:rsidRPr="00385BAB">
        <w:t>duri</w:t>
      </w:r>
      <w:r>
        <w:t>ng the Second Intifada (2000-2005).</w:t>
      </w:r>
      <w:r w:rsidRPr="00385BAB">
        <w:t xml:space="preserve"> Fatality data is often used as a proxy for the measurement of violence because the quality of the data is far superior to other measures.</w:t>
      </w:r>
      <w:r w:rsidRPr="00385BAB">
        <w:rPr>
          <w:rStyle w:val="FootnoteReference"/>
        </w:rPr>
        <w:footnoteReference w:id="214"/>
      </w:r>
      <w:r w:rsidRPr="00385BAB">
        <w:t xml:space="preserve"> The data published by</w:t>
      </w:r>
      <w:r>
        <w:t xml:space="preserve"> Israeli human rights organization</w:t>
      </w:r>
      <w:r w:rsidRPr="00385BAB">
        <w:t xml:space="preserve"> B’Tselem is </w:t>
      </w:r>
      <w:r w:rsidRPr="00385BAB">
        <w:lastRenderedPageBreak/>
        <w:t>widely thought to be the most accurate, reliable, and unbiased information available.</w:t>
      </w:r>
      <w:r w:rsidRPr="00385BAB">
        <w:rPr>
          <w:rStyle w:val="FootnoteReference"/>
        </w:rPr>
        <w:footnoteReference w:id="215"/>
      </w:r>
      <w:r w:rsidRPr="00385BAB">
        <w:t xml:space="preserve"> They include information on the date, location, and circumstances of every fatal wounding, a</w:t>
      </w:r>
      <w:r>
        <w:t>s well as the date of death,</w:t>
      </w:r>
      <w:r w:rsidRPr="00385BAB">
        <w:t xml:space="preserve"> age, gender, the location of residence of the victim, and whether </w:t>
      </w:r>
      <w:r>
        <w:t xml:space="preserve">or </w:t>
      </w:r>
      <w:r w:rsidRPr="00385BAB">
        <w:t xml:space="preserve">not the victim was a civilian or a member of security forces. Since </w:t>
      </w:r>
      <w:r w:rsidRPr="00385BAB">
        <w:rPr>
          <w:b/>
        </w:rPr>
        <w:t>(</w:t>
      </w:r>
      <w:r w:rsidRPr="00385BAB">
        <w:rPr>
          <w:b/>
          <w:i/>
        </w:rPr>
        <w:t xml:space="preserve">v) </w:t>
      </w:r>
      <w:r w:rsidRPr="00385BAB">
        <w:t xml:space="preserve">is concerned with the actual level of violence that may result from giving Palestinians more freedom of movement within the West Bank and Israel, </w:t>
      </w:r>
      <w:r>
        <w:t xml:space="preserve">armed </w:t>
      </w:r>
      <w:r w:rsidRPr="00385BAB">
        <w:t>violence that has</w:t>
      </w:r>
      <w:r>
        <w:t xml:space="preserve"> resulted in death</w:t>
      </w:r>
      <w:r w:rsidRPr="00385BAB">
        <w:t xml:space="preserve"> </w:t>
      </w:r>
      <w:r>
        <w:t xml:space="preserve">anywhere </w:t>
      </w:r>
      <w:r w:rsidRPr="00385BAB">
        <w:t xml:space="preserve">within </w:t>
      </w:r>
      <w:r>
        <w:t>the West Bank and Israel</w:t>
      </w:r>
      <w:r w:rsidRPr="00385BAB">
        <w:t xml:space="preserve"> should inform this measure regardless of the ethnicity of the victim, the cause of death, or other available information</w:t>
      </w:r>
      <w:r>
        <w:t xml:space="preserve">. </w:t>
      </w:r>
    </w:p>
    <w:p w14:paraId="4AA7D631" w14:textId="7CB45271" w:rsidR="005F67F7" w:rsidRPr="006666BE" w:rsidRDefault="005F67F7" w:rsidP="005F67F7">
      <w:pPr>
        <w:ind w:firstLine="720"/>
      </w:pPr>
      <w:r>
        <w:t>Table 8</w:t>
      </w:r>
      <w:r w:rsidRPr="00385BAB">
        <w:t xml:space="preserve"> summarizes B’Tselem fatality statistics during the Second Intifada and separates the period into five categories based on important events that occurred between September 29</w:t>
      </w:r>
      <w:r w:rsidRPr="00385BAB">
        <w:rPr>
          <w:vertAlign w:val="superscript"/>
        </w:rPr>
        <w:t>th</w:t>
      </w:r>
      <w:r w:rsidRPr="00385BAB">
        <w:t>, 2000 and January 15</w:t>
      </w:r>
      <w:r w:rsidRPr="00385BAB">
        <w:rPr>
          <w:vertAlign w:val="superscript"/>
        </w:rPr>
        <w:t>th</w:t>
      </w:r>
      <w:r w:rsidRPr="00385BAB">
        <w:t>, 2005.</w:t>
      </w:r>
      <w:r>
        <w:t xml:space="preserve"> Table 8 includes data from the West Bank and the Gaza Strip, because Palestinians from both areas worked in Israel prior to the outbreak of the Second Intifada. Table 9 disregards Palestinian fatality data from the Gaza Strip. </w:t>
      </w:r>
      <w:r w:rsidR="006666BE">
        <w:t xml:space="preserve">Including fatalities from the Gaza Strip in Table 8 but not Table 9 is not problematic; the data represented in Table 8 is used to form the bounds for the expected rate of violence, so it will actually set the upper bound slightly higher than it would be if only West Bank and Israeli fatalities are included. In addition, Israel has not allowed Palestinians from the Gaza Strip to work in Israel since the Second Intifada, </w:t>
      </w:r>
      <w:r w:rsidR="006666BE">
        <w:lastRenderedPageBreak/>
        <w:t xml:space="preserve">and integrating more Palestinian laborers from the West Bank should not have an effect on violence originating from the Gaza Strip. </w:t>
      </w:r>
    </w:p>
    <w:p w14:paraId="23D0E2FB" w14:textId="77777777" w:rsidR="005F67F7" w:rsidRPr="00385BAB" w:rsidRDefault="005F67F7" w:rsidP="005F67F7">
      <w:pPr>
        <w:ind w:firstLine="720"/>
      </w:pPr>
      <w:r w:rsidRPr="00385BAB">
        <w:t>In the worst-case scenario, increasing the number of WBPL working in Israel would result in</w:t>
      </w:r>
      <w:r>
        <w:t xml:space="preserve"> approximately</w:t>
      </w:r>
      <w:r w:rsidRPr="00385BAB">
        <w:t xml:space="preserve"> 6.05 fatalities per day across Israel and the Palestinian Territories. The worst-case scenario is determined by observing the rate of violence during distinct political periods in the Second Intifada to identify the m</w:t>
      </w:r>
      <w:r>
        <w:t>ost violent time period. Table 8</w:t>
      </w:r>
      <w:r w:rsidRPr="00385BAB">
        <w:t xml:space="preserve"> shows that the most violent period in the history of the conflict followed Operation Defensive Shield (which was initiated on March 29</w:t>
      </w:r>
      <w:r w:rsidRPr="00385BAB">
        <w:rPr>
          <w:vertAlign w:val="superscript"/>
        </w:rPr>
        <w:t>th</w:t>
      </w:r>
      <w:r w:rsidRPr="00385BAB">
        <w:t>, 2002). There were 4.25 Palestinian fatalities per day and 1.8 Israeli fatalities per da</w:t>
      </w:r>
      <w:r>
        <w:t>y during this period; i</w:t>
      </w:r>
      <w:r w:rsidRPr="00385BAB">
        <w:t>f you add these rates of violence together, there were 6.05 fatalities per day in Israel and the Palestinian Territories during Operation Defensive Shield.</w:t>
      </w:r>
      <w:r>
        <w:t xml:space="preserve"> This was </w:t>
      </w:r>
      <w:r w:rsidRPr="00385BAB">
        <w:t>much higher than the average over the entire observed period of 2.06 Palestinian fatalities per day and 0.63 Israeli fatalities per day. If the Propensity for Violence score is 1 (</w:t>
      </w:r>
      <w:r w:rsidRPr="00385BAB">
        <w:rPr>
          <w:b/>
          <w:i/>
        </w:rPr>
        <w:t>v = 1</w:t>
      </w:r>
      <w:r w:rsidRPr="00385BAB">
        <w:t xml:space="preserve">), then integrating more WBPL into the Israeli economy would likely result in levels of violence similar to those observed during Operation Defensive Shield (6.05 fatalities per </w:t>
      </w:r>
      <w:r>
        <w:t>day), which would be disastrous for interpersonal trust and TFP.</w:t>
      </w:r>
    </w:p>
    <w:p w14:paraId="1FA06E1C" w14:textId="48A20C46" w:rsidR="005F67F7" w:rsidRPr="00385BAB" w:rsidRDefault="005F67F7" w:rsidP="005F67F7">
      <w:pPr>
        <w:ind w:firstLine="720"/>
      </w:pPr>
      <w:r w:rsidRPr="00385BAB">
        <w:t>In the best-case scenario, integrating more WBPL into the Israeli labor force would result in 0 fatalities per day. It is theoretically possible that economic development could increase the opportunity cost of violence to the point</w:t>
      </w:r>
      <w:r>
        <w:t xml:space="preserve"> that</w:t>
      </w:r>
      <w:r w:rsidRPr="00385BAB">
        <w:t xml:space="preserve"> violence is eliminated altogether after a number of years. </w:t>
      </w:r>
      <w:r>
        <w:t xml:space="preserve">In this case, Palestinians would fully resemble Israelis in terms of posing a threat for violence, and as a result it would be possible to fully integrate the two societies through a political solution that creates a shared state or federation. Estimates based on the best-case scenario far exceed the </w:t>
      </w:r>
      <w:r>
        <w:lastRenderedPageBreak/>
        <w:t>plausible number of WBPL to integrate into the Israeli labor force, indicating that it is possible to integrate an infinite number of WBPL without reducing Israeli TFP through violence. This conclusion is of course unrealistic currently.</w:t>
      </w:r>
      <w:r w:rsidR="000A4C1B">
        <w:t xml:space="preserve"> </w:t>
      </w:r>
      <w:r>
        <w:t>The best-case</w:t>
      </w:r>
      <w:r w:rsidRPr="00385BAB">
        <w:t xml:space="preserve"> scenario is unlikely in the short term due to the unpredictable violence that has persisted for decades and the influence of anti-peace ideologies among some Palestinians and some Israelis.</w:t>
      </w:r>
    </w:p>
    <w:p w14:paraId="0BBDA75C" w14:textId="2CCBA83F" w:rsidR="000A4C1B" w:rsidRPr="00385BAB" w:rsidRDefault="005F67F7" w:rsidP="006666BE">
      <w:pPr>
        <w:ind w:firstLine="720"/>
      </w:pPr>
      <w:r w:rsidRPr="00385BAB">
        <w:t xml:space="preserve">The Propensity for Violence score </w:t>
      </w:r>
      <w:r w:rsidRPr="00385BAB">
        <w:rPr>
          <w:b/>
          <w:i/>
        </w:rPr>
        <w:t>(v)</w:t>
      </w:r>
      <w:r w:rsidRPr="00385BAB">
        <w:t xml:space="preserve"> </w:t>
      </w:r>
      <w:r>
        <w:t xml:space="preserve">in the most likely scenario </w:t>
      </w:r>
      <w:r w:rsidRPr="00385BAB">
        <w:t>is calculated by normalizing the rate</w:t>
      </w:r>
      <w:r>
        <w:t xml:space="preserve"> of violence observed in Table 9</w:t>
      </w:r>
      <w:r w:rsidRPr="00385BAB">
        <w:t xml:space="preserve"> given the bounds established in Table 1 (</w:t>
      </w:r>
      <w:r w:rsidRPr="00385BAB">
        <w:rPr>
          <w:b/>
        </w:rPr>
        <w:t xml:space="preserve">0 &lt; </w:t>
      </w:r>
      <w:r w:rsidRPr="00385BAB">
        <w:rPr>
          <w:b/>
          <w:i/>
        </w:rPr>
        <w:t>v &lt; 1</w:t>
      </w:r>
      <w:r w:rsidRPr="00385BAB">
        <w:t>), where 0 is the number of fatalities per day that would occur in the best case scenario (v</w:t>
      </w:r>
      <w:r w:rsidRPr="00385BAB">
        <w:rPr>
          <w:b/>
          <w:i/>
        </w:rPr>
        <w:t>=0</w:t>
      </w:r>
      <w:r w:rsidRPr="00385BAB">
        <w:t>) and 6.05 is the number of fatalities per day that would occur in the worst-case scenario (</w:t>
      </w:r>
      <w:r w:rsidRPr="00385BAB">
        <w:rPr>
          <w:b/>
          <w:i/>
        </w:rPr>
        <w:t>v=1</w:t>
      </w:r>
      <w:r w:rsidRPr="00385BAB">
        <w:t xml:space="preserve">). Thus, </w:t>
      </w:r>
    </w:p>
    <w:p w14:paraId="4B451789" w14:textId="77777777" w:rsidR="005F67F7" w:rsidRPr="00385BAB" w:rsidRDefault="005F67F7" w:rsidP="005F67F7">
      <w:pPr>
        <w:rPr>
          <w:b/>
          <w:i/>
          <w:sz w:val="28"/>
        </w:rPr>
      </w:pPr>
      <w:r w:rsidRPr="00385BAB">
        <w:rPr>
          <w:b/>
          <w:i/>
          <w:sz w:val="28"/>
        </w:rPr>
        <w:t>Eq. (10)</w:t>
      </w:r>
    </w:p>
    <w:p w14:paraId="34A4C23B" w14:textId="77777777" w:rsidR="005F67F7" w:rsidRPr="00385BAB" w:rsidRDefault="005F67F7" w:rsidP="005F67F7">
      <w:pPr>
        <w:rPr>
          <w:sz w:val="28"/>
        </w:rPr>
      </w:pPr>
      <m:oMathPara>
        <m:oMath>
          <m:r>
            <w:rPr>
              <w:rFonts w:ascii="Cambria Math" w:hAnsi="Cambria Math"/>
              <w:sz w:val="28"/>
            </w:rPr>
            <m:t>v=</m:t>
          </m:r>
          <m:f>
            <m:fPr>
              <m:ctrlPr>
                <w:rPr>
                  <w:rFonts w:ascii="Cambria Math" w:hAnsi="Cambria Math"/>
                  <w:i/>
                  <w:sz w:val="28"/>
                </w:rPr>
              </m:ctrlPr>
            </m:fPr>
            <m:num>
              <m:sSub>
                <m:sSubPr>
                  <m:ctrlPr>
                    <w:rPr>
                      <w:rFonts w:ascii="Cambria Math" w:hAnsi="Cambria Math"/>
                      <w:i/>
                      <w:sz w:val="28"/>
                    </w:rPr>
                  </m:ctrlPr>
                </m:sSubPr>
                <m:e>
                  <m:r>
                    <w:rPr>
                      <w:rFonts w:ascii="Cambria Math" w:hAnsi="Cambria Math"/>
                      <w:sz w:val="28"/>
                    </w:rPr>
                    <m:t>f</m:t>
                  </m:r>
                </m:e>
                <m:sub>
                  <m:r>
                    <w:rPr>
                      <w:rFonts w:ascii="Cambria Math" w:hAnsi="Cambria Math"/>
                      <w:sz w:val="28"/>
                    </w:rPr>
                    <m:t>t</m:t>
                  </m:r>
                </m:sub>
              </m:sSub>
              <m:r>
                <w:rPr>
                  <w:rFonts w:ascii="Cambria Math" w:hAnsi="Cambria Math"/>
                  <w:sz w:val="28"/>
                </w:rPr>
                <m:t>-fmin (0)</m:t>
              </m:r>
            </m:num>
            <m:den>
              <m:r>
                <w:rPr>
                  <w:rFonts w:ascii="Cambria Math" w:hAnsi="Cambria Math"/>
                  <w:sz w:val="28"/>
                </w:rPr>
                <m:t xml:space="preserve">fmax </m:t>
              </m:r>
              <m:d>
                <m:dPr>
                  <m:ctrlPr>
                    <w:rPr>
                      <w:rFonts w:ascii="Cambria Math" w:hAnsi="Cambria Math"/>
                      <w:i/>
                      <w:sz w:val="28"/>
                    </w:rPr>
                  </m:ctrlPr>
                </m:dPr>
                <m:e>
                  <m:r>
                    <w:rPr>
                      <w:rFonts w:ascii="Cambria Math" w:hAnsi="Cambria Math"/>
                      <w:sz w:val="28"/>
                    </w:rPr>
                    <m:t>6.05</m:t>
                  </m:r>
                </m:e>
              </m:d>
              <m:r>
                <w:rPr>
                  <w:rFonts w:ascii="Cambria Math" w:hAnsi="Cambria Math"/>
                  <w:sz w:val="28"/>
                </w:rPr>
                <m:t>-fmin</m:t>
              </m:r>
              <m:d>
                <m:dPr>
                  <m:ctrlPr>
                    <w:rPr>
                      <w:rFonts w:ascii="Cambria Math" w:hAnsi="Cambria Math"/>
                      <w:i/>
                      <w:sz w:val="28"/>
                    </w:rPr>
                  </m:ctrlPr>
                </m:dPr>
                <m:e>
                  <m:r>
                    <w:rPr>
                      <w:rFonts w:ascii="Cambria Math" w:hAnsi="Cambria Math"/>
                      <w:sz w:val="28"/>
                    </w:rPr>
                    <m:t>0</m:t>
                  </m:r>
                </m:e>
              </m:d>
            </m:den>
          </m:f>
        </m:oMath>
      </m:oMathPara>
    </w:p>
    <w:p w14:paraId="2FBC14A5" w14:textId="4A4CB823" w:rsidR="005F67F7" w:rsidRPr="008270F1" w:rsidRDefault="005F67F7" w:rsidP="005F67F7">
      <w:r w:rsidRPr="00385BAB">
        <w:t xml:space="preserve">where </w:t>
      </w:r>
      <m:oMath>
        <m:sSub>
          <m:sSubPr>
            <m:ctrlPr>
              <w:rPr>
                <w:rFonts w:ascii="Cambria Math" w:hAnsi="Cambria Math"/>
                <w:b/>
                <w:i/>
              </w:rPr>
            </m:ctrlPr>
          </m:sSubPr>
          <m:e>
            <m:r>
              <m:rPr>
                <m:sty m:val="bi"/>
              </m:rPr>
              <w:rPr>
                <w:rFonts w:ascii="Cambria Math" w:hAnsi="Cambria Math"/>
              </w:rPr>
              <m:t>f</m:t>
            </m:r>
          </m:e>
          <m:sub>
            <m:r>
              <m:rPr>
                <m:sty m:val="bi"/>
              </m:rPr>
              <w:rPr>
                <w:rFonts w:ascii="Cambria Math" w:hAnsi="Cambria Math"/>
              </w:rPr>
              <m:t>t</m:t>
            </m:r>
          </m:sub>
        </m:sSub>
      </m:oMath>
      <w:r w:rsidRPr="00385BAB">
        <w:rPr>
          <w:b/>
        </w:rPr>
        <w:t xml:space="preserve"> </w:t>
      </w:r>
      <w:r w:rsidRPr="00385BAB">
        <w:t>is an observed fatality rate that occurred in Israel and the West Bank</w:t>
      </w:r>
      <w:r>
        <w:t xml:space="preserve"> during </w:t>
      </w:r>
      <w:r w:rsidRPr="00385BAB">
        <w:t>a given period of time,</w:t>
      </w:r>
      <w:r w:rsidRPr="00385BAB">
        <w:rPr>
          <w:b/>
        </w:rPr>
        <w:t xml:space="preserve"> </w:t>
      </w:r>
      <m:oMath>
        <m:r>
          <m:rPr>
            <m:sty m:val="bi"/>
          </m:rPr>
          <w:rPr>
            <w:rFonts w:ascii="Cambria Math" w:hAnsi="Cambria Math"/>
          </w:rPr>
          <m:t>fmin</m:t>
        </m:r>
      </m:oMath>
      <w:r w:rsidRPr="00385BAB">
        <w:t xml:space="preserve"> is the lowest number of fatalities ever observed in Israel and the West Bank </w:t>
      </w:r>
      <w:r>
        <w:t>during a given period</w:t>
      </w:r>
      <w:r w:rsidRPr="00385BAB">
        <w:t xml:space="preserve"> of time (0), and</w:t>
      </w:r>
      <w:r w:rsidRPr="00385BAB">
        <w:rPr>
          <w:b/>
        </w:rPr>
        <w:t xml:space="preserve"> </w:t>
      </w:r>
      <m:oMath>
        <m:r>
          <m:rPr>
            <m:sty m:val="bi"/>
          </m:rPr>
          <w:rPr>
            <w:rFonts w:ascii="Cambria Math" w:hAnsi="Cambria Math"/>
          </w:rPr>
          <m:t>fmax</m:t>
        </m:r>
      </m:oMath>
      <w:r w:rsidRPr="00385BAB">
        <w:rPr>
          <w:b/>
        </w:rPr>
        <w:t xml:space="preserve"> </w:t>
      </w:r>
      <w:r w:rsidRPr="00385BAB">
        <w:t>is the highest rate of violence ever observed in Israel and the West Bank (6.05), which occurred during the Second Intifada.</w:t>
      </w:r>
      <w:r>
        <w:t xml:space="preserve"> The values indicated in parenthesis are the current bounds for </w:t>
      </w:r>
      <w:r>
        <w:rPr>
          <w:b/>
          <w:i/>
        </w:rPr>
        <w:t>(v)</w:t>
      </w:r>
      <w:r w:rsidR="000A4C1B">
        <w:t>, but</w:t>
      </w:r>
      <w:r w:rsidR="000A4C1B" w:rsidRPr="00385BAB">
        <w:rPr>
          <w:b/>
        </w:rPr>
        <w:t xml:space="preserve"> </w:t>
      </w:r>
      <m:oMath>
        <m:r>
          <m:rPr>
            <m:sty m:val="bi"/>
          </m:rPr>
          <w:rPr>
            <w:rFonts w:ascii="Cambria Math" w:hAnsi="Cambria Math"/>
          </w:rPr>
          <m:t>fmax</m:t>
        </m:r>
      </m:oMath>
      <w:r w:rsidR="000A4C1B" w:rsidRPr="00385BAB">
        <w:rPr>
          <w:b/>
        </w:rPr>
        <w:t xml:space="preserve"> </w:t>
      </w:r>
      <w:r w:rsidR="000A4C1B">
        <w:t xml:space="preserve">is </w:t>
      </w:r>
      <w:r>
        <w:t>s</w:t>
      </w:r>
      <w:r w:rsidR="000A4C1B">
        <w:t xml:space="preserve">ubject to change in the future during a particularly violent time. </w:t>
      </w:r>
    </w:p>
    <w:p w14:paraId="5D70D528" w14:textId="5F6B1931" w:rsidR="005F67F7" w:rsidRPr="00945A6A" w:rsidRDefault="006666BE" w:rsidP="005F67F7">
      <w:pPr>
        <w:ind w:firstLine="630"/>
      </w:pPr>
      <w:r>
        <w:t xml:space="preserve"> Based on </w:t>
      </w:r>
      <w:r w:rsidR="005F67F7" w:rsidRPr="00385BAB">
        <w:t>the most recent fatality data</w:t>
      </w:r>
      <w:r w:rsidR="005F67F7">
        <w:t xml:space="preserve"> available (displayed in Table 9</w:t>
      </w:r>
      <w:r w:rsidR="005F67F7" w:rsidRPr="00385BAB">
        <w:t xml:space="preserve">), </w:t>
      </w:r>
      <w:r w:rsidR="005F67F7" w:rsidRPr="00385BAB">
        <w:rPr>
          <w:b/>
          <w:i/>
        </w:rPr>
        <w:t>v=0.037</w:t>
      </w:r>
      <w:r w:rsidR="005F67F7">
        <w:rPr>
          <w:b/>
          <w:i/>
        </w:rPr>
        <w:t>5</w:t>
      </w:r>
      <w:r w:rsidR="005F67F7" w:rsidRPr="00385BAB">
        <w:t xml:space="preserve"> for August 26</w:t>
      </w:r>
      <w:r w:rsidR="005F67F7" w:rsidRPr="00385BAB">
        <w:rPr>
          <w:vertAlign w:val="superscript"/>
        </w:rPr>
        <w:t>th</w:t>
      </w:r>
      <w:r w:rsidR="005F67F7" w:rsidRPr="00385BAB">
        <w:t>, 2014 to November 30</w:t>
      </w:r>
      <w:r w:rsidR="005F67F7" w:rsidRPr="00385BAB">
        <w:rPr>
          <w:vertAlign w:val="superscript"/>
        </w:rPr>
        <w:t>th</w:t>
      </w:r>
      <w:r w:rsidR="005F67F7" w:rsidRPr="00385BAB">
        <w:t xml:space="preserve">, 2015. In practical terms, this means that the level of violence that will result from integrating more WBPL into the Israeli labor </w:t>
      </w:r>
      <w:r w:rsidR="005F67F7" w:rsidRPr="00385BAB">
        <w:lastRenderedPageBreak/>
        <w:t>force should be very low in comparison to previous rates of violence observed in the conflict.</w:t>
      </w:r>
      <w:r w:rsidR="005F67F7">
        <w:t xml:space="preserve"> </w:t>
      </w:r>
      <w:r w:rsidR="005F67F7" w:rsidRPr="00385BAB">
        <w:t xml:space="preserve">However, the most recent data available only includes fatality statistics from the first month of the recent wave of violence that began in October 2015, which means that this estimate may be biased </w:t>
      </w:r>
      <w:r>
        <w:t>downward. For this reason, I</w:t>
      </w:r>
      <w:r w:rsidR="005F67F7" w:rsidRPr="00385BAB">
        <w:t xml:space="preserve"> also test the model using the average fatality rate from the entire Second Intifada (</w:t>
      </w:r>
      <w:r w:rsidR="005F67F7" w:rsidRPr="00385BAB">
        <w:rPr>
          <w:b/>
          <w:i/>
        </w:rPr>
        <w:t>v=0.446</w:t>
      </w:r>
      <w:r w:rsidR="005F67F7">
        <w:t xml:space="preserve">). In addition to testing these two estimates, I also test different values of </w:t>
      </w:r>
      <w:r w:rsidR="005F67F7" w:rsidRPr="006666BE">
        <w:rPr>
          <w:b/>
          <w:i/>
        </w:rPr>
        <w:t>(v)</w:t>
      </w:r>
      <w:r w:rsidR="005F67F7">
        <w:t xml:space="preserve"> t</w:t>
      </w:r>
      <w:r w:rsidR="005F67F7" w:rsidRPr="00385BAB">
        <w:t>o determine the extent to which violence reduces TFP during turbulent</w:t>
      </w:r>
      <w:r w:rsidR="005F67F7">
        <w:t xml:space="preserve"> and peaceful</w:t>
      </w:r>
      <w:r w:rsidR="005F67F7" w:rsidRPr="00385BAB">
        <w:t xml:space="preserve"> times. </w:t>
      </w:r>
      <w:r w:rsidR="005F67F7" w:rsidRPr="00385BAB">
        <w:rPr>
          <w:b/>
          <w:i/>
        </w:rPr>
        <w:t xml:space="preserve"> </w:t>
      </w:r>
    </w:p>
    <w:p w14:paraId="4CAE49DB" w14:textId="77777777" w:rsidR="005F67F7" w:rsidRPr="00385BAB" w:rsidRDefault="005F67F7" w:rsidP="005F67F7">
      <w:pPr>
        <w:rPr>
          <w:i/>
        </w:rPr>
        <w:sectPr w:rsidR="005F67F7" w:rsidRPr="00385BAB" w:rsidSect="002146AD">
          <w:type w:val="continuous"/>
          <w:pgSz w:w="12240" w:h="15840"/>
          <w:pgMar w:top="1440" w:right="1440" w:bottom="1440" w:left="2304" w:header="720" w:footer="720" w:gutter="0"/>
          <w:cols w:space="720"/>
          <w:docGrid w:linePitch="360"/>
        </w:sectPr>
      </w:pPr>
    </w:p>
    <w:p w14:paraId="21186719" w14:textId="5AA4D781" w:rsidR="00707E1F" w:rsidRPr="00707E1F" w:rsidRDefault="00707E1F" w:rsidP="00707E1F">
      <w:pPr>
        <w:pStyle w:val="Caption"/>
        <w:keepNext/>
        <w:jc w:val="center"/>
        <w:rPr>
          <w:color w:val="auto"/>
          <w:sz w:val="24"/>
        </w:rPr>
      </w:pPr>
      <w:bookmarkStart w:id="71" w:name="_Toc323490976"/>
      <w:bookmarkStart w:id="72" w:name="_Toc324146563"/>
      <w:bookmarkStart w:id="73" w:name="_Toc324264460"/>
      <w:bookmarkStart w:id="74" w:name="_Toc324264707"/>
      <w:r w:rsidRPr="00707E1F">
        <w:rPr>
          <w:color w:val="auto"/>
          <w:sz w:val="24"/>
        </w:rPr>
        <w:lastRenderedPageBreak/>
        <w:t xml:space="preserve">Table </w:t>
      </w:r>
      <w:r w:rsidRPr="00707E1F">
        <w:rPr>
          <w:color w:val="auto"/>
          <w:sz w:val="24"/>
        </w:rPr>
        <w:fldChar w:fldCharType="begin"/>
      </w:r>
      <w:r w:rsidRPr="00707E1F">
        <w:rPr>
          <w:color w:val="auto"/>
          <w:sz w:val="24"/>
        </w:rPr>
        <w:instrText xml:space="preserve"> SEQ Table \* ARABIC </w:instrText>
      </w:r>
      <w:r w:rsidRPr="00707E1F">
        <w:rPr>
          <w:color w:val="auto"/>
          <w:sz w:val="24"/>
        </w:rPr>
        <w:fldChar w:fldCharType="separate"/>
      </w:r>
      <w:r w:rsidR="00500133">
        <w:rPr>
          <w:noProof/>
          <w:color w:val="auto"/>
          <w:sz w:val="24"/>
        </w:rPr>
        <w:t>8</w:t>
      </w:r>
      <w:r w:rsidRPr="00707E1F">
        <w:rPr>
          <w:color w:val="auto"/>
          <w:sz w:val="24"/>
        </w:rPr>
        <w:fldChar w:fldCharType="end"/>
      </w:r>
      <w:r w:rsidRPr="00707E1F">
        <w:rPr>
          <w:color w:val="auto"/>
          <w:sz w:val="24"/>
        </w:rPr>
        <w:t>: Number and Daily Rate of Israeli and Palestinian Fatalities During the Second Intifada, by Period</w:t>
      </w:r>
      <w:bookmarkEnd w:id="71"/>
      <w:bookmarkEnd w:id="72"/>
      <w:bookmarkEnd w:id="73"/>
      <w:bookmarkEnd w:id="74"/>
    </w:p>
    <w:tbl>
      <w:tblPr>
        <w:tblStyle w:val="LightShading"/>
        <w:tblW w:w="11936" w:type="dxa"/>
        <w:tblInd w:w="198" w:type="dxa"/>
        <w:tblLayout w:type="fixed"/>
        <w:tblLook w:val="04A0" w:firstRow="1" w:lastRow="0" w:firstColumn="1" w:lastColumn="0" w:noHBand="0" w:noVBand="1"/>
      </w:tblPr>
      <w:tblGrid>
        <w:gridCol w:w="1710"/>
        <w:gridCol w:w="1350"/>
        <w:gridCol w:w="1316"/>
        <w:gridCol w:w="1260"/>
        <w:gridCol w:w="1260"/>
        <w:gridCol w:w="1260"/>
        <w:gridCol w:w="1260"/>
        <w:gridCol w:w="1260"/>
        <w:gridCol w:w="1260"/>
      </w:tblGrid>
      <w:tr w:rsidR="005F67F7" w:rsidRPr="00385BAB" w14:paraId="507CCA2A" w14:textId="77777777" w:rsidTr="005F67F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10" w:type="dxa"/>
            <w:shd w:val="clear" w:color="auto" w:fill="BFBFBF" w:themeFill="background1" w:themeFillShade="BF"/>
            <w:noWrap/>
            <w:hideMark/>
          </w:tcPr>
          <w:p w14:paraId="05487F11" w14:textId="77777777" w:rsidR="005F67F7" w:rsidRPr="00385BAB" w:rsidRDefault="005F67F7" w:rsidP="005F67F7">
            <w:pPr>
              <w:spacing w:line="240" w:lineRule="auto"/>
              <w:jc w:val="center"/>
              <w:rPr>
                <w:color w:val="000000"/>
                <w:sz w:val="20"/>
                <w:szCs w:val="20"/>
              </w:rPr>
            </w:pPr>
          </w:p>
        </w:tc>
        <w:tc>
          <w:tcPr>
            <w:tcW w:w="1350" w:type="dxa"/>
            <w:shd w:val="clear" w:color="auto" w:fill="BFBFBF" w:themeFill="background1" w:themeFillShade="BF"/>
            <w:noWrap/>
            <w:hideMark/>
          </w:tcPr>
          <w:p w14:paraId="493F736F" w14:textId="77777777" w:rsidR="005F67F7" w:rsidRPr="00385BAB" w:rsidRDefault="005F67F7" w:rsidP="005F67F7">
            <w:pPr>
              <w:spacing w:line="240" w:lineRule="auto"/>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385BAB">
              <w:rPr>
                <w:color w:val="000000"/>
                <w:sz w:val="20"/>
                <w:szCs w:val="20"/>
              </w:rPr>
              <w:t>Barak Government</w:t>
            </w:r>
          </w:p>
        </w:tc>
        <w:tc>
          <w:tcPr>
            <w:tcW w:w="1316" w:type="dxa"/>
            <w:shd w:val="clear" w:color="auto" w:fill="BFBFBF" w:themeFill="background1" w:themeFillShade="BF"/>
            <w:noWrap/>
            <w:hideMark/>
          </w:tcPr>
          <w:p w14:paraId="223C555F" w14:textId="77777777" w:rsidR="005F67F7" w:rsidRPr="00385BAB" w:rsidRDefault="005F67F7" w:rsidP="005F67F7">
            <w:pPr>
              <w:spacing w:line="240" w:lineRule="auto"/>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385BAB">
              <w:rPr>
                <w:color w:val="000000"/>
                <w:sz w:val="20"/>
                <w:szCs w:val="20"/>
              </w:rPr>
              <w:t>Sharon Government Pre 9/11</w:t>
            </w:r>
          </w:p>
        </w:tc>
        <w:tc>
          <w:tcPr>
            <w:tcW w:w="1260" w:type="dxa"/>
            <w:shd w:val="clear" w:color="auto" w:fill="BFBFBF" w:themeFill="background1" w:themeFillShade="BF"/>
            <w:noWrap/>
            <w:hideMark/>
          </w:tcPr>
          <w:p w14:paraId="7FA3F480" w14:textId="77777777" w:rsidR="005F67F7" w:rsidRPr="00385BAB" w:rsidRDefault="005F67F7" w:rsidP="005F67F7">
            <w:pPr>
              <w:spacing w:line="240" w:lineRule="auto"/>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385BAB">
              <w:rPr>
                <w:color w:val="000000"/>
                <w:sz w:val="20"/>
                <w:szCs w:val="20"/>
              </w:rPr>
              <w:t>September 12th 2001-ODS</w:t>
            </w:r>
          </w:p>
        </w:tc>
        <w:tc>
          <w:tcPr>
            <w:tcW w:w="1260" w:type="dxa"/>
            <w:shd w:val="clear" w:color="auto" w:fill="BFBFBF" w:themeFill="background1" w:themeFillShade="BF"/>
            <w:noWrap/>
            <w:hideMark/>
          </w:tcPr>
          <w:p w14:paraId="4FE7CE48" w14:textId="77777777" w:rsidR="005F67F7" w:rsidRPr="00385BAB" w:rsidRDefault="005F67F7" w:rsidP="005F67F7">
            <w:pPr>
              <w:spacing w:line="240" w:lineRule="auto"/>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385BAB">
              <w:rPr>
                <w:color w:val="000000"/>
                <w:sz w:val="20"/>
                <w:szCs w:val="20"/>
              </w:rPr>
              <w:t>ODS-Roadmap</w:t>
            </w:r>
          </w:p>
        </w:tc>
        <w:tc>
          <w:tcPr>
            <w:tcW w:w="1260" w:type="dxa"/>
            <w:shd w:val="clear" w:color="auto" w:fill="BFBFBF" w:themeFill="background1" w:themeFillShade="BF"/>
            <w:noWrap/>
            <w:hideMark/>
          </w:tcPr>
          <w:p w14:paraId="0AE17CB2" w14:textId="77777777" w:rsidR="005F67F7" w:rsidRPr="00385BAB" w:rsidRDefault="005F67F7" w:rsidP="005F67F7">
            <w:pPr>
              <w:spacing w:line="240" w:lineRule="auto"/>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385BAB">
              <w:rPr>
                <w:color w:val="000000"/>
                <w:sz w:val="20"/>
                <w:szCs w:val="20"/>
              </w:rPr>
              <w:t>Roadmap-Ceasefire</w:t>
            </w:r>
          </w:p>
        </w:tc>
        <w:tc>
          <w:tcPr>
            <w:tcW w:w="1260" w:type="dxa"/>
            <w:shd w:val="clear" w:color="auto" w:fill="BFBFBF" w:themeFill="background1" w:themeFillShade="BF"/>
            <w:noWrap/>
            <w:hideMark/>
          </w:tcPr>
          <w:p w14:paraId="077978A8" w14:textId="77777777" w:rsidR="005F67F7" w:rsidRPr="00385BAB" w:rsidRDefault="005F67F7" w:rsidP="005F67F7">
            <w:pPr>
              <w:spacing w:line="240" w:lineRule="auto"/>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385BAB">
              <w:rPr>
                <w:color w:val="000000"/>
                <w:sz w:val="20"/>
                <w:szCs w:val="20"/>
              </w:rPr>
              <w:t>Ceasefire</w:t>
            </w:r>
          </w:p>
        </w:tc>
        <w:tc>
          <w:tcPr>
            <w:tcW w:w="1260" w:type="dxa"/>
            <w:shd w:val="clear" w:color="auto" w:fill="BFBFBF" w:themeFill="background1" w:themeFillShade="BF"/>
            <w:noWrap/>
            <w:hideMark/>
          </w:tcPr>
          <w:p w14:paraId="5A167D27" w14:textId="77777777" w:rsidR="005F67F7" w:rsidRPr="00385BAB" w:rsidRDefault="005F67F7" w:rsidP="005F67F7">
            <w:pPr>
              <w:spacing w:line="240" w:lineRule="auto"/>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385BAB">
              <w:rPr>
                <w:color w:val="000000"/>
                <w:sz w:val="20"/>
                <w:szCs w:val="20"/>
              </w:rPr>
              <w:t>Post Ceasefire</w:t>
            </w:r>
          </w:p>
        </w:tc>
        <w:tc>
          <w:tcPr>
            <w:tcW w:w="1260" w:type="dxa"/>
            <w:shd w:val="clear" w:color="auto" w:fill="BFBFBF" w:themeFill="background1" w:themeFillShade="BF"/>
            <w:noWrap/>
            <w:hideMark/>
          </w:tcPr>
          <w:p w14:paraId="2BCC1CE2" w14:textId="77777777" w:rsidR="005F67F7" w:rsidRPr="00385BAB" w:rsidRDefault="005F67F7" w:rsidP="005F67F7">
            <w:pPr>
              <w:spacing w:line="240" w:lineRule="auto"/>
              <w:jc w:val="center"/>
              <w:cnfStyle w:val="100000000000" w:firstRow="1" w:lastRow="0" w:firstColumn="0" w:lastColumn="0" w:oddVBand="0" w:evenVBand="0" w:oddHBand="0" w:evenHBand="0" w:firstRowFirstColumn="0" w:firstRowLastColumn="0" w:lastRowFirstColumn="0" w:lastRowLastColumn="0"/>
              <w:rPr>
                <w:color w:val="000000"/>
              </w:rPr>
            </w:pPr>
            <w:r w:rsidRPr="00385BAB">
              <w:rPr>
                <w:color w:val="000000"/>
                <w:sz w:val="20"/>
              </w:rPr>
              <w:t>Total</w:t>
            </w:r>
          </w:p>
        </w:tc>
      </w:tr>
      <w:tr w:rsidR="005F67F7" w:rsidRPr="00385BAB" w14:paraId="609F41C6" w14:textId="77777777" w:rsidTr="005F67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10" w:type="dxa"/>
            <w:tcBorders>
              <w:top w:val="nil"/>
            </w:tcBorders>
            <w:shd w:val="clear" w:color="auto" w:fill="auto"/>
          </w:tcPr>
          <w:p w14:paraId="5E6492B6" w14:textId="77777777" w:rsidR="005F67F7" w:rsidRPr="00385BAB" w:rsidRDefault="005F67F7" w:rsidP="005F67F7">
            <w:pPr>
              <w:spacing w:line="240" w:lineRule="auto"/>
              <w:jc w:val="center"/>
              <w:rPr>
                <w:i/>
                <w:color w:val="000000"/>
                <w:sz w:val="20"/>
                <w:szCs w:val="20"/>
              </w:rPr>
            </w:pPr>
          </w:p>
        </w:tc>
        <w:tc>
          <w:tcPr>
            <w:tcW w:w="1350" w:type="dxa"/>
            <w:shd w:val="clear" w:color="auto" w:fill="auto"/>
            <w:noWrap/>
            <w:hideMark/>
          </w:tcPr>
          <w:p w14:paraId="535D27B5"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b/>
                <w:color w:val="000000"/>
                <w:sz w:val="20"/>
                <w:szCs w:val="20"/>
              </w:rPr>
            </w:pPr>
            <w:r w:rsidRPr="00385BAB">
              <w:rPr>
                <w:b/>
                <w:color w:val="000000"/>
                <w:sz w:val="20"/>
                <w:szCs w:val="20"/>
              </w:rPr>
              <w:t>29/9/2000-06/02/2001</w:t>
            </w:r>
          </w:p>
        </w:tc>
        <w:tc>
          <w:tcPr>
            <w:tcW w:w="1316" w:type="dxa"/>
            <w:shd w:val="clear" w:color="auto" w:fill="auto"/>
            <w:noWrap/>
            <w:hideMark/>
          </w:tcPr>
          <w:p w14:paraId="37C9318E"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b/>
                <w:color w:val="000000"/>
                <w:sz w:val="20"/>
                <w:szCs w:val="20"/>
              </w:rPr>
            </w:pPr>
            <w:r w:rsidRPr="00385BAB">
              <w:rPr>
                <w:b/>
                <w:color w:val="000000"/>
                <w:sz w:val="20"/>
                <w:szCs w:val="20"/>
              </w:rPr>
              <w:t>07/02/2001-11/09/2001</w:t>
            </w:r>
          </w:p>
        </w:tc>
        <w:tc>
          <w:tcPr>
            <w:tcW w:w="1260" w:type="dxa"/>
            <w:shd w:val="clear" w:color="auto" w:fill="auto"/>
            <w:noWrap/>
            <w:hideMark/>
          </w:tcPr>
          <w:p w14:paraId="3C7EF685"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b/>
                <w:color w:val="000000"/>
                <w:sz w:val="20"/>
                <w:szCs w:val="20"/>
              </w:rPr>
            </w:pPr>
            <w:r w:rsidRPr="00385BAB">
              <w:rPr>
                <w:b/>
                <w:color w:val="000000"/>
                <w:sz w:val="20"/>
                <w:szCs w:val="20"/>
              </w:rPr>
              <w:t>12/09/2001-24/06/2002</w:t>
            </w:r>
          </w:p>
        </w:tc>
        <w:tc>
          <w:tcPr>
            <w:tcW w:w="1260" w:type="dxa"/>
            <w:shd w:val="clear" w:color="auto" w:fill="auto"/>
            <w:noWrap/>
            <w:hideMark/>
          </w:tcPr>
          <w:p w14:paraId="6DC40F4D"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b/>
                <w:color w:val="000000"/>
                <w:sz w:val="20"/>
                <w:szCs w:val="20"/>
              </w:rPr>
            </w:pPr>
            <w:r w:rsidRPr="00385BAB">
              <w:rPr>
                <w:b/>
                <w:color w:val="000000"/>
                <w:sz w:val="20"/>
                <w:szCs w:val="20"/>
              </w:rPr>
              <w:t>29/03/2002-24/06/2002</w:t>
            </w:r>
          </w:p>
        </w:tc>
        <w:tc>
          <w:tcPr>
            <w:tcW w:w="1260" w:type="dxa"/>
            <w:shd w:val="clear" w:color="auto" w:fill="auto"/>
            <w:noWrap/>
            <w:hideMark/>
          </w:tcPr>
          <w:p w14:paraId="158BE5A7"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b/>
                <w:color w:val="000000"/>
                <w:sz w:val="20"/>
                <w:szCs w:val="20"/>
              </w:rPr>
            </w:pPr>
            <w:r w:rsidRPr="00385BAB">
              <w:rPr>
                <w:b/>
                <w:color w:val="000000"/>
                <w:sz w:val="20"/>
                <w:szCs w:val="20"/>
              </w:rPr>
              <w:t>25/06/2002-28/06/2003</w:t>
            </w:r>
          </w:p>
        </w:tc>
        <w:tc>
          <w:tcPr>
            <w:tcW w:w="1260" w:type="dxa"/>
            <w:shd w:val="clear" w:color="auto" w:fill="auto"/>
            <w:noWrap/>
            <w:hideMark/>
          </w:tcPr>
          <w:p w14:paraId="32F5E1B4"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b/>
                <w:color w:val="000000"/>
                <w:sz w:val="20"/>
                <w:szCs w:val="20"/>
              </w:rPr>
            </w:pPr>
            <w:r w:rsidRPr="00385BAB">
              <w:rPr>
                <w:b/>
                <w:color w:val="000000"/>
                <w:sz w:val="20"/>
                <w:szCs w:val="20"/>
              </w:rPr>
              <w:t>29/06/2003-21/08/2003</w:t>
            </w:r>
          </w:p>
        </w:tc>
        <w:tc>
          <w:tcPr>
            <w:tcW w:w="1260" w:type="dxa"/>
            <w:shd w:val="clear" w:color="auto" w:fill="auto"/>
            <w:noWrap/>
            <w:hideMark/>
          </w:tcPr>
          <w:p w14:paraId="1DE08C69"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b/>
                <w:color w:val="000000"/>
                <w:sz w:val="20"/>
                <w:szCs w:val="20"/>
              </w:rPr>
            </w:pPr>
            <w:r w:rsidRPr="00385BAB">
              <w:rPr>
                <w:b/>
                <w:color w:val="000000"/>
                <w:sz w:val="20"/>
                <w:szCs w:val="20"/>
              </w:rPr>
              <w:t>22/08/2003-15/01/2005</w:t>
            </w:r>
          </w:p>
        </w:tc>
        <w:tc>
          <w:tcPr>
            <w:tcW w:w="1260" w:type="dxa"/>
            <w:shd w:val="clear" w:color="auto" w:fill="auto"/>
            <w:noWrap/>
            <w:hideMark/>
          </w:tcPr>
          <w:p w14:paraId="4A775FB3"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b/>
                <w:color w:val="000000"/>
                <w:sz w:val="20"/>
                <w:szCs w:val="20"/>
              </w:rPr>
            </w:pPr>
            <w:r w:rsidRPr="00385BAB">
              <w:rPr>
                <w:b/>
                <w:color w:val="000000"/>
                <w:sz w:val="20"/>
                <w:szCs w:val="20"/>
              </w:rPr>
              <w:t>29/09/2000-15/01/2005</w:t>
            </w:r>
          </w:p>
        </w:tc>
      </w:tr>
      <w:tr w:rsidR="005F67F7" w:rsidRPr="00385BAB" w14:paraId="55C17699" w14:textId="77777777" w:rsidTr="005F67F7">
        <w:trPr>
          <w:trHeight w:val="300"/>
        </w:trPr>
        <w:tc>
          <w:tcPr>
            <w:cnfStyle w:val="001000000000" w:firstRow="0" w:lastRow="0" w:firstColumn="1" w:lastColumn="0" w:oddVBand="0" w:evenVBand="0" w:oddHBand="0" w:evenHBand="0" w:firstRowFirstColumn="0" w:firstRowLastColumn="0" w:lastRowFirstColumn="0" w:lastRowLastColumn="0"/>
            <w:tcW w:w="1710" w:type="dxa"/>
            <w:tcBorders>
              <w:top w:val="nil"/>
              <w:bottom w:val="nil"/>
            </w:tcBorders>
            <w:shd w:val="clear" w:color="auto" w:fill="auto"/>
          </w:tcPr>
          <w:p w14:paraId="58AB2A69" w14:textId="77777777" w:rsidR="005F67F7" w:rsidRPr="00385BAB" w:rsidRDefault="005F67F7" w:rsidP="005F67F7">
            <w:pPr>
              <w:spacing w:line="240" w:lineRule="auto"/>
              <w:jc w:val="center"/>
              <w:rPr>
                <w:color w:val="000000"/>
                <w:sz w:val="20"/>
                <w:szCs w:val="20"/>
              </w:rPr>
            </w:pPr>
          </w:p>
        </w:tc>
        <w:tc>
          <w:tcPr>
            <w:tcW w:w="1350" w:type="dxa"/>
            <w:tcBorders>
              <w:top w:val="nil"/>
              <w:bottom w:val="nil"/>
            </w:tcBorders>
            <w:noWrap/>
            <w:hideMark/>
          </w:tcPr>
          <w:p w14:paraId="3986E40C"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385BAB">
              <w:rPr>
                <w:b/>
                <w:color w:val="000000"/>
                <w:sz w:val="20"/>
                <w:szCs w:val="20"/>
              </w:rPr>
              <w:t>131 days</w:t>
            </w:r>
          </w:p>
        </w:tc>
        <w:tc>
          <w:tcPr>
            <w:tcW w:w="1316" w:type="dxa"/>
            <w:tcBorders>
              <w:top w:val="nil"/>
              <w:bottom w:val="nil"/>
            </w:tcBorders>
            <w:noWrap/>
            <w:hideMark/>
          </w:tcPr>
          <w:p w14:paraId="06E77B67"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385BAB">
              <w:rPr>
                <w:b/>
                <w:color w:val="000000"/>
                <w:sz w:val="20"/>
                <w:szCs w:val="20"/>
              </w:rPr>
              <w:t>217 days</w:t>
            </w:r>
          </w:p>
        </w:tc>
        <w:tc>
          <w:tcPr>
            <w:tcW w:w="1260" w:type="dxa"/>
            <w:tcBorders>
              <w:top w:val="nil"/>
              <w:bottom w:val="nil"/>
            </w:tcBorders>
            <w:noWrap/>
            <w:hideMark/>
          </w:tcPr>
          <w:p w14:paraId="7975C620"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385BAB">
              <w:rPr>
                <w:b/>
                <w:color w:val="000000"/>
                <w:sz w:val="20"/>
                <w:szCs w:val="20"/>
              </w:rPr>
              <w:t>88 days</w:t>
            </w:r>
          </w:p>
        </w:tc>
        <w:tc>
          <w:tcPr>
            <w:tcW w:w="1260" w:type="dxa"/>
            <w:tcBorders>
              <w:top w:val="nil"/>
              <w:bottom w:val="nil"/>
            </w:tcBorders>
            <w:noWrap/>
            <w:hideMark/>
          </w:tcPr>
          <w:p w14:paraId="363EC42B"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385BAB">
              <w:rPr>
                <w:b/>
                <w:color w:val="000000"/>
                <w:sz w:val="20"/>
                <w:szCs w:val="20"/>
              </w:rPr>
              <w:t>369 days</w:t>
            </w:r>
          </w:p>
        </w:tc>
        <w:tc>
          <w:tcPr>
            <w:tcW w:w="1260" w:type="dxa"/>
            <w:tcBorders>
              <w:top w:val="nil"/>
              <w:bottom w:val="nil"/>
            </w:tcBorders>
            <w:noWrap/>
            <w:hideMark/>
          </w:tcPr>
          <w:p w14:paraId="20F879EB"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385BAB">
              <w:rPr>
                <w:b/>
                <w:color w:val="000000"/>
                <w:sz w:val="20"/>
                <w:szCs w:val="20"/>
              </w:rPr>
              <w:t>51 days</w:t>
            </w:r>
          </w:p>
        </w:tc>
        <w:tc>
          <w:tcPr>
            <w:tcW w:w="1260" w:type="dxa"/>
            <w:tcBorders>
              <w:top w:val="nil"/>
              <w:bottom w:val="nil"/>
            </w:tcBorders>
            <w:noWrap/>
            <w:hideMark/>
          </w:tcPr>
          <w:p w14:paraId="7769ED1B"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385BAB">
              <w:rPr>
                <w:b/>
                <w:color w:val="000000"/>
                <w:sz w:val="20"/>
                <w:szCs w:val="20"/>
              </w:rPr>
              <w:t>51 days</w:t>
            </w:r>
          </w:p>
        </w:tc>
        <w:tc>
          <w:tcPr>
            <w:tcW w:w="1260" w:type="dxa"/>
            <w:tcBorders>
              <w:top w:val="nil"/>
              <w:bottom w:val="nil"/>
            </w:tcBorders>
            <w:noWrap/>
            <w:hideMark/>
          </w:tcPr>
          <w:p w14:paraId="35BA229D"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385BAB">
              <w:rPr>
                <w:b/>
                <w:color w:val="000000"/>
                <w:sz w:val="20"/>
                <w:szCs w:val="20"/>
              </w:rPr>
              <w:t>516 days</w:t>
            </w:r>
          </w:p>
        </w:tc>
        <w:tc>
          <w:tcPr>
            <w:tcW w:w="1260" w:type="dxa"/>
            <w:tcBorders>
              <w:top w:val="nil"/>
              <w:bottom w:val="nil"/>
            </w:tcBorders>
            <w:noWrap/>
            <w:hideMark/>
          </w:tcPr>
          <w:p w14:paraId="40CEB9FA"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385BAB">
              <w:rPr>
                <w:b/>
                <w:color w:val="000000"/>
                <w:sz w:val="20"/>
                <w:szCs w:val="20"/>
              </w:rPr>
              <w:t>1570 days</w:t>
            </w:r>
          </w:p>
        </w:tc>
      </w:tr>
      <w:tr w:rsidR="005F67F7" w:rsidRPr="00385BAB" w14:paraId="32C0E725" w14:textId="77777777" w:rsidTr="005F67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10" w:type="dxa"/>
            <w:tcBorders>
              <w:top w:val="nil"/>
              <w:bottom w:val="nil"/>
            </w:tcBorders>
            <w:noWrap/>
            <w:hideMark/>
          </w:tcPr>
          <w:p w14:paraId="79EFB00F" w14:textId="77777777" w:rsidR="005F67F7" w:rsidRPr="00385BAB" w:rsidRDefault="005F67F7" w:rsidP="005F67F7">
            <w:pPr>
              <w:spacing w:line="240" w:lineRule="auto"/>
              <w:jc w:val="center"/>
              <w:rPr>
                <w:color w:val="000000"/>
                <w:sz w:val="20"/>
                <w:szCs w:val="20"/>
              </w:rPr>
            </w:pPr>
          </w:p>
        </w:tc>
        <w:tc>
          <w:tcPr>
            <w:tcW w:w="10226" w:type="dxa"/>
            <w:gridSpan w:val="8"/>
            <w:tcBorders>
              <w:top w:val="nil"/>
              <w:bottom w:val="nil"/>
            </w:tcBorders>
            <w:noWrap/>
            <w:hideMark/>
          </w:tcPr>
          <w:p w14:paraId="7B421F8A"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385BAB">
              <w:rPr>
                <w:b/>
                <w:sz w:val="20"/>
                <w:szCs w:val="20"/>
              </w:rPr>
              <w:t>Israelis</w:t>
            </w:r>
          </w:p>
        </w:tc>
      </w:tr>
      <w:tr w:rsidR="005F67F7" w:rsidRPr="00385BAB" w14:paraId="6F180D27" w14:textId="77777777" w:rsidTr="005F67F7">
        <w:trPr>
          <w:trHeight w:val="300"/>
        </w:trPr>
        <w:tc>
          <w:tcPr>
            <w:cnfStyle w:val="001000000000" w:firstRow="0" w:lastRow="0" w:firstColumn="1" w:lastColumn="0" w:oddVBand="0" w:evenVBand="0" w:oddHBand="0" w:evenHBand="0" w:firstRowFirstColumn="0" w:firstRowLastColumn="0" w:lastRowFirstColumn="0" w:lastRowLastColumn="0"/>
            <w:tcW w:w="1710" w:type="dxa"/>
            <w:tcBorders>
              <w:top w:val="nil"/>
            </w:tcBorders>
            <w:noWrap/>
            <w:hideMark/>
          </w:tcPr>
          <w:p w14:paraId="2D705394" w14:textId="77777777" w:rsidR="005F67F7" w:rsidRPr="00385BAB" w:rsidRDefault="005F67F7" w:rsidP="005F67F7">
            <w:pPr>
              <w:spacing w:line="240" w:lineRule="auto"/>
              <w:jc w:val="center"/>
              <w:rPr>
                <w:b w:val="0"/>
                <w:color w:val="000000"/>
                <w:sz w:val="20"/>
                <w:szCs w:val="20"/>
              </w:rPr>
            </w:pPr>
            <w:r w:rsidRPr="00385BAB">
              <w:rPr>
                <w:b w:val="0"/>
                <w:color w:val="000000"/>
                <w:sz w:val="20"/>
                <w:szCs w:val="20"/>
              </w:rPr>
              <w:t>Fatalities</w:t>
            </w:r>
          </w:p>
        </w:tc>
        <w:tc>
          <w:tcPr>
            <w:tcW w:w="1350" w:type="dxa"/>
            <w:tcBorders>
              <w:top w:val="nil"/>
            </w:tcBorders>
            <w:noWrap/>
            <w:hideMark/>
          </w:tcPr>
          <w:p w14:paraId="49432623"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385BAB">
              <w:rPr>
                <w:color w:val="000000"/>
                <w:sz w:val="20"/>
                <w:szCs w:val="20"/>
              </w:rPr>
              <w:t>51</w:t>
            </w:r>
          </w:p>
        </w:tc>
        <w:tc>
          <w:tcPr>
            <w:tcW w:w="1316" w:type="dxa"/>
            <w:tcBorders>
              <w:top w:val="nil"/>
            </w:tcBorders>
            <w:noWrap/>
            <w:hideMark/>
          </w:tcPr>
          <w:p w14:paraId="301AF098"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385BAB">
              <w:rPr>
                <w:color w:val="000000"/>
                <w:sz w:val="20"/>
                <w:szCs w:val="20"/>
              </w:rPr>
              <w:t>116</w:t>
            </w:r>
          </w:p>
        </w:tc>
        <w:tc>
          <w:tcPr>
            <w:tcW w:w="1260" w:type="dxa"/>
            <w:tcBorders>
              <w:top w:val="nil"/>
            </w:tcBorders>
            <w:noWrap/>
            <w:hideMark/>
          </w:tcPr>
          <w:p w14:paraId="148CD5EE"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385BAB">
              <w:rPr>
                <w:color w:val="000000"/>
                <w:sz w:val="20"/>
                <w:szCs w:val="20"/>
              </w:rPr>
              <w:t>218</w:t>
            </w:r>
          </w:p>
        </w:tc>
        <w:tc>
          <w:tcPr>
            <w:tcW w:w="1260" w:type="dxa"/>
            <w:tcBorders>
              <w:top w:val="nil"/>
            </w:tcBorders>
            <w:noWrap/>
            <w:hideMark/>
          </w:tcPr>
          <w:p w14:paraId="79F7D5B6"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385BAB">
              <w:rPr>
                <w:b/>
                <w:color w:val="000000"/>
                <w:sz w:val="20"/>
                <w:szCs w:val="20"/>
              </w:rPr>
              <w:t>160</w:t>
            </w:r>
          </w:p>
        </w:tc>
        <w:tc>
          <w:tcPr>
            <w:tcW w:w="1260" w:type="dxa"/>
            <w:tcBorders>
              <w:top w:val="nil"/>
            </w:tcBorders>
            <w:noWrap/>
            <w:hideMark/>
          </w:tcPr>
          <w:p w14:paraId="33CEA78C"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385BAB">
              <w:rPr>
                <w:color w:val="000000"/>
                <w:sz w:val="20"/>
                <w:szCs w:val="20"/>
              </w:rPr>
              <w:t>241</w:t>
            </w:r>
          </w:p>
        </w:tc>
        <w:tc>
          <w:tcPr>
            <w:tcW w:w="1260" w:type="dxa"/>
            <w:tcBorders>
              <w:top w:val="nil"/>
            </w:tcBorders>
            <w:noWrap/>
            <w:hideMark/>
          </w:tcPr>
          <w:p w14:paraId="19FE663A"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385BAB">
              <w:rPr>
                <w:color w:val="000000"/>
                <w:sz w:val="20"/>
                <w:szCs w:val="20"/>
              </w:rPr>
              <w:t>7</w:t>
            </w:r>
          </w:p>
        </w:tc>
        <w:tc>
          <w:tcPr>
            <w:tcW w:w="1260" w:type="dxa"/>
            <w:tcBorders>
              <w:top w:val="nil"/>
            </w:tcBorders>
            <w:noWrap/>
            <w:hideMark/>
          </w:tcPr>
          <w:p w14:paraId="4FA473AB"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385BAB">
              <w:rPr>
                <w:color w:val="000000"/>
                <w:sz w:val="20"/>
                <w:szCs w:val="20"/>
              </w:rPr>
              <w:t>201</w:t>
            </w:r>
          </w:p>
        </w:tc>
        <w:tc>
          <w:tcPr>
            <w:tcW w:w="1260" w:type="dxa"/>
            <w:tcBorders>
              <w:top w:val="nil"/>
            </w:tcBorders>
            <w:noWrap/>
            <w:hideMark/>
          </w:tcPr>
          <w:p w14:paraId="72F65497"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385BAB">
              <w:rPr>
                <w:color w:val="000000"/>
                <w:sz w:val="20"/>
                <w:szCs w:val="20"/>
              </w:rPr>
              <w:t>994</w:t>
            </w:r>
          </w:p>
        </w:tc>
      </w:tr>
      <w:tr w:rsidR="005F67F7" w:rsidRPr="00385BAB" w14:paraId="33296800" w14:textId="77777777" w:rsidTr="005F67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10" w:type="dxa"/>
            <w:tcBorders>
              <w:bottom w:val="nil"/>
            </w:tcBorders>
            <w:shd w:val="clear" w:color="auto" w:fill="auto"/>
            <w:noWrap/>
            <w:hideMark/>
          </w:tcPr>
          <w:p w14:paraId="08BD8B61" w14:textId="77777777" w:rsidR="005F67F7" w:rsidRPr="00385BAB" w:rsidRDefault="005F67F7" w:rsidP="005F67F7">
            <w:pPr>
              <w:spacing w:line="240" w:lineRule="auto"/>
              <w:jc w:val="center"/>
              <w:rPr>
                <w:b w:val="0"/>
                <w:color w:val="000000"/>
                <w:sz w:val="20"/>
                <w:szCs w:val="20"/>
              </w:rPr>
            </w:pPr>
            <w:r w:rsidRPr="00385BAB">
              <w:rPr>
                <w:b w:val="0"/>
                <w:color w:val="000000"/>
                <w:sz w:val="20"/>
                <w:szCs w:val="20"/>
              </w:rPr>
              <w:t>Fatalities/Day</w:t>
            </w:r>
          </w:p>
        </w:tc>
        <w:tc>
          <w:tcPr>
            <w:tcW w:w="1350" w:type="dxa"/>
            <w:shd w:val="clear" w:color="auto" w:fill="auto"/>
            <w:noWrap/>
            <w:hideMark/>
          </w:tcPr>
          <w:p w14:paraId="6A98C59A"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385BAB">
              <w:rPr>
                <w:color w:val="000000"/>
                <w:sz w:val="20"/>
                <w:szCs w:val="20"/>
              </w:rPr>
              <w:t>0.389</w:t>
            </w:r>
          </w:p>
        </w:tc>
        <w:tc>
          <w:tcPr>
            <w:tcW w:w="1316" w:type="dxa"/>
            <w:shd w:val="clear" w:color="auto" w:fill="auto"/>
            <w:noWrap/>
            <w:hideMark/>
          </w:tcPr>
          <w:p w14:paraId="01E19C16"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385BAB">
              <w:rPr>
                <w:color w:val="000000"/>
                <w:sz w:val="20"/>
                <w:szCs w:val="20"/>
              </w:rPr>
              <w:t>0.535</w:t>
            </w:r>
          </w:p>
        </w:tc>
        <w:tc>
          <w:tcPr>
            <w:tcW w:w="1260" w:type="dxa"/>
            <w:shd w:val="clear" w:color="auto" w:fill="auto"/>
            <w:noWrap/>
            <w:hideMark/>
          </w:tcPr>
          <w:p w14:paraId="472DA420"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385BAB">
              <w:rPr>
                <w:color w:val="000000"/>
                <w:sz w:val="20"/>
                <w:szCs w:val="20"/>
              </w:rPr>
              <w:t>1.101</w:t>
            </w:r>
          </w:p>
        </w:tc>
        <w:tc>
          <w:tcPr>
            <w:tcW w:w="1260" w:type="dxa"/>
            <w:shd w:val="clear" w:color="auto" w:fill="auto"/>
            <w:noWrap/>
            <w:hideMark/>
          </w:tcPr>
          <w:p w14:paraId="3CFE38F1"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b/>
                <w:color w:val="000000"/>
                <w:sz w:val="20"/>
                <w:szCs w:val="20"/>
              </w:rPr>
            </w:pPr>
            <w:r w:rsidRPr="00385BAB">
              <w:rPr>
                <w:b/>
                <w:color w:val="000000"/>
                <w:sz w:val="20"/>
                <w:szCs w:val="20"/>
              </w:rPr>
              <w:t>1.818</w:t>
            </w:r>
          </w:p>
        </w:tc>
        <w:tc>
          <w:tcPr>
            <w:tcW w:w="1260" w:type="dxa"/>
            <w:shd w:val="clear" w:color="auto" w:fill="auto"/>
            <w:noWrap/>
            <w:hideMark/>
          </w:tcPr>
          <w:p w14:paraId="7FDB53CF"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385BAB">
              <w:rPr>
                <w:color w:val="000000"/>
                <w:sz w:val="20"/>
                <w:szCs w:val="20"/>
              </w:rPr>
              <w:t>0.653</w:t>
            </w:r>
          </w:p>
        </w:tc>
        <w:tc>
          <w:tcPr>
            <w:tcW w:w="1260" w:type="dxa"/>
            <w:shd w:val="clear" w:color="auto" w:fill="auto"/>
            <w:noWrap/>
            <w:hideMark/>
          </w:tcPr>
          <w:p w14:paraId="1C2B195F"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385BAB">
              <w:rPr>
                <w:color w:val="000000"/>
                <w:sz w:val="20"/>
                <w:szCs w:val="20"/>
              </w:rPr>
              <w:t>0.137</w:t>
            </w:r>
          </w:p>
        </w:tc>
        <w:tc>
          <w:tcPr>
            <w:tcW w:w="1260" w:type="dxa"/>
            <w:shd w:val="clear" w:color="auto" w:fill="auto"/>
            <w:noWrap/>
            <w:hideMark/>
          </w:tcPr>
          <w:p w14:paraId="3C791E04"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385BAB">
              <w:rPr>
                <w:color w:val="000000"/>
                <w:sz w:val="20"/>
                <w:szCs w:val="20"/>
              </w:rPr>
              <w:t>0.39</w:t>
            </w:r>
          </w:p>
        </w:tc>
        <w:tc>
          <w:tcPr>
            <w:tcW w:w="1260" w:type="dxa"/>
            <w:shd w:val="clear" w:color="auto" w:fill="auto"/>
            <w:noWrap/>
            <w:hideMark/>
          </w:tcPr>
          <w:p w14:paraId="0D814464"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385BAB">
              <w:rPr>
                <w:color w:val="000000"/>
                <w:sz w:val="20"/>
                <w:szCs w:val="20"/>
              </w:rPr>
              <w:t>0.633</w:t>
            </w:r>
          </w:p>
        </w:tc>
      </w:tr>
      <w:tr w:rsidR="005F67F7" w:rsidRPr="00385BAB" w14:paraId="39E53CAD" w14:textId="77777777" w:rsidTr="005F67F7">
        <w:trPr>
          <w:trHeight w:val="300"/>
        </w:trPr>
        <w:tc>
          <w:tcPr>
            <w:cnfStyle w:val="001000000000" w:firstRow="0" w:lastRow="0" w:firstColumn="1" w:lastColumn="0" w:oddVBand="0" w:evenVBand="0" w:oddHBand="0" w:evenHBand="0" w:firstRowFirstColumn="0" w:firstRowLastColumn="0" w:lastRowFirstColumn="0" w:lastRowLastColumn="0"/>
            <w:tcW w:w="1710" w:type="dxa"/>
            <w:tcBorders>
              <w:top w:val="nil"/>
              <w:bottom w:val="nil"/>
            </w:tcBorders>
            <w:shd w:val="clear" w:color="auto" w:fill="auto"/>
            <w:noWrap/>
            <w:hideMark/>
          </w:tcPr>
          <w:p w14:paraId="5687A044" w14:textId="77777777" w:rsidR="005F67F7" w:rsidRPr="00385BAB" w:rsidRDefault="005F67F7" w:rsidP="005F67F7">
            <w:pPr>
              <w:spacing w:line="240" w:lineRule="auto"/>
              <w:jc w:val="center"/>
              <w:rPr>
                <w:b w:val="0"/>
                <w:color w:val="000000"/>
                <w:sz w:val="20"/>
                <w:szCs w:val="20"/>
              </w:rPr>
            </w:pPr>
            <w:r w:rsidRPr="00385BAB">
              <w:rPr>
                <w:b w:val="0"/>
                <w:color w:val="000000"/>
                <w:sz w:val="20"/>
                <w:szCs w:val="20"/>
              </w:rPr>
              <w:t>Daily Incidence of Fatalities</w:t>
            </w:r>
          </w:p>
        </w:tc>
        <w:tc>
          <w:tcPr>
            <w:tcW w:w="1350" w:type="dxa"/>
            <w:shd w:val="clear" w:color="auto" w:fill="auto"/>
            <w:noWrap/>
            <w:hideMark/>
          </w:tcPr>
          <w:p w14:paraId="2C1C297F"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385BAB">
              <w:rPr>
                <w:color w:val="000000"/>
                <w:sz w:val="20"/>
                <w:szCs w:val="20"/>
              </w:rPr>
              <w:t>0.237</w:t>
            </w:r>
          </w:p>
        </w:tc>
        <w:tc>
          <w:tcPr>
            <w:tcW w:w="1316" w:type="dxa"/>
            <w:shd w:val="clear" w:color="auto" w:fill="auto"/>
            <w:noWrap/>
            <w:hideMark/>
          </w:tcPr>
          <w:p w14:paraId="4F70A9FA"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385BAB">
              <w:rPr>
                <w:color w:val="000000"/>
                <w:sz w:val="20"/>
                <w:szCs w:val="20"/>
              </w:rPr>
              <w:t>0.212</w:t>
            </w:r>
          </w:p>
        </w:tc>
        <w:tc>
          <w:tcPr>
            <w:tcW w:w="1260" w:type="dxa"/>
            <w:shd w:val="clear" w:color="auto" w:fill="auto"/>
            <w:noWrap/>
            <w:hideMark/>
          </w:tcPr>
          <w:p w14:paraId="3035C88B"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385BAB">
              <w:rPr>
                <w:color w:val="000000"/>
                <w:sz w:val="20"/>
                <w:szCs w:val="20"/>
              </w:rPr>
              <w:t>0.318</w:t>
            </w:r>
          </w:p>
        </w:tc>
        <w:tc>
          <w:tcPr>
            <w:tcW w:w="1260" w:type="dxa"/>
            <w:shd w:val="clear" w:color="auto" w:fill="auto"/>
            <w:noWrap/>
            <w:hideMark/>
          </w:tcPr>
          <w:p w14:paraId="1A5B457B"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385BAB">
              <w:rPr>
                <w:b/>
                <w:color w:val="000000"/>
                <w:sz w:val="20"/>
                <w:szCs w:val="20"/>
              </w:rPr>
              <w:t>0.341</w:t>
            </w:r>
          </w:p>
        </w:tc>
        <w:tc>
          <w:tcPr>
            <w:tcW w:w="1260" w:type="dxa"/>
            <w:shd w:val="clear" w:color="auto" w:fill="auto"/>
            <w:noWrap/>
            <w:hideMark/>
          </w:tcPr>
          <w:p w14:paraId="3A853003"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385BAB">
              <w:rPr>
                <w:color w:val="000000"/>
                <w:sz w:val="20"/>
                <w:szCs w:val="20"/>
              </w:rPr>
              <w:t>0.187</w:t>
            </w:r>
          </w:p>
        </w:tc>
        <w:tc>
          <w:tcPr>
            <w:tcW w:w="1260" w:type="dxa"/>
            <w:shd w:val="clear" w:color="auto" w:fill="auto"/>
            <w:noWrap/>
            <w:hideMark/>
          </w:tcPr>
          <w:p w14:paraId="228FC300"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385BAB">
              <w:rPr>
                <w:color w:val="000000"/>
                <w:sz w:val="20"/>
                <w:szCs w:val="20"/>
              </w:rPr>
              <w:t>0.098</w:t>
            </w:r>
          </w:p>
        </w:tc>
        <w:tc>
          <w:tcPr>
            <w:tcW w:w="1260" w:type="dxa"/>
            <w:shd w:val="clear" w:color="auto" w:fill="auto"/>
            <w:noWrap/>
            <w:hideMark/>
          </w:tcPr>
          <w:p w14:paraId="00389DA9"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385BAB">
              <w:rPr>
                <w:color w:val="000000"/>
                <w:sz w:val="20"/>
                <w:szCs w:val="20"/>
              </w:rPr>
              <w:t>0.107</w:t>
            </w:r>
          </w:p>
        </w:tc>
        <w:tc>
          <w:tcPr>
            <w:tcW w:w="1260" w:type="dxa"/>
            <w:tcBorders>
              <w:bottom w:val="nil"/>
            </w:tcBorders>
            <w:shd w:val="clear" w:color="auto" w:fill="auto"/>
            <w:noWrap/>
            <w:hideMark/>
          </w:tcPr>
          <w:p w14:paraId="17051AE3"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385BAB">
              <w:rPr>
                <w:color w:val="000000"/>
                <w:sz w:val="20"/>
                <w:szCs w:val="20"/>
              </w:rPr>
              <w:t>0.19</w:t>
            </w:r>
          </w:p>
        </w:tc>
      </w:tr>
      <w:tr w:rsidR="005F67F7" w:rsidRPr="00385BAB" w14:paraId="5AA7CED4" w14:textId="77777777" w:rsidTr="005F67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10" w:type="dxa"/>
            <w:tcBorders>
              <w:top w:val="nil"/>
            </w:tcBorders>
            <w:shd w:val="clear" w:color="auto" w:fill="auto"/>
            <w:noWrap/>
            <w:hideMark/>
          </w:tcPr>
          <w:p w14:paraId="2A558243" w14:textId="77777777" w:rsidR="005F67F7" w:rsidRPr="00385BAB" w:rsidRDefault="005F67F7" w:rsidP="005F67F7">
            <w:pPr>
              <w:spacing w:line="240" w:lineRule="auto"/>
              <w:jc w:val="center"/>
              <w:rPr>
                <w:b w:val="0"/>
                <w:color w:val="000000"/>
                <w:sz w:val="20"/>
                <w:szCs w:val="20"/>
              </w:rPr>
            </w:pPr>
            <w:r w:rsidRPr="00385BAB">
              <w:rPr>
                <w:b w:val="0"/>
                <w:color w:val="000000"/>
                <w:sz w:val="20"/>
                <w:szCs w:val="20"/>
              </w:rPr>
              <w:t>Share by Gunfire</w:t>
            </w:r>
          </w:p>
        </w:tc>
        <w:tc>
          <w:tcPr>
            <w:tcW w:w="1350" w:type="dxa"/>
            <w:shd w:val="clear" w:color="auto" w:fill="auto"/>
            <w:noWrap/>
            <w:hideMark/>
          </w:tcPr>
          <w:p w14:paraId="2D72FFFC"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385BAB">
              <w:rPr>
                <w:color w:val="000000"/>
                <w:sz w:val="20"/>
                <w:szCs w:val="20"/>
              </w:rPr>
              <w:t>0.764</w:t>
            </w:r>
          </w:p>
        </w:tc>
        <w:tc>
          <w:tcPr>
            <w:tcW w:w="1316" w:type="dxa"/>
            <w:shd w:val="clear" w:color="auto" w:fill="auto"/>
            <w:noWrap/>
            <w:hideMark/>
          </w:tcPr>
          <w:p w14:paraId="2FD33081"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385BAB">
              <w:rPr>
                <w:color w:val="000000"/>
                <w:sz w:val="20"/>
                <w:szCs w:val="20"/>
              </w:rPr>
              <w:t>0.379</w:t>
            </w:r>
          </w:p>
        </w:tc>
        <w:tc>
          <w:tcPr>
            <w:tcW w:w="1260" w:type="dxa"/>
            <w:shd w:val="clear" w:color="auto" w:fill="auto"/>
            <w:noWrap/>
            <w:hideMark/>
          </w:tcPr>
          <w:p w14:paraId="53F8830E"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385BAB">
              <w:rPr>
                <w:color w:val="000000"/>
                <w:sz w:val="20"/>
                <w:szCs w:val="20"/>
              </w:rPr>
              <w:t>0.423</w:t>
            </w:r>
          </w:p>
        </w:tc>
        <w:tc>
          <w:tcPr>
            <w:tcW w:w="1260" w:type="dxa"/>
            <w:shd w:val="clear" w:color="auto" w:fill="auto"/>
            <w:noWrap/>
            <w:hideMark/>
          </w:tcPr>
          <w:p w14:paraId="7FC880C8"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b/>
                <w:color w:val="000000"/>
                <w:sz w:val="20"/>
                <w:szCs w:val="20"/>
              </w:rPr>
            </w:pPr>
            <w:r w:rsidRPr="00385BAB">
              <w:rPr>
                <w:b/>
                <w:color w:val="000000"/>
                <w:sz w:val="20"/>
                <w:szCs w:val="20"/>
              </w:rPr>
              <w:t>0.275</w:t>
            </w:r>
          </w:p>
        </w:tc>
        <w:tc>
          <w:tcPr>
            <w:tcW w:w="1260" w:type="dxa"/>
            <w:shd w:val="clear" w:color="auto" w:fill="auto"/>
            <w:noWrap/>
            <w:hideMark/>
          </w:tcPr>
          <w:p w14:paraId="4A016A8C"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385BAB">
              <w:rPr>
                <w:color w:val="000000"/>
                <w:sz w:val="20"/>
                <w:szCs w:val="20"/>
              </w:rPr>
              <w:t>0.432</w:t>
            </w:r>
          </w:p>
        </w:tc>
        <w:tc>
          <w:tcPr>
            <w:tcW w:w="1260" w:type="dxa"/>
            <w:shd w:val="clear" w:color="auto" w:fill="auto"/>
            <w:noWrap/>
            <w:hideMark/>
          </w:tcPr>
          <w:p w14:paraId="33615A4C"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385BAB">
              <w:rPr>
                <w:color w:val="000000"/>
                <w:sz w:val="20"/>
                <w:szCs w:val="20"/>
              </w:rPr>
              <w:t>0.286</w:t>
            </w:r>
          </w:p>
        </w:tc>
        <w:tc>
          <w:tcPr>
            <w:tcW w:w="1260" w:type="dxa"/>
            <w:shd w:val="clear" w:color="auto" w:fill="auto"/>
            <w:noWrap/>
            <w:hideMark/>
          </w:tcPr>
          <w:p w14:paraId="38D1DC7E"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385BAB">
              <w:rPr>
                <w:color w:val="000000"/>
                <w:sz w:val="20"/>
                <w:szCs w:val="20"/>
              </w:rPr>
              <w:t>0.289</w:t>
            </w:r>
          </w:p>
        </w:tc>
        <w:tc>
          <w:tcPr>
            <w:tcW w:w="1260" w:type="dxa"/>
            <w:tcBorders>
              <w:top w:val="nil"/>
              <w:bottom w:val="nil"/>
            </w:tcBorders>
            <w:shd w:val="clear" w:color="auto" w:fill="auto"/>
            <w:noWrap/>
            <w:hideMark/>
          </w:tcPr>
          <w:p w14:paraId="6604A12B"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385BAB">
              <w:rPr>
                <w:color w:val="000000"/>
                <w:sz w:val="20"/>
                <w:szCs w:val="20"/>
              </w:rPr>
              <w:t>0.407</w:t>
            </w:r>
          </w:p>
        </w:tc>
      </w:tr>
      <w:tr w:rsidR="005F67F7" w:rsidRPr="00385BAB" w14:paraId="373ED67F" w14:textId="77777777" w:rsidTr="005F67F7">
        <w:trPr>
          <w:trHeight w:val="300"/>
        </w:trPr>
        <w:tc>
          <w:tcPr>
            <w:cnfStyle w:val="001000000000" w:firstRow="0" w:lastRow="0" w:firstColumn="1" w:lastColumn="0" w:oddVBand="0" w:evenVBand="0" w:oddHBand="0" w:evenHBand="0" w:firstRowFirstColumn="0" w:firstRowLastColumn="0" w:lastRowFirstColumn="0" w:lastRowLastColumn="0"/>
            <w:tcW w:w="1710" w:type="dxa"/>
            <w:tcBorders>
              <w:top w:val="nil"/>
            </w:tcBorders>
            <w:shd w:val="clear" w:color="auto" w:fill="auto"/>
            <w:noWrap/>
            <w:hideMark/>
          </w:tcPr>
          <w:p w14:paraId="72B67D8B" w14:textId="77777777" w:rsidR="005F67F7" w:rsidRPr="00385BAB" w:rsidRDefault="005F67F7" w:rsidP="005F67F7">
            <w:pPr>
              <w:spacing w:line="240" w:lineRule="auto"/>
              <w:jc w:val="center"/>
              <w:rPr>
                <w:b w:val="0"/>
                <w:color w:val="000000"/>
                <w:sz w:val="20"/>
                <w:szCs w:val="20"/>
              </w:rPr>
            </w:pPr>
            <w:r w:rsidRPr="00385BAB">
              <w:rPr>
                <w:b w:val="0"/>
                <w:color w:val="000000"/>
                <w:sz w:val="20"/>
                <w:szCs w:val="20"/>
              </w:rPr>
              <w:t>Share by Suicide Attacks</w:t>
            </w:r>
          </w:p>
        </w:tc>
        <w:tc>
          <w:tcPr>
            <w:tcW w:w="1350" w:type="dxa"/>
            <w:shd w:val="clear" w:color="auto" w:fill="auto"/>
            <w:noWrap/>
            <w:hideMark/>
          </w:tcPr>
          <w:p w14:paraId="5DFB383A"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385BAB">
              <w:rPr>
                <w:color w:val="000000"/>
                <w:sz w:val="20"/>
                <w:szCs w:val="20"/>
              </w:rPr>
              <w:t>0</w:t>
            </w:r>
          </w:p>
        </w:tc>
        <w:tc>
          <w:tcPr>
            <w:tcW w:w="1316" w:type="dxa"/>
            <w:shd w:val="clear" w:color="auto" w:fill="auto"/>
            <w:noWrap/>
            <w:hideMark/>
          </w:tcPr>
          <w:p w14:paraId="09A8F74B"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385BAB">
              <w:rPr>
                <w:color w:val="000000"/>
                <w:sz w:val="20"/>
                <w:szCs w:val="20"/>
              </w:rPr>
              <w:t>0.422</w:t>
            </w:r>
          </w:p>
        </w:tc>
        <w:tc>
          <w:tcPr>
            <w:tcW w:w="1260" w:type="dxa"/>
            <w:shd w:val="clear" w:color="auto" w:fill="auto"/>
            <w:noWrap/>
            <w:hideMark/>
          </w:tcPr>
          <w:p w14:paraId="3223B324"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385BAB">
              <w:rPr>
                <w:color w:val="000000"/>
                <w:sz w:val="20"/>
                <w:szCs w:val="20"/>
              </w:rPr>
              <w:t>0.44</w:t>
            </w:r>
          </w:p>
        </w:tc>
        <w:tc>
          <w:tcPr>
            <w:tcW w:w="1260" w:type="dxa"/>
            <w:shd w:val="clear" w:color="auto" w:fill="auto"/>
            <w:noWrap/>
            <w:hideMark/>
          </w:tcPr>
          <w:p w14:paraId="1E9C3D14"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385BAB">
              <w:rPr>
                <w:b/>
                <w:color w:val="000000"/>
                <w:sz w:val="20"/>
                <w:szCs w:val="20"/>
              </w:rPr>
              <w:t>0.613</w:t>
            </w:r>
          </w:p>
        </w:tc>
        <w:tc>
          <w:tcPr>
            <w:tcW w:w="1260" w:type="dxa"/>
            <w:shd w:val="clear" w:color="auto" w:fill="auto"/>
            <w:noWrap/>
            <w:hideMark/>
          </w:tcPr>
          <w:p w14:paraId="6ADFE94D"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385BAB">
              <w:rPr>
                <w:color w:val="000000"/>
                <w:sz w:val="20"/>
                <w:szCs w:val="20"/>
              </w:rPr>
              <w:t>0.461</w:t>
            </w:r>
          </w:p>
        </w:tc>
        <w:tc>
          <w:tcPr>
            <w:tcW w:w="1260" w:type="dxa"/>
            <w:shd w:val="clear" w:color="auto" w:fill="auto"/>
            <w:noWrap/>
            <w:hideMark/>
          </w:tcPr>
          <w:p w14:paraId="2B06224A"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385BAB">
              <w:rPr>
                <w:color w:val="000000"/>
                <w:sz w:val="20"/>
                <w:szCs w:val="20"/>
              </w:rPr>
              <w:t>0.571</w:t>
            </w:r>
          </w:p>
        </w:tc>
        <w:tc>
          <w:tcPr>
            <w:tcW w:w="1260" w:type="dxa"/>
            <w:shd w:val="clear" w:color="auto" w:fill="auto"/>
            <w:noWrap/>
            <w:hideMark/>
          </w:tcPr>
          <w:p w14:paraId="255E3957"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385BAB">
              <w:rPr>
                <w:color w:val="000000"/>
                <w:sz w:val="20"/>
                <w:szCs w:val="20"/>
              </w:rPr>
              <w:t>0.587</w:t>
            </w:r>
          </w:p>
        </w:tc>
        <w:tc>
          <w:tcPr>
            <w:tcW w:w="1260" w:type="dxa"/>
            <w:tcBorders>
              <w:top w:val="nil"/>
            </w:tcBorders>
            <w:shd w:val="clear" w:color="auto" w:fill="auto"/>
            <w:noWrap/>
            <w:hideMark/>
          </w:tcPr>
          <w:p w14:paraId="2ACA8AE2"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385BAB">
              <w:rPr>
                <w:color w:val="000000"/>
                <w:sz w:val="20"/>
                <w:szCs w:val="20"/>
              </w:rPr>
              <w:t>0.479</w:t>
            </w:r>
          </w:p>
        </w:tc>
      </w:tr>
      <w:tr w:rsidR="005F67F7" w:rsidRPr="00385BAB" w14:paraId="5A985BFB" w14:textId="77777777" w:rsidTr="005F67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10" w:type="dxa"/>
            <w:tcBorders>
              <w:top w:val="nil"/>
            </w:tcBorders>
            <w:noWrap/>
            <w:hideMark/>
          </w:tcPr>
          <w:p w14:paraId="00B78A2D" w14:textId="77777777" w:rsidR="005F67F7" w:rsidRPr="00385BAB" w:rsidRDefault="005F67F7" w:rsidP="005F67F7">
            <w:pPr>
              <w:spacing w:line="240" w:lineRule="auto"/>
              <w:jc w:val="center"/>
              <w:rPr>
                <w:b w:val="0"/>
                <w:color w:val="000000"/>
                <w:sz w:val="20"/>
                <w:szCs w:val="20"/>
              </w:rPr>
            </w:pPr>
          </w:p>
        </w:tc>
        <w:tc>
          <w:tcPr>
            <w:tcW w:w="10226" w:type="dxa"/>
            <w:gridSpan w:val="8"/>
            <w:tcBorders>
              <w:top w:val="nil"/>
            </w:tcBorders>
            <w:noWrap/>
            <w:hideMark/>
          </w:tcPr>
          <w:p w14:paraId="1C3C9121"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385BAB">
              <w:rPr>
                <w:b/>
                <w:sz w:val="20"/>
                <w:szCs w:val="20"/>
              </w:rPr>
              <w:t>Palestinians</w:t>
            </w:r>
          </w:p>
        </w:tc>
      </w:tr>
      <w:tr w:rsidR="005F67F7" w:rsidRPr="00385BAB" w14:paraId="1B8484E4" w14:textId="77777777" w:rsidTr="005F67F7">
        <w:trPr>
          <w:trHeight w:val="300"/>
        </w:trPr>
        <w:tc>
          <w:tcPr>
            <w:cnfStyle w:val="001000000000" w:firstRow="0" w:lastRow="0" w:firstColumn="1" w:lastColumn="0" w:oddVBand="0" w:evenVBand="0" w:oddHBand="0" w:evenHBand="0" w:firstRowFirstColumn="0" w:firstRowLastColumn="0" w:lastRowFirstColumn="0" w:lastRowLastColumn="0"/>
            <w:tcW w:w="1710" w:type="dxa"/>
            <w:noWrap/>
            <w:hideMark/>
          </w:tcPr>
          <w:p w14:paraId="220D8BFB" w14:textId="77777777" w:rsidR="005F67F7" w:rsidRPr="00385BAB" w:rsidRDefault="005F67F7" w:rsidP="005F67F7">
            <w:pPr>
              <w:spacing w:line="240" w:lineRule="auto"/>
              <w:jc w:val="center"/>
              <w:rPr>
                <w:b w:val="0"/>
                <w:color w:val="000000"/>
                <w:sz w:val="20"/>
                <w:szCs w:val="20"/>
              </w:rPr>
            </w:pPr>
            <w:r w:rsidRPr="00385BAB">
              <w:rPr>
                <w:b w:val="0"/>
                <w:color w:val="000000"/>
                <w:sz w:val="20"/>
                <w:szCs w:val="20"/>
              </w:rPr>
              <w:t>Fatalities</w:t>
            </w:r>
          </w:p>
        </w:tc>
        <w:tc>
          <w:tcPr>
            <w:tcW w:w="1350" w:type="dxa"/>
            <w:noWrap/>
            <w:hideMark/>
          </w:tcPr>
          <w:p w14:paraId="7CBFEB9B"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385BAB">
              <w:rPr>
                <w:color w:val="000000"/>
                <w:sz w:val="20"/>
                <w:szCs w:val="20"/>
              </w:rPr>
              <w:t>308</w:t>
            </w:r>
          </w:p>
        </w:tc>
        <w:tc>
          <w:tcPr>
            <w:tcW w:w="1316" w:type="dxa"/>
            <w:noWrap/>
            <w:hideMark/>
          </w:tcPr>
          <w:p w14:paraId="69BE87D3"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385BAB">
              <w:rPr>
                <w:color w:val="000000"/>
                <w:sz w:val="20"/>
                <w:szCs w:val="20"/>
              </w:rPr>
              <w:t>206</w:t>
            </w:r>
          </w:p>
        </w:tc>
        <w:tc>
          <w:tcPr>
            <w:tcW w:w="1260" w:type="dxa"/>
            <w:noWrap/>
            <w:hideMark/>
          </w:tcPr>
          <w:p w14:paraId="4D6DA6DB"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385BAB">
              <w:rPr>
                <w:color w:val="000000"/>
                <w:sz w:val="20"/>
                <w:szCs w:val="20"/>
              </w:rPr>
              <w:t>568</w:t>
            </w:r>
          </w:p>
        </w:tc>
        <w:tc>
          <w:tcPr>
            <w:tcW w:w="1260" w:type="dxa"/>
            <w:noWrap/>
            <w:hideMark/>
          </w:tcPr>
          <w:p w14:paraId="02A70D68"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385BAB">
              <w:rPr>
                <w:b/>
                <w:color w:val="000000"/>
                <w:sz w:val="20"/>
                <w:szCs w:val="20"/>
              </w:rPr>
              <w:t>374</w:t>
            </w:r>
          </w:p>
        </w:tc>
        <w:tc>
          <w:tcPr>
            <w:tcW w:w="1260" w:type="dxa"/>
            <w:noWrap/>
            <w:hideMark/>
          </w:tcPr>
          <w:p w14:paraId="5DBA0D32"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385BAB">
              <w:rPr>
                <w:color w:val="000000"/>
                <w:sz w:val="20"/>
                <w:szCs w:val="20"/>
              </w:rPr>
              <w:t>730</w:t>
            </w:r>
          </w:p>
        </w:tc>
        <w:tc>
          <w:tcPr>
            <w:tcW w:w="1260" w:type="dxa"/>
            <w:noWrap/>
            <w:hideMark/>
          </w:tcPr>
          <w:p w14:paraId="45991CC5"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385BAB">
              <w:rPr>
                <w:color w:val="000000"/>
                <w:sz w:val="20"/>
                <w:szCs w:val="20"/>
              </w:rPr>
              <w:t>10</w:t>
            </w:r>
          </w:p>
        </w:tc>
        <w:tc>
          <w:tcPr>
            <w:tcW w:w="1260" w:type="dxa"/>
            <w:noWrap/>
            <w:hideMark/>
          </w:tcPr>
          <w:p w14:paraId="1DF187BD"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385BAB">
              <w:rPr>
                <w:color w:val="000000"/>
                <w:sz w:val="20"/>
                <w:szCs w:val="20"/>
              </w:rPr>
              <w:t>1,048</w:t>
            </w:r>
          </w:p>
        </w:tc>
        <w:tc>
          <w:tcPr>
            <w:tcW w:w="1260" w:type="dxa"/>
            <w:noWrap/>
            <w:hideMark/>
          </w:tcPr>
          <w:p w14:paraId="55F10CCA"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385BAB">
              <w:rPr>
                <w:color w:val="000000"/>
                <w:sz w:val="20"/>
                <w:szCs w:val="20"/>
              </w:rPr>
              <w:t>3,244</w:t>
            </w:r>
          </w:p>
        </w:tc>
      </w:tr>
      <w:tr w:rsidR="005F67F7" w:rsidRPr="00385BAB" w14:paraId="7EEF33E5" w14:textId="77777777" w:rsidTr="005F67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10" w:type="dxa"/>
            <w:shd w:val="clear" w:color="auto" w:fill="auto"/>
            <w:noWrap/>
            <w:hideMark/>
          </w:tcPr>
          <w:p w14:paraId="45EADAB2" w14:textId="77777777" w:rsidR="005F67F7" w:rsidRPr="00385BAB" w:rsidRDefault="005F67F7" w:rsidP="005F67F7">
            <w:pPr>
              <w:spacing w:line="240" w:lineRule="auto"/>
              <w:jc w:val="center"/>
              <w:rPr>
                <w:b w:val="0"/>
                <w:color w:val="000000"/>
                <w:sz w:val="20"/>
                <w:szCs w:val="20"/>
              </w:rPr>
            </w:pPr>
            <w:r w:rsidRPr="00385BAB">
              <w:rPr>
                <w:b w:val="0"/>
                <w:color w:val="000000"/>
                <w:sz w:val="20"/>
                <w:szCs w:val="20"/>
              </w:rPr>
              <w:t>Fatalities/Day</w:t>
            </w:r>
          </w:p>
        </w:tc>
        <w:tc>
          <w:tcPr>
            <w:tcW w:w="1350" w:type="dxa"/>
            <w:shd w:val="clear" w:color="auto" w:fill="auto"/>
            <w:noWrap/>
            <w:hideMark/>
          </w:tcPr>
          <w:p w14:paraId="5DD4BD86"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385BAB">
              <w:rPr>
                <w:color w:val="000000"/>
                <w:sz w:val="20"/>
                <w:szCs w:val="20"/>
              </w:rPr>
              <w:t>2.351</w:t>
            </w:r>
          </w:p>
        </w:tc>
        <w:tc>
          <w:tcPr>
            <w:tcW w:w="1316" w:type="dxa"/>
            <w:shd w:val="clear" w:color="auto" w:fill="auto"/>
            <w:noWrap/>
            <w:hideMark/>
          </w:tcPr>
          <w:p w14:paraId="457795DF" w14:textId="77777777" w:rsidR="005F67F7" w:rsidRPr="00385BAB" w:rsidRDefault="005F67F7" w:rsidP="005F67F7">
            <w:pPr>
              <w:spacing w:line="240" w:lineRule="auto"/>
              <w:ind w:left="-180" w:firstLine="18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385BAB">
              <w:rPr>
                <w:color w:val="000000"/>
                <w:sz w:val="20"/>
                <w:szCs w:val="20"/>
              </w:rPr>
              <w:t>0.949</w:t>
            </w:r>
          </w:p>
        </w:tc>
        <w:tc>
          <w:tcPr>
            <w:tcW w:w="1260" w:type="dxa"/>
            <w:shd w:val="clear" w:color="auto" w:fill="auto"/>
            <w:noWrap/>
            <w:hideMark/>
          </w:tcPr>
          <w:p w14:paraId="17BD5DD6"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385BAB">
              <w:rPr>
                <w:color w:val="000000"/>
                <w:sz w:val="20"/>
                <w:szCs w:val="20"/>
              </w:rPr>
              <w:t>2.869</w:t>
            </w:r>
          </w:p>
        </w:tc>
        <w:tc>
          <w:tcPr>
            <w:tcW w:w="1260" w:type="dxa"/>
            <w:shd w:val="clear" w:color="auto" w:fill="auto"/>
            <w:noWrap/>
            <w:hideMark/>
          </w:tcPr>
          <w:p w14:paraId="56C59BB4"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b/>
                <w:color w:val="000000"/>
                <w:sz w:val="20"/>
                <w:szCs w:val="20"/>
              </w:rPr>
            </w:pPr>
            <w:r w:rsidRPr="00385BAB">
              <w:rPr>
                <w:b/>
                <w:color w:val="000000"/>
                <w:sz w:val="20"/>
                <w:szCs w:val="20"/>
              </w:rPr>
              <w:t>4.25</w:t>
            </w:r>
          </w:p>
        </w:tc>
        <w:tc>
          <w:tcPr>
            <w:tcW w:w="1260" w:type="dxa"/>
            <w:shd w:val="clear" w:color="auto" w:fill="auto"/>
            <w:noWrap/>
            <w:hideMark/>
          </w:tcPr>
          <w:p w14:paraId="75F334BC"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385BAB">
              <w:rPr>
                <w:color w:val="000000"/>
                <w:sz w:val="20"/>
                <w:szCs w:val="20"/>
              </w:rPr>
              <w:t>1.978</w:t>
            </w:r>
          </w:p>
        </w:tc>
        <w:tc>
          <w:tcPr>
            <w:tcW w:w="1260" w:type="dxa"/>
            <w:shd w:val="clear" w:color="auto" w:fill="auto"/>
            <w:noWrap/>
            <w:hideMark/>
          </w:tcPr>
          <w:p w14:paraId="0E3B032A"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385BAB">
              <w:rPr>
                <w:color w:val="000000"/>
                <w:sz w:val="20"/>
                <w:szCs w:val="20"/>
              </w:rPr>
              <w:t>0.196</w:t>
            </w:r>
          </w:p>
        </w:tc>
        <w:tc>
          <w:tcPr>
            <w:tcW w:w="1260" w:type="dxa"/>
            <w:shd w:val="clear" w:color="auto" w:fill="auto"/>
            <w:noWrap/>
            <w:hideMark/>
          </w:tcPr>
          <w:p w14:paraId="08F52745"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385BAB">
              <w:rPr>
                <w:color w:val="000000"/>
                <w:sz w:val="20"/>
                <w:szCs w:val="20"/>
              </w:rPr>
              <w:t>2.031</w:t>
            </w:r>
          </w:p>
        </w:tc>
        <w:tc>
          <w:tcPr>
            <w:tcW w:w="1260" w:type="dxa"/>
            <w:shd w:val="clear" w:color="auto" w:fill="auto"/>
            <w:noWrap/>
            <w:hideMark/>
          </w:tcPr>
          <w:p w14:paraId="3FF040B5"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385BAB">
              <w:rPr>
                <w:color w:val="000000"/>
                <w:sz w:val="20"/>
                <w:szCs w:val="20"/>
              </w:rPr>
              <w:t>2.066</w:t>
            </w:r>
          </w:p>
        </w:tc>
      </w:tr>
      <w:tr w:rsidR="005F67F7" w:rsidRPr="00385BAB" w14:paraId="44B57C18" w14:textId="77777777" w:rsidTr="005F67F7">
        <w:trPr>
          <w:trHeight w:val="300"/>
        </w:trPr>
        <w:tc>
          <w:tcPr>
            <w:cnfStyle w:val="001000000000" w:firstRow="0" w:lastRow="0" w:firstColumn="1" w:lastColumn="0" w:oddVBand="0" w:evenVBand="0" w:oddHBand="0" w:evenHBand="0" w:firstRowFirstColumn="0" w:firstRowLastColumn="0" w:lastRowFirstColumn="0" w:lastRowLastColumn="0"/>
            <w:tcW w:w="1710" w:type="dxa"/>
            <w:shd w:val="clear" w:color="auto" w:fill="auto"/>
            <w:noWrap/>
            <w:hideMark/>
          </w:tcPr>
          <w:p w14:paraId="39A6D7B8" w14:textId="77777777" w:rsidR="005F67F7" w:rsidRPr="00385BAB" w:rsidRDefault="005F67F7" w:rsidP="005F67F7">
            <w:pPr>
              <w:spacing w:line="240" w:lineRule="auto"/>
              <w:jc w:val="center"/>
              <w:rPr>
                <w:b w:val="0"/>
                <w:color w:val="000000"/>
                <w:sz w:val="20"/>
                <w:szCs w:val="20"/>
              </w:rPr>
            </w:pPr>
            <w:r w:rsidRPr="00385BAB">
              <w:rPr>
                <w:b w:val="0"/>
                <w:color w:val="000000"/>
                <w:sz w:val="20"/>
                <w:szCs w:val="20"/>
              </w:rPr>
              <w:t>Daily Incidence of Fatalities</w:t>
            </w:r>
          </w:p>
        </w:tc>
        <w:tc>
          <w:tcPr>
            <w:tcW w:w="1350" w:type="dxa"/>
            <w:shd w:val="clear" w:color="auto" w:fill="auto"/>
            <w:noWrap/>
            <w:hideMark/>
          </w:tcPr>
          <w:p w14:paraId="50AE8DAD"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385BAB">
              <w:rPr>
                <w:color w:val="000000"/>
                <w:sz w:val="20"/>
                <w:szCs w:val="20"/>
              </w:rPr>
              <w:t>0.664</w:t>
            </w:r>
          </w:p>
        </w:tc>
        <w:tc>
          <w:tcPr>
            <w:tcW w:w="1316" w:type="dxa"/>
            <w:shd w:val="clear" w:color="auto" w:fill="auto"/>
            <w:noWrap/>
            <w:hideMark/>
          </w:tcPr>
          <w:p w14:paraId="537E0BE6"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385BAB">
              <w:rPr>
                <w:color w:val="000000"/>
                <w:sz w:val="20"/>
                <w:szCs w:val="20"/>
              </w:rPr>
              <w:t>0.479</w:t>
            </w:r>
          </w:p>
        </w:tc>
        <w:tc>
          <w:tcPr>
            <w:tcW w:w="1260" w:type="dxa"/>
            <w:shd w:val="clear" w:color="auto" w:fill="auto"/>
            <w:noWrap/>
            <w:hideMark/>
          </w:tcPr>
          <w:p w14:paraId="259B5F88"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385BAB">
              <w:rPr>
                <w:color w:val="000000"/>
                <w:sz w:val="20"/>
                <w:szCs w:val="20"/>
              </w:rPr>
              <w:t>0.672</w:t>
            </w:r>
          </w:p>
        </w:tc>
        <w:tc>
          <w:tcPr>
            <w:tcW w:w="1260" w:type="dxa"/>
            <w:shd w:val="clear" w:color="auto" w:fill="auto"/>
            <w:noWrap/>
            <w:hideMark/>
          </w:tcPr>
          <w:p w14:paraId="54ACAA3D"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385BAB">
              <w:rPr>
                <w:b/>
                <w:color w:val="000000"/>
                <w:sz w:val="20"/>
                <w:szCs w:val="20"/>
              </w:rPr>
              <w:t>0.83</w:t>
            </w:r>
          </w:p>
        </w:tc>
        <w:tc>
          <w:tcPr>
            <w:tcW w:w="1260" w:type="dxa"/>
            <w:shd w:val="clear" w:color="auto" w:fill="auto"/>
            <w:noWrap/>
            <w:hideMark/>
          </w:tcPr>
          <w:p w14:paraId="7F0BCB16"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385BAB">
              <w:rPr>
                <w:color w:val="000000"/>
                <w:sz w:val="20"/>
                <w:szCs w:val="20"/>
              </w:rPr>
              <w:t>0.65</w:t>
            </w:r>
          </w:p>
        </w:tc>
        <w:tc>
          <w:tcPr>
            <w:tcW w:w="1260" w:type="dxa"/>
            <w:shd w:val="clear" w:color="auto" w:fill="auto"/>
            <w:noWrap/>
            <w:hideMark/>
          </w:tcPr>
          <w:p w14:paraId="027AFE89"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385BAB">
              <w:rPr>
                <w:color w:val="000000"/>
                <w:sz w:val="20"/>
                <w:szCs w:val="20"/>
              </w:rPr>
              <w:t>0.137</w:t>
            </w:r>
          </w:p>
        </w:tc>
        <w:tc>
          <w:tcPr>
            <w:tcW w:w="1260" w:type="dxa"/>
            <w:shd w:val="clear" w:color="auto" w:fill="auto"/>
            <w:noWrap/>
            <w:hideMark/>
          </w:tcPr>
          <w:p w14:paraId="438384D8"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385BAB">
              <w:rPr>
                <w:color w:val="000000"/>
                <w:sz w:val="20"/>
                <w:szCs w:val="20"/>
              </w:rPr>
              <w:t>0.609</w:t>
            </w:r>
          </w:p>
        </w:tc>
        <w:tc>
          <w:tcPr>
            <w:tcW w:w="1260" w:type="dxa"/>
            <w:shd w:val="clear" w:color="auto" w:fill="auto"/>
            <w:noWrap/>
            <w:hideMark/>
          </w:tcPr>
          <w:p w14:paraId="278C195B"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385BAB">
              <w:rPr>
                <w:color w:val="000000"/>
                <w:sz w:val="20"/>
                <w:szCs w:val="20"/>
              </w:rPr>
              <w:t>0.61</w:t>
            </w:r>
          </w:p>
        </w:tc>
      </w:tr>
      <w:tr w:rsidR="005F67F7" w:rsidRPr="00385BAB" w14:paraId="4BC1D2AB" w14:textId="77777777" w:rsidTr="005F67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10" w:type="dxa"/>
            <w:shd w:val="clear" w:color="auto" w:fill="auto"/>
            <w:noWrap/>
            <w:hideMark/>
          </w:tcPr>
          <w:p w14:paraId="01667BDD" w14:textId="77777777" w:rsidR="005F67F7" w:rsidRPr="00385BAB" w:rsidRDefault="005F67F7" w:rsidP="005F67F7">
            <w:pPr>
              <w:spacing w:line="240" w:lineRule="auto"/>
              <w:jc w:val="center"/>
              <w:rPr>
                <w:b w:val="0"/>
                <w:color w:val="000000"/>
                <w:sz w:val="20"/>
                <w:szCs w:val="20"/>
              </w:rPr>
            </w:pPr>
            <w:r w:rsidRPr="00385BAB">
              <w:rPr>
                <w:b w:val="0"/>
                <w:color w:val="000000"/>
                <w:sz w:val="20"/>
                <w:szCs w:val="20"/>
              </w:rPr>
              <w:t>Share by Gunfire</w:t>
            </w:r>
          </w:p>
        </w:tc>
        <w:tc>
          <w:tcPr>
            <w:tcW w:w="1350" w:type="dxa"/>
            <w:shd w:val="clear" w:color="auto" w:fill="auto"/>
            <w:noWrap/>
            <w:hideMark/>
          </w:tcPr>
          <w:p w14:paraId="53AA8A47"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385BAB">
              <w:rPr>
                <w:color w:val="000000"/>
                <w:sz w:val="20"/>
                <w:szCs w:val="20"/>
              </w:rPr>
              <w:t>0.929</w:t>
            </w:r>
          </w:p>
        </w:tc>
        <w:tc>
          <w:tcPr>
            <w:tcW w:w="1316" w:type="dxa"/>
            <w:shd w:val="clear" w:color="auto" w:fill="auto"/>
            <w:noWrap/>
            <w:hideMark/>
          </w:tcPr>
          <w:p w14:paraId="50879A16"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385BAB">
              <w:rPr>
                <w:color w:val="000000"/>
                <w:sz w:val="20"/>
                <w:szCs w:val="20"/>
              </w:rPr>
              <w:t>0.68</w:t>
            </w:r>
          </w:p>
        </w:tc>
        <w:tc>
          <w:tcPr>
            <w:tcW w:w="1260" w:type="dxa"/>
            <w:shd w:val="clear" w:color="auto" w:fill="auto"/>
            <w:noWrap/>
            <w:hideMark/>
          </w:tcPr>
          <w:p w14:paraId="7D2F308E"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385BAB">
              <w:rPr>
                <w:color w:val="000000"/>
                <w:sz w:val="20"/>
                <w:szCs w:val="20"/>
              </w:rPr>
              <w:t>0.754</w:t>
            </w:r>
          </w:p>
        </w:tc>
        <w:tc>
          <w:tcPr>
            <w:tcW w:w="1260" w:type="dxa"/>
            <w:shd w:val="clear" w:color="auto" w:fill="auto"/>
            <w:noWrap/>
            <w:hideMark/>
          </w:tcPr>
          <w:p w14:paraId="1666AD60"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b/>
                <w:color w:val="000000"/>
                <w:sz w:val="20"/>
                <w:szCs w:val="20"/>
              </w:rPr>
            </w:pPr>
            <w:r w:rsidRPr="00385BAB">
              <w:rPr>
                <w:b/>
                <w:color w:val="000000"/>
                <w:sz w:val="20"/>
                <w:szCs w:val="20"/>
              </w:rPr>
              <w:t>0.85</w:t>
            </w:r>
          </w:p>
        </w:tc>
        <w:tc>
          <w:tcPr>
            <w:tcW w:w="1260" w:type="dxa"/>
            <w:shd w:val="clear" w:color="auto" w:fill="auto"/>
            <w:noWrap/>
            <w:hideMark/>
          </w:tcPr>
          <w:p w14:paraId="7C160407"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385BAB">
              <w:rPr>
                <w:color w:val="000000"/>
                <w:sz w:val="20"/>
                <w:szCs w:val="20"/>
              </w:rPr>
              <w:t>0.699</w:t>
            </w:r>
          </w:p>
        </w:tc>
        <w:tc>
          <w:tcPr>
            <w:tcW w:w="1260" w:type="dxa"/>
            <w:shd w:val="clear" w:color="auto" w:fill="auto"/>
            <w:noWrap/>
            <w:hideMark/>
          </w:tcPr>
          <w:p w14:paraId="73A57DAC"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385BAB">
              <w:rPr>
                <w:color w:val="000000"/>
                <w:sz w:val="20"/>
                <w:szCs w:val="20"/>
              </w:rPr>
              <w:t>0.6</w:t>
            </w:r>
          </w:p>
        </w:tc>
        <w:tc>
          <w:tcPr>
            <w:tcW w:w="1260" w:type="dxa"/>
            <w:shd w:val="clear" w:color="auto" w:fill="auto"/>
            <w:noWrap/>
            <w:hideMark/>
          </w:tcPr>
          <w:p w14:paraId="2ED31683"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385BAB">
              <w:rPr>
                <w:color w:val="000000"/>
                <w:sz w:val="20"/>
                <w:szCs w:val="20"/>
              </w:rPr>
              <w:t>0.676</w:t>
            </w:r>
          </w:p>
        </w:tc>
        <w:tc>
          <w:tcPr>
            <w:tcW w:w="1260" w:type="dxa"/>
            <w:shd w:val="clear" w:color="auto" w:fill="auto"/>
            <w:noWrap/>
            <w:hideMark/>
          </w:tcPr>
          <w:p w14:paraId="73137023"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385BAB">
              <w:rPr>
                <w:color w:val="000000"/>
                <w:sz w:val="20"/>
                <w:szCs w:val="20"/>
              </w:rPr>
              <w:t>0.739</w:t>
            </w:r>
          </w:p>
        </w:tc>
      </w:tr>
      <w:tr w:rsidR="005F67F7" w:rsidRPr="00385BAB" w14:paraId="65B07FF5" w14:textId="77777777" w:rsidTr="005F67F7">
        <w:trPr>
          <w:trHeight w:val="300"/>
        </w:trPr>
        <w:tc>
          <w:tcPr>
            <w:cnfStyle w:val="001000000000" w:firstRow="0" w:lastRow="0" w:firstColumn="1" w:lastColumn="0" w:oddVBand="0" w:evenVBand="0" w:oddHBand="0" w:evenHBand="0" w:firstRowFirstColumn="0" w:firstRowLastColumn="0" w:lastRowFirstColumn="0" w:lastRowLastColumn="0"/>
            <w:tcW w:w="1710" w:type="dxa"/>
            <w:shd w:val="clear" w:color="auto" w:fill="auto"/>
            <w:noWrap/>
            <w:hideMark/>
          </w:tcPr>
          <w:p w14:paraId="65BBCFF2" w14:textId="77777777" w:rsidR="005F67F7" w:rsidRPr="00385BAB" w:rsidRDefault="005F67F7" w:rsidP="005F67F7">
            <w:pPr>
              <w:spacing w:line="240" w:lineRule="auto"/>
              <w:jc w:val="center"/>
              <w:rPr>
                <w:b w:val="0"/>
                <w:color w:val="000000"/>
                <w:sz w:val="20"/>
                <w:szCs w:val="20"/>
              </w:rPr>
            </w:pPr>
            <w:r w:rsidRPr="00385BAB">
              <w:rPr>
                <w:b w:val="0"/>
                <w:color w:val="000000"/>
                <w:sz w:val="20"/>
                <w:szCs w:val="20"/>
              </w:rPr>
              <w:t>Share by Aircraft or Tank Shelling</w:t>
            </w:r>
          </w:p>
        </w:tc>
        <w:tc>
          <w:tcPr>
            <w:tcW w:w="1350" w:type="dxa"/>
            <w:shd w:val="clear" w:color="auto" w:fill="auto"/>
            <w:noWrap/>
            <w:hideMark/>
          </w:tcPr>
          <w:p w14:paraId="71257158"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385BAB">
              <w:rPr>
                <w:color w:val="000000"/>
                <w:sz w:val="20"/>
                <w:szCs w:val="20"/>
              </w:rPr>
              <w:t>0.052</w:t>
            </w:r>
          </w:p>
        </w:tc>
        <w:tc>
          <w:tcPr>
            <w:tcW w:w="1316" w:type="dxa"/>
            <w:shd w:val="clear" w:color="auto" w:fill="auto"/>
            <w:noWrap/>
            <w:hideMark/>
          </w:tcPr>
          <w:p w14:paraId="447A3587"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385BAB">
              <w:rPr>
                <w:color w:val="000000"/>
                <w:sz w:val="20"/>
                <w:szCs w:val="20"/>
              </w:rPr>
              <w:t>0.277</w:t>
            </w:r>
          </w:p>
        </w:tc>
        <w:tc>
          <w:tcPr>
            <w:tcW w:w="1260" w:type="dxa"/>
            <w:shd w:val="clear" w:color="auto" w:fill="auto"/>
            <w:noWrap/>
            <w:hideMark/>
          </w:tcPr>
          <w:p w14:paraId="1F645FED"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385BAB">
              <w:rPr>
                <w:color w:val="000000"/>
                <w:sz w:val="20"/>
                <w:szCs w:val="20"/>
              </w:rPr>
              <w:t>0.151</w:t>
            </w:r>
          </w:p>
        </w:tc>
        <w:tc>
          <w:tcPr>
            <w:tcW w:w="1260" w:type="dxa"/>
            <w:shd w:val="clear" w:color="auto" w:fill="auto"/>
            <w:noWrap/>
            <w:hideMark/>
          </w:tcPr>
          <w:p w14:paraId="68C0BF71"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385BAB">
              <w:rPr>
                <w:b/>
                <w:color w:val="000000"/>
                <w:sz w:val="20"/>
                <w:szCs w:val="20"/>
              </w:rPr>
              <w:t>0.099</w:t>
            </w:r>
          </w:p>
        </w:tc>
        <w:tc>
          <w:tcPr>
            <w:tcW w:w="1260" w:type="dxa"/>
            <w:shd w:val="clear" w:color="auto" w:fill="auto"/>
            <w:noWrap/>
            <w:hideMark/>
          </w:tcPr>
          <w:p w14:paraId="457D42AB"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385BAB">
              <w:rPr>
                <w:color w:val="000000"/>
                <w:sz w:val="20"/>
                <w:szCs w:val="20"/>
              </w:rPr>
              <w:t>0.221</w:t>
            </w:r>
          </w:p>
        </w:tc>
        <w:tc>
          <w:tcPr>
            <w:tcW w:w="1260" w:type="dxa"/>
            <w:shd w:val="clear" w:color="auto" w:fill="auto"/>
            <w:noWrap/>
            <w:hideMark/>
          </w:tcPr>
          <w:p w14:paraId="7173742F"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385BAB">
              <w:rPr>
                <w:color w:val="000000"/>
                <w:sz w:val="20"/>
                <w:szCs w:val="20"/>
              </w:rPr>
              <w:t>0.2</w:t>
            </w:r>
          </w:p>
        </w:tc>
        <w:tc>
          <w:tcPr>
            <w:tcW w:w="1260" w:type="dxa"/>
            <w:shd w:val="clear" w:color="auto" w:fill="auto"/>
            <w:noWrap/>
            <w:hideMark/>
          </w:tcPr>
          <w:p w14:paraId="753D15A6"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385BAB">
              <w:rPr>
                <w:color w:val="000000"/>
                <w:sz w:val="20"/>
                <w:szCs w:val="20"/>
              </w:rPr>
              <w:t>0.306</w:t>
            </w:r>
          </w:p>
        </w:tc>
        <w:tc>
          <w:tcPr>
            <w:tcW w:w="1260" w:type="dxa"/>
            <w:shd w:val="clear" w:color="auto" w:fill="auto"/>
            <w:noWrap/>
            <w:hideMark/>
          </w:tcPr>
          <w:p w14:paraId="437474C5"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385BAB">
              <w:rPr>
                <w:color w:val="000000"/>
                <w:sz w:val="20"/>
                <w:szCs w:val="20"/>
              </w:rPr>
              <w:t>0.21</w:t>
            </w:r>
          </w:p>
        </w:tc>
      </w:tr>
      <w:tr w:rsidR="005F67F7" w:rsidRPr="00385BAB" w14:paraId="6207ECC9" w14:textId="77777777" w:rsidTr="005F67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10" w:type="dxa"/>
            <w:shd w:val="clear" w:color="auto" w:fill="auto"/>
            <w:noWrap/>
            <w:hideMark/>
          </w:tcPr>
          <w:p w14:paraId="3F29C467" w14:textId="77777777" w:rsidR="005F67F7" w:rsidRPr="00385BAB" w:rsidRDefault="005F67F7" w:rsidP="005F67F7">
            <w:pPr>
              <w:spacing w:line="240" w:lineRule="auto"/>
              <w:jc w:val="center"/>
              <w:rPr>
                <w:b w:val="0"/>
                <w:color w:val="000000"/>
                <w:sz w:val="20"/>
                <w:szCs w:val="20"/>
              </w:rPr>
            </w:pPr>
            <w:r w:rsidRPr="00385BAB">
              <w:rPr>
                <w:b w:val="0"/>
                <w:color w:val="000000"/>
                <w:sz w:val="20"/>
                <w:szCs w:val="20"/>
              </w:rPr>
              <w:t>Targeted Killings</w:t>
            </w:r>
          </w:p>
        </w:tc>
        <w:tc>
          <w:tcPr>
            <w:tcW w:w="1350" w:type="dxa"/>
            <w:shd w:val="clear" w:color="auto" w:fill="auto"/>
            <w:noWrap/>
            <w:hideMark/>
          </w:tcPr>
          <w:p w14:paraId="40607A8F"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385BAB">
              <w:rPr>
                <w:color w:val="000000"/>
                <w:sz w:val="20"/>
                <w:szCs w:val="20"/>
              </w:rPr>
              <w:t>0.046</w:t>
            </w:r>
          </w:p>
        </w:tc>
        <w:tc>
          <w:tcPr>
            <w:tcW w:w="1316" w:type="dxa"/>
            <w:shd w:val="clear" w:color="auto" w:fill="auto"/>
            <w:noWrap/>
            <w:hideMark/>
          </w:tcPr>
          <w:p w14:paraId="504AA34E"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385BAB">
              <w:rPr>
                <w:color w:val="000000"/>
                <w:sz w:val="20"/>
                <w:szCs w:val="20"/>
              </w:rPr>
              <w:t>0.151</w:t>
            </w:r>
          </w:p>
        </w:tc>
        <w:tc>
          <w:tcPr>
            <w:tcW w:w="1260" w:type="dxa"/>
            <w:shd w:val="clear" w:color="auto" w:fill="auto"/>
            <w:noWrap/>
            <w:hideMark/>
          </w:tcPr>
          <w:p w14:paraId="5A67BBA1"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385BAB">
              <w:rPr>
                <w:color w:val="000000"/>
                <w:sz w:val="20"/>
                <w:szCs w:val="20"/>
              </w:rPr>
              <w:t>0.129</w:t>
            </w:r>
          </w:p>
        </w:tc>
        <w:tc>
          <w:tcPr>
            <w:tcW w:w="1260" w:type="dxa"/>
            <w:shd w:val="clear" w:color="auto" w:fill="auto"/>
            <w:noWrap/>
            <w:hideMark/>
          </w:tcPr>
          <w:p w14:paraId="5895F697"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b/>
                <w:color w:val="000000"/>
                <w:sz w:val="20"/>
                <w:szCs w:val="20"/>
              </w:rPr>
            </w:pPr>
            <w:r w:rsidRPr="00385BAB">
              <w:rPr>
                <w:b/>
                <w:color w:val="000000"/>
                <w:sz w:val="20"/>
                <w:szCs w:val="20"/>
              </w:rPr>
              <w:t>0.048</w:t>
            </w:r>
          </w:p>
        </w:tc>
        <w:tc>
          <w:tcPr>
            <w:tcW w:w="1260" w:type="dxa"/>
            <w:shd w:val="clear" w:color="auto" w:fill="auto"/>
            <w:noWrap/>
            <w:hideMark/>
          </w:tcPr>
          <w:p w14:paraId="0C21D64D"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385BAB">
              <w:rPr>
                <w:color w:val="000000"/>
                <w:sz w:val="20"/>
                <w:szCs w:val="20"/>
              </w:rPr>
              <w:t>0.129</w:t>
            </w:r>
          </w:p>
        </w:tc>
        <w:tc>
          <w:tcPr>
            <w:tcW w:w="1260" w:type="dxa"/>
            <w:shd w:val="clear" w:color="auto" w:fill="auto"/>
            <w:noWrap/>
            <w:hideMark/>
          </w:tcPr>
          <w:p w14:paraId="0926FA7A"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385BAB">
              <w:rPr>
                <w:color w:val="000000"/>
                <w:sz w:val="20"/>
                <w:szCs w:val="20"/>
              </w:rPr>
              <w:t>0</w:t>
            </w:r>
          </w:p>
        </w:tc>
        <w:tc>
          <w:tcPr>
            <w:tcW w:w="1260" w:type="dxa"/>
            <w:shd w:val="clear" w:color="auto" w:fill="auto"/>
            <w:noWrap/>
            <w:hideMark/>
          </w:tcPr>
          <w:p w14:paraId="3763DE22"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385BAB">
              <w:rPr>
                <w:color w:val="000000"/>
                <w:sz w:val="20"/>
                <w:szCs w:val="20"/>
              </w:rPr>
              <w:t>0.1</w:t>
            </w:r>
          </w:p>
        </w:tc>
        <w:tc>
          <w:tcPr>
            <w:tcW w:w="1260" w:type="dxa"/>
            <w:shd w:val="clear" w:color="auto" w:fill="auto"/>
            <w:noWrap/>
            <w:hideMark/>
          </w:tcPr>
          <w:p w14:paraId="0D4D8097"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385BAB">
              <w:rPr>
                <w:color w:val="000000"/>
                <w:sz w:val="20"/>
                <w:szCs w:val="20"/>
              </w:rPr>
              <w:t>0.089</w:t>
            </w:r>
          </w:p>
          <w:p w14:paraId="714AEA35" w14:textId="77777777" w:rsidR="005F67F7" w:rsidRPr="00385BAB" w:rsidRDefault="005F67F7" w:rsidP="005F67F7">
            <w:pPr>
              <w:spacing w:line="240" w:lineRule="auto"/>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5F67F7" w:rsidRPr="00385BAB" w14:paraId="7553DC3A" w14:textId="77777777" w:rsidTr="005F67F7">
        <w:trPr>
          <w:trHeight w:val="300"/>
        </w:trPr>
        <w:tc>
          <w:tcPr>
            <w:cnfStyle w:val="001000000000" w:firstRow="0" w:lastRow="0" w:firstColumn="1" w:lastColumn="0" w:oddVBand="0" w:evenVBand="0" w:oddHBand="0" w:evenHBand="0" w:firstRowFirstColumn="0" w:firstRowLastColumn="0" w:lastRowFirstColumn="0" w:lastRowLastColumn="0"/>
            <w:tcW w:w="1710" w:type="dxa"/>
            <w:shd w:val="clear" w:color="auto" w:fill="BFBFBF" w:themeFill="background1" w:themeFillShade="BF"/>
            <w:noWrap/>
          </w:tcPr>
          <w:p w14:paraId="6513CCD5" w14:textId="77777777" w:rsidR="005F67F7" w:rsidRPr="00385BAB" w:rsidRDefault="005F67F7" w:rsidP="005F67F7">
            <w:pPr>
              <w:spacing w:line="240" w:lineRule="auto"/>
              <w:jc w:val="center"/>
              <w:rPr>
                <w:color w:val="000000"/>
                <w:sz w:val="20"/>
                <w:szCs w:val="20"/>
              </w:rPr>
            </w:pPr>
            <w:r w:rsidRPr="00385BAB">
              <w:rPr>
                <w:color w:val="000000"/>
                <w:sz w:val="20"/>
                <w:szCs w:val="20"/>
              </w:rPr>
              <w:t>Propensity for Violence (</w:t>
            </w:r>
            <w:r w:rsidRPr="00385BAB">
              <w:rPr>
                <w:i/>
                <w:color w:val="000000"/>
                <w:sz w:val="20"/>
                <w:szCs w:val="20"/>
              </w:rPr>
              <w:t>v</w:t>
            </w:r>
            <w:r w:rsidRPr="00385BAB">
              <w:rPr>
                <w:color w:val="000000"/>
                <w:sz w:val="20"/>
                <w:szCs w:val="20"/>
              </w:rPr>
              <w:t>)</w:t>
            </w:r>
          </w:p>
        </w:tc>
        <w:tc>
          <w:tcPr>
            <w:tcW w:w="1350" w:type="dxa"/>
            <w:shd w:val="clear" w:color="auto" w:fill="BFBFBF" w:themeFill="background1" w:themeFillShade="BF"/>
            <w:noWrap/>
          </w:tcPr>
          <w:p w14:paraId="43A60436"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385BAB">
              <w:rPr>
                <w:b/>
                <w:color w:val="000000"/>
                <w:sz w:val="20"/>
                <w:szCs w:val="20"/>
              </w:rPr>
              <w:t>0.453</w:t>
            </w:r>
          </w:p>
        </w:tc>
        <w:tc>
          <w:tcPr>
            <w:tcW w:w="1316" w:type="dxa"/>
            <w:shd w:val="clear" w:color="auto" w:fill="BFBFBF" w:themeFill="background1" w:themeFillShade="BF"/>
            <w:noWrap/>
          </w:tcPr>
          <w:p w14:paraId="52FC569F"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385BAB">
              <w:rPr>
                <w:b/>
                <w:color w:val="000000"/>
                <w:sz w:val="20"/>
                <w:szCs w:val="20"/>
              </w:rPr>
              <w:t>0.245</w:t>
            </w:r>
          </w:p>
        </w:tc>
        <w:tc>
          <w:tcPr>
            <w:tcW w:w="1260" w:type="dxa"/>
            <w:shd w:val="clear" w:color="auto" w:fill="BFBFBF" w:themeFill="background1" w:themeFillShade="BF"/>
            <w:noWrap/>
          </w:tcPr>
          <w:p w14:paraId="3593E4C9"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385BAB">
              <w:rPr>
                <w:b/>
                <w:color w:val="000000"/>
                <w:sz w:val="20"/>
                <w:szCs w:val="20"/>
              </w:rPr>
              <w:t>0.656</w:t>
            </w:r>
          </w:p>
        </w:tc>
        <w:tc>
          <w:tcPr>
            <w:tcW w:w="1260" w:type="dxa"/>
            <w:shd w:val="clear" w:color="auto" w:fill="BFBFBF" w:themeFill="background1" w:themeFillShade="BF"/>
            <w:noWrap/>
          </w:tcPr>
          <w:p w14:paraId="05BCB064"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385BAB">
              <w:rPr>
                <w:b/>
                <w:color w:val="000000"/>
                <w:sz w:val="20"/>
                <w:szCs w:val="20"/>
              </w:rPr>
              <w:t>1</w:t>
            </w:r>
          </w:p>
        </w:tc>
        <w:tc>
          <w:tcPr>
            <w:tcW w:w="1260" w:type="dxa"/>
            <w:shd w:val="clear" w:color="auto" w:fill="BFBFBF" w:themeFill="background1" w:themeFillShade="BF"/>
            <w:noWrap/>
          </w:tcPr>
          <w:p w14:paraId="32C796BD"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385BAB">
              <w:rPr>
                <w:b/>
                <w:color w:val="000000"/>
                <w:sz w:val="20"/>
                <w:szCs w:val="20"/>
              </w:rPr>
              <w:t>0.435</w:t>
            </w:r>
          </w:p>
        </w:tc>
        <w:tc>
          <w:tcPr>
            <w:tcW w:w="1260" w:type="dxa"/>
            <w:shd w:val="clear" w:color="auto" w:fill="BFBFBF" w:themeFill="background1" w:themeFillShade="BF"/>
            <w:noWrap/>
          </w:tcPr>
          <w:p w14:paraId="2DEEA328"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385BAB">
              <w:rPr>
                <w:b/>
                <w:color w:val="000000"/>
                <w:sz w:val="20"/>
                <w:szCs w:val="20"/>
              </w:rPr>
              <w:t>0.055</w:t>
            </w:r>
          </w:p>
        </w:tc>
        <w:tc>
          <w:tcPr>
            <w:tcW w:w="1260" w:type="dxa"/>
            <w:shd w:val="clear" w:color="auto" w:fill="BFBFBF" w:themeFill="background1" w:themeFillShade="BF"/>
            <w:noWrap/>
          </w:tcPr>
          <w:p w14:paraId="36F60ED9"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385BAB">
              <w:rPr>
                <w:b/>
                <w:color w:val="000000"/>
                <w:sz w:val="20"/>
                <w:szCs w:val="20"/>
              </w:rPr>
              <w:t>0.4</w:t>
            </w:r>
          </w:p>
        </w:tc>
        <w:tc>
          <w:tcPr>
            <w:tcW w:w="1260" w:type="dxa"/>
            <w:shd w:val="clear" w:color="auto" w:fill="BFBFBF" w:themeFill="background1" w:themeFillShade="BF"/>
            <w:noWrap/>
          </w:tcPr>
          <w:p w14:paraId="18A46217"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385BAB">
              <w:rPr>
                <w:b/>
                <w:color w:val="000000"/>
                <w:sz w:val="20"/>
                <w:szCs w:val="20"/>
              </w:rPr>
              <w:t>0.446</w:t>
            </w:r>
          </w:p>
        </w:tc>
      </w:tr>
    </w:tbl>
    <w:p w14:paraId="3767E155" w14:textId="3810D379" w:rsidR="005F67F7" w:rsidRPr="00034D0F" w:rsidRDefault="00034D0F" w:rsidP="00034D0F">
      <w:pPr>
        <w:spacing w:line="240" w:lineRule="auto"/>
        <w:ind w:left="90"/>
        <w:rPr>
          <w:sz w:val="20"/>
          <w:szCs w:val="20"/>
        </w:rPr>
      </w:pPr>
      <w:r>
        <w:rPr>
          <w:b/>
          <w:sz w:val="20"/>
          <w:szCs w:val="20"/>
        </w:rPr>
        <w:t>Source and Notes</w:t>
      </w:r>
      <w:r w:rsidR="005F67F7" w:rsidRPr="00385BAB">
        <w:rPr>
          <w:b/>
          <w:sz w:val="20"/>
          <w:szCs w:val="20"/>
        </w:rPr>
        <w:t>:</w:t>
      </w:r>
      <w:r w:rsidR="005F67F7" w:rsidRPr="00385BAB">
        <w:rPr>
          <w:sz w:val="20"/>
          <w:szCs w:val="20"/>
        </w:rPr>
        <w:t xml:space="preserve"> David Jaeger et al, “The Cycle of Violence? An Empirical Analysis of Fatalities in the Palestinian-Israeli Conflict,” </w:t>
      </w:r>
      <w:r w:rsidR="005F67F7" w:rsidRPr="00385BAB">
        <w:rPr>
          <w:i/>
          <w:sz w:val="20"/>
          <w:szCs w:val="20"/>
        </w:rPr>
        <w:t xml:space="preserve">IZA Discussion Papers No. 1808, </w:t>
      </w:r>
      <w:r w:rsidR="005F67F7" w:rsidRPr="00385BAB">
        <w:rPr>
          <w:sz w:val="20"/>
          <w:szCs w:val="20"/>
        </w:rPr>
        <w:t>(2005): Table 2</w:t>
      </w:r>
      <w:r>
        <w:rPr>
          <w:sz w:val="20"/>
          <w:szCs w:val="20"/>
        </w:rPr>
        <w:t xml:space="preserve">. </w:t>
      </w:r>
      <w:r w:rsidR="005F67F7">
        <w:rPr>
          <w:sz w:val="20"/>
          <w:szCs w:val="20"/>
        </w:rPr>
        <w:t>Palestinian data includes the Gaza Strip and the West Bank</w:t>
      </w:r>
      <w:r w:rsidR="005F67F7" w:rsidRPr="00385BAB">
        <w:rPr>
          <w:sz w:val="20"/>
          <w:szCs w:val="20"/>
        </w:rPr>
        <w:t>, and fatalities are classified according to the date and location of the fatal wounding rather than the actual date and location of death. Israeli fatality count includes all civilians and members of Israeli security forces killed either in Israel or in the Palestinian Territories and also include foreign civilians killed by Palestinians. The Palestinian Fatality count includes all civilians and members of the PA security forces, and also includes foreign civilians killed by Israeli security forces.</w:t>
      </w:r>
    </w:p>
    <w:p w14:paraId="00EC4510" w14:textId="77777777" w:rsidR="00707E1F" w:rsidRDefault="00707E1F" w:rsidP="005F67F7">
      <w:pPr>
        <w:spacing w:line="240" w:lineRule="auto"/>
        <w:jc w:val="center"/>
        <w:rPr>
          <w:b/>
          <w:szCs w:val="20"/>
        </w:rPr>
      </w:pPr>
    </w:p>
    <w:p w14:paraId="79D0ACE9" w14:textId="77777777" w:rsidR="00C52375" w:rsidRDefault="00C52375" w:rsidP="005F67F7">
      <w:pPr>
        <w:spacing w:line="240" w:lineRule="auto"/>
        <w:jc w:val="center"/>
        <w:rPr>
          <w:b/>
          <w:szCs w:val="20"/>
        </w:rPr>
      </w:pPr>
    </w:p>
    <w:p w14:paraId="573FEB0B" w14:textId="5D81F3A3" w:rsidR="00707E1F" w:rsidRPr="00707E1F" w:rsidRDefault="00707E1F" w:rsidP="00707E1F">
      <w:pPr>
        <w:pStyle w:val="Caption"/>
        <w:keepNext/>
        <w:jc w:val="center"/>
        <w:rPr>
          <w:color w:val="auto"/>
          <w:sz w:val="24"/>
        </w:rPr>
      </w:pPr>
      <w:bookmarkStart w:id="75" w:name="_Toc323490977"/>
      <w:bookmarkStart w:id="76" w:name="_Toc324146564"/>
      <w:bookmarkStart w:id="77" w:name="_Toc324264461"/>
      <w:bookmarkStart w:id="78" w:name="_Toc324264708"/>
      <w:r w:rsidRPr="00707E1F">
        <w:rPr>
          <w:color w:val="auto"/>
          <w:sz w:val="24"/>
        </w:rPr>
        <w:lastRenderedPageBreak/>
        <w:t xml:space="preserve">Table </w:t>
      </w:r>
      <w:r w:rsidRPr="00707E1F">
        <w:rPr>
          <w:color w:val="auto"/>
          <w:sz w:val="24"/>
        </w:rPr>
        <w:fldChar w:fldCharType="begin"/>
      </w:r>
      <w:r w:rsidRPr="00707E1F">
        <w:rPr>
          <w:color w:val="auto"/>
          <w:sz w:val="24"/>
        </w:rPr>
        <w:instrText xml:space="preserve"> SEQ Table \* ARABIC </w:instrText>
      </w:r>
      <w:r w:rsidRPr="00707E1F">
        <w:rPr>
          <w:color w:val="auto"/>
          <w:sz w:val="24"/>
        </w:rPr>
        <w:fldChar w:fldCharType="separate"/>
      </w:r>
      <w:r w:rsidR="00500133">
        <w:rPr>
          <w:noProof/>
          <w:color w:val="auto"/>
          <w:sz w:val="24"/>
        </w:rPr>
        <w:t>9</w:t>
      </w:r>
      <w:r w:rsidRPr="00707E1F">
        <w:rPr>
          <w:color w:val="auto"/>
          <w:sz w:val="24"/>
        </w:rPr>
        <w:fldChar w:fldCharType="end"/>
      </w:r>
      <w:r w:rsidRPr="00707E1F">
        <w:rPr>
          <w:color w:val="auto"/>
          <w:sz w:val="24"/>
        </w:rPr>
        <w:t>: Most Recent Number and Daily Rate of Israeli and Palestinian Fatalities</w:t>
      </w:r>
      <w:bookmarkEnd w:id="75"/>
      <w:bookmarkEnd w:id="76"/>
      <w:bookmarkEnd w:id="77"/>
      <w:bookmarkEnd w:id="78"/>
    </w:p>
    <w:tbl>
      <w:tblPr>
        <w:tblStyle w:val="LightShading"/>
        <w:tblW w:w="10096" w:type="dxa"/>
        <w:jc w:val="center"/>
        <w:tblInd w:w="-1" w:type="dxa"/>
        <w:tblLayout w:type="fixed"/>
        <w:tblLook w:val="04A0" w:firstRow="1" w:lastRow="0" w:firstColumn="1" w:lastColumn="0" w:noHBand="0" w:noVBand="1"/>
      </w:tblPr>
      <w:tblGrid>
        <w:gridCol w:w="2896"/>
        <w:gridCol w:w="7200"/>
      </w:tblGrid>
      <w:tr w:rsidR="005F67F7" w:rsidRPr="00385BAB" w14:paraId="6A3C16E9" w14:textId="77777777" w:rsidTr="00707E1F">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BFBFBF" w:themeFill="background1" w:themeFillShade="BF"/>
            <w:noWrap/>
            <w:hideMark/>
          </w:tcPr>
          <w:p w14:paraId="50E025F4" w14:textId="77777777" w:rsidR="005F67F7" w:rsidRPr="00385BAB" w:rsidRDefault="005F67F7" w:rsidP="005F67F7">
            <w:pPr>
              <w:spacing w:line="240" w:lineRule="auto"/>
              <w:jc w:val="center"/>
              <w:rPr>
                <w:color w:val="000000"/>
              </w:rPr>
            </w:pPr>
          </w:p>
        </w:tc>
        <w:tc>
          <w:tcPr>
            <w:tcW w:w="7200" w:type="dxa"/>
            <w:shd w:val="clear" w:color="auto" w:fill="BFBFBF" w:themeFill="background1" w:themeFillShade="BF"/>
            <w:noWrap/>
            <w:hideMark/>
          </w:tcPr>
          <w:p w14:paraId="421CE9A4" w14:textId="77777777" w:rsidR="005F67F7" w:rsidRPr="00385BAB" w:rsidRDefault="005F67F7" w:rsidP="005F67F7">
            <w:pPr>
              <w:spacing w:line="240" w:lineRule="auto"/>
              <w:jc w:val="center"/>
              <w:cnfStyle w:val="100000000000" w:firstRow="1" w:lastRow="0" w:firstColumn="0" w:lastColumn="0" w:oddVBand="0" w:evenVBand="0" w:oddHBand="0" w:evenHBand="0" w:firstRowFirstColumn="0" w:firstRowLastColumn="0" w:lastRowFirstColumn="0" w:lastRowLastColumn="0"/>
              <w:rPr>
                <w:color w:val="000000"/>
              </w:rPr>
            </w:pPr>
            <w:r w:rsidRPr="00385BAB">
              <w:rPr>
                <w:color w:val="000000"/>
              </w:rPr>
              <w:t>End of Operation Protective Edge-Beginning of Knife Intifada</w:t>
            </w:r>
          </w:p>
        </w:tc>
      </w:tr>
      <w:tr w:rsidR="005F67F7" w:rsidRPr="00385BAB" w14:paraId="4FD0FBDB" w14:textId="77777777" w:rsidTr="005F67F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896" w:type="dxa"/>
            <w:vMerge w:val="restart"/>
            <w:tcBorders>
              <w:top w:val="nil"/>
            </w:tcBorders>
            <w:shd w:val="clear" w:color="auto" w:fill="auto"/>
          </w:tcPr>
          <w:p w14:paraId="1E47DCC9" w14:textId="77777777" w:rsidR="005F67F7" w:rsidRPr="00385BAB" w:rsidRDefault="005F67F7" w:rsidP="005F67F7">
            <w:pPr>
              <w:spacing w:line="240" w:lineRule="auto"/>
              <w:jc w:val="center"/>
              <w:rPr>
                <w:color w:val="000000"/>
              </w:rPr>
            </w:pPr>
          </w:p>
        </w:tc>
        <w:tc>
          <w:tcPr>
            <w:tcW w:w="7200" w:type="dxa"/>
            <w:shd w:val="clear" w:color="auto" w:fill="auto"/>
            <w:noWrap/>
            <w:hideMark/>
          </w:tcPr>
          <w:p w14:paraId="45EDD353"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385BAB">
              <w:rPr>
                <w:color w:val="000000"/>
              </w:rPr>
              <w:t>26/08/2014-30/11/2015</w:t>
            </w:r>
          </w:p>
        </w:tc>
      </w:tr>
      <w:tr w:rsidR="005F67F7" w:rsidRPr="00385BAB" w14:paraId="091BCDF7" w14:textId="77777777" w:rsidTr="005F67F7">
        <w:trPr>
          <w:trHeight w:val="300"/>
          <w:jc w:val="center"/>
        </w:trPr>
        <w:tc>
          <w:tcPr>
            <w:cnfStyle w:val="001000000000" w:firstRow="0" w:lastRow="0" w:firstColumn="1" w:lastColumn="0" w:oddVBand="0" w:evenVBand="0" w:oddHBand="0" w:evenHBand="0" w:firstRowFirstColumn="0" w:firstRowLastColumn="0" w:lastRowFirstColumn="0" w:lastRowLastColumn="0"/>
            <w:tcW w:w="2896" w:type="dxa"/>
            <w:vMerge/>
            <w:tcBorders>
              <w:bottom w:val="nil"/>
            </w:tcBorders>
            <w:shd w:val="clear" w:color="auto" w:fill="auto"/>
          </w:tcPr>
          <w:p w14:paraId="1F5ADF32" w14:textId="77777777" w:rsidR="005F67F7" w:rsidRPr="00385BAB" w:rsidRDefault="005F67F7" w:rsidP="005F67F7">
            <w:pPr>
              <w:spacing w:line="240" w:lineRule="auto"/>
              <w:jc w:val="center"/>
              <w:rPr>
                <w:color w:val="000000"/>
              </w:rPr>
            </w:pPr>
          </w:p>
        </w:tc>
        <w:tc>
          <w:tcPr>
            <w:tcW w:w="7200" w:type="dxa"/>
            <w:shd w:val="clear" w:color="auto" w:fill="auto"/>
            <w:noWrap/>
            <w:hideMark/>
          </w:tcPr>
          <w:p w14:paraId="7C314472"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385BAB">
              <w:rPr>
                <w:color w:val="000000"/>
              </w:rPr>
              <w:t>461 Days</w:t>
            </w:r>
          </w:p>
        </w:tc>
      </w:tr>
      <w:tr w:rsidR="005F67F7" w:rsidRPr="00385BAB" w14:paraId="7C063155" w14:textId="77777777" w:rsidTr="00707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BFBFBF" w:themeFill="background1" w:themeFillShade="BF"/>
            <w:noWrap/>
            <w:hideMark/>
          </w:tcPr>
          <w:p w14:paraId="0AB93CA6" w14:textId="77777777" w:rsidR="005F67F7" w:rsidRPr="00385BAB" w:rsidRDefault="005F67F7" w:rsidP="005F67F7">
            <w:pPr>
              <w:spacing w:line="240" w:lineRule="auto"/>
              <w:jc w:val="center"/>
              <w:rPr>
                <w:color w:val="000000"/>
              </w:rPr>
            </w:pPr>
          </w:p>
        </w:tc>
        <w:tc>
          <w:tcPr>
            <w:tcW w:w="7200" w:type="dxa"/>
            <w:shd w:val="clear" w:color="auto" w:fill="BFBFBF" w:themeFill="background1" w:themeFillShade="BF"/>
            <w:noWrap/>
            <w:hideMark/>
          </w:tcPr>
          <w:p w14:paraId="7F585D74"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b/>
              </w:rPr>
            </w:pPr>
            <w:r w:rsidRPr="00385BAB">
              <w:rPr>
                <w:b/>
              </w:rPr>
              <w:t>Israelis</w:t>
            </w:r>
          </w:p>
        </w:tc>
      </w:tr>
      <w:tr w:rsidR="005F67F7" w:rsidRPr="00385BAB" w14:paraId="63D32E4D" w14:textId="77777777" w:rsidTr="00707E1F">
        <w:trPr>
          <w:trHeight w:val="300"/>
          <w:jc w:val="center"/>
        </w:trPr>
        <w:tc>
          <w:tcPr>
            <w:cnfStyle w:val="001000000000" w:firstRow="0" w:lastRow="0" w:firstColumn="1" w:lastColumn="0" w:oddVBand="0" w:evenVBand="0" w:oddHBand="0" w:evenHBand="0" w:firstRowFirstColumn="0" w:firstRowLastColumn="0" w:lastRowFirstColumn="0" w:lastRowLastColumn="0"/>
            <w:tcW w:w="2896" w:type="dxa"/>
            <w:tcBorders>
              <w:top w:val="nil"/>
            </w:tcBorders>
            <w:shd w:val="clear" w:color="auto" w:fill="auto"/>
            <w:noWrap/>
            <w:hideMark/>
          </w:tcPr>
          <w:p w14:paraId="149F965F" w14:textId="77777777" w:rsidR="005F67F7" w:rsidRPr="00385BAB" w:rsidRDefault="005F67F7" w:rsidP="005F67F7">
            <w:pPr>
              <w:spacing w:line="240" w:lineRule="auto"/>
              <w:jc w:val="center"/>
              <w:rPr>
                <w:b w:val="0"/>
                <w:color w:val="000000"/>
              </w:rPr>
            </w:pPr>
            <w:r w:rsidRPr="00385BAB">
              <w:rPr>
                <w:b w:val="0"/>
                <w:color w:val="000000"/>
              </w:rPr>
              <w:t>Fatalities</w:t>
            </w:r>
          </w:p>
        </w:tc>
        <w:tc>
          <w:tcPr>
            <w:tcW w:w="7200" w:type="dxa"/>
            <w:tcBorders>
              <w:top w:val="nil"/>
            </w:tcBorders>
            <w:shd w:val="clear" w:color="auto" w:fill="auto"/>
            <w:noWrap/>
            <w:hideMark/>
          </w:tcPr>
          <w:p w14:paraId="4958842A"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385BAB">
              <w:rPr>
                <w:color w:val="000000"/>
              </w:rPr>
              <w:t>23</w:t>
            </w:r>
          </w:p>
        </w:tc>
      </w:tr>
      <w:tr w:rsidR="005F67F7" w:rsidRPr="00385BAB" w14:paraId="35DFEA79" w14:textId="77777777" w:rsidTr="00707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noWrap/>
            <w:hideMark/>
          </w:tcPr>
          <w:p w14:paraId="37A42128" w14:textId="77777777" w:rsidR="005F67F7" w:rsidRPr="00385BAB" w:rsidRDefault="005F67F7" w:rsidP="005F67F7">
            <w:pPr>
              <w:spacing w:line="240" w:lineRule="auto"/>
              <w:jc w:val="center"/>
              <w:rPr>
                <w:b w:val="0"/>
                <w:color w:val="000000"/>
              </w:rPr>
            </w:pPr>
            <w:r w:rsidRPr="00385BAB">
              <w:rPr>
                <w:b w:val="0"/>
                <w:color w:val="000000"/>
              </w:rPr>
              <w:t>Fatalities/Day</w:t>
            </w:r>
          </w:p>
        </w:tc>
        <w:tc>
          <w:tcPr>
            <w:tcW w:w="7200" w:type="dxa"/>
            <w:shd w:val="clear" w:color="auto" w:fill="auto"/>
            <w:noWrap/>
            <w:hideMark/>
          </w:tcPr>
          <w:p w14:paraId="2E98C590"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385BAB">
              <w:rPr>
                <w:color w:val="000000"/>
              </w:rPr>
              <w:t>0.049</w:t>
            </w:r>
          </w:p>
        </w:tc>
      </w:tr>
      <w:tr w:rsidR="005F67F7" w:rsidRPr="00385BAB" w14:paraId="75C23765" w14:textId="77777777" w:rsidTr="00707E1F">
        <w:trPr>
          <w:trHeight w:val="300"/>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noWrap/>
            <w:hideMark/>
          </w:tcPr>
          <w:p w14:paraId="6A32F088" w14:textId="77777777" w:rsidR="005F67F7" w:rsidRPr="00385BAB" w:rsidRDefault="005F67F7" w:rsidP="005F67F7">
            <w:pPr>
              <w:spacing w:line="240" w:lineRule="auto"/>
              <w:jc w:val="center"/>
              <w:rPr>
                <w:b w:val="0"/>
                <w:color w:val="000000"/>
              </w:rPr>
            </w:pPr>
            <w:r w:rsidRPr="00385BAB">
              <w:rPr>
                <w:b w:val="0"/>
                <w:color w:val="000000"/>
              </w:rPr>
              <w:t>Daily Incidence of Fatalities</w:t>
            </w:r>
          </w:p>
        </w:tc>
        <w:tc>
          <w:tcPr>
            <w:tcW w:w="7200" w:type="dxa"/>
            <w:shd w:val="clear" w:color="auto" w:fill="auto"/>
            <w:noWrap/>
            <w:hideMark/>
          </w:tcPr>
          <w:p w14:paraId="3F4283AC"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385BAB">
              <w:rPr>
                <w:color w:val="000000"/>
              </w:rPr>
              <w:t>0.039</w:t>
            </w:r>
          </w:p>
        </w:tc>
      </w:tr>
      <w:tr w:rsidR="005F67F7" w:rsidRPr="00385BAB" w14:paraId="5EE9584B" w14:textId="77777777" w:rsidTr="00707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noWrap/>
            <w:hideMark/>
          </w:tcPr>
          <w:p w14:paraId="36D41CB2" w14:textId="77777777" w:rsidR="005F67F7" w:rsidRPr="00385BAB" w:rsidRDefault="005F67F7" w:rsidP="005F67F7">
            <w:pPr>
              <w:spacing w:line="240" w:lineRule="auto"/>
              <w:jc w:val="center"/>
              <w:rPr>
                <w:b w:val="0"/>
                <w:color w:val="000000"/>
              </w:rPr>
            </w:pPr>
            <w:r w:rsidRPr="00385BAB">
              <w:rPr>
                <w:b w:val="0"/>
                <w:color w:val="000000"/>
              </w:rPr>
              <w:t>Share by Gunfire</w:t>
            </w:r>
          </w:p>
        </w:tc>
        <w:tc>
          <w:tcPr>
            <w:tcW w:w="7200" w:type="dxa"/>
            <w:shd w:val="clear" w:color="auto" w:fill="auto"/>
            <w:noWrap/>
            <w:hideMark/>
          </w:tcPr>
          <w:p w14:paraId="025DAE03"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385BAB">
              <w:rPr>
                <w:color w:val="000000"/>
              </w:rPr>
              <w:t>0.391</w:t>
            </w:r>
          </w:p>
        </w:tc>
      </w:tr>
      <w:tr w:rsidR="005F67F7" w:rsidRPr="00385BAB" w14:paraId="6004EF2B" w14:textId="77777777" w:rsidTr="00707E1F">
        <w:trPr>
          <w:trHeight w:val="300"/>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noWrap/>
            <w:hideMark/>
          </w:tcPr>
          <w:p w14:paraId="38ED1FB9" w14:textId="77777777" w:rsidR="005F67F7" w:rsidRPr="00385BAB" w:rsidRDefault="005F67F7" w:rsidP="005F67F7">
            <w:pPr>
              <w:spacing w:line="240" w:lineRule="auto"/>
              <w:jc w:val="center"/>
              <w:rPr>
                <w:b w:val="0"/>
                <w:color w:val="000000"/>
              </w:rPr>
            </w:pPr>
            <w:r w:rsidRPr="00385BAB">
              <w:rPr>
                <w:b w:val="0"/>
                <w:color w:val="000000"/>
              </w:rPr>
              <w:t>Share by Stabbing</w:t>
            </w:r>
          </w:p>
        </w:tc>
        <w:tc>
          <w:tcPr>
            <w:tcW w:w="7200" w:type="dxa"/>
            <w:shd w:val="clear" w:color="auto" w:fill="auto"/>
            <w:noWrap/>
            <w:hideMark/>
          </w:tcPr>
          <w:p w14:paraId="7BE6CAF4"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385BAB">
              <w:rPr>
                <w:color w:val="000000"/>
              </w:rPr>
              <w:t>0.348</w:t>
            </w:r>
          </w:p>
        </w:tc>
      </w:tr>
      <w:tr w:rsidR="005F67F7" w:rsidRPr="00385BAB" w14:paraId="16F833AB" w14:textId="77777777" w:rsidTr="00707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noWrap/>
            <w:hideMark/>
          </w:tcPr>
          <w:p w14:paraId="385840A1" w14:textId="77777777" w:rsidR="005F67F7" w:rsidRPr="00385BAB" w:rsidRDefault="005F67F7" w:rsidP="005F67F7">
            <w:pPr>
              <w:spacing w:line="240" w:lineRule="auto"/>
              <w:jc w:val="center"/>
              <w:rPr>
                <w:b w:val="0"/>
                <w:color w:val="000000"/>
              </w:rPr>
            </w:pPr>
            <w:r w:rsidRPr="00385BAB">
              <w:rPr>
                <w:b w:val="0"/>
                <w:color w:val="000000"/>
              </w:rPr>
              <w:t>Share by Car Ramming</w:t>
            </w:r>
          </w:p>
        </w:tc>
        <w:tc>
          <w:tcPr>
            <w:tcW w:w="7200" w:type="dxa"/>
            <w:shd w:val="clear" w:color="auto" w:fill="auto"/>
            <w:noWrap/>
            <w:hideMark/>
          </w:tcPr>
          <w:p w14:paraId="2CB42B91"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385BAB">
              <w:rPr>
                <w:color w:val="000000"/>
              </w:rPr>
              <w:t>0.26</w:t>
            </w:r>
          </w:p>
        </w:tc>
      </w:tr>
      <w:tr w:rsidR="005F67F7" w:rsidRPr="00385BAB" w14:paraId="5DA9FD95" w14:textId="77777777" w:rsidTr="00707E1F">
        <w:trPr>
          <w:trHeight w:val="300"/>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BFBFBF" w:themeFill="background1" w:themeFillShade="BF"/>
            <w:noWrap/>
            <w:hideMark/>
          </w:tcPr>
          <w:p w14:paraId="4AE2E05E" w14:textId="77777777" w:rsidR="005F67F7" w:rsidRPr="00385BAB" w:rsidRDefault="005F67F7" w:rsidP="005F67F7">
            <w:pPr>
              <w:spacing w:line="240" w:lineRule="auto"/>
              <w:jc w:val="center"/>
              <w:rPr>
                <w:color w:val="000000"/>
              </w:rPr>
            </w:pPr>
          </w:p>
        </w:tc>
        <w:tc>
          <w:tcPr>
            <w:tcW w:w="7200" w:type="dxa"/>
            <w:shd w:val="clear" w:color="auto" w:fill="BFBFBF" w:themeFill="background1" w:themeFillShade="BF"/>
            <w:noWrap/>
            <w:hideMark/>
          </w:tcPr>
          <w:p w14:paraId="7CC6474B"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b/>
              </w:rPr>
            </w:pPr>
            <w:r w:rsidRPr="00385BAB">
              <w:rPr>
                <w:b/>
              </w:rPr>
              <w:t>Palestinians</w:t>
            </w:r>
          </w:p>
        </w:tc>
      </w:tr>
      <w:tr w:rsidR="005F67F7" w:rsidRPr="00385BAB" w14:paraId="5A35A43A" w14:textId="77777777" w:rsidTr="00707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noWrap/>
            <w:hideMark/>
          </w:tcPr>
          <w:p w14:paraId="5D72285A" w14:textId="77777777" w:rsidR="005F67F7" w:rsidRPr="00385BAB" w:rsidRDefault="005F67F7" w:rsidP="005F67F7">
            <w:pPr>
              <w:spacing w:line="240" w:lineRule="auto"/>
              <w:jc w:val="center"/>
              <w:rPr>
                <w:b w:val="0"/>
                <w:color w:val="000000"/>
              </w:rPr>
            </w:pPr>
            <w:r w:rsidRPr="00385BAB">
              <w:rPr>
                <w:b w:val="0"/>
                <w:color w:val="000000"/>
              </w:rPr>
              <w:t>Fatalities</w:t>
            </w:r>
          </w:p>
        </w:tc>
        <w:tc>
          <w:tcPr>
            <w:tcW w:w="7200" w:type="dxa"/>
            <w:shd w:val="clear" w:color="auto" w:fill="auto"/>
            <w:noWrap/>
            <w:hideMark/>
          </w:tcPr>
          <w:p w14:paraId="7F82DBC2"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385BAB">
              <w:rPr>
                <w:color w:val="000000"/>
              </w:rPr>
              <w:t>82</w:t>
            </w:r>
          </w:p>
        </w:tc>
      </w:tr>
      <w:tr w:rsidR="005F67F7" w:rsidRPr="00385BAB" w14:paraId="485C64C8" w14:textId="77777777" w:rsidTr="00707E1F">
        <w:trPr>
          <w:trHeight w:val="300"/>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noWrap/>
            <w:hideMark/>
          </w:tcPr>
          <w:p w14:paraId="56EA1D8F" w14:textId="77777777" w:rsidR="005F67F7" w:rsidRPr="00385BAB" w:rsidRDefault="005F67F7" w:rsidP="005F67F7">
            <w:pPr>
              <w:spacing w:line="240" w:lineRule="auto"/>
              <w:jc w:val="center"/>
              <w:rPr>
                <w:b w:val="0"/>
                <w:color w:val="000000"/>
              </w:rPr>
            </w:pPr>
            <w:r w:rsidRPr="00385BAB">
              <w:rPr>
                <w:b w:val="0"/>
                <w:color w:val="000000"/>
              </w:rPr>
              <w:t>Fatalities/Day</w:t>
            </w:r>
          </w:p>
        </w:tc>
        <w:tc>
          <w:tcPr>
            <w:tcW w:w="7200" w:type="dxa"/>
            <w:shd w:val="clear" w:color="auto" w:fill="auto"/>
            <w:noWrap/>
            <w:hideMark/>
          </w:tcPr>
          <w:p w14:paraId="6E7CE4A4"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385BAB">
              <w:rPr>
                <w:color w:val="000000"/>
              </w:rPr>
              <w:t>0.178</w:t>
            </w:r>
          </w:p>
        </w:tc>
      </w:tr>
      <w:tr w:rsidR="005F67F7" w:rsidRPr="00385BAB" w14:paraId="45416449" w14:textId="77777777" w:rsidTr="00707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noWrap/>
            <w:hideMark/>
          </w:tcPr>
          <w:p w14:paraId="1B933A94" w14:textId="77777777" w:rsidR="005F67F7" w:rsidRPr="00385BAB" w:rsidRDefault="005F67F7" w:rsidP="005F67F7">
            <w:pPr>
              <w:spacing w:line="240" w:lineRule="auto"/>
              <w:jc w:val="center"/>
              <w:rPr>
                <w:b w:val="0"/>
                <w:color w:val="000000"/>
              </w:rPr>
            </w:pPr>
            <w:r w:rsidRPr="00385BAB">
              <w:rPr>
                <w:b w:val="0"/>
                <w:color w:val="000000"/>
              </w:rPr>
              <w:t>Daily Incidence of Fatalities</w:t>
            </w:r>
          </w:p>
        </w:tc>
        <w:tc>
          <w:tcPr>
            <w:tcW w:w="7200" w:type="dxa"/>
            <w:shd w:val="clear" w:color="auto" w:fill="auto"/>
            <w:noWrap/>
            <w:hideMark/>
          </w:tcPr>
          <w:p w14:paraId="7A3B0525"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385BAB">
              <w:rPr>
                <w:color w:val="000000"/>
              </w:rPr>
              <w:t>0.093</w:t>
            </w:r>
          </w:p>
        </w:tc>
      </w:tr>
      <w:tr w:rsidR="005F67F7" w:rsidRPr="00385BAB" w14:paraId="17825166" w14:textId="77777777" w:rsidTr="00707E1F">
        <w:trPr>
          <w:trHeight w:val="300"/>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noWrap/>
            <w:hideMark/>
          </w:tcPr>
          <w:p w14:paraId="78B12A7E" w14:textId="77777777" w:rsidR="005F67F7" w:rsidRPr="00385BAB" w:rsidRDefault="005F67F7" w:rsidP="005F67F7">
            <w:pPr>
              <w:spacing w:line="240" w:lineRule="auto"/>
              <w:jc w:val="center"/>
              <w:rPr>
                <w:b w:val="0"/>
                <w:color w:val="000000"/>
              </w:rPr>
            </w:pPr>
            <w:r w:rsidRPr="00385BAB">
              <w:rPr>
                <w:b w:val="0"/>
                <w:color w:val="000000"/>
              </w:rPr>
              <w:t>Share by Gunfire</w:t>
            </w:r>
          </w:p>
        </w:tc>
        <w:tc>
          <w:tcPr>
            <w:tcW w:w="7200" w:type="dxa"/>
            <w:shd w:val="clear" w:color="auto" w:fill="auto"/>
            <w:noWrap/>
            <w:hideMark/>
          </w:tcPr>
          <w:p w14:paraId="3FB82C25"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385BAB">
              <w:rPr>
                <w:color w:val="000000"/>
              </w:rPr>
              <w:t>0.96</w:t>
            </w:r>
          </w:p>
        </w:tc>
      </w:tr>
      <w:tr w:rsidR="005F67F7" w:rsidRPr="00385BAB" w14:paraId="7ADEF717" w14:textId="77777777" w:rsidTr="00707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noWrap/>
            <w:hideMark/>
          </w:tcPr>
          <w:p w14:paraId="7D79743E" w14:textId="77777777" w:rsidR="005F67F7" w:rsidRPr="00385BAB" w:rsidRDefault="005F67F7" w:rsidP="005F67F7">
            <w:pPr>
              <w:spacing w:line="240" w:lineRule="auto"/>
              <w:jc w:val="center"/>
              <w:rPr>
                <w:b w:val="0"/>
                <w:color w:val="000000"/>
              </w:rPr>
            </w:pPr>
            <w:r w:rsidRPr="00385BAB">
              <w:rPr>
                <w:b w:val="0"/>
                <w:color w:val="000000"/>
              </w:rPr>
              <w:t>Share by Arson</w:t>
            </w:r>
          </w:p>
        </w:tc>
        <w:tc>
          <w:tcPr>
            <w:tcW w:w="7200" w:type="dxa"/>
            <w:shd w:val="clear" w:color="auto" w:fill="auto"/>
            <w:noWrap/>
            <w:hideMark/>
          </w:tcPr>
          <w:p w14:paraId="376D6596" w14:textId="77777777" w:rsidR="005F67F7" w:rsidRPr="00385BAB"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385BAB">
              <w:rPr>
                <w:color w:val="000000"/>
              </w:rPr>
              <w:t>0.034</w:t>
            </w:r>
          </w:p>
        </w:tc>
      </w:tr>
      <w:tr w:rsidR="005F67F7" w:rsidRPr="00385BAB" w14:paraId="671E37BC" w14:textId="77777777" w:rsidTr="00707E1F">
        <w:trPr>
          <w:trHeight w:val="300"/>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BFBFBF" w:themeFill="background1" w:themeFillShade="BF"/>
            <w:noWrap/>
          </w:tcPr>
          <w:p w14:paraId="56BA381F" w14:textId="77777777" w:rsidR="005F67F7" w:rsidRPr="00385BAB" w:rsidRDefault="005F67F7" w:rsidP="005F67F7">
            <w:pPr>
              <w:spacing w:line="240" w:lineRule="auto"/>
              <w:jc w:val="center"/>
              <w:rPr>
                <w:color w:val="000000"/>
              </w:rPr>
            </w:pPr>
            <w:r w:rsidRPr="00385BAB">
              <w:rPr>
                <w:color w:val="000000"/>
              </w:rPr>
              <w:t>Propensity for Violence (</w:t>
            </w:r>
            <w:r w:rsidRPr="00385BAB">
              <w:rPr>
                <w:i/>
                <w:color w:val="000000"/>
              </w:rPr>
              <w:t>v</w:t>
            </w:r>
            <w:r w:rsidRPr="00385BAB">
              <w:rPr>
                <w:color w:val="000000"/>
              </w:rPr>
              <w:t>)</w:t>
            </w:r>
          </w:p>
        </w:tc>
        <w:tc>
          <w:tcPr>
            <w:tcW w:w="7200" w:type="dxa"/>
            <w:shd w:val="clear" w:color="auto" w:fill="BFBFBF" w:themeFill="background1" w:themeFillShade="BF"/>
            <w:noWrap/>
          </w:tcPr>
          <w:p w14:paraId="4107E663" w14:textId="77777777" w:rsidR="005F67F7" w:rsidRPr="00385BAB" w:rsidRDefault="005F67F7" w:rsidP="005F67F7">
            <w:pPr>
              <w:spacing w:line="240" w:lineRule="auto"/>
              <w:jc w:val="center"/>
              <w:cnfStyle w:val="000000000000" w:firstRow="0" w:lastRow="0" w:firstColumn="0" w:lastColumn="0" w:oddVBand="0" w:evenVBand="0" w:oddHBand="0" w:evenHBand="0" w:firstRowFirstColumn="0" w:firstRowLastColumn="0" w:lastRowFirstColumn="0" w:lastRowLastColumn="0"/>
              <w:rPr>
                <w:b/>
                <w:color w:val="000000"/>
              </w:rPr>
            </w:pPr>
            <w:r w:rsidRPr="00385BAB">
              <w:rPr>
                <w:b/>
                <w:color w:val="000000"/>
              </w:rPr>
              <w:t>0.0375</w:t>
            </w:r>
          </w:p>
        </w:tc>
      </w:tr>
    </w:tbl>
    <w:p w14:paraId="0D4D03FD" w14:textId="77777777" w:rsidR="005F67F7" w:rsidRPr="00385BAB" w:rsidRDefault="005F67F7" w:rsidP="005F67F7">
      <w:pPr>
        <w:spacing w:line="240" w:lineRule="auto"/>
        <w:ind w:left="1440"/>
        <w:rPr>
          <w:b/>
          <w:sz w:val="20"/>
          <w:szCs w:val="20"/>
        </w:rPr>
      </w:pPr>
      <w:r w:rsidRPr="00385BAB">
        <w:rPr>
          <w:b/>
          <w:sz w:val="20"/>
          <w:szCs w:val="20"/>
        </w:rPr>
        <w:t xml:space="preserve">Source: </w:t>
      </w:r>
      <w:r w:rsidRPr="00385BAB">
        <w:rPr>
          <w:sz w:val="20"/>
          <w:szCs w:val="20"/>
        </w:rPr>
        <w:t>B’Tselem Fatality Statistics</w:t>
      </w:r>
    </w:p>
    <w:p w14:paraId="5E9EA879" w14:textId="173DF15F" w:rsidR="005F67F7" w:rsidRPr="00385BAB" w:rsidRDefault="005F67F7" w:rsidP="005F67F7">
      <w:pPr>
        <w:spacing w:line="240" w:lineRule="auto"/>
        <w:ind w:left="1440" w:right="1080"/>
        <w:rPr>
          <w:sz w:val="20"/>
          <w:szCs w:val="20"/>
        </w:rPr>
        <w:sectPr w:rsidR="005F67F7" w:rsidRPr="00385BAB" w:rsidSect="00C52375">
          <w:footerReference w:type="default" r:id="rId27"/>
          <w:type w:val="oddPage"/>
          <w:pgSz w:w="15840" w:h="12240" w:orient="landscape"/>
          <w:pgMar w:top="1260" w:right="1440" w:bottom="1440" w:left="2304" w:header="720" w:footer="720" w:gutter="0"/>
          <w:cols w:space="720"/>
          <w:docGrid w:linePitch="360"/>
        </w:sectPr>
      </w:pPr>
      <w:r w:rsidRPr="00385BAB">
        <w:rPr>
          <w:b/>
          <w:sz w:val="20"/>
          <w:szCs w:val="20"/>
        </w:rPr>
        <w:t xml:space="preserve">Notes: </w:t>
      </w:r>
      <w:r w:rsidRPr="00385BAB">
        <w:rPr>
          <w:sz w:val="20"/>
          <w:szCs w:val="20"/>
        </w:rPr>
        <w:t>The methodology used in Jaeger et al, “The Cycle of Violence?” was used to categorize fatalities during this period. Data only includes Palestinian Fatalities in the West Bank and Israel, and fatalities are classified according to the date and location of the fatal wounding rather than the actual date and location of death. Israeli fatality count includes all civilians and members of Israeli security forces killed either in Israel or the West Bank and also include foreign civilians killed by Palestinians. The Palestinian Fatality count includes all civilians and members of the PA security forces, and also includes foreign civilians ki</w:t>
      </w:r>
      <w:r w:rsidR="006666BE">
        <w:rPr>
          <w:sz w:val="20"/>
          <w:szCs w:val="20"/>
        </w:rPr>
        <w:t>lled by Israeli security forces</w:t>
      </w:r>
    </w:p>
    <w:p w14:paraId="04B3CA3A" w14:textId="77777777" w:rsidR="00DC2F86" w:rsidRDefault="00DC2F86" w:rsidP="00882E52">
      <w:pPr>
        <w:pStyle w:val="Heading2"/>
      </w:pPr>
      <w:bookmarkStart w:id="79" w:name="_Toc324423964"/>
      <w:r>
        <w:lastRenderedPageBreak/>
        <w:t xml:space="preserve">3.8 </w:t>
      </w:r>
      <w:r w:rsidRPr="006B7EEB">
        <w:t>Calculating the Pacification Rate (n)</w:t>
      </w:r>
      <w:bookmarkEnd w:id="79"/>
    </w:p>
    <w:p w14:paraId="1D8D8031" w14:textId="77777777" w:rsidR="00E5392D" w:rsidRDefault="00E5392D" w:rsidP="00DC2F86">
      <w:pPr>
        <w:spacing w:line="240" w:lineRule="auto"/>
        <w:rPr>
          <w:b/>
        </w:rPr>
        <w:sectPr w:rsidR="00E5392D" w:rsidSect="005F67F7">
          <w:footerReference w:type="even" r:id="rId28"/>
          <w:footerReference w:type="default" r:id="rId29"/>
          <w:pgSz w:w="12240" w:h="15840"/>
          <w:pgMar w:top="1440" w:right="1440" w:bottom="1440" w:left="2304" w:header="720" w:footer="720" w:gutter="0"/>
          <w:cols w:space="720"/>
          <w:docGrid w:linePitch="360"/>
        </w:sectPr>
      </w:pPr>
    </w:p>
    <w:p w14:paraId="17AC082E" w14:textId="77777777" w:rsidR="00E5392D" w:rsidRDefault="00E5392D" w:rsidP="00882E52">
      <w:pPr>
        <w:pStyle w:val="Heading2"/>
        <w:sectPr w:rsidR="00E5392D" w:rsidSect="00E5392D">
          <w:type w:val="continuous"/>
          <w:pgSz w:w="12240" w:h="15840"/>
          <w:pgMar w:top="1440" w:right="1440" w:bottom="1440" w:left="2304" w:header="720" w:footer="720" w:gutter="0"/>
          <w:cols w:space="720"/>
          <w:docGrid w:linePitch="360"/>
        </w:sectPr>
      </w:pPr>
    </w:p>
    <w:p w14:paraId="7167494B" w14:textId="587B9265" w:rsidR="005F67F7" w:rsidRDefault="005F67F7" w:rsidP="005F67F7">
      <w:pPr>
        <w:ind w:firstLine="720"/>
      </w:pPr>
      <w:r>
        <w:lastRenderedPageBreak/>
        <w:t xml:space="preserve">The Israeli permit system acts as a selection effect that limits the types of Palestinians permitted to work in Israel to those who are already unlikely to perpetrate violence. This implies that WBPL who are permitted to work in Israel are already likely to have a high Pacification Score </w:t>
      </w:r>
      <w:r w:rsidRPr="00476E29">
        <w:rPr>
          <w:b/>
          <w:i/>
        </w:rPr>
        <w:t>(n)</w:t>
      </w:r>
      <w:r>
        <w:t xml:space="preserve">, and their higher earnings further discourages violence among these individuals. For these reasons, I assume that the Pacification Rate of newly permitted WBPL is </w:t>
      </w:r>
      <w:r w:rsidRPr="00F433F4">
        <w:rPr>
          <w:b/>
        </w:rPr>
        <w:t>0.5</w:t>
      </w:r>
      <w:r>
        <w:t xml:space="preserve"> in the worst-case scenario and </w:t>
      </w:r>
      <w:r w:rsidRPr="00F433F4">
        <w:rPr>
          <w:b/>
        </w:rPr>
        <w:t xml:space="preserve">1 </w:t>
      </w:r>
      <w:r>
        <w:t xml:space="preserve">in the best-case scenario, but I include all values between 0 and 1 in my analysis.  </w:t>
      </w:r>
    </w:p>
    <w:p w14:paraId="2273A4DB" w14:textId="46678EB6" w:rsidR="005F67F7" w:rsidRDefault="005F67F7" w:rsidP="005F67F7">
      <w:pPr>
        <w:ind w:firstLine="720"/>
      </w:pPr>
      <w:r w:rsidRPr="00385BAB">
        <w:t>The Pacification Rate</w:t>
      </w:r>
      <w:r w:rsidR="006666BE">
        <w:t xml:space="preserve"> </w:t>
      </w:r>
      <w:r w:rsidR="006666BE">
        <w:rPr>
          <w:b/>
          <w:i/>
        </w:rPr>
        <w:t>(n)</w:t>
      </w:r>
      <w:r w:rsidRPr="00385BAB">
        <w:t xml:space="preserve"> is precisely defined in the model by equations </w:t>
      </w:r>
      <w:r w:rsidRPr="00385BAB">
        <w:rPr>
          <w:b/>
        </w:rPr>
        <w:t>(1)</w:t>
      </w:r>
      <w:r w:rsidRPr="00385BAB">
        <w:t>-</w:t>
      </w:r>
      <w:r w:rsidRPr="00385BAB">
        <w:rPr>
          <w:b/>
        </w:rPr>
        <w:t>(3)</w:t>
      </w:r>
      <w:r w:rsidRPr="00385BAB">
        <w:t>, but these equations reveal nothing</w:t>
      </w:r>
      <w:r w:rsidR="006666BE">
        <w:t xml:space="preserve"> about the determinants of the Pacification R</w:t>
      </w:r>
      <w:r w:rsidRPr="00385BAB">
        <w:t xml:space="preserve">ate </w:t>
      </w:r>
      <w:r w:rsidRPr="008270F1">
        <w:rPr>
          <w:b/>
          <w:i/>
        </w:rPr>
        <w:t>(n)</w:t>
      </w:r>
      <w:r>
        <w:t xml:space="preserve">. Remember that the Pacification Rate </w:t>
      </w:r>
      <w:r w:rsidRPr="008270F1">
        <w:rPr>
          <w:b/>
          <w:i/>
        </w:rPr>
        <w:t>(n)</w:t>
      </w:r>
      <w:r>
        <w:t xml:space="preserve"> measures how Palestinian Laborers </w:t>
      </w:r>
      <w:r w:rsidRPr="00385BAB">
        <w:t xml:space="preserve">come to resemble native Israeli laborers in terms of posing a threat for violence. In other words, how quickly </w:t>
      </w:r>
      <w:r w:rsidR="000A4C1B">
        <w:t>do</w:t>
      </w:r>
      <w:r w:rsidRPr="00385BAB">
        <w:t xml:space="preserve"> Palestinians </w:t>
      </w:r>
      <w:r w:rsidR="000A4C1B">
        <w:t xml:space="preserve">come to resemble Israeli citizens in terms of posing a threat for violence </w:t>
      </w:r>
      <w:r w:rsidRPr="00385BAB">
        <w:t xml:space="preserve">due to </w:t>
      </w:r>
      <w:r w:rsidR="000A4C1B">
        <w:t>the positive economic effects earning higher wages in Israel</w:t>
      </w:r>
      <w:r w:rsidRPr="00385BAB">
        <w:t xml:space="preserve">? </w:t>
      </w:r>
    </w:p>
    <w:p w14:paraId="49881A88" w14:textId="43D1731B" w:rsidR="005F67F7" w:rsidRPr="00D11BDD" w:rsidRDefault="005F67F7" w:rsidP="008679AD">
      <w:pPr>
        <w:ind w:firstLine="720"/>
      </w:pPr>
      <w:r w:rsidRPr="00385BAB">
        <w:t xml:space="preserve">The Israeli permit system is already designed to give permits to Palestinians with a low likelihood of perpetrating violence, so </w:t>
      </w:r>
      <w:r>
        <w:t>it is likely that the Pacification R</w:t>
      </w:r>
      <w:r w:rsidRPr="00385BAB">
        <w:t xml:space="preserve">ate </w:t>
      </w:r>
      <w:r>
        <w:rPr>
          <w:b/>
          <w:i/>
        </w:rPr>
        <w:t xml:space="preserve">(n) </w:t>
      </w:r>
      <w:r w:rsidRPr="00385BAB">
        <w:t xml:space="preserve">will be high. </w:t>
      </w:r>
      <w:r w:rsidR="008679AD" w:rsidRPr="00385BAB">
        <w:t xml:space="preserve">Tens of thousands of Palestinians are blacklisted from entering Israel by </w:t>
      </w:r>
      <w:r w:rsidR="00DA1C1B">
        <w:t>the Israel Security Agency. T</w:t>
      </w:r>
      <w:r w:rsidR="008679AD" w:rsidRPr="00385BAB">
        <w:t>hese people are prohibited from entering Israel for work because they are a</w:t>
      </w:r>
      <w:r w:rsidR="008679AD">
        <w:t>llegedly a “resident of the [West Bank]</w:t>
      </w:r>
      <w:r w:rsidR="008679AD" w:rsidRPr="00385BAB">
        <w:t xml:space="preserve"> who may pose a security risk to the </w:t>
      </w:r>
      <w:r w:rsidR="008679AD">
        <w:t>State of Israel.”</w:t>
      </w:r>
      <w:r w:rsidR="008679AD">
        <w:rPr>
          <w:rStyle w:val="FootnoteReference"/>
        </w:rPr>
        <w:footnoteReference w:id="216"/>
      </w:r>
      <w:r w:rsidR="008679AD" w:rsidRPr="00385BAB">
        <w:t xml:space="preserve"> The origin of these restrictions “is the prevailing presumption held by security agencies that young men who have no family represent a higher risk potential” and therefore may be more disposed to perpetrate violence.</w:t>
      </w:r>
      <w:r w:rsidR="008679AD" w:rsidRPr="00385BAB">
        <w:rPr>
          <w:rStyle w:val="FootnoteReference"/>
        </w:rPr>
        <w:footnoteReference w:id="217"/>
      </w:r>
      <w:r w:rsidR="008679AD" w:rsidRPr="00385BAB">
        <w:t xml:space="preserve"> </w:t>
      </w:r>
      <w:r w:rsidR="008679AD" w:rsidRPr="00385BAB">
        <w:lastRenderedPageBreak/>
        <w:t xml:space="preserve">Essentially, younger men are considered to have lower opportunity costs for violence and </w:t>
      </w:r>
      <w:r w:rsidR="008679AD">
        <w:t xml:space="preserve">are therefore more of a threat. The Israeli permit system reflects these assumptions. </w:t>
      </w:r>
      <w:r>
        <w:t>P</w:t>
      </w:r>
      <w:r w:rsidRPr="00385BAB">
        <w:t>alestinian employment in Israel is restricted to a few labor-intensive sectors: construction, agriculture, industry, and services.</w:t>
      </w:r>
      <w:r w:rsidRPr="00385BAB">
        <w:rPr>
          <w:rStyle w:val="FootnoteReference"/>
        </w:rPr>
        <w:footnoteReference w:id="218"/>
      </w:r>
      <w:r w:rsidRPr="00385BAB">
        <w:t xml:space="preserve"> Remember that the</w:t>
      </w:r>
      <w:r>
        <w:t xml:space="preserve"> number of WBPL </w:t>
      </w:r>
      <w:r w:rsidRPr="00385BAB">
        <w:t>permitted to enter Israel is subject to quotas, which are determined by the Israeli government</w:t>
      </w:r>
      <w:r>
        <w:t xml:space="preserve"> for each sector independently. </w:t>
      </w:r>
      <w:r w:rsidRPr="00385BAB">
        <w:t>In addition to the quota and sector restrictions, there are age and family status restrictions</w:t>
      </w:r>
      <w:r w:rsidR="000A4C1B">
        <w:t>; Palestinians must be at least 25 years of age and they must be married in order to obtain a permit.</w:t>
      </w:r>
      <w:r w:rsidR="00DA1C1B">
        <w:rPr>
          <w:rStyle w:val="FootnoteReference"/>
        </w:rPr>
        <w:footnoteReference w:id="219"/>
      </w:r>
      <w:r w:rsidRPr="00385BAB">
        <w:t xml:space="preserve"> </w:t>
      </w:r>
      <w:r>
        <w:t xml:space="preserve">The current permit system has problems and inefficiencies, but it acts as a natural selection effect that renders the Pacification Rate </w:t>
      </w:r>
      <w:r>
        <w:rPr>
          <w:b/>
          <w:i/>
        </w:rPr>
        <w:t xml:space="preserve">(n) </w:t>
      </w:r>
      <w:r>
        <w:t>of newly permitted WBPL high for the purposes of this study. Despite the natural bounds that the permit system creates, I explored other methods and determined that there is no known dataset that can be used</w:t>
      </w:r>
      <w:r w:rsidRPr="00D11BDD">
        <w:t xml:space="preserve"> </w:t>
      </w:r>
      <w:r>
        <w:t xml:space="preserve">to determine a more precise Pacification Rate </w:t>
      </w:r>
      <w:r>
        <w:rPr>
          <w:b/>
          <w:i/>
        </w:rPr>
        <w:t>(n)</w:t>
      </w:r>
      <w:r>
        <w:t>.</w:t>
      </w:r>
    </w:p>
    <w:p w14:paraId="056EBD5C" w14:textId="4DFD7481" w:rsidR="005F67F7" w:rsidRDefault="005F67F7" w:rsidP="005F67F7">
      <w:pPr>
        <w:ind w:firstLine="720"/>
      </w:pPr>
      <w:r w:rsidRPr="00385BAB">
        <w:t>Since violence in this context has been correlated with political attitudes, the Pacification Rate</w:t>
      </w:r>
      <w:r>
        <w:t xml:space="preserve"> </w:t>
      </w:r>
      <w:r w:rsidRPr="00476E29">
        <w:rPr>
          <w:b/>
          <w:i/>
        </w:rPr>
        <w:t>(n)</w:t>
      </w:r>
      <w:r w:rsidRPr="00385BAB">
        <w:t xml:space="preserve"> </w:t>
      </w:r>
      <w:r>
        <w:t>could theoretically be</w:t>
      </w:r>
      <w:r w:rsidRPr="00385BAB">
        <w:t xml:space="preserve"> </w:t>
      </w:r>
      <w:r>
        <w:t>determined</w:t>
      </w:r>
      <w:r w:rsidRPr="00385BAB">
        <w:t xml:space="preserve"> by data relating to Palestinian political attitudes. </w:t>
      </w:r>
      <w:r>
        <w:t>However, Palestinian political attitudes are not influenced by violence in a homogeneous manner, the short-term effects of violence on Palestinian political attitudes are insignificant, and the long-term effects of violence on Palestinian political attitudes are unclear.</w:t>
      </w:r>
      <w:r>
        <w:rPr>
          <w:rStyle w:val="FootnoteReference"/>
        </w:rPr>
        <w:footnoteReference w:id="220"/>
      </w:r>
      <w:r>
        <w:t xml:space="preserve"> Even if political attitudes can be measured in a meaningful way in the future, this does not rule out the possibility that individuals who are currently unlikely to perpetrate violence will not be prone to violence in the future</w:t>
      </w:r>
      <w:r w:rsidR="008679AD">
        <w:t xml:space="preserve">, </w:t>
      </w:r>
      <w:r>
        <w:t xml:space="preserve">even if their economic conditions improve. For instance, it is possible that controversial </w:t>
      </w:r>
      <w:r>
        <w:lastRenderedPageBreak/>
        <w:t>incidents—such as the recent execution of a wounded Palestinian in Hebron on 24 March 2016— can radicalize individuals who wouldn’t normally be prone to violence (especially relatives of Palestinians who have been killed).</w:t>
      </w:r>
      <w:r>
        <w:rPr>
          <w:rStyle w:val="FootnoteReference"/>
        </w:rPr>
        <w:footnoteReference w:id="221"/>
      </w:r>
      <w:r>
        <w:t xml:space="preserve"> Abnormal incidents that are widely publicized, like the recent incident in Hebron, might encourage retaliation among Palestinians who wouldn’t normally take part in violence. This hypothesis is supported by rigorous research, which claims that fatalities have a stronger effect on political attitudes in the</w:t>
      </w:r>
      <w:r w:rsidR="008679AD">
        <w:t xml:space="preserve"> Palestinian</w:t>
      </w:r>
      <w:r>
        <w:t xml:space="preserve"> localities affected by violence.</w:t>
      </w:r>
      <w:r>
        <w:rPr>
          <w:rStyle w:val="FootnoteReference"/>
        </w:rPr>
        <w:footnoteReference w:id="222"/>
      </w:r>
      <w:r>
        <w:t xml:space="preserve"> </w:t>
      </w:r>
      <w:r w:rsidR="00D42BAD">
        <w:t>Regardless of whether this is or is not the case, this is the line of thinking for the Israeli security establishment; in April 2016 hundreds of Palestinians had their permits to work in Israel revoked without warning because their relatives had taken part in the recent wave of violence.</w:t>
      </w:r>
      <w:r w:rsidR="00D42BAD">
        <w:rPr>
          <w:rStyle w:val="FootnoteReference"/>
        </w:rPr>
        <w:footnoteReference w:id="223"/>
      </w:r>
      <w:r w:rsidR="00D42BAD">
        <w:t xml:space="preserve"> </w:t>
      </w:r>
    </w:p>
    <w:p w14:paraId="04631FC2" w14:textId="0A567413" w:rsidR="005F67F7" w:rsidRDefault="005F67F7" w:rsidP="005F67F7">
      <w:pPr>
        <w:ind w:firstLine="720"/>
      </w:pPr>
      <w:r>
        <w:t>In short, the causal pathway between violence and public opinion has not been as well defined as the causal pathway between economic conditions and violence in this context, though it is clear that politics matter. Additionally, there is no known dataset that categorizes Palestinian fatalities according to their employment location to examine the extent to which Palestinians working in Israel take part in violence. In the absence of relevant data, I use the Israeli permit system as natural bounds in order to estimate</w:t>
      </w:r>
      <w:r w:rsidR="008679AD">
        <w:t xml:space="preserve"> that the Pacification Rate </w:t>
      </w:r>
      <w:r>
        <w:rPr>
          <w:b/>
          <w:i/>
        </w:rPr>
        <w:t>(n)</w:t>
      </w:r>
      <w:r w:rsidR="008679AD">
        <w:t xml:space="preserve"> is likely to be between 0.5 and 1, but I include data for all values between 0 and 1. </w:t>
      </w:r>
      <w:r>
        <w:rPr>
          <w:b/>
          <w:i/>
        </w:rPr>
        <w:t xml:space="preserve"> </w:t>
      </w:r>
    </w:p>
    <w:p w14:paraId="1D4535FB" w14:textId="77777777" w:rsidR="00E5392D" w:rsidRDefault="00E5392D" w:rsidP="005F67F7">
      <w:pPr>
        <w:rPr>
          <w:b/>
        </w:rPr>
        <w:sectPr w:rsidR="00E5392D" w:rsidSect="00E5392D">
          <w:type w:val="continuous"/>
          <w:pgSz w:w="12240" w:h="15840"/>
          <w:pgMar w:top="1440" w:right="1440" w:bottom="1440" w:left="2304" w:header="720" w:footer="720" w:gutter="0"/>
          <w:cols w:space="720"/>
          <w:docGrid w:linePitch="360"/>
        </w:sectPr>
      </w:pPr>
    </w:p>
    <w:p w14:paraId="69C604D4" w14:textId="3B2533E9" w:rsidR="005F67F7" w:rsidRDefault="005F67F7" w:rsidP="00882E52">
      <w:pPr>
        <w:pStyle w:val="Heading2"/>
      </w:pPr>
      <w:bookmarkStart w:id="80" w:name="_Toc324423965"/>
      <w:r>
        <w:lastRenderedPageBreak/>
        <w:t xml:space="preserve">3.9 </w:t>
      </w:r>
      <w:r w:rsidRPr="006B7EEB">
        <w:t>Calculating the Agitation Rate (r)</w:t>
      </w:r>
      <w:bookmarkEnd w:id="80"/>
    </w:p>
    <w:p w14:paraId="168AA69E" w14:textId="77777777" w:rsidR="00E5392D" w:rsidRDefault="00E5392D" w:rsidP="00DC2F86">
      <w:pPr>
        <w:spacing w:line="240" w:lineRule="auto"/>
      </w:pPr>
    </w:p>
    <w:p w14:paraId="0061D011" w14:textId="77777777" w:rsidR="00DC2F86" w:rsidRDefault="00DC2F86" w:rsidP="00DC2F86">
      <w:pPr>
        <w:spacing w:line="240" w:lineRule="auto"/>
        <w:sectPr w:rsidR="00DC2F86" w:rsidSect="00E5392D">
          <w:type w:val="continuous"/>
          <w:pgSz w:w="12240" w:h="15840"/>
          <w:pgMar w:top="1440" w:right="1440" w:bottom="1440" w:left="2304" w:header="720" w:footer="720" w:gutter="0"/>
          <w:cols w:space="720"/>
          <w:docGrid w:linePitch="360"/>
        </w:sectPr>
      </w:pPr>
    </w:p>
    <w:p w14:paraId="6CB4316C" w14:textId="45970D5D" w:rsidR="005F67F7" w:rsidRPr="003D240B" w:rsidRDefault="005F67F7" w:rsidP="005F67F7">
      <w:pPr>
        <w:ind w:firstLine="720"/>
      </w:pPr>
      <w:r w:rsidRPr="00385BAB">
        <w:lastRenderedPageBreak/>
        <w:t>Remember that the Agitation Rate</w:t>
      </w:r>
      <w:r>
        <w:t xml:space="preserve"> </w:t>
      </w:r>
      <w:r>
        <w:rPr>
          <w:b/>
          <w:i/>
        </w:rPr>
        <w:t>(r)</w:t>
      </w:r>
      <w:r w:rsidRPr="00385BAB">
        <w:t xml:space="preserve"> measures the degree to which the Propensity for Violence </w:t>
      </w:r>
      <w:r w:rsidRPr="00385BAB">
        <w:rPr>
          <w:b/>
          <w:i/>
        </w:rPr>
        <w:t xml:space="preserve">(v) </w:t>
      </w:r>
      <w:r w:rsidRPr="00385BAB">
        <w:t xml:space="preserve">and the Pacification Rate </w:t>
      </w:r>
      <w:r w:rsidRPr="00385BAB">
        <w:rPr>
          <w:b/>
          <w:i/>
        </w:rPr>
        <w:t>(n)</w:t>
      </w:r>
      <w:r>
        <w:t xml:space="preserve"> change</w:t>
      </w:r>
      <w:r w:rsidRPr="00385BAB">
        <w:t xml:space="preserve"> during a period in which more WBPL are permitted to work in Israel. </w:t>
      </w:r>
      <w:r w:rsidR="008A4516">
        <w:t>If</w:t>
      </w:r>
      <w:r w:rsidR="001846BB">
        <w:t xml:space="preserve"> violence increases</w:t>
      </w:r>
      <w:r w:rsidR="008A4516">
        <w:t xml:space="preserve"> when more WBPL are permitted to work in Israel,</w:t>
      </w:r>
      <w:r w:rsidR="001846BB">
        <w:t xml:space="preserve"> it is expected that the P</w:t>
      </w:r>
      <w:r w:rsidR="003D240B">
        <w:t xml:space="preserve">acification Rate </w:t>
      </w:r>
      <w:r w:rsidR="003D240B">
        <w:rPr>
          <w:b/>
          <w:i/>
        </w:rPr>
        <w:t xml:space="preserve">(n) </w:t>
      </w:r>
      <w:r w:rsidR="003D240B">
        <w:t>w</w:t>
      </w:r>
      <w:r w:rsidR="008A4516">
        <w:t>ill decrease, and conversely, if</w:t>
      </w:r>
      <w:r w:rsidR="003D240B">
        <w:t xml:space="preserve"> violence decreases the Pacification Rate </w:t>
      </w:r>
      <w:r w:rsidR="003D240B">
        <w:rPr>
          <w:b/>
          <w:i/>
        </w:rPr>
        <w:t xml:space="preserve">(n) </w:t>
      </w:r>
      <w:r w:rsidR="008A4516">
        <w:t>will increase</w:t>
      </w:r>
      <w:r w:rsidR="003D240B">
        <w:t>. However, the degree to which the Propensity for Violence and the Pacification R</w:t>
      </w:r>
      <w:r w:rsidR="008A4516">
        <w:t>ate affect each other is nonlinear</w:t>
      </w:r>
      <w:r w:rsidR="003D240B">
        <w:t>. The Agitation Rate accounts for the</w:t>
      </w:r>
      <w:r w:rsidR="008A4516">
        <w:t xml:space="preserve"> nonlinear</w:t>
      </w:r>
      <w:r w:rsidR="003D240B">
        <w:t xml:space="preserve"> inverse relationshi</w:t>
      </w:r>
      <w:r w:rsidR="008A4516">
        <w:t xml:space="preserve">p between these two parameters. </w:t>
      </w:r>
      <w:r w:rsidR="003D240B">
        <w:t>If the Agitation Rate is 0 (</w:t>
      </w:r>
      <w:r w:rsidR="003D240B">
        <w:rPr>
          <w:b/>
          <w:i/>
        </w:rPr>
        <w:t>r=0</w:t>
      </w:r>
      <w:r w:rsidR="003D240B">
        <w:t xml:space="preserve">), the Propensity for Violence </w:t>
      </w:r>
      <w:r w:rsidR="003D240B">
        <w:rPr>
          <w:b/>
          <w:i/>
        </w:rPr>
        <w:t>(v)</w:t>
      </w:r>
      <w:r w:rsidR="003D240B">
        <w:t xml:space="preserve"> and the Pacification Rate </w:t>
      </w:r>
      <w:r w:rsidR="003D240B">
        <w:rPr>
          <w:b/>
          <w:i/>
        </w:rPr>
        <w:t>(n)</w:t>
      </w:r>
      <w:r w:rsidR="003D240B">
        <w:t xml:space="preserve"> do not have any affect on each other, but if the Agitation Rate is 1 (</w:t>
      </w:r>
      <w:r w:rsidR="003D240B">
        <w:rPr>
          <w:b/>
          <w:i/>
        </w:rPr>
        <w:t>r=1</w:t>
      </w:r>
      <w:r w:rsidR="003D240B">
        <w:t xml:space="preserve">), the Propensity for Violence and the Pacification Rate </w:t>
      </w:r>
      <w:r w:rsidR="003D240B">
        <w:rPr>
          <w:b/>
          <w:i/>
        </w:rPr>
        <w:t xml:space="preserve">(n) </w:t>
      </w:r>
      <w:r w:rsidR="003D240B">
        <w:t xml:space="preserve">are highly elastic, which means that higher levels of violence will drastically reduce the number of WBPL that should be permitted to work in Israel. </w:t>
      </w:r>
    </w:p>
    <w:p w14:paraId="57D8F877" w14:textId="110344F3" w:rsidR="005F67F7" w:rsidRDefault="008A4516" w:rsidP="008A4516">
      <w:pPr>
        <w:ind w:firstLine="720"/>
      </w:pPr>
      <w:r>
        <w:t xml:space="preserve">When the number of WBPL commuting to work in Israel reaches a certain scale, it could change the nature of Israeli-Palestinian interactions; this change might theoretically enable violence to reach unprecedented heights if interactions turn violent, but it could also enable trust to accelerate if peaceful encounters persist. </w:t>
      </w:r>
      <w:r w:rsidR="005F67F7">
        <w:t>Unfortunately, no evidence exi</w:t>
      </w:r>
      <w:r w:rsidR="001846BB">
        <w:t xml:space="preserve">sts that might inform how many WBPL would need to work in Israel before Agitation Effects </w:t>
      </w:r>
      <w:r w:rsidR="001846BB">
        <w:rPr>
          <w:b/>
          <w:i/>
        </w:rPr>
        <w:t>(r)</w:t>
      </w:r>
      <w:r w:rsidR="001846BB">
        <w:t xml:space="preserve"> set in.</w:t>
      </w:r>
      <w:r w:rsidR="005F67F7">
        <w:rPr>
          <w:rStyle w:val="FootnoteReference"/>
        </w:rPr>
        <w:footnoteReference w:id="224"/>
      </w:r>
      <w:r w:rsidR="001846BB">
        <w:t xml:space="preserve"> </w:t>
      </w:r>
      <w:r w:rsidR="008679AD">
        <w:t>Even though the Israeli permit system screens workers to mitigate the risk that WBPL will perpetrate violence, it is impossible to predict whether or not an individual will perpetrate violence with certainty.</w:t>
      </w:r>
      <w:r w:rsidR="001846BB">
        <w:t xml:space="preserve"> </w:t>
      </w:r>
      <w:r w:rsidR="005F67F7">
        <w:t>Clemens</w:t>
      </w:r>
      <w:r w:rsidR="001846BB">
        <w:t xml:space="preserve"> and Pritchett point out that this uncertainty makes it</w:t>
      </w:r>
      <w:r w:rsidR="005F67F7">
        <w:t xml:space="preserve"> impossible </w:t>
      </w:r>
      <w:r w:rsidR="008679AD">
        <w:t xml:space="preserve">to rule out nonlinear </w:t>
      </w:r>
      <w:r w:rsidR="008679AD">
        <w:lastRenderedPageBreak/>
        <w:t>Agitation</w:t>
      </w:r>
      <w:r w:rsidR="005F67F7">
        <w:t xml:space="preserve"> effects</w:t>
      </w:r>
      <w:r w:rsidR="008679AD">
        <w:t xml:space="preserve"> </w:t>
      </w:r>
      <w:r w:rsidR="008679AD">
        <w:rPr>
          <w:b/>
          <w:i/>
        </w:rPr>
        <w:t>(r)</w:t>
      </w:r>
      <w:r w:rsidR="005F67F7">
        <w:t>, but they do suggest that “if they do exist, they do not set in automatically even at high migrant stocks.”</w:t>
      </w:r>
      <w:r w:rsidR="005F67F7">
        <w:rPr>
          <w:rStyle w:val="FootnoteReference"/>
        </w:rPr>
        <w:footnoteReference w:id="225"/>
      </w:r>
      <w:r w:rsidR="005F67F7" w:rsidRPr="00526CC9">
        <w:t xml:space="preserve"> </w:t>
      </w:r>
      <w:r w:rsidR="005F67F7">
        <w:t xml:space="preserve">After testing for </w:t>
      </w:r>
      <w:r w:rsidR="0086788C">
        <w:t xml:space="preserve">Congestion (Agitation) </w:t>
      </w:r>
      <w:r w:rsidR="005F67F7">
        <w:t>effects, Clemens and Pritchett arrive at the conclusion that “0.5 represents a conservatively high upper bound on the magnitude” of any true agitation effects, and my model supports this conclusion in the Israeli-Palestinian context.</w:t>
      </w:r>
    </w:p>
    <w:p w14:paraId="7D075CF2" w14:textId="0349693A" w:rsidR="00E5392D" w:rsidRDefault="005F67F7" w:rsidP="005F67F7">
      <w:pPr>
        <w:ind w:firstLine="720"/>
        <w:sectPr w:rsidR="00E5392D" w:rsidSect="00E5392D">
          <w:type w:val="continuous"/>
          <w:pgSz w:w="12240" w:h="15840"/>
          <w:pgMar w:top="1440" w:right="1440" w:bottom="1440" w:left="2304" w:header="720" w:footer="720" w:gutter="0"/>
          <w:cols w:space="720"/>
          <w:docGrid w:linePitch="360"/>
        </w:sectPr>
      </w:pPr>
      <w:r>
        <w:t xml:space="preserve"> While the contexts of their tests are different, I set my Agitation Rate </w:t>
      </w:r>
      <w:r>
        <w:rPr>
          <w:b/>
          <w:i/>
        </w:rPr>
        <w:t xml:space="preserve">(r) </w:t>
      </w:r>
      <w:r>
        <w:t xml:space="preserve">at 0.5 for my tests in all scenarios in order to produce conservative estimates for the number of WBPL that can reasonably be permitted to work in Israel. </w:t>
      </w:r>
      <w:r w:rsidR="008A4516">
        <w:t xml:space="preserve">However, I discuss how the results of the model change at different Agitation Rates </w:t>
      </w:r>
      <w:r w:rsidR="008A4516">
        <w:rPr>
          <w:b/>
          <w:i/>
        </w:rPr>
        <w:t xml:space="preserve">(r) </w:t>
      </w:r>
      <w:r w:rsidR="008A4516">
        <w:t xml:space="preserve">in the robustness checks. </w:t>
      </w:r>
      <w:r>
        <w:t xml:space="preserve">In the absence of a precise measure of the Pacification Rate </w:t>
      </w:r>
      <w:r>
        <w:rPr>
          <w:b/>
          <w:i/>
        </w:rPr>
        <w:t xml:space="preserve">(n) </w:t>
      </w:r>
      <w:r>
        <w:t xml:space="preserve">and a precise measure of the Agitation Rate </w:t>
      </w:r>
      <w:r>
        <w:rPr>
          <w:b/>
          <w:i/>
        </w:rPr>
        <w:t>(r)</w:t>
      </w:r>
      <w:r>
        <w:t>, I test the model using different values for both measures to estimate a plausible dynamically efficient number of WBPL to permit to work in Israel.</w:t>
      </w:r>
    </w:p>
    <w:p w14:paraId="34934459" w14:textId="229839F3" w:rsidR="005F67F7" w:rsidRDefault="005F67F7" w:rsidP="00882E52">
      <w:pPr>
        <w:pStyle w:val="Heading2"/>
      </w:pPr>
      <w:bookmarkStart w:id="81" w:name="_Toc324423966"/>
      <w:r w:rsidRPr="006B7EEB">
        <w:lastRenderedPageBreak/>
        <w:t>3.10 Results</w:t>
      </w:r>
      <w:bookmarkEnd w:id="81"/>
    </w:p>
    <w:p w14:paraId="4377CA1B" w14:textId="77777777" w:rsidR="00DC2F86" w:rsidRPr="00DC2F86" w:rsidRDefault="00DC2F86" w:rsidP="00DC2F86">
      <w:pPr>
        <w:spacing w:line="240" w:lineRule="auto"/>
      </w:pPr>
    </w:p>
    <w:p w14:paraId="10B1E2D3" w14:textId="25964D15" w:rsidR="005F67F7" w:rsidRPr="0074355D" w:rsidRDefault="005F67F7" w:rsidP="001F7501">
      <w:pPr>
        <w:ind w:firstLine="720"/>
      </w:pPr>
      <w:r w:rsidRPr="0074355D">
        <w:t xml:space="preserve">Initial tests show that the best and worst-case scenarios are not particularly helpful. In the best-case scenario, the parameters suggest that WBPL are nearly identical to Israeli laborers in terms of posing a risk for violence. This makes the number of WBPL that Israel can integrate infinite because they are essentially the same </w:t>
      </w:r>
      <w:r w:rsidR="00665E43" w:rsidRPr="0074355D">
        <w:t>as the Israeli laborers that already determine</w:t>
      </w:r>
      <w:r w:rsidRPr="0074355D">
        <w:t xml:space="preserve"> Israeli TFP. In the worst-case scenario, the parameters suggest that all WBPL pose a significant risk for violence, and Israeli TFP would be drastically reduced if more WBPL were permitted to work in Israel. Establishing the bounds are between 0 and infinity is not particularly helpful. However, the results of the model—even when tested for a range of measures— show that the number of WBPL permitted to work in Israel should be increased in order to achieve the dynamically</w:t>
      </w:r>
      <w:r w:rsidR="00665E43" w:rsidRPr="0074355D">
        <w:t xml:space="preserve"> efficient rate of integration. </w:t>
      </w:r>
    </w:p>
    <w:p w14:paraId="630A7C6F" w14:textId="77777777" w:rsidR="00E73D47" w:rsidRPr="0074355D" w:rsidRDefault="005F67F7" w:rsidP="001F7501">
      <w:pPr>
        <w:ind w:firstLine="720"/>
      </w:pPr>
      <w:r w:rsidRPr="0074355D">
        <w:t>Figure 10 shows how many WBPL should be permitted to work in Israel given different Propensity for Violence</w:t>
      </w:r>
      <w:r w:rsidRPr="0074355D">
        <w:rPr>
          <w:b/>
          <w:i/>
        </w:rPr>
        <w:t xml:space="preserve"> (v) </w:t>
      </w:r>
      <w:r w:rsidRPr="0074355D">
        <w:t xml:space="preserve">rates. In Figure 10, the y-axis is the Pacification Rate </w:t>
      </w:r>
      <w:r w:rsidRPr="0074355D">
        <w:rPr>
          <w:b/>
          <w:i/>
        </w:rPr>
        <w:t>(n)</w:t>
      </w:r>
      <w:r w:rsidRPr="0074355D">
        <w:t xml:space="preserve"> and the x-axis is the number of WBPL that should be added or removed from the Israeli labor force (starting from 0) in order to keep Israeli TFP at its current level. The y-intercept for each line reveals the Pacification Rate </w:t>
      </w:r>
      <w:r w:rsidRPr="0074355D">
        <w:rPr>
          <w:b/>
          <w:i/>
        </w:rPr>
        <w:t>(n)</w:t>
      </w:r>
      <w:r w:rsidRPr="0074355D">
        <w:t xml:space="preserve"> needed before it is advisable to integrate more WBPL into the Israeli labor force given that line’s Propensity for Violence </w:t>
      </w:r>
      <w:r w:rsidRPr="0074355D">
        <w:rPr>
          <w:b/>
          <w:i/>
        </w:rPr>
        <w:t xml:space="preserve">(v) </w:t>
      </w:r>
      <w:r w:rsidRPr="0074355D">
        <w:t>rate.</w:t>
      </w:r>
      <w:r w:rsidR="00E73D47" w:rsidRPr="0074355D">
        <w:t xml:space="preserve"> </w:t>
      </w:r>
    </w:p>
    <w:p w14:paraId="13577FFD" w14:textId="673E878D" w:rsidR="005F67F7" w:rsidRPr="0074355D" w:rsidRDefault="005F67F7" w:rsidP="001F7501">
      <w:pPr>
        <w:ind w:firstLine="720"/>
      </w:pPr>
      <w:r w:rsidRPr="0074355D">
        <w:t xml:space="preserve">For example, when </w:t>
      </w:r>
      <w:r w:rsidRPr="0074355D">
        <w:rPr>
          <w:b/>
          <w:i/>
        </w:rPr>
        <w:t xml:space="preserve">v=0.446 </w:t>
      </w:r>
      <w:r w:rsidRPr="0074355D">
        <w:t>(the average for the Second Intifada) it isn’t advisable to allow WBPL into Israel unless their Pacification Rate exceeds 0.4 (</w:t>
      </w:r>
      <w:r w:rsidRPr="0074355D">
        <w:rPr>
          <w:b/>
          <w:i/>
        </w:rPr>
        <w:t>n=0.4</w:t>
      </w:r>
      <w:r w:rsidR="0017197D" w:rsidRPr="0074355D">
        <w:t xml:space="preserve">). Keeping with the same Propensity for Violence line </w:t>
      </w:r>
      <w:r w:rsidR="00CB2FC5" w:rsidRPr="0074355D">
        <w:t>(</w:t>
      </w:r>
      <w:r w:rsidR="0017197D" w:rsidRPr="0074355D">
        <w:rPr>
          <w:b/>
          <w:i/>
        </w:rPr>
        <w:t>v=0.446</w:t>
      </w:r>
      <w:r w:rsidR="00CB2FC5" w:rsidRPr="0074355D">
        <w:t>),</w:t>
      </w:r>
      <w:r w:rsidR="0017197D" w:rsidRPr="0074355D">
        <w:t xml:space="preserve"> </w:t>
      </w:r>
      <w:r w:rsidR="00CB2FC5" w:rsidRPr="0074355D">
        <w:t>when</w:t>
      </w:r>
      <w:r w:rsidRPr="0074355D">
        <w:t xml:space="preserve"> </w:t>
      </w:r>
      <w:r w:rsidRPr="0074355D">
        <w:rPr>
          <w:b/>
          <w:i/>
        </w:rPr>
        <w:t>n=0.5</w:t>
      </w:r>
      <w:r w:rsidR="0017197D" w:rsidRPr="0074355D">
        <w:t xml:space="preserve"> </w:t>
      </w:r>
      <w:r w:rsidRPr="0074355D">
        <w:t xml:space="preserve">it is possible to permit 419,917 WBPL to work in Israel and Israeli TFP will stay at its </w:t>
      </w:r>
      <w:r w:rsidRPr="0074355D">
        <w:lastRenderedPageBreak/>
        <w:t xml:space="preserve">current level. </w:t>
      </w:r>
      <w:r w:rsidR="0017197D" w:rsidRPr="0074355D">
        <w:t xml:space="preserve">This is because the moderately high pacification rate erodes the negative effects of violence on Israeli TFP over time. </w:t>
      </w:r>
      <w:r w:rsidRPr="0074355D">
        <w:t xml:space="preserve">When </w:t>
      </w:r>
      <w:r w:rsidRPr="0074355D">
        <w:rPr>
          <w:b/>
          <w:i/>
        </w:rPr>
        <w:t>v=0.7</w:t>
      </w:r>
      <w:r w:rsidRPr="0074355D">
        <w:t xml:space="preserve"> and </w:t>
      </w:r>
      <w:r w:rsidRPr="0074355D">
        <w:rPr>
          <w:b/>
          <w:i/>
        </w:rPr>
        <w:t>n=0.5</w:t>
      </w:r>
      <w:r w:rsidRPr="0074355D">
        <w:t>, you would theoretically need to remove 394,443 WBPL from the Israeli economy in order to keep Isr</w:t>
      </w:r>
      <w:r w:rsidR="0017197D" w:rsidRPr="0074355D">
        <w:t xml:space="preserve">aeli TFP at its current levels. This is because the high Propensity for Violence </w:t>
      </w:r>
      <w:r w:rsidR="0017197D" w:rsidRPr="0074355D">
        <w:rPr>
          <w:b/>
          <w:i/>
        </w:rPr>
        <w:t xml:space="preserve">(v) </w:t>
      </w:r>
      <w:r w:rsidR="0017197D" w:rsidRPr="0074355D">
        <w:t xml:space="preserve">erodes the Pacification Rate </w:t>
      </w:r>
      <w:r w:rsidR="0017197D" w:rsidRPr="0074355D">
        <w:rPr>
          <w:b/>
          <w:i/>
        </w:rPr>
        <w:t xml:space="preserve">(n) </w:t>
      </w:r>
      <w:r w:rsidR="0017197D" w:rsidRPr="0074355D">
        <w:t xml:space="preserve">and reduces the Israeli TFP associated with interpersonal trust. </w:t>
      </w:r>
      <w:r w:rsidRPr="0074355D">
        <w:t xml:space="preserve">Since the Israeli permit system sets natural bounds for the Pacification Rate </w:t>
      </w:r>
      <w:r w:rsidRPr="0074355D">
        <w:rPr>
          <w:b/>
          <w:i/>
        </w:rPr>
        <w:t>(n)</w:t>
      </w:r>
      <w:r w:rsidRPr="0074355D">
        <w:t xml:space="preserve">, 0.7 is the threshold for the Propensity for Violence </w:t>
      </w:r>
      <w:r w:rsidRPr="0074355D">
        <w:rPr>
          <w:b/>
          <w:i/>
        </w:rPr>
        <w:t>(v)</w:t>
      </w:r>
      <w:r w:rsidRPr="0074355D">
        <w:t xml:space="preserve"> in the model; integrating more WBPL into the Israeli labor force does not pose a significant threat for violence as long as </w:t>
      </w:r>
      <w:r w:rsidRPr="0074355D">
        <w:rPr>
          <w:b/>
          <w:i/>
        </w:rPr>
        <w:t>v &lt; 0.</w:t>
      </w:r>
      <w:r w:rsidRPr="0074355D">
        <w:t xml:space="preserve">7. </w:t>
      </w:r>
    </w:p>
    <w:p w14:paraId="6B3C7D71" w14:textId="01D622C8" w:rsidR="00CB1BA6" w:rsidRPr="0074355D" w:rsidRDefault="00CB1BA6" w:rsidP="001F7501">
      <w:pPr>
        <w:ind w:firstLine="720"/>
      </w:pPr>
      <w:r w:rsidRPr="0074355D">
        <w:t xml:space="preserve">In Figure 10, nearly all parameter estimates point to the conclusion that the current number of WBPL working in Israel is not dynamically efficient. For most of the parameter estimates the corresponding number of WBPL that should be permitted to work in Israel is at least several times the current level and in many cases the estimates exceed the working population of the West Bank. This is consistent with the findings in Clemens and Pritchett on global migration and production; in both cases, the number of foreigners (WBPL) that it would take to noticeably reduce TFP in a rich country (Israel) is unrealistically high, because in most scenarios people migrating to work are unlikely to affect rich country (Israeli) TFP through violence or other activities. Even in the cases when the WBPL should be theoretically removed in Figure 10, the Propensity for Violence </w:t>
      </w:r>
      <w:r w:rsidRPr="0074355D">
        <w:rPr>
          <w:b/>
          <w:i/>
        </w:rPr>
        <w:t xml:space="preserve">(v) </w:t>
      </w:r>
      <w:r w:rsidRPr="0074355D">
        <w:t xml:space="preserve">and Pacification Rates </w:t>
      </w:r>
      <w:r w:rsidRPr="0074355D">
        <w:rPr>
          <w:b/>
          <w:i/>
        </w:rPr>
        <w:t xml:space="preserve">(n) </w:t>
      </w:r>
      <w:r w:rsidRPr="0074355D">
        <w:t xml:space="preserve">required to make such an action advisable are not very likely. </w:t>
      </w:r>
    </w:p>
    <w:p w14:paraId="1020E3E6" w14:textId="3501BBC7" w:rsidR="00AF73C6" w:rsidRPr="0074355D" w:rsidRDefault="005F67F7" w:rsidP="001F7501">
      <w:pPr>
        <w:ind w:firstLine="720"/>
        <w:sectPr w:rsidR="00AF73C6" w:rsidRPr="0074355D" w:rsidSect="00F14AB5">
          <w:pgSz w:w="12240" w:h="15840"/>
          <w:pgMar w:top="1440" w:right="1440" w:bottom="1440" w:left="2304" w:header="720" w:footer="720" w:gutter="0"/>
          <w:cols w:space="720"/>
          <w:docGrid w:linePitch="360"/>
        </w:sectPr>
      </w:pPr>
      <w:r w:rsidRPr="0074355D">
        <w:t xml:space="preserve">In Table 10 it is clear that Israeli TFP is very sensitive to violence, because the number of WBPL that should be added to or removed from the Israeli economy changes </w:t>
      </w:r>
      <w:r w:rsidRPr="0074355D">
        <w:lastRenderedPageBreak/>
        <w:t xml:space="preserve">drastically at different Propensity for Violence </w:t>
      </w:r>
      <w:r w:rsidRPr="0074355D">
        <w:rPr>
          <w:b/>
          <w:i/>
        </w:rPr>
        <w:t>(v)</w:t>
      </w:r>
      <w:r w:rsidRPr="0074355D">
        <w:t xml:space="preserve"> and Pacification Rates </w:t>
      </w:r>
      <w:r w:rsidRPr="0074355D">
        <w:rPr>
          <w:b/>
          <w:i/>
        </w:rPr>
        <w:t>(n)</w:t>
      </w:r>
      <w:r w:rsidRPr="0074355D">
        <w:t>. In the most recent period analyzed (</w:t>
      </w:r>
      <w:r w:rsidRPr="0074355D">
        <w:rPr>
          <w:b/>
          <w:i/>
        </w:rPr>
        <w:t>v=0.375</w:t>
      </w:r>
      <w:r w:rsidRPr="0074355D">
        <w:t xml:space="preserve">), a Pacification Rate </w:t>
      </w:r>
      <w:r w:rsidRPr="0074355D">
        <w:rPr>
          <w:b/>
          <w:i/>
        </w:rPr>
        <w:t>(n)</w:t>
      </w:r>
      <w:r w:rsidRPr="0074355D">
        <w:t xml:space="preserve"> of only 0.05 is needed in order make the current number of WBPL working in Israel (113,200) advisable. This implies that actual Pacification Rate </w:t>
      </w:r>
      <w:r w:rsidRPr="0074355D">
        <w:rPr>
          <w:b/>
          <w:i/>
        </w:rPr>
        <w:t xml:space="preserve">(n) </w:t>
      </w:r>
      <w:r w:rsidRPr="0074355D">
        <w:t xml:space="preserve">of WBPL would need to be reduced drastically </w:t>
      </w:r>
      <w:r w:rsidR="00CB1BA6" w:rsidRPr="0074355D">
        <w:t xml:space="preserve">(if we assume it is between 0.5 and 1) </w:t>
      </w:r>
      <w:r w:rsidRPr="0074355D">
        <w:t>in order to make Israel’s current number of permits dynamically efficient. The results of the model suggest that Israel can increase the number of WBPL permitted to work in Israel far above what is practically possible, and Israeli TFP will not be harmed as long as the rate of violence stays below 4.2 fatalities per day over a given period of time (</w:t>
      </w:r>
      <w:r w:rsidRPr="0074355D">
        <w:rPr>
          <w:b/>
          <w:i/>
        </w:rPr>
        <w:t>v=0.7</w:t>
      </w:r>
      <w:r w:rsidR="00AF73C6" w:rsidRPr="0074355D">
        <w:t>)</w:t>
      </w:r>
    </w:p>
    <w:p w14:paraId="67C57C66" w14:textId="305B23C8" w:rsidR="00AF73C6" w:rsidRPr="0074355D" w:rsidRDefault="005F67F7" w:rsidP="001F7501">
      <w:pPr>
        <w:pStyle w:val="Heading3"/>
        <w:rPr>
          <w:rFonts w:ascii="Times New Roman" w:hAnsi="Times New Roman" w:cs="Times New Roman"/>
          <w:b w:val="0"/>
          <w:i/>
          <w:color w:val="auto"/>
        </w:rPr>
      </w:pPr>
      <w:bookmarkStart w:id="82" w:name="_Toc324423967"/>
      <w:r w:rsidRPr="0074355D">
        <w:rPr>
          <w:rFonts w:ascii="Times New Roman" w:hAnsi="Times New Roman" w:cs="Times New Roman"/>
          <w:b w:val="0"/>
          <w:i/>
          <w:color w:val="auto"/>
        </w:rPr>
        <w:lastRenderedPageBreak/>
        <w:t>Robustness Check</w:t>
      </w:r>
      <w:r w:rsidR="00AF73C6" w:rsidRPr="0074355D">
        <w:rPr>
          <w:rFonts w:ascii="Times New Roman" w:hAnsi="Times New Roman" w:cs="Times New Roman"/>
          <w:b w:val="0"/>
          <w:i/>
          <w:color w:val="auto"/>
        </w:rPr>
        <w:t>s</w:t>
      </w:r>
      <w:bookmarkEnd w:id="82"/>
    </w:p>
    <w:p w14:paraId="4A075E0F" w14:textId="77777777" w:rsidR="00AF73C6" w:rsidRPr="0074355D" w:rsidRDefault="00AF73C6" w:rsidP="001F7501">
      <w:pPr>
        <w:ind w:firstLine="720"/>
        <w:sectPr w:rsidR="00AF73C6" w:rsidRPr="0074355D" w:rsidSect="00AF73C6">
          <w:type w:val="continuous"/>
          <w:pgSz w:w="12240" w:h="15840"/>
          <w:pgMar w:top="1440" w:right="1440" w:bottom="1440" w:left="2304" w:header="720" w:footer="720" w:gutter="0"/>
          <w:cols w:space="720"/>
          <w:docGrid w:linePitch="360"/>
        </w:sectPr>
      </w:pPr>
    </w:p>
    <w:p w14:paraId="188E25FB" w14:textId="1E8D8FBF" w:rsidR="005F67F7" w:rsidRPr="0074355D" w:rsidRDefault="005F67F7" w:rsidP="001F7501">
      <w:pPr>
        <w:ind w:firstLine="720"/>
      </w:pPr>
      <w:r w:rsidRPr="0074355D">
        <w:lastRenderedPageBreak/>
        <w:t xml:space="preserve">It is entirely plausible that the Agitation Rate </w:t>
      </w:r>
      <w:r w:rsidRPr="0074355D">
        <w:rPr>
          <w:b/>
          <w:i/>
        </w:rPr>
        <w:t xml:space="preserve">(r) </w:t>
      </w:r>
      <w:r w:rsidRPr="0074355D">
        <w:t xml:space="preserve">could be much smaller, and when I tested the model for </w:t>
      </w:r>
      <w:r w:rsidRPr="0074355D">
        <w:rPr>
          <w:b/>
          <w:i/>
        </w:rPr>
        <w:t>r=0.01</w:t>
      </w:r>
      <w:r w:rsidRPr="0074355D">
        <w:t xml:space="preserve"> the results did not change in any meaningful manner. The slope of the lines became smaller, revealing that the number of WBPL that you can integrate increases drastically as </w:t>
      </w:r>
      <w:r w:rsidRPr="0074355D">
        <w:rPr>
          <w:b/>
          <w:i/>
        </w:rPr>
        <w:t xml:space="preserve">r </w:t>
      </w:r>
      <w:r w:rsidRPr="0074355D">
        <w:t xml:space="preserve">approaches 0, but the thresholds observed in Table 10 did not change. In other words, as long as WBPL have a Pacification Rate of at least 0.7 (which is entirely plausible given the permit system), it is possible to increase the number of permits to an infinite amount if </w:t>
      </w:r>
      <w:r w:rsidRPr="0074355D">
        <w:rPr>
          <w:b/>
          <w:i/>
        </w:rPr>
        <w:t>r=0.01</w:t>
      </w:r>
      <w:r w:rsidRPr="0074355D">
        <w:t xml:space="preserve">. Even if it is unrealistic, I tested the model using </w:t>
      </w:r>
      <w:r w:rsidRPr="0074355D">
        <w:rPr>
          <w:b/>
        </w:rPr>
        <w:t>0.99</w:t>
      </w:r>
      <w:r w:rsidRPr="0074355D">
        <w:t xml:space="preserve"> as my agitation rate </w:t>
      </w:r>
      <w:r w:rsidRPr="0074355D">
        <w:rPr>
          <w:b/>
          <w:i/>
        </w:rPr>
        <w:t xml:space="preserve">(r) </w:t>
      </w:r>
      <w:r w:rsidRPr="0074355D">
        <w:t xml:space="preserve">in the worst-case scenario. Even if </w:t>
      </w:r>
      <w:r w:rsidRPr="0074355D">
        <w:rPr>
          <w:b/>
          <w:i/>
        </w:rPr>
        <w:t>r=0.99</w:t>
      </w:r>
      <w:r w:rsidRPr="0074355D">
        <w:t xml:space="preserve">, it is still possible to integrate more WBPL than is realistically possible as long as </w:t>
      </w:r>
      <w:r w:rsidRPr="0074355D">
        <w:rPr>
          <w:b/>
          <w:i/>
        </w:rPr>
        <w:t>n &lt; 0.7</w:t>
      </w:r>
      <w:r w:rsidRPr="0074355D">
        <w:t>, but the number of WBPL that the model estimates does decrease drastically. This is consistent with the determinant</w:t>
      </w:r>
      <w:r w:rsidR="00CB1BA6" w:rsidRPr="0074355D">
        <w:t>s</w:t>
      </w:r>
      <w:r w:rsidRPr="0074355D">
        <w:t xml:space="preserve"> of optimal migration listed after equation </w:t>
      </w:r>
      <w:r w:rsidRPr="0074355D">
        <w:rPr>
          <w:b/>
        </w:rPr>
        <w:t>(8)</w:t>
      </w:r>
      <w:r w:rsidRPr="0074355D">
        <w:t xml:space="preserve">, which states that optimal migration is lower to the extent that Agitation effects </w:t>
      </w:r>
      <w:r w:rsidR="00CB2FC5" w:rsidRPr="0074355D">
        <w:rPr>
          <w:b/>
          <w:i/>
        </w:rPr>
        <w:t xml:space="preserve">(r) </w:t>
      </w:r>
      <w:r w:rsidRPr="0074355D">
        <w:t>are higher.</w:t>
      </w:r>
    </w:p>
    <w:p w14:paraId="2053CD6D" w14:textId="484F1C88" w:rsidR="005F67F7" w:rsidRPr="0074355D" w:rsidRDefault="005F67F7" w:rsidP="001F7501">
      <w:pPr>
        <w:ind w:firstLine="720"/>
      </w:pPr>
      <w:r w:rsidRPr="0074355D">
        <w:lastRenderedPageBreak/>
        <w:t>I tested the model using different measures f</w:t>
      </w:r>
      <w:r w:rsidR="00CB2FC5" w:rsidRPr="0074355D">
        <w:t>or the social discount rate, and</w:t>
      </w:r>
      <w:r w:rsidRPr="0074355D">
        <w:t xml:space="preserve"> the model supported the other two determinants of optimal migration listed after equation</w:t>
      </w:r>
      <w:r w:rsidRPr="0074355D">
        <w:rPr>
          <w:i/>
        </w:rPr>
        <w:t xml:space="preserve"> </w:t>
      </w:r>
      <w:r w:rsidRPr="0074355D">
        <w:rPr>
          <w:b/>
        </w:rPr>
        <w:t>(8)</w:t>
      </w:r>
      <w:r w:rsidRPr="0074355D">
        <w:rPr>
          <w:i/>
        </w:rPr>
        <w:t>.</w:t>
      </w:r>
      <w:r w:rsidRPr="0074355D">
        <w:t xml:space="preserve"> When the social discount rate is increased, the y-interce</w:t>
      </w:r>
      <w:r w:rsidR="00CB2FC5" w:rsidRPr="0074355D">
        <w:t>pts observed in Figure 10 move up the y-axis,</w:t>
      </w:r>
      <w:r w:rsidRPr="0074355D">
        <w:t xml:space="preserve"> and the number of WBPL that should be permitted into the Israeli economy decreases. This implies that the number of WBPL that should be allowed into Israel is lower to the extent that interpersonal trust is already lower</w:t>
      </w:r>
      <w:r w:rsidR="0040657F" w:rsidRPr="0074355D">
        <w:t xml:space="preserve"> at the time that more permits are allotted</w:t>
      </w:r>
      <w:r w:rsidRPr="0074355D">
        <w:t xml:space="preserve">, thereby leading people to discount future earnings to a greater extent. However, even in this case it is advisable to increase the number of WBPL permitted to work in Israel as long as </w:t>
      </w:r>
      <w:r w:rsidRPr="0074355D">
        <w:rPr>
          <w:b/>
          <w:i/>
        </w:rPr>
        <w:t>v &lt; 0.3</w:t>
      </w:r>
      <w:r w:rsidRPr="0074355D">
        <w:t>. In other words, a policy aimed at increasing the number of WBPL permitted to work in Israel (such as the 30,000 person increase passed in February) will be most effective if implemented during times with low rates of violence rather than times with high rates of violence. Changing the adjusted productivity gap between Israel and the West Bank also changes the threshold for violence. As the productivity gap increases, the number of WBPL that can be permitted to work in Israel without decreasing Israeli TFP is decreased. This is consistent with the literature on the relationship between economic development and violence in this context; when economic conditions are more unequal between the two areas it is more likely that Palestinians will engage in violent revolt, whi</w:t>
      </w:r>
      <w:r w:rsidR="0040657F" w:rsidRPr="0074355D">
        <w:t xml:space="preserve">ch would decrease Israeli TFP. However, even the high estimates provided by my model are conservative estimates. </w:t>
      </w:r>
    </w:p>
    <w:p w14:paraId="59C4705C" w14:textId="5B014448" w:rsidR="00046274" w:rsidRPr="0074355D" w:rsidRDefault="00046274" w:rsidP="001F7501">
      <w:pPr>
        <w:ind w:firstLine="720"/>
      </w:pPr>
      <w:r w:rsidRPr="0074355D">
        <w:t>There are a number of assumptions implicit in the</w:t>
      </w:r>
      <w:r w:rsidR="0040657F" w:rsidRPr="0074355D">
        <w:t xml:space="preserve"> dynamic equilibrium</w:t>
      </w:r>
      <w:r w:rsidRPr="0074355D">
        <w:t xml:space="preserve"> model that makes the dynamically efficient estimates conservative. First, the model assumes that increasing the number of WBPL permitted to work in Israel can only reduce Israeli </w:t>
      </w:r>
      <w:r w:rsidRPr="0074355D">
        <w:lastRenderedPageBreak/>
        <w:t xml:space="preserve">TFP through violence, but this ignores the fact that a significant reduction in violence could potentially increase TFP over time. </w:t>
      </w:r>
      <w:r w:rsidR="0040657F" w:rsidRPr="0074355D">
        <w:t>This implies that the</w:t>
      </w:r>
      <w:r w:rsidR="00CB1BA6" w:rsidRPr="0074355D">
        <w:t xml:space="preserve"> model does not account for the</w:t>
      </w:r>
      <w:r w:rsidR="0040657F" w:rsidRPr="0074355D">
        <w:t xml:space="preserve"> gain in </w:t>
      </w:r>
      <w:r w:rsidR="00CB1BA6" w:rsidRPr="0074355D">
        <w:t xml:space="preserve">Israeli </w:t>
      </w:r>
      <w:r w:rsidR="0040657F" w:rsidRPr="0074355D">
        <w:t>production that would be observed</w:t>
      </w:r>
      <w:r w:rsidR="00CB1BA6" w:rsidRPr="0074355D">
        <w:t xml:space="preserve"> in each time period after</w:t>
      </w:r>
      <w:r w:rsidR="0040657F" w:rsidRPr="0074355D">
        <w:t xml:space="preserve"> the dynami</w:t>
      </w:r>
      <w:r w:rsidR="00CB1BA6" w:rsidRPr="0074355D">
        <w:t xml:space="preserve">cally efficient rate is reached. </w:t>
      </w:r>
      <w:r w:rsidR="0040657F" w:rsidRPr="0074355D">
        <w:t>In other words, the gain in prod</w:t>
      </w:r>
      <w:r w:rsidR="00CB1BA6" w:rsidRPr="0074355D">
        <w:t>uction that begins at time T* (E</w:t>
      </w:r>
      <w:r w:rsidR="0040657F" w:rsidRPr="0074355D">
        <w:t xml:space="preserve">quation 9) and continues to infinity in the steady-state is not accounted for in the estimates, which make them downward bias. The model does not account for the positive effects of economic development on people living in the West Bank who are not working in Israel. In other words, the model does not take into account that higher earnings increases the opportunity cost of violence for Palestinians due to spillover effects from the higher earnings of family members and/or community members. Such spillover effects could reduce the Propensity for Violence likely to be observed overtime and would therefore make the model’s current estimates </w:t>
      </w:r>
      <w:r w:rsidR="00665E43" w:rsidRPr="0074355D">
        <w:t>downward biased. Finally, the Agitation R</w:t>
      </w:r>
      <w:r w:rsidR="0040657F" w:rsidRPr="0074355D">
        <w:t>ate used in Figure 10 (</w:t>
      </w:r>
      <w:r w:rsidR="0040657F" w:rsidRPr="0074355D">
        <w:rPr>
          <w:b/>
          <w:i/>
        </w:rPr>
        <w:t>r=0.5</w:t>
      </w:r>
      <w:r w:rsidR="0040657F" w:rsidRPr="0074355D">
        <w:t>) is a conservative choice, and it is entirely possible that</w:t>
      </w:r>
      <w:r w:rsidR="00665E43" w:rsidRPr="0074355D">
        <w:t xml:space="preserve"> actual Agitation Rates could be lower. </w:t>
      </w:r>
    </w:p>
    <w:p w14:paraId="6B3A1C84" w14:textId="40680D50" w:rsidR="00AF73C6" w:rsidRPr="0074355D" w:rsidRDefault="005F67F7" w:rsidP="001F7501">
      <w:pPr>
        <w:rPr>
          <w:b/>
        </w:rPr>
        <w:sectPr w:rsidR="00AF73C6" w:rsidRPr="0074355D" w:rsidSect="00AF73C6">
          <w:type w:val="continuous"/>
          <w:pgSz w:w="12240" w:h="15840"/>
          <w:pgMar w:top="1440" w:right="1440" w:bottom="1440" w:left="2304" w:header="720" w:footer="720" w:gutter="0"/>
          <w:cols w:space="720"/>
          <w:docGrid w:linePitch="360"/>
        </w:sectPr>
      </w:pPr>
      <w:r w:rsidRPr="0074355D">
        <w:tab/>
        <w:t xml:space="preserve">While my model suggests that Israel can drastically increase the number of WBPL permitted to work in Israel in most cases, future studies would benefit from more precise estimates of the actual Pacification Rate </w:t>
      </w:r>
      <w:r w:rsidRPr="0074355D">
        <w:rPr>
          <w:b/>
          <w:i/>
        </w:rPr>
        <w:t xml:space="preserve">(n) </w:t>
      </w:r>
      <w:r w:rsidRPr="0074355D">
        <w:t xml:space="preserve">and Agitation Rate </w:t>
      </w:r>
      <w:r w:rsidRPr="0074355D">
        <w:rPr>
          <w:b/>
          <w:i/>
        </w:rPr>
        <w:t>(r)</w:t>
      </w:r>
      <w:r w:rsidRPr="0074355D">
        <w:t>.</w:t>
      </w:r>
      <w:r w:rsidR="00CB1BA6" w:rsidRPr="0074355D">
        <w:t xml:space="preserve"> Additionally, the model does support the use of border closures or other security measures in certain cases. Any point left of the y-axis on the model represents a time in which border closures or other security measures are advisable, but in most cases the Propensity for Violence </w:t>
      </w:r>
      <w:r w:rsidR="00CB1BA6" w:rsidRPr="0074355D">
        <w:rPr>
          <w:b/>
          <w:i/>
        </w:rPr>
        <w:t xml:space="preserve">(v) </w:t>
      </w:r>
      <w:r w:rsidR="00CB1BA6" w:rsidRPr="0074355D">
        <w:t xml:space="preserve">and Pacification Rate </w:t>
      </w:r>
      <w:r w:rsidR="00CB1BA6" w:rsidRPr="0074355D">
        <w:rPr>
          <w:b/>
          <w:i/>
        </w:rPr>
        <w:t>(n)</w:t>
      </w:r>
      <w:r w:rsidR="00CB1BA6" w:rsidRPr="0074355D">
        <w:t xml:space="preserve"> needed to make border closures justifie</w:t>
      </w:r>
      <w:r w:rsidR="006372A8" w:rsidRPr="0074355D">
        <w:t>d are not very likely.</w:t>
      </w:r>
      <w:r w:rsidRPr="0074355D">
        <w:t xml:space="preserve"> Some of the other measures, such as the productivity gap </w:t>
      </w:r>
      <m:oMath>
        <m:d>
          <m:dPr>
            <m:ctrlPr>
              <w:rPr>
                <w:rFonts w:ascii="Cambria Math" w:hAnsi="Cambria Math"/>
                <w:b/>
              </w:rPr>
            </m:ctrlPr>
          </m:dPr>
          <m:e>
            <m:r>
              <m:rPr>
                <m:sty m:val="b"/>
              </m:rPr>
              <w:rPr>
                <w:rFonts w:ascii="Cambria Math" w:hAnsi="Cambria Math"/>
              </w:rPr>
              <m:t>γ</m:t>
            </m:r>
          </m:e>
        </m:d>
        <m:r>
          <m:rPr>
            <m:sty m:val="b"/>
          </m:rPr>
          <w:rPr>
            <w:rFonts w:ascii="Cambria Math" w:hAnsi="Cambria Math"/>
          </w:rPr>
          <m:t>,</m:t>
        </m:r>
      </m:oMath>
      <w:r w:rsidRPr="0074355D">
        <w:rPr>
          <w:b/>
        </w:rPr>
        <w:t xml:space="preserve"> </w:t>
      </w:r>
      <w:r w:rsidR="00665E43" w:rsidRPr="0074355D">
        <w:t xml:space="preserve">are </w:t>
      </w:r>
      <w:r w:rsidR="00CB2FC5" w:rsidRPr="0074355D">
        <w:t>well defined</w:t>
      </w:r>
      <w:r w:rsidRPr="0074355D">
        <w:t xml:space="preserve"> but not context specific. Regardless of the assumptions that I was </w:t>
      </w:r>
      <w:r w:rsidRPr="0074355D">
        <w:lastRenderedPageBreak/>
        <w:t xml:space="preserve">forced to make, robustness checks support the conclusion that Israel can increase the number of WBPL permitted to work in Israel, and it is likely that more accurate measures of my assumed values in the model will also produce results that support this conclusion. Even though this model is specific to the Israeli-Palestinian conflict, it is likely that my method of analyzing how violence affects TFP (in the context of migration) can </w:t>
      </w:r>
      <w:r w:rsidR="00707E1F" w:rsidRPr="0074355D">
        <w:t>be adapted to other scenarios.</w:t>
      </w:r>
    </w:p>
    <w:p w14:paraId="3DB642B8" w14:textId="2F5A2F65" w:rsidR="005F67F7" w:rsidRDefault="005F67F7" w:rsidP="00707E1F">
      <w:pPr>
        <w:spacing w:line="240" w:lineRule="auto"/>
        <w:rPr>
          <w:b/>
          <w:i/>
        </w:rPr>
      </w:pPr>
    </w:p>
    <w:p w14:paraId="1D5EBDC9" w14:textId="77777777" w:rsidR="00AE48D7" w:rsidRDefault="00AE48D7" w:rsidP="00707E1F">
      <w:pPr>
        <w:spacing w:line="240" w:lineRule="auto"/>
        <w:rPr>
          <w:b/>
          <w:i/>
        </w:rPr>
      </w:pPr>
    </w:p>
    <w:p w14:paraId="5167C052" w14:textId="77777777" w:rsidR="009A78FD" w:rsidRPr="00707E1F" w:rsidRDefault="009A78FD" w:rsidP="00707E1F">
      <w:pPr>
        <w:spacing w:line="240" w:lineRule="auto"/>
        <w:rPr>
          <w:b/>
          <w:i/>
        </w:rPr>
      </w:pPr>
    </w:p>
    <w:p w14:paraId="364D2151" w14:textId="46E267D1" w:rsidR="00707E1F" w:rsidRPr="00707E1F" w:rsidRDefault="00707E1F" w:rsidP="00707E1F">
      <w:pPr>
        <w:pStyle w:val="Caption"/>
        <w:keepNext/>
        <w:jc w:val="center"/>
        <w:rPr>
          <w:color w:val="auto"/>
          <w:sz w:val="24"/>
          <w:szCs w:val="24"/>
        </w:rPr>
      </w:pPr>
      <w:bookmarkStart w:id="83" w:name="_Toc324264462"/>
      <w:bookmarkStart w:id="84" w:name="_Toc324264709"/>
      <w:r w:rsidRPr="00707E1F">
        <w:rPr>
          <w:color w:val="auto"/>
          <w:sz w:val="24"/>
          <w:szCs w:val="24"/>
        </w:rPr>
        <w:t xml:space="preserve">Figure </w:t>
      </w:r>
      <w:r w:rsidRPr="00707E1F">
        <w:rPr>
          <w:color w:val="auto"/>
          <w:sz w:val="24"/>
          <w:szCs w:val="24"/>
        </w:rPr>
        <w:fldChar w:fldCharType="begin"/>
      </w:r>
      <w:r w:rsidRPr="00707E1F">
        <w:rPr>
          <w:color w:val="auto"/>
          <w:sz w:val="24"/>
          <w:szCs w:val="24"/>
        </w:rPr>
        <w:instrText xml:space="preserve"> SEQ Figure \* ARABIC </w:instrText>
      </w:r>
      <w:r w:rsidRPr="00707E1F">
        <w:rPr>
          <w:color w:val="auto"/>
          <w:sz w:val="24"/>
          <w:szCs w:val="24"/>
        </w:rPr>
        <w:fldChar w:fldCharType="separate"/>
      </w:r>
      <w:r w:rsidR="00500133">
        <w:rPr>
          <w:noProof/>
          <w:color w:val="auto"/>
          <w:sz w:val="24"/>
          <w:szCs w:val="24"/>
        </w:rPr>
        <w:t>10</w:t>
      </w:r>
      <w:r w:rsidRPr="00707E1F">
        <w:rPr>
          <w:color w:val="auto"/>
          <w:sz w:val="24"/>
          <w:szCs w:val="24"/>
        </w:rPr>
        <w:fldChar w:fldCharType="end"/>
      </w:r>
      <w:r w:rsidRPr="00707E1F">
        <w:rPr>
          <w:color w:val="auto"/>
          <w:sz w:val="24"/>
          <w:szCs w:val="24"/>
        </w:rPr>
        <w:t>: The Dynamically Efficient Number of West Bank Palestinian Laborers Permitted to Work in Israel</w:t>
      </w:r>
      <w:bookmarkEnd w:id="83"/>
      <w:bookmarkEnd w:id="84"/>
    </w:p>
    <w:p w14:paraId="142A63C3" w14:textId="77777777" w:rsidR="005F67F7" w:rsidRDefault="005F67F7" w:rsidP="00C75BC0">
      <w:pPr>
        <w:ind w:left="-90" w:hanging="450"/>
        <w:jc w:val="center"/>
      </w:pPr>
      <w:r>
        <w:rPr>
          <w:noProof/>
        </w:rPr>
        <w:drawing>
          <wp:inline distT="0" distB="0" distL="0" distR="0" wp14:anchorId="6258760D" wp14:editId="7B859734">
            <wp:extent cx="7972865" cy="4044950"/>
            <wp:effectExtent l="0" t="0" r="3175" b="0"/>
            <wp:docPr id="20" name="Chart 20">
              <a:extLst xmlns:a="http://schemas.openxmlformats.org/drawingml/2006/main">
                <a:ext uri="{FF2B5EF4-FFF2-40B4-BE49-F238E27FC236}">
                  <a16:creationId xmlns:lc="http://schemas.openxmlformats.org/drawingml/2006/lockedCanvas" xmlns="" xmlns:a16="http://schemas.microsoft.com/office/drawing/2014/main" xmlns:xdr="http://schemas.openxmlformats.org/drawingml/2006/spreadsheetDrawing" xmlns:w="http://schemas.openxmlformats.org/wordprocessingml/2006/main" xmlns:w10="urn:schemas-microsoft-com:office:word" xmlns:v="urn:schemas-microsoft-com:vml" xmlns:o="urn:schemas-microsoft-com:office:office" id="{00000000-0008-0000-00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301D6F78" w14:textId="369AFD26" w:rsidR="002E23AF" w:rsidRPr="002E23AF" w:rsidRDefault="002E23AF" w:rsidP="002E23AF">
      <w:pPr>
        <w:spacing w:line="240" w:lineRule="auto"/>
        <w:rPr>
          <w:sz w:val="20"/>
        </w:rPr>
      </w:pPr>
      <w:r w:rsidRPr="002E23AF">
        <w:rPr>
          <w:sz w:val="20"/>
        </w:rPr>
        <w:t>Note: This figure models equation 8, which retu</w:t>
      </w:r>
      <w:r w:rsidR="00AF73C6">
        <w:rPr>
          <w:sz w:val="20"/>
        </w:rPr>
        <w:t>rns a decimal that shows the ratio of Palestinian labor to Israeli labor that</w:t>
      </w:r>
      <w:r w:rsidRPr="002E23AF">
        <w:rPr>
          <w:sz w:val="20"/>
        </w:rPr>
        <w:t xml:space="preserve"> should be allowed into the Israeli labor force. When </w:t>
      </w:r>
      <w:r w:rsidRPr="002E23AF">
        <w:rPr>
          <w:b/>
          <w:i/>
          <w:sz w:val="20"/>
        </w:rPr>
        <w:t>p*</w:t>
      </w:r>
      <w:r w:rsidRPr="002E23AF">
        <w:rPr>
          <w:sz w:val="20"/>
        </w:rPr>
        <w:t xml:space="preserve"> is plugged back into the equation </w:t>
      </w:r>
      <w:r w:rsidRPr="002E23AF">
        <w:rPr>
          <w:b/>
          <w:i/>
          <w:sz w:val="20"/>
        </w:rPr>
        <w:t>p</w:t>
      </w:r>
      <m:oMath>
        <m:r>
          <m:rPr>
            <m:sty m:val="bi"/>
          </m:rPr>
          <w:rPr>
            <w:rFonts w:ascii="Cambria Math" w:hAnsi="Cambria Math"/>
            <w:sz w:val="20"/>
          </w:rPr>
          <m:t xml:space="preserve"> ≡</m:t>
        </m:r>
        <m:sSub>
          <m:sSubPr>
            <m:ctrlPr>
              <w:rPr>
                <w:rFonts w:ascii="Cambria Math" w:hAnsi="Cambria Math"/>
                <w:b/>
                <w:i/>
                <w:sz w:val="20"/>
              </w:rPr>
            </m:ctrlPr>
          </m:sSubPr>
          <m:e>
            <m:r>
              <m:rPr>
                <m:sty m:val="bi"/>
              </m:rPr>
              <w:rPr>
                <w:rFonts w:ascii="Cambria Math" w:hAnsi="Cambria Math"/>
                <w:sz w:val="20"/>
              </w:rPr>
              <m:t>P</m:t>
            </m:r>
          </m:e>
          <m:sub>
            <m:r>
              <m:rPr>
                <m:sty m:val="bi"/>
              </m:rPr>
              <w:rPr>
                <w:rFonts w:ascii="Cambria Math" w:hAnsi="Cambria Math"/>
                <w:sz w:val="20"/>
              </w:rPr>
              <m:t xml:space="preserve">t </m:t>
            </m:r>
          </m:sub>
        </m:sSub>
        <m:r>
          <m:rPr>
            <m:sty m:val="bi"/>
          </m:rPr>
          <w:rPr>
            <w:rFonts w:ascii="Cambria Math" w:hAnsi="Cambria Math"/>
            <w:sz w:val="20"/>
          </w:rPr>
          <m:t>/</m:t>
        </m:r>
        <m:sSub>
          <m:sSubPr>
            <m:ctrlPr>
              <w:rPr>
                <w:rFonts w:ascii="Cambria Math" w:hAnsi="Cambria Math"/>
                <w:b/>
                <w:i/>
                <w:sz w:val="20"/>
              </w:rPr>
            </m:ctrlPr>
          </m:sSubPr>
          <m:e>
            <m:r>
              <m:rPr>
                <m:sty m:val="bi"/>
              </m:rPr>
              <w:rPr>
                <w:rFonts w:ascii="Cambria Math" w:hAnsi="Cambria Math"/>
                <w:sz w:val="20"/>
              </w:rPr>
              <m:t>L</m:t>
            </m:r>
          </m:e>
          <m:sub>
            <m:r>
              <m:rPr>
                <m:sty m:val="bi"/>
              </m:rPr>
              <w:rPr>
                <w:rFonts w:ascii="Cambria Math" w:hAnsi="Cambria Math"/>
                <w:sz w:val="20"/>
              </w:rPr>
              <m:t>t</m:t>
            </m:r>
          </m:sub>
        </m:sSub>
      </m:oMath>
      <w:r w:rsidRPr="002E23AF">
        <w:rPr>
          <w:b/>
          <w:i/>
          <w:sz w:val="20"/>
        </w:rPr>
        <w:t xml:space="preserve"> </w:t>
      </w:r>
      <w:r w:rsidRPr="002E23AF">
        <w:rPr>
          <w:sz w:val="20"/>
        </w:rPr>
        <w:t>it is possible to calculate the actual number. I altered equation</w:t>
      </w:r>
      <w:r w:rsidR="00AF73C6">
        <w:rPr>
          <w:sz w:val="20"/>
        </w:rPr>
        <w:t xml:space="preserve"> 8</w:t>
      </w:r>
      <w:r w:rsidRPr="002E23AF">
        <w:rPr>
          <w:sz w:val="20"/>
        </w:rPr>
        <w:t xml:space="preserve"> in order to</w:t>
      </w:r>
      <w:r w:rsidR="0086788C" w:rsidRPr="0086788C">
        <w:rPr>
          <w:noProof/>
        </w:rPr>
        <w:t xml:space="preserve"> </w:t>
      </w:r>
      <w:r w:rsidRPr="002E23AF">
        <w:rPr>
          <w:sz w:val="20"/>
        </w:rPr>
        <w:t>calculate this number, thus the equation represented in this figure is actually….</w:t>
      </w:r>
    </w:p>
    <w:p w14:paraId="744A28A8" w14:textId="77777777" w:rsidR="002E23AF" w:rsidRPr="002E23AF" w:rsidRDefault="00500133" w:rsidP="002E23AF">
      <w:pPr>
        <w:rPr>
          <w:sz w:val="20"/>
        </w:rPr>
      </w:pPr>
      <m:oMathPara>
        <m:oMath>
          <m:f>
            <m:fPr>
              <m:ctrlPr>
                <w:rPr>
                  <w:rFonts w:ascii="Cambria Math" w:hAnsi="Cambria Math"/>
                  <w:i/>
                  <w:sz w:val="20"/>
                </w:rPr>
              </m:ctrlPr>
            </m:fPr>
            <m:num>
              <m:sSub>
                <m:sSubPr>
                  <m:ctrlPr>
                    <w:rPr>
                      <w:rFonts w:ascii="Cambria Math" w:hAnsi="Cambria Math"/>
                      <w:i/>
                      <w:sz w:val="20"/>
                    </w:rPr>
                  </m:ctrlPr>
                </m:sSubPr>
                <m:e>
                  <m:r>
                    <w:rPr>
                      <w:rFonts w:ascii="Cambria Math" w:hAnsi="Cambria Math"/>
                      <w:sz w:val="20"/>
                    </w:rPr>
                    <m:t>P</m:t>
                  </m:r>
                </m:e>
                <m:sub>
                  <m:r>
                    <w:rPr>
                      <w:rFonts w:ascii="Cambria Math" w:hAnsi="Cambria Math"/>
                      <w:sz w:val="20"/>
                    </w:rPr>
                    <m:t>t</m:t>
                  </m:r>
                </m:sub>
              </m:sSub>
            </m:num>
            <m:den>
              <m:r>
                <w:rPr>
                  <w:rFonts w:ascii="Cambria Math" w:hAnsi="Cambria Math"/>
                  <w:sz w:val="20"/>
                </w:rPr>
                <m:t>3,881,000</m:t>
              </m:r>
            </m:den>
          </m:f>
          <m:r>
            <w:rPr>
              <w:rFonts w:ascii="Cambria Math" w:hAnsi="Cambria Math"/>
              <w:sz w:val="20"/>
            </w:rPr>
            <m:t>=</m:t>
          </m:r>
          <m:f>
            <m:fPr>
              <m:ctrlPr>
                <w:rPr>
                  <w:rFonts w:ascii="Cambria Math" w:hAnsi="Cambria Math"/>
                  <w:i/>
                  <w:sz w:val="20"/>
                </w:rPr>
              </m:ctrlPr>
            </m:fPr>
            <m:num>
              <m:r>
                <w:rPr>
                  <w:rFonts w:ascii="Cambria Math" w:hAnsi="Cambria Math"/>
                  <w:sz w:val="20"/>
                </w:rPr>
                <m:t>n-ρv</m:t>
              </m:r>
              <m:acc>
                <m:accPr>
                  <m:chr m:val="̃"/>
                  <m:ctrlPr>
                    <w:rPr>
                      <w:rFonts w:ascii="Cambria Math" w:hAnsi="Cambria Math"/>
                      <w:i/>
                      <w:sz w:val="20"/>
                    </w:rPr>
                  </m:ctrlPr>
                </m:accPr>
                <m:e>
                  <m:r>
                    <w:rPr>
                      <w:rFonts w:ascii="Cambria Math" w:hAnsi="Cambria Math"/>
                      <w:sz w:val="20"/>
                    </w:rPr>
                    <m:t>γ</m:t>
                  </m:r>
                </m:e>
              </m:acc>
            </m:num>
            <m:den>
              <m:r>
                <w:rPr>
                  <w:rFonts w:ascii="Cambria Math" w:hAnsi="Cambria Math"/>
                  <w:sz w:val="20"/>
                </w:rPr>
                <m:t>αv</m:t>
              </m:r>
              <m:acc>
                <m:accPr>
                  <m:chr m:val="̃"/>
                  <m:ctrlPr>
                    <w:rPr>
                      <w:rFonts w:ascii="Cambria Math" w:hAnsi="Cambria Math"/>
                      <w:i/>
                      <w:sz w:val="20"/>
                    </w:rPr>
                  </m:ctrlPr>
                </m:accPr>
                <m:e>
                  <m:r>
                    <w:rPr>
                      <w:rFonts w:ascii="Cambria Math" w:hAnsi="Cambria Math"/>
                      <w:sz w:val="20"/>
                    </w:rPr>
                    <m:t>γ</m:t>
                  </m:r>
                </m:e>
              </m:acc>
              <m:r>
                <w:rPr>
                  <w:rFonts w:ascii="Cambria Math" w:hAnsi="Cambria Math"/>
                  <w:sz w:val="20"/>
                </w:rPr>
                <m:t>+r</m:t>
              </m:r>
            </m:den>
          </m:f>
        </m:oMath>
      </m:oMathPara>
    </w:p>
    <w:p w14:paraId="4B7F3C50" w14:textId="77777777" w:rsidR="00AF73C6" w:rsidRDefault="00AF73C6" w:rsidP="00AF73C6">
      <w:pPr>
        <w:ind w:left="-90" w:hanging="450"/>
        <w:sectPr w:rsidR="00AF73C6" w:rsidSect="00707E1F">
          <w:footerReference w:type="default" r:id="rId31"/>
          <w:pgSz w:w="15840" w:h="12240" w:orient="landscape"/>
          <w:pgMar w:top="1620" w:right="1440" w:bottom="1440" w:left="1440" w:header="720" w:footer="720" w:gutter="0"/>
          <w:cols w:space="720"/>
          <w:docGrid w:linePitch="360"/>
        </w:sectPr>
      </w:pPr>
    </w:p>
    <w:p w14:paraId="33C53D8B" w14:textId="77777777" w:rsidR="005F67F7" w:rsidRPr="00707E1F" w:rsidRDefault="005F67F7" w:rsidP="00707E1F">
      <w:pPr>
        <w:spacing w:line="240" w:lineRule="auto"/>
        <w:jc w:val="center"/>
        <w:rPr>
          <w:b/>
          <w:i/>
          <w:sz w:val="36"/>
        </w:rPr>
      </w:pPr>
    </w:p>
    <w:p w14:paraId="79E098E6" w14:textId="28481BD6" w:rsidR="00707E1F" w:rsidRPr="00707E1F" w:rsidRDefault="00707E1F" w:rsidP="00707E1F">
      <w:pPr>
        <w:pStyle w:val="Caption"/>
        <w:keepNext/>
        <w:jc w:val="center"/>
        <w:rPr>
          <w:color w:val="auto"/>
          <w:sz w:val="24"/>
        </w:rPr>
      </w:pPr>
      <w:bookmarkStart w:id="85" w:name="_Toc323490978"/>
      <w:bookmarkStart w:id="86" w:name="_Toc324146565"/>
      <w:bookmarkStart w:id="87" w:name="_Toc324264463"/>
      <w:bookmarkStart w:id="88" w:name="_Toc324264710"/>
      <w:r w:rsidRPr="00707E1F">
        <w:rPr>
          <w:color w:val="auto"/>
          <w:sz w:val="24"/>
        </w:rPr>
        <w:t xml:space="preserve">Table </w:t>
      </w:r>
      <w:r w:rsidRPr="00707E1F">
        <w:rPr>
          <w:color w:val="auto"/>
          <w:sz w:val="24"/>
        </w:rPr>
        <w:fldChar w:fldCharType="begin"/>
      </w:r>
      <w:r w:rsidRPr="00707E1F">
        <w:rPr>
          <w:color w:val="auto"/>
          <w:sz w:val="24"/>
        </w:rPr>
        <w:instrText xml:space="preserve"> SEQ Table \* ARABIC </w:instrText>
      </w:r>
      <w:r w:rsidRPr="00707E1F">
        <w:rPr>
          <w:color w:val="auto"/>
          <w:sz w:val="24"/>
        </w:rPr>
        <w:fldChar w:fldCharType="separate"/>
      </w:r>
      <w:r w:rsidR="00500133">
        <w:rPr>
          <w:noProof/>
          <w:color w:val="auto"/>
          <w:sz w:val="24"/>
        </w:rPr>
        <w:t>10</w:t>
      </w:r>
      <w:r w:rsidRPr="00707E1F">
        <w:rPr>
          <w:color w:val="auto"/>
          <w:sz w:val="24"/>
        </w:rPr>
        <w:fldChar w:fldCharType="end"/>
      </w:r>
      <w:r w:rsidRPr="00707E1F">
        <w:rPr>
          <w:color w:val="auto"/>
          <w:sz w:val="24"/>
        </w:rPr>
        <w:t>: The Dynamically Efficient Number of West Bank Palestinian Laborers That Should be Permitted to Work in Israel Given Plausible Parameter Measures</w:t>
      </w:r>
      <w:bookmarkEnd w:id="85"/>
      <w:bookmarkEnd w:id="86"/>
      <w:bookmarkEnd w:id="87"/>
      <w:bookmarkEnd w:id="88"/>
    </w:p>
    <w:tbl>
      <w:tblPr>
        <w:tblStyle w:val="LightGrid"/>
        <w:tblW w:w="0" w:type="auto"/>
        <w:tblInd w:w="18" w:type="dxa"/>
        <w:tblLayout w:type="fixed"/>
        <w:tblLook w:val="04A0" w:firstRow="1" w:lastRow="0" w:firstColumn="1" w:lastColumn="0" w:noHBand="0" w:noVBand="1"/>
      </w:tblPr>
      <w:tblGrid>
        <w:gridCol w:w="1465"/>
        <w:gridCol w:w="1219"/>
        <w:gridCol w:w="1096"/>
        <w:gridCol w:w="1170"/>
        <w:gridCol w:w="1170"/>
        <w:gridCol w:w="1260"/>
        <w:gridCol w:w="1080"/>
      </w:tblGrid>
      <w:tr w:rsidR="005F67F7" w:rsidRPr="005F67F7" w14:paraId="5E6357AA" w14:textId="77777777" w:rsidTr="00882E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5" w:type="dxa"/>
          </w:tcPr>
          <w:p w14:paraId="30D6BD1D" w14:textId="77777777" w:rsidR="005F67F7" w:rsidRPr="005F67F7" w:rsidRDefault="005F67F7" w:rsidP="005F67F7">
            <w:pPr>
              <w:spacing w:line="240" w:lineRule="auto"/>
              <w:jc w:val="center"/>
              <w:rPr>
                <w:b w:val="0"/>
              </w:rPr>
            </w:pPr>
          </w:p>
        </w:tc>
        <w:tc>
          <w:tcPr>
            <w:tcW w:w="6995" w:type="dxa"/>
            <w:gridSpan w:val="6"/>
          </w:tcPr>
          <w:p w14:paraId="3921BD2E" w14:textId="77777777" w:rsidR="005F67F7" w:rsidRPr="005F67F7" w:rsidRDefault="005F67F7" w:rsidP="005F67F7">
            <w:pPr>
              <w:spacing w:line="240" w:lineRule="auto"/>
              <w:jc w:val="center"/>
              <w:cnfStyle w:val="100000000000" w:firstRow="1" w:lastRow="0" w:firstColumn="0" w:lastColumn="0" w:oddVBand="0" w:evenVBand="0" w:oddHBand="0" w:evenHBand="0" w:firstRowFirstColumn="0" w:firstRowLastColumn="0" w:lastRowFirstColumn="0" w:lastRowLastColumn="0"/>
              <w:rPr>
                <w:b w:val="0"/>
              </w:rPr>
            </w:pPr>
            <w:r w:rsidRPr="005F67F7">
              <w:t>Propensity for Violence (v)</w:t>
            </w:r>
          </w:p>
        </w:tc>
      </w:tr>
      <w:tr w:rsidR="00882E52" w:rsidRPr="005F67F7" w14:paraId="10076ED6" w14:textId="77777777" w:rsidTr="00882E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5" w:type="dxa"/>
          </w:tcPr>
          <w:p w14:paraId="013B646B" w14:textId="77777777" w:rsidR="00882E52" w:rsidRDefault="005F67F7" w:rsidP="005F67F7">
            <w:pPr>
              <w:spacing w:line="240" w:lineRule="auto"/>
              <w:jc w:val="center"/>
            </w:pPr>
            <w:r w:rsidRPr="005F67F7">
              <w:t xml:space="preserve">Pacification Rate </w:t>
            </w:r>
          </w:p>
          <w:p w14:paraId="2426F950" w14:textId="23A61D7D" w:rsidR="005F67F7" w:rsidRPr="005F67F7" w:rsidRDefault="00882E52" w:rsidP="005F67F7">
            <w:pPr>
              <w:spacing w:line="240" w:lineRule="auto"/>
              <w:jc w:val="center"/>
              <w:rPr>
                <w:b w:val="0"/>
              </w:rPr>
            </w:pPr>
            <w:r>
              <w:t xml:space="preserve">   </w:t>
            </w:r>
            <w:r w:rsidR="005F67F7" w:rsidRPr="005F67F7">
              <w:t>(n)*</w:t>
            </w:r>
          </w:p>
        </w:tc>
        <w:tc>
          <w:tcPr>
            <w:tcW w:w="1219" w:type="dxa"/>
          </w:tcPr>
          <w:p w14:paraId="063742C4" w14:textId="77777777" w:rsidR="005F67F7" w:rsidRPr="005F67F7"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b/>
              </w:rPr>
            </w:pPr>
            <w:r w:rsidRPr="005F67F7">
              <w:rPr>
                <w:b/>
              </w:rPr>
              <w:t>0.0375**</w:t>
            </w:r>
          </w:p>
        </w:tc>
        <w:tc>
          <w:tcPr>
            <w:tcW w:w="1096" w:type="dxa"/>
          </w:tcPr>
          <w:p w14:paraId="1108FE5F" w14:textId="77777777" w:rsidR="005F67F7" w:rsidRPr="005F67F7"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b/>
              </w:rPr>
            </w:pPr>
            <w:r w:rsidRPr="005F67F7">
              <w:rPr>
                <w:b/>
              </w:rPr>
              <w:t>0.1</w:t>
            </w:r>
          </w:p>
        </w:tc>
        <w:tc>
          <w:tcPr>
            <w:tcW w:w="1170" w:type="dxa"/>
          </w:tcPr>
          <w:p w14:paraId="21133996" w14:textId="77777777" w:rsidR="005F67F7" w:rsidRPr="005F67F7"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b/>
              </w:rPr>
            </w:pPr>
            <w:r w:rsidRPr="005F67F7">
              <w:rPr>
                <w:b/>
              </w:rPr>
              <w:t>0.3</w:t>
            </w:r>
          </w:p>
        </w:tc>
        <w:tc>
          <w:tcPr>
            <w:tcW w:w="1170" w:type="dxa"/>
          </w:tcPr>
          <w:p w14:paraId="7994F65F" w14:textId="77777777" w:rsidR="005F67F7" w:rsidRPr="005F67F7"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b/>
              </w:rPr>
            </w:pPr>
            <w:r w:rsidRPr="005F67F7">
              <w:rPr>
                <w:b/>
              </w:rPr>
              <w:t>0.446***</w:t>
            </w:r>
          </w:p>
        </w:tc>
        <w:tc>
          <w:tcPr>
            <w:tcW w:w="1260" w:type="dxa"/>
          </w:tcPr>
          <w:p w14:paraId="62BC9445" w14:textId="77777777" w:rsidR="005F67F7" w:rsidRPr="005F67F7"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b/>
              </w:rPr>
            </w:pPr>
            <w:r w:rsidRPr="005F67F7">
              <w:rPr>
                <w:b/>
              </w:rPr>
              <w:t>0.7</w:t>
            </w:r>
          </w:p>
        </w:tc>
        <w:tc>
          <w:tcPr>
            <w:tcW w:w="1080" w:type="dxa"/>
          </w:tcPr>
          <w:p w14:paraId="7790FB59" w14:textId="77777777" w:rsidR="005F67F7" w:rsidRPr="005F67F7"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b/>
              </w:rPr>
            </w:pPr>
            <w:r w:rsidRPr="005F67F7">
              <w:rPr>
                <w:b/>
              </w:rPr>
              <w:t>0.9</w:t>
            </w:r>
          </w:p>
        </w:tc>
      </w:tr>
      <w:tr w:rsidR="00882E52" w:rsidRPr="005F67F7" w14:paraId="091E5AD9" w14:textId="77777777" w:rsidTr="00882E5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5" w:type="dxa"/>
          </w:tcPr>
          <w:p w14:paraId="0833B1A1" w14:textId="77777777" w:rsidR="005F67F7" w:rsidRPr="005F67F7" w:rsidRDefault="005F67F7" w:rsidP="005F67F7">
            <w:pPr>
              <w:spacing w:line="240" w:lineRule="auto"/>
              <w:jc w:val="center"/>
              <w:rPr>
                <w:b w:val="0"/>
              </w:rPr>
            </w:pPr>
            <w:r w:rsidRPr="005F67F7">
              <w:t>0.5</w:t>
            </w:r>
          </w:p>
        </w:tc>
        <w:tc>
          <w:tcPr>
            <w:tcW w:w="1219" w:type="dxa"/>
          </w:tcPr>
          <w:p w14:paraId="42323592" w14:textId="77777777" w:rsidR="005F67F7" w:rsidRPr="005F67F7" w:rsidRDefault="005F67F7" w:rsidP="005F67F7">
            <w:pPr>
              <w:spacing w:line="240" w:lineRule="auto"/>
              <w:jc w:val="center"/>
              <w:cnfStyle w:val="000000010000" w:firstRow="0" w:lastRow="0" w:firstColumn="0" w:lastColumn="0" w:oddVBand="0" w:evenVBand="0" w:oddHBand="0" w:evenHBand="1" w:firstRowFirstColumn="0" w:firstRowLastColumn="0" w:lastRowFirstColumn="0" w:lastRowLastColumn="0"/>
            </w:pPr>
            <w:r w:rsidRPr="005F67F7">
              <w:rPr>
                <w:color w:val="000000"/>
                <w:sz w:val="22"/>
                <w:szCs w:val="22"/>
              </w:rPr>
              <w:t>3,365,821</w:t>
            </w:r>
          </w:p>
        </w:tc>
        <w:tc>
          <w:tcPr>
            <w:tcW w:w="1096" w:type="dxa"/>
          </w:tcPr>
          <w:p w14:paraId="1B3DF1D7" w14:textId="77777777" w:rsidR="005F67F7" w:rsidRPr="005F67F7" w:rsidRDefault="005F67F7" w:rsidP="005F67F7">
            <w:pPr>
              <w:spacing w:line="240" w:lineRule="auto"/>
              <w:jc w:val="center"/>
              <w:cnfStyle w:val="000000010000" w:firstRow="0" w:lastRow="0" w:firstColumn="0" w:lastColumn="0" w:oddVBand="0" w:evenVBand="0" w:oddHBand="0" w:evenHBand="1" w:firstRowFirstColumn="0" w:firstRowLastColumn="0" w:lastRowFirstColumn="0" w:lastRowLastColumn="0"/>
            </w:pPr>
            <w:r w:rsidRPr="005F67F7">
              <w:rPr>
                <w:color w:val="000000"/>
                <w:sz w:val="22"/>
                <w:szCs w:val="22"/>
              </w:rPr>
              <w:t>2,652,031</w:t>
            </w:r>
          </w:p>
        </w:tc>
        <w:tc>
          <w:tcPr>
            <w:tcW w:w="1170" w:type="dxa"/>
          </w:tcPr>
          <w:p w14:paraId="327389BE" w14:textId="77777777" w:rsidR="005F67F7" w:rsidRPr="005F67F7" w:rsidRDefault="005F67F7" w:rsidP="005F67F7">
            <w:pPr>
              <w:spacing w:line="240" w:lineRule="auto"/>
              <w:jc w:val="center"/>
              <w:cnfStyle w:val="000000010000" w:firstRow="0" w:lastRow="0" w:firstColumn="0" w:lastColumn="0" w:oddVBand="0" w:evenVBand="0" w:oddHBand="0" w:evenHBand="1" w:firstRowFirstColumn="0" w:firstRowLastColumn="0" w:lastRowFirstColumn="0" w:lastRowLastColumn="0"/>
            </w:pPr>
            <w:r w:rsidRPr="005F67F7">
              <w:rPr>
                <w:color w:val="000000"/>
                <w:sz w:val="22"/>
                <w:szCs w:val="22"/>
              </w:rPr>
              <w:t>1,124,186</w:t>
            </w:r>
          </w:p>
        </w:tc>
        <w:tc>
          <w:tcPr>
            <w:tcW w:w="1170" w:type="dxa"/>
          </w:tcPr>
          <w:p w14:paraId="15780030" w14:textId="77777777" w:rsidR="005F67F7" w:rsidRPr="005F67F7" w:rsidRDefault="005F67F7" w:rsidP="005F67F7">
            <w:pPr>
              <w:spacing w:line="240" w:lineRule="auto"/>
              <w:jc w:val="center"/>
              <w:cnfStyle w:val="000000010000" w:firstRow="0" w:lastRow="0" w:firstColumn="0" w:lastColumn="0" w:oddVBand="0" w:evenVBand="0" w:oddHBand="0" w:evenHBand="1" w:firstRowFirstColumn="0" w:firstRowLastColumn="0" w:lastRowFirstColumn="0" w:lastRowLastColumn="0"/>
            </w:pPr>
            <w:r w:rsidRPr="005F67F7">
              <w:t>419,917</w:t>
            </w:r>
          </w:p>
        </w:tc>
        <w:tc>
          <w:tcPr>
            <w:tcW w:w="1260" w:type="dxa"/>
          </w:tcPr>
          <w:p w14:paraId="37ABF3D3" w14:textId="77777777" w:rsidR="005F67F7" w:rsidRPr="005F67F7" w:rsidRDefault="005F67F7" w:rsidP="005F67F7">
            <w:pPr>
              <w:spacing w:line="240" w:lineRule="auto"/>
              <w:jc w:val="center"/>
              <w:cnfStyle w:val="000000010000" w:firstRow="0" w:lastRow="0" w:firstColumn="0" w:lastColumn="0" w:oddVBand="0" w:evenVBand="0" w:oddHBand="0" w:evenHBand="1" w:firstRowFirstColumn="0" w:firstRowLastColumn="0" w:lastRowFirstColumn="0" w:lastRowLastColumn="0"/>
            </w:pPr>
            <w:r w:rsidRPr="005F67F7">
              <w:t>0</w:t>
            </w:r>
          </w:p>
        </w:tc>
        <w:tc>
          <w:tcPr>
            <w:tcW w:w="1080" w:type="dxa"/>
          </w:tcPr>
          <w:p w14:paraId="5AB5BCF1" w14:textId="77777777" w:rsidR="005F67F7" w:rsidRPr="005F67F7" w:rsidRDefault="005F67F7" w:rsidP="005F67F7">
            <w:pPr>
              <w:spacing w:line="240" w:lineRule="auto"/>
              <w:jc w:val="center"/>
              <w:cnfStyle w:val="000000010000" w:firstRow="0" w:lastRow="0" w:firstColumn="0" w:lastColumn="0" w:oddVBand="0" w:evenVBand="0" w:oddHBand="0" w:evenHBand="1" w:firstRowFirstColumn="0" w:firstRowLastColumn="0" w:lastRowFirstColumn="0" w:lastRowLastColumn="0"/>
            </w:pPr>
            <w:r w:rsidRPr="005F67F7">
              <w:t>0</w:t>
            </w:r>
          </w:p>
        </w:tc>
      </w:tr>
      <w:tr w:rsidR="00882E52" w:rsidRPr="005F67F7" w14:paraId="1DADA342" w14:textId="77777777" w:rsidTr="00882E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5" w:type="dxa"/>
          </w:tcPr>
          <w:p w14:paraId="6C8FDC85" w14:textId="77777777" w:rsidR="005F67F7" w:rsidRPr="005F67F7" w:rsidRDefault="005F67F7" w:rsidP="005F67F7">
            <w:pPr>
              <w:spacing w:line="240" w:lineRule="auto"/>
              <w:jc w:val="center"/>
              <w:rPr>
                <w:b w:val="0"/>
              </w:rPr>
            </w:pPr>
            <w:r w:rsidRPr="005F67F7">
              <w:t>0.6</w:t>
            </w:r>
          </w:p>
        </w:tc>
        <w:tc>
          <w:tcPr>
            <w:tcW w:w="1219" w:type="dxa"/>
          </w:tcPr>
          <w:p w14:paraId="660BC22A" w14:textId="77777777" w:rsidR="005F67F7" w:rsidRPr="005F67F7"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pPr>
            <w:r w:rsidRPr="005F67F7">
              <w:rPr>
                <w:color w:val="000000"/>
                <w:sz w:val="22"/>
                <w:szCs w:val="22"/>
              </w:rPr>
              <w:t>4,087,132</w:t>
            </w:r>
          </w:p>
        </w:tc>
        <w:tc>
          <w:tcPr>
            <w:tcW w:w="1096" w:type="dxa"/>
          </w:tcPr>
          <w:p w14:paraId="6C24BC2B" w14:textId="77777777" w:rsidR="005F67F7" w:rsidRPr="005F67F7"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pPr>
            <w:r w:rsidRPr="005F67F7">
              <w:rPr>
                <w:color w:val="000000"/>
                <w:sz w:val="22"/>
                <w:szCs w:val="22"/>
              </w:rPr>
              <w:t>3,297,294</w:t>
            </w:r>
          </w:p>
        </w:tc>
        <w:tc>
          <w:tcPr>
            <w:tcW w:w="1170" w:type="dxa"/>
          </w:tcPr>
          <w:p w14:paraId="5853A193" w14:textId="77777777" w:rsidR="005F67F7" w:rsidRPr="005F67F7"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pPr>
            <w:r w:rsidRPr="005F67F7">
              <w:rPr>
                <w:color w:val="000000"/>
                <w:sz w:val="22"/>
                <w:szCs w:val="22"/>
              </w:rPr>
              <w:t>1,606,669</w:t>
            </w:r>
          </w:p>
        </w:tc>
        <w:tc>
          <w:tcPr>
            <w:tcW w:w="1170" w:type="dxa"/>
          </w:tcPr>
          <w:p w14:paraId="1B6A6A3C" w14:textId="77777777" w:rsidR="005F67F7" w:rsidRPr="005F67F7"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pPr>
            <w:r w:rsidRPr="005F67F7">
              <w:t>827,366</w:t>
            </w:r>
          </w:p>
        </w:tc>
        <w:tc>
          <w:tcPr>
            <w:tcW w:w="1260" w:type="dxa"/>
          </w:tcPr>
          <w:p w14:paraId="5C7A2D80" w14:textId="77777777" w:rsidR="005F67F7" w:rsidRPr="005F67F7"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pPr>
            <w:r w:rsidRPr="005F67F7">
              <w:t>0</w:t>
            </w:r>
          </w:p>
        </w:tc>
        <w:tc>
          <w:tcPr>
            <w:tcW w:w="1080" w:type="dxa"/>
          </w:tcPr>
          <w:p w14:paraId="5630800F" w14:textId="77777777" w:rsidR="005F67F7" w:rsidRPr="005F67F7"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pPr>
            <w:r w:rsidRPr="005F67F7">
              <w:t>0</w:t>
            </w:r>
          </w:p>
        </w:tc>
      </w:tr>
      <w:tr w:rsidR="00882E52" w:rsidRPr="005F67F7" w14:paraId="7A91BED0" w14:textId="77777777" w:rsidTr="00882E5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5" w:type="dxa"/>
          </w:tcPr>
          <w:p w14:paraId="295CCC5B" w14:textId="77777777" w:rsidR="005F67F7" w:rsidRPr="005F67F7" w:rsidRDefault="005F67F7" w:rsidP="005F67F7">
            <w:pPr>
              <w:spacing w:line="240" w:lineRule="auto"/>
              <w:jc w:val="center"/>
              <w:rPr>
                <w:b w:val="0"/>
              </w:rPr>
            </w:pPr>
            <w:r w:rsidRPr="005F67F7">
              <w:t>0.7</w:t>
            </w:r>
          </w:p>
        </w:tc>
        <w:tc>
          <w:tcPr>
            <w:tcW w:w="1219" w:type="dxa"/>
          </w:tcPr>
          <w:p w14:paraId="68188D6E" w14:textId="77777777" w:rsidR="005F67F7" w:rsidRPr="005F67F7" w:rsidRDefault="005F67F7" w:rsidP="005F67F7">
            <w:pPr>
              <w:spacing w:line="240" w:lineRule="auto"/>
              <w:jc w:val="center"/>
              <w:cnfStyle w:val="000000010000" w:firstRow="0" w:lastRow="0" w:firstColumn="0" w:lastColumn="0" w:oddVBand="0" w:evenVBand="0" w:oddHBand="0" w:evenHBand="1" w:firstRowFirstColumn="0" w:firstRowLastColumn="0" w:lastRowFirstColumn="0" w:lastRowLastColumn="0"/>
            </w:pPr>
            <w:r w:rsidRPr="005F67F7">
              <w:rPr>
                <w:color w:val="000000"/>
                <w:sz w:val="22"/>
                <w:szCs w:val="22"/>
              </w:rPr>
              <w:t>4,808,444</w:t>
            </w:r>
          </w:p>
        </w:tc>
        <w:tc>
          <w:tcPr>
            <w:tcW w:w="1096" w:type="dxa"/>
          </w:tcPr>
          <w:p w14:paraId="10F6B504" w14:textId="77777777" w:rsidR="005F67F7" w:rsidRPr="005F67F7" w:rsidRDefault="005F67F7" w:rsidP="005F67F7">
            <w:pPr>
              <w:spacing w:line="240" w:lineRule="auto"/>
              <w:jc w:val="center"/>
              <w:cnfStyle w:val="000000010000" w:firstRow="0" w:lastRow="0" w:firstColumn="0" w:lastColumn="0" w:oddVBand="0" w:evenVBand="0" w:oddHBand="0" w:evenHBand="1" w:firstRowFirstColumn="0" w:firstRowLastColumn="0" w:lastRowFirstColumn="0" w:lastRowLastColumn="0"/>
              <w:rPr>
                <w:color w:val="000000"/>
                <w:sz w:val="22"/>
                <w:szCs w:val="22"/>
              </w:rPr>
            </w:pPr>
            <w:r w:rsidRPr="005F67F7">
              <w:rPr>
                <w:color w:val="000000"/>
                <w:sz w:val="22"/>
                <w:szCs w:val="22"/>
              </w:rPr>
              <w:t>3,942,558</w:t>
            </w:r>
          </w:p>
        </w:tc>
        <w:tc>
          <w:tcPr>
            <w:tcW w:w="1170" w:type="dxa"/>
          </w:tcPr>
          <w:p w14:paraId="638B1E30" w14:textId="77777777" w:rsidR="005F67F7" w:rsidRPr="005F67F7" w:rsidRDefault="005F67F7" w:rsidP="005F67F7">
            <w:pPr>
              <w:spacing w:line="240" w:lineRule="auto"/>
              <w:jc w:val="center"/>
              <w:cnfStyle w:val="000000010000" w:firstRow="0" w:lastRow="0" w:firstColumn="0" w:lastColumn="0" w:oddVBand="0" w:evenVBand="0" w:oddHBand="0" w:evenHBand="1" w:firstRowFirstColumn="0" w:firstRowLastColumn="0" w:lastRowFirstColumn="0" w:lastRowLastColumn="0"/>
            </w:pPr>
            <w:r w:rsidRPr="005F67F7">
              <w:rPr>
                <w:color w:val="000000"/>
                <w:sz w:val="22"/>
                <w:szCs w:val="22"/>
              </w:rPr>
              <w:t>2,089,153</w:t>
            </w:r>
          </w:p>
        </w:tc>
        <w:tc>
          <w:tcPr>
            <w:tcW w:w="1170" w:type="dxa"/>
          </w:tcPr>
          <w:p w14:paraId="6B11F911" w14:textId="77777777" w:rsidR="005F67F7" w:rsidRPr="005F67F7" w:rsidRDefault="005F67F7" w:rsidP="005F67F7">
            <w:pPr>
              <w:spacing w:line="240" w:lineRule="auto"/>
              <w:jc w:val="center"/>
              <w:cnfStyle w:val="000000010000" w:firstRow="0" w:lastRow="0" w:firstColumn="0" w:lastColumn="0" w:oddVBand="0" w:evenVBand="0" w:oddHBand="0" w:evenHBand="1" w:firstRowFirstColumn="0" w:firstRowLastColumn="0" w:lastRowFirstColumn="0" w:lastRowLastColumn="0"/>
            </w:pPr>
            <w:r w:rsidRPr="005F67F7">
              <w:rPr>
                <w:color w:val="000000"/>
                <w:sz w:val="22"/>
                <w:szCs w:val="22"/>
              </w:rPr>
              <w:t>1,234,815</w:t>
            </w:r>
          </w:p>
        </w:tc>
        <w:tc>
          <w:tcPr>
            <w:tcW w:w="1260" w:type="dxa"/>
          </w:tcPr>
          <w:p w14:paraId="2B8CF504" w14:textId="77777777" w:rsidR="005F67F7" w:rsidRPr="005F67F7" w:rsidRDefault="005F67F7" w:rsidP="005F67F7">
            <w:pPr>
              <w:spacing w:line="240" w:lineRule="auto"/>
              <w:jc w:val="center"/>
              <w:cnfStyle w:val="000000010000" w:firstRow="0" w:lastRow="0" w:firstColumn="0" w:lastColumn="0" w:oddVBand="0" w:evenVBand="0" w:oddHBand="0" w:evenHBand="1" w:firstRowFirstColumn="0" w:firstRowLastColumn="0" w:lastRowFirstColumn="0" w:lastRowLastColumn="0"/>
            </w:pPr>
            <w:r w:rsidRPr="005F67F7">
              <w:t>246,927</w:t>
            </w:r>
          </w:p>
        </w:tc>
        <w:tc>
          <w:tcPr>
            <w:tcW w:w="1080" w:type="dxa"/>
          </w:tcPr>
          <w:p w14:paraId="59A06D66" w14:textId="77777777" w:rsidR="005F67F7" w:rsidRPr="005F67F7" w:rsidRDefault="005F67F7" w:rsidP="005F67F7">
            <w:pPr>
              <w:spacing w:line="240" w:lineRule="auto"/>
              <w:jc w:val="center"/>
              <w:cnfStyle w:val="000000010000" w:firstRow="0" w:lastRow="0" w:firstColumn="0" w:lastColumn="0" w:oddVBand="0" w:evenVBand="0" w:oddHBand="0" w:evenHBand="1" w:firstRowFirstColumn="0" w:firstRowLastColumn="0" w:lastRowFirstColumn="0" w:lastRowLastColumn="0"/>
            </w:pPr>
            <w:r w:rsidRPr="005F67F7">
              <w:t>0</w:t>
            </w:r>
          </w:p>
        </w:tc>
      </w:tr>
      <w:tr w:rsidR="00882E52" w:rsidRPr="005F67F7" w14:paraId="3913E9B7" w14:textId="77777777" w:rsidTr="00882E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5" w:type="dxa"/>
          </w:tcPr>
          <w:p w14:paraId="44522CD2" w14:textId="77777777" w:rsidR="005F67F7" w:rsidRPr="005F67F7" w:rsidRDefault="005F67F7" w:rsidP="005F67F7">
            <w:pPr>
              <w:spacing w:line="240" w:lineRule="auto"/>
              <w:jc w:val="center"/>
              <w:rPr>
                <w:b w:val="0"/>
              </w:rPr>
            </w:pPr>
            <w:r w:rsidRPr="005F67F7">
              <w:t>0.8</w:t>
            </w:r>
          </w:p>
        </w:tc>
        <w:tc>
          <w:tcPr>
            <w:tcW w:w="1219" w:type="dxa"/>
          </w:tcPr>
          <w:p w14:paraId="1F8E467D" w14:textId="77777777" w:rsidR="005F67F7" w:rsidRPr="005F67F7"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5F67F7">
              <w:rPr>
                <w:color w:val="000000"/>
                <w:sz w:val="22"/>
                <w:szCs w:val="22"/>
              </w:rPr>
              <w:t>5,529,756</w:t>
            </w:r>
          </w:p>
        </w:tc>
        <w:tc>
          <w:tcPr>
            <w:tcW w:w="1096" w:type="dxa"/>
          </w:tcPr>
          <w:p w14:paraId="3032E6DA" w14:textId="77777777" w:rsidR="005F67F7" w:rsidRPr="005F67F7"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5F67F7">
              <w:rPr>
                <w:color w:val="000000"/>
                <w:sz w:val="22"/>
                <w:szCs w:val="22"/>
              </w:rPr>
              <w:t>4,587,821</w:t>
            </w:r>
          </w:p>
        </w:tc>
        <w:tc>
          <w:tcPr>
            <w:tcW w:w="1170" w:type="dxa"/>
          </w:tcPr>
          <w:p w14:paraId="2BCF10F0" w14:textId="77777777" w:rsidR="005F67F7" w:rsidRPr="005F67F7"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pPr>
            <w:r w:rsidRPr="005F67F7">
              <w:rPr>
                <w:color w:val="000000"/>
                <w:sz w:val="22"/>
                <w:szCs w:val="22"/>
              </w:rPr>
              <w:t>2,571,636</w:t>
            </w:r>
          </w:p>
        </w:tc>
        <w:tc>
          <w:tcPr>
            <w:tcW w:w="1170" w:type="dxa"/>
          </w:tcPr>
          <w:p w14:paraId="41C99590" w14:textId="77777777" w:rsidR="005F67F7" w:rsidRPr="005F67F7"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pPr>
            <w:r w:rsidRPr="005F67F7">
              <w:rPr>
                <w:color w:val="000000"/>
                <w:sz w:val="22"/>
                <w:szCs w:val="22"/>
              </w:rPr>
              <w:t>1,642,264</w:t>
            </w:r>
          </w:p>
        </w:tc>
        <w:tc>
          <w:tcPr>
            <w:tcW w:w="1260" w:type="dxa"/>
          </w:tcPr>
          <w:p w14:paraId="6D7B8F00" w14:textId="77777777" w:rsidR="005F67F7" w:rsidRPr="005F67F7"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pPr>
            <w:r w:rsidRPr="005F67F7">
              <w:t>567,613</w:t>
            </w:r>
          </w:p>
        </w:tc>
        <w:tc>
          <w:tcPr>
            <w:tcW w:w="1080" w:type="dxa"/>
          </w:tcPr>
          <w:p w14:paraId="3829DD19" w14:textId="77777777" w:rsidR="005F67F7" w:rsidRPr="005F67F7"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pPr>
            <w:r w:rsidRPr="005F67F7">
              <w:t>0</w:t>
            </w:r>
          </w:p>
        </w:tc>
      </w:tr>
      <w:tr w:rsidR="00882E52" w:rsidRPr="005F67F7" w14:paraId="1EF454D3" w14:textId="77777777" w:rsidTr="00882E5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5" w:type="dxa"/>
          </w:tcPr>
          <w:p w14:paraId="4BF9DEF5" w14:textId="77777777" w:rsidR="005F67F7" w:rsidRPr="005F67F7" w:rsidRDefault="005F67F7" w:rsidP="005F67F7">
            <w:pPr>
              <w:spacing w:line="240" w:lineRule="auto"/>
              <w:jc w:val="center"/>
              <w:rPr>
                <w:b w:val="0"/>
              </w:rPr>
            </w:pPr>
            <w:r w:rsidRPr="005F67F7">
              <w:t>0.9</w:t>
            </w:r>
          </w:p>
        </w:tc>
        <w:tc>
          <w:tcPr>
            <w:tcW w:w="1219" w:type="dxa"/>
          </w:tcPr>
          <w:p w14:paraId="4BEB2FCD" w14:textId="77777777" w:rsidR="005F67F7" w:rsidRPr="005F67F7" w:rsidRDefault="005F67F7" w:rsidP="005F67F7">
            <w:pPr>
              <w:spacing w:line="240" w:lineRule="auto"/>
              <w:jc w:val="center"/>
              <w:cnfStyle w:val="000000010000" w:firstRow="0" w:lastRow="0" w:firstColumn="0" w:lastColumn="0" w:oddVBand="0" w:evenVBand="0" w:oddHBand="0" w:evenHBand="1" w:firstRowFirstColumn="0" w:firstRowLastColumn="0" w:lastRowFirstColumn="0" w:lastRowLastColumn="0"/>
              <w:rPr>
                <w:color w:val="000000"/>
                <w:sz w:val="22"/>
                <w:szCs w:val="22"/>
              </w:rPr>
            </w:pPr>
            <w:r w:rsidRPr="005F67F7">
              <w:rPr>
                <w:color w:val="000000"/>
                <w:sz w:val="22"/>
                <w:szCs w:val="22"/>
              </w:rPr>
              <w:t>6,251,068</w:t>
            </w:r>
          </w:p>
        </w:tc>
        <w:tc>
          <w:tcPr>
            <w:tcW w:w="1096" w:type="dxa"/>
          </w:tcPr>
          <w:p w14:paraId="18959A4D" w14:textId="77777777" w:rsidR="005F67F7" w:rsidRPr="005F67F7" w:rsidRDefault="005F67F7" w:rsidP="005F67F7">
            <w:pPr>
              <w:spacing w:line="240" w:lineRule="auto"/>
              <w:jc w:val="center"/>
              <w:cnfStyle w:val="000000010000" w:firstRow="0" w:lastRow="0" w:firstColumn="0" w:lastColumn="0" w:oddVBand="0" w:evenVBand="0" w:oddHBand="0" w:evenHBand="1" w:firstRowFirstColumn="0" w:firstRowLastColumn="0" w:lastRowFirstColumn="0" w:lastRowLastColumn="0"/>
              <w:rPr>
                <w:color w:val="000000"/>
                <w:sz w:val="22"/>
                <w:szCs w:val="22"/>
              </w:rPr>
            </w:pPr>
            <w:r w:rsidRPr="005F67F7">
              <w:rPr>
                <w:color w:val="000000"/>
                <w:sz w:val="22"/>
                <w:szCs w:val="22"/>
              </w:rPr>
              <w:t>5,233,084</w:t>
            </w:r>
          </w:p>
        </w:tc>
        <w:tc>
          <w:tcPr>
            <w:tcW w:w="1170" w:type="dxa"/>
          </w:tcPr>
          <w:p w14:paraId="3E4D32BF" w14:textId="77777777" w:rsidR="005F67F7" w:rsidRPr="005F67F7" w:rsidRDefault="005F67F7" w:rsidP="005F67F7">
            <w:pPr>
              <w:spacing w:line="240" w:lineRule="auto"/>
              <w:jc w:val="center"/>
              <w:cnfStyle w:val="000000010000" w:firstRow="0" w:lastRow="0" w:firstColumn="0" w:lastColumn="0" w:oddVBand="0" w:evenVBand="0" w:oddHBand="0" w:evenHBand="1" w:firstRowFirstColumn="0" w:firstRowLastColumn="0" w:lastRowFirstColumn="0" w:lastRowLastColumn="0"/>
            </w:pPr>
            <w:r w:rsidRPr="005F67F7">
              <w:rPr>
                <w:color w:val="000000"/>
                <w:sz w:val="22"/>
                <w:szCs w:val="22"/>
              </w:rPr>
              <w:t>3,054,119</w:t>
            </w:r>
          </w:p>
        </w:tc>
        <w:tc>
          <w:tcPr>
            <w:tcW w:w="1170" w:type="dxa"/>
          </w:tcPr>
          <w:p w14:paraId="32A09AC3" w14:textId="77777777" w:rsidR="005F67F7" w:rsidRPr="005F67F7" w:rsidRDefault="005F67F7" w:rsidP="005F67F7">
            <w:pPr>
              <w:spacing w:line="240" w:lineRule="auto"/>
              <w:jc w:val="center"/>
              <w:cnfStyle w:val="000000010000" w:firstRow="0" w:lastRow="0" w:firstColumn="0" w:lastColumn="0" w:oddVBand="0" w:evenVBand="0" w:oddHBand="0" w:evenHBand="1" w:firstRowFirstColumn="0" w:firstRowLastColumn="0" w:lastRowFirstColumn="0" w:lastRowLastColumn="0"/>
            </w:pPr>
            <w:r w:rsidRPr="005F67F7">
              <w:rPr>
                <w:color w:val="000000"/>
                <w:sz w:val="22"/>
                <w:szCs w:val="22"/>
              </w:rPr>
              <w:t>2,049,713</w:t>
            </w:r>
          </w:p>
        </w:tc>
        <w:tc>
          <w:tcPr>
            <w:tcW w:w="1260" w:type="dxa"/>
          </w:tcPr>
          <w:p w14:paraId="565DE85B" w14:textId="77777777" w:rsidR="005F67F7" w:rsidRPr="005F67F7" w:rsidRDefault="005F67F7" w:rsidP="005F67F7">
            <w:pPr>
              <w:spacing w:line="240" w:lineRule="auto"/>
              <w:jc w:val="center"/>
              <w:cnfStyle w:val="000000010000" w:firstRow="0" w:lastRow="0" w:firstColumn="0" w:lastColumn="0" w:oddVBand="0" w:evenVBand="0" w:oddHBand="0" w:evenHBand="1" w:firstRowFirstColumn="0" w:firstRowLastColumn="0" w:lastRowFirstColumn="0" w:lastRowLastColumn="0"/>
            </w:pPr>
            <w:r w:rsidRPr="005F67F7">
              <w:t>888, 298</w:t>
            </w:r>
          </w:p>
        </w:tc>
        <w:tc>
          <w:tcPr>
            <w:tcW w:w="1080" w:type="dxa"/>
          </w:tcPr>
          <w:p w14:paraId="6BA7C9C4" w14:textId="77777777" w:rsidR="005F67F7" w:rsidRPr="005F67F7" w:rsidRDefault="005F67F7" w:rsidP="005F67F7">
            <w:pPr>
              <w:spacing w:line="240" w:lineRule="auto"/>
              <w:jc w:val="center"/>
              <w:cnfStyle w:val="000000010000" w:firstRow="0" w:lastRow="0" w:firstColumn="0" w:lastColumn="0" w:oddVBand="0" w:evenVBand="0" w:oddHBand="0" w:evenHBand="1" w:firstRowFirstColumn="0" w:firstRowLastColumn="0" w:lastRowFirstColumn="0" w:lastRowLastColumn="0"/>
            </w:pPr>
            <w:r w:rsidRPr="005F67F7">
              <w:t>271,890</w:t>
            </w:r>
          </w:p>
        </w:tc>
      </w:tr>
      <w:tr w:rsidR="00882E52" w:rsidRPr="005F67F7" w14:paraId="1A32A0CF" w14:textId="77777777" w:rsidTr="00882E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5" w:type="dxa"/>
          </w:tcPr>
          <w:p w14:paraId="1E66D66E" w14:textId="77777777" w:rsidR="005F67F7" w:rsidRPr="005F67F7" w:rsidRDefault="005F67F7" w:rsidP="005F67F7">
            <w:pPr>
              <w:spacing w:line="240" w:lineRule="auto"/>
              <w:jc w:val="center"/>
              <w:rPr>
                <w:b w:val="0"/>
              </w:rPr>
            </w:pPr>
            <w:r w:rsidRPr="005F67F7">
              <w:t>1</w:t>
            </w:r>
          </w:p>
        </w:tc>
        <w:tc>
          <w:tcPr>
            <w:tcW w:w="1219" w:type="dxa"/>
          </w:tcPr>
          <w:p w14:paraId="6A3D0124" w14:textId="77777777" w:rsidR="005F67F7" w:rsidRPr="005F67F7"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5F67F7">
              <w:rPr>
                <w:color w:val="000000"/>
                <w:sz w:val="22"/>
                <w:szCs w:val="22"/>
              </w:rPr>
              <w:t>6,972,379</w:t>
            </w:r>
          </w:p>
        </w:tc>
        <w:tc>
          <w:tcPr>
            <w:tcW w:w="1096" w:type="dxa"/>
          </w:tcPr>
          <w:p w14:paraId="4161B159" w14:textId="77777777" w:rsidR="005F67F7" w:rsidRPr="005F67F7"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5F67F7">
              <w:rPr>
                <w:color w:val="000000"/>
                <w:sz w:val="22"/>
                <w:szCs w:val="22"/>
              </w:rPr>
              <w:t>5,878,347</w:t>
            </w:r>
          </w:p>
        </w:tc>
        <w:tc>
          <w:tcPr>
            <w:tcW w:w="1170" w:type="dxa"/>
          </w:tcPr>
          <w:p w14:paraId="5BDD730E" w14:textId="77777777" w:rsidR="005F67F7" w:rsidRPr="005F67F7"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5F67F7">
              <w:rPr>
                <w:color w:val="000000"/>
                <w:sz w:val="22"/>
                <w:szCs w:val="22"/>
              </w:rPr>
              <w:t>3,536,603</w:t>
            </w:r>
          </w:p>
        </w:tc>
        <w:tc>
          <w:tcPr>
            <w:tcW w:w="1170" w:type="dxa"/>
          </w:tcPr>
          <w:p w14:paraId="5993C41D" w14:textId="77777777" w:rsidR="005F67F7" w:rsidRPr="005F67F7"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pPr>
            <w:r w:rsidRPr="005F67F7">
              <w:rPr>
                <w:color w:val="000000"/>
                <w:sz w:val="22"/>
                <w:szCs w:val="22"/>
              </w:rPr>
              <w:t>2,457,162</w:t>
            </w:r>
          </w:p>
        </w:tc>
        <w:tc>
          <w:tcPr>
            <w:tcW w:w="1260" w:type="dxa"/>
          </w:tcPr>
          <w:p w14:paraId="14D7792F" w14:textId="77777777" w:rsidR="005F67F7" w:rsidRPr="005F67F7"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pPr>
            <w:r w:rsidRPr="005F67F7">
              <w:t>1,208,984</w:t>
            </w:r>
          </w:p>
        </w:tc>
        <w:tc>
          <w:tcPr>
            <w:tcW w:w="1080" w:type="dxa"/>
          </w:tcPr>
          <w:p w14:paraId="2950C216" w14:textId="77777777" w:rsidR="005F67F7" w:rsidRPr="005F67F7" w:rsidRDefault="005F67F7" w:rsidP="005F67F7">
            <w:pPr>
              <w:spacing w:line="240" w:lineRule="auto"/>
              <w:jc w:val="center"/>
              <w:cnfStyle w:val="000000100000" w:firstRow="0" w:lastRow="0" w:firstColumn="0" w:lastColumn="0" w:oddVBand="0" w:evenVBand="0" w:oddHBand="1" w:evenHBand="0" w:firstRowFirstColumn="0" w:firstRowLastColumn="0" w:lastRowFirstColumn="0" w:lastRowLastColumn="0"/>
            </w:pPr>
            <w:r w:rsidRPr="005F67F7">
              <w:t>546,526</w:t>
            </w:r>
          </w:p>
        </w:tc>
      </w:tr>
    </w:tbl>
    <w:p w14:paraId="234FDE5F" w14:textId="77777777" w:rsidR="005F67F7" w:rsidRPr="005F67F7" w:rsidRDefault="005F67F7" w:rsidP="005F67F7">
      <w:pPr>
        <w:pStyle w:val="ListParagraph"/>
        <w:ind w:hanging="180"/>
        <w:rPr>
          <w:rFonts w:ascii="Times New Roman" w:hAnsi="Times New Roman" w:cs="Times New Roman"/>
          <w:b/>
          <w:sz w:val="20"/>
          <w:szCs w:val="20"/>
        </w:rPr>
      </w:pPr>
      <w:r w:rsidRPr="005F67F7">
        <w:rPr>
          <w:rFonts w:ascii="Times New Roman" w:hAnsi="Times New Roman" w:cs="Times New Roman"/>
          <w:b/>
          <w:sz w:val="20"/>
          <w:szCs w:val="20"/>
        </w:rPr>
        <w:t xml:space="preserve">Note: </w:t>
      </w:r>
      <w:r w:rsidRPr="005F67F7">
        <w:rPr>
          <w:rFonts w:ascii="Times New Roman" w:hAnsi="Times New Roman" w:cs="Times New Roman"/>
          <w:sz w:val="20"/>
          <w:szCs w:val="20"/>
        </w:rPr>
        <w:t xml:space="preserve">Agitation Rate </w:t>
      </w:r>
      <w:r w:rsidRPr="005F67F7">
        <w:rPr>
          <w:rFonts w:ascii="Times New Roman" w:hAnsi="Times New Roman" w:cs="Times New Roman"/>
          <w:b/>
          <w:i/>
          <w:sz w:val="20"/>
          <w:szCs w:val="20"/>
        </w:rPr>
        <w:t>(r)=</w:t>
      </w:r>
      <w:r w:rsidRPr="005F67F7">
        <w:rPr>
          <w:rFonts w:ascii="Times New Roman" w:hAnsi="Times New Roman" w:cs="Times New Roman"/>
          <w:b/>
          <w:sz w:val="20"/>
          <w:szCs w:val="20"/>
        </w:rPr>
        <w:t>0.5</w:t>
      </w:r>
    </w:p>
    <w:p w14:paraId="4A12ACB1" w14:textId="77777777" w:rsidR="005F67F7" w:rsidRPr="005F67F7" w:rsidRDefault="005F67F7" w:rsidP="005F67F7">
      <w:pPr>
        <w:pStyle w:val="ListParagraph"/>
        <w:ind w:left="990" w:hanging="450"/>
        <w:rPr>
          <w:rFonts w:ascii="Times New Roman" w:hAnsi="Times New Roman" w:cs="Times New Roman"/>
          <w:sz w:val="20"/>
          <w:szCs w:val="20"/>
        </w:rPr>
      </w:pPr>
      <w:r w:rsidRPr="005F67F7">
        <w:rPr>
          <w:rFonts w:ascii="Times New Roman" w:hAnsi="Times New Roman" w:cs="Times New Roman"/>
          <w:b/>
          <w:i/>
          <w:sz w:val="20"/>
          <w:szCs w:val="20"/>
        </w:rPr>
        <w:t xml:space="preserve">*      </w:t>
      </w:r>
      <w:r w:rsidRPr="005F67F7">
        <w:rPr>
          <w:rFonts w:ascii="Times New Roman" w:hAnsi="Times New Roman" w:cs="Times New Roman"/>
          <w:sz w:val="20"/>
          <w:szCs w:val="20"/>
        </w:rPr>
        <w:t xml:space="preserve">The Pacification Rate </w:t>
      </w:r>
      <w:r w:rsidRPr="005F67F7">
        <w:rPr>
          <w:rFonts w:ascii="Times New Roman" w:hAnsi="Times New Roman" w:cs="Times New Roman"/>
          <w:b/>
          <w:i/>
          <w:sz w:val="20"/>
          <w:szCs w:val="20"/>
        </w:rPr>
        <w:t xml:space="preserve">(n) </w:t>
      </w:r>
      <w:r w:rsidRPr="005F67F7">
        <w:rPr>
          <w:rFonts w:ascii="Times New Roman" w:hAnsi="Times New Roman" w:cs="Times New Roman"/>
          <w:sz w:val="20"/>
          <w:szCs w:val="20"/>
        </w:rPr>
        <w:t>is only displayed from 0.5-1 because the Israeli permit system acts as a natural selection effect, as was explained</w:t>
      </w:r>
    </w:p>
    <w:p w14:paraId="4977D565" w14:textId="77777777" w:rsidR="005F67F7" w:rsidRPr="005F67F7" w:rsidRDefault="005F67F7" w:rsidP="005F67F7">
      <w:pPr>
        <w:pStyle w:val="ListParagraph"/>
        <w:ind w:hanging="180"/>
        <w:rPr>
          <w:rFonts w:ascii="Times New Roman" w:hAnsi="Times New Roman" w:cs="Times New Roman"/>
          <w:sz w:val="20"/>
          <w:szCs w:val="20"/>
        </w:rPr>
      </w:pPr>
      <w:r w:rsidRPr="005F67F7">
        <w:rPr>
          <w:rFonts w:ascii="Times New Roman" w:hAnsi="Times New Roman" w:cs="Times New Roman"/>
          <w:b/>
          <w:i/>
          <w:sz w:val="20"/>
          <w:szCs w:val="20"/>
        </w:rPr>
        <w:t xml:space="preserve">**    (v)=0.0375 </w:t>
      </w:r>
      <w:r w:rsidRPr="005F67F7">
        <w:rPr>
          <w:rFonts w:ascii="Times New Roman" w:hAnsi="Times New Roman" w:cs="Times New Roman"/>
          <w:sz w:val="20"/>
          <w:szCs w:val="20"/>
        </w:rPr>
        <w:t>during the period August 26</w:t>
      </w:r>
      <w:r w:rsidRPr="005F67F7">
        <w:rPr>
          <w:rFonts w:ascii="Times New Roman" w:hAnsi="Times New Roman" w:cs="Times New Roman"/>
          <w:sz w:val="20"/>
          <w:szCs w:val="20"/>
          <w:vertAlign w:val="superscript"/>
        </w:rPr>
        <w:t>th</w:t>
      </w:r>
      <w:r w:rsidRPr="005F67F7">
        <w:rPr>
          <w:rFonts w:ascii="Times New Roman" w:hAnsi="Times New Roman" w:cs="Times New Roman"/>
          <w:sz w:val="20"/>
          <w:szCs w:val="20"/>
        </w:rPr>
        <w:t>, 2016 and October 11</w:t>
      </w:r>
      <w:r w:rsidRPr="005F67F7">
        <w:rPr>
          <w:rFonts w:ascii="Times New Roman" w:hAnsi="Times New Roman" w:cs="Times New Roman"/>
          <w:sz w:val="20"/>
          <w:szCs w:val="20"/>
          <w:vertAlign w:val="superscript"/>
        </w:rPr>
        <w:t>th</w:t>
      </w:r>
      <w:r w:rsidRPr="005F67F7">
        <w:rPr>
          <w:rFonts w:ascii="Times New Roman" w:hAnsi="Times New Roman" w:cs="Times New Roman"/>
          <w:sz w:val="20"/>
          <w:szCs w:val="20"/>
        </w:rPr>
        <w:t xml:space="preserve">, 2016 </w:t>
      </w:r>
    </w:p>
    <w:p w14:paraId="3091BEFB" w14:textId="3D3FF2C8" w:rsidR="005D28B0" w:rsidRDefault="005F67F7" w:rsidP="00C75BC0">
      <w:pPr>
        <w:pStyle w:val="ListParagraph"/>
        <w:ind w:left="990" w:hanging="450"/>
        <w:rPr>
          <w:rFonts w:ascii="Times New Roman" w:hAnsi="Times New Roman" w:cs="Times New Roman"/>
          <w:sz w:val="20"/>
          <w:szCs w:val="20"/>
        </w:rPr>
      </w:pPr>
      <w:r w:rsidRPr="005F67F7">
        <w:rPr>
          <w:rFonts w:ascii="Times New Roman" w:hAnsi="Times New Roman" w:cs="Times New Roman"/>
          <w:sz w:val="20"/>
          <w:szCs w:val="20"/>
        </w:rPr>
        <w:t xml:space="preserve">***  </w:t>
      </w:r>
      <w:r w:rsidRPr="005F67F7">
        <w:rPr>
          <w:rFonts w:ascii="Times New Roman" w:hAnsi="Times New Roman" w:cs="Times New Roman"/>
          <w:b/>
          <w:i/>
          <w:sz w:val="20"/>
          <w:szCs w:val="20"/>
        </w:rPr>
        <w:t xml:space="preserve">(v)=0.446 </w:t>
      </w:r>
      <w:r w:rsidRPr="005F67F7">
        <w:rPr>
          <w:rFonts w:ascii="Times New Roman" w:hAnsi="Times New Roman" w:cs="Times New Roman"/>
          <w:sz w:val="20"/>
          <w:szCs w:val="20"/>
        </w:rPr>
        <w:t>during the entire Second Intifada period, but Table 1 shows that this varied during different periods</w:t>
      </w:r>
      <w:r w:rsidR="005D28B0">
        <w:rPr>
          <w:rFonts w:ascii="Times New Roman" w:hAnsi="Times New Roman" w:cs="Times New Roman"/>
          <w:sz w:val="20"/>
          <w:szCs w:val="20"/>
        </w:rPr>
        <w:br w:type="page"/>
      </w:r>
    </w:p>
    <w:p w14:paraId="2C944A05" w14:textId="77777777" w:rsidR="005D28B0" w:rsidRDefault="005D28B0" w:rsidP="00DC2F86">
      <w:pPr>
        <w:pStyle w:val="Heading1"/>
      </w:pPr>
      <w:bookmarkStart w:id="89" w:name="_Toc324423968"/>
      <w:r>
        <w:lastRenderedPageBreak/>
        <w:t>Conclusion</w:t>
      </w:r>
      <w:bookmarkEnd w:id="89"/>
    </w:p>
    <w:p w14:paraId="4F06B00F" w14:textId="77777777" w:rsidR="00DC2F86" w:rsidRPr="00DC2F86" w:rsidRDefault="00DC2F86" w:rsidP="00DC2F86">
      <w:pPr>
        <w:spacing w:line="240" w:lineRule="auto"/>
      </w:pPr>
    </w:p>
    <w:p w14:paraId="4FE87E34" w14:textId="77777777" w:rsidR="005D28B0" w:rsidRDefault="005D28B0" w:rsidP="0074355D">
      <w:pPr>
        <w:jc w:val="both"/>
      </w:pPr>
      <w:r>
        <w:tab/>
        <w:t>This study has traced the economic history of the Israeli-Palestinian conflict with particular emphasis on the ways in which economics, politics, and violence have evolved since the 1967 Six-Day War. Unfortunately, peace has remained elusive despite the clear economic advantages that a peaceful resolution to the conflict has for both peoples. Current evidence on the relationship between economics development, politics, and violence point to economic development policies as the most fruitful path forward.</w:t>
      </w:r>
    </w:p>
    <w:p w14:paraId="253E694F" w14:textId="6769455F" w:rsidR="005D28B0" w:rsidRDefault="00D26EF8" w:rsidP="0074355D">
      <w:pPr>
        <w:ind w:firstLine="720"/>
        <w:jc w:val="both"/>
      </w:pPr>
      <w:r>
        <w:t>The dy</w:t>
      </w:r>
      <w:r w:rsidR="005D28B0">
        <w:t xml:space="preserve">namic equilibrium model in this study presents strong evidence that allowing more West Bank Palestinians to work in Israel will not reduce Israeli economic productivity, and more importantly, will promote a more trusting environment for political negotiations as violence is reduced through Palestinian economic development. It is however naïve to think that Palestinian aspirations for a sovereign state will be altogether extinguished by economic development. While many analysts of the Israeli-Palestinian conflict hold peace to be a utopian impossibility, it is precisely the impossibility of the aim that sustains efforts towards its completion. </w:t>
      </w:r>
    </w:p>
    <w:p w14:paraId="665ABC10" w14:textId="6D5C1408" w:rsidR="005D28B0" w:rsidRDefault="005D28B0" w:rsidP="0074355D">
      <w:pPr>
        <w:ind w:firstLine="720"/>
        <w:jc w:val="both"/>
      </w:pPr>
      <w:r>
        <w:t>The traditional utterance of the Passover Seder, “next year in Jerusalem,” is a reminder of the impossibility of being in the philosophical Jerusalem, a place that embodies the utopian human existence to which one must always aspire, even while living in the dystopian reality that is embodied in the geographic Jerusalem (and in the broader world).</w:t>
      </w:r>
      <w:r>
        <w:rPr>
          <w:rStyle w:val="FootnoteReference"/>
        </w:rPr>
        <w:footnoteReference w:id="226"/>
      </w:r>
      <w:r>
        <w:t xml:space="preserve"> Jerusalem is perhaps the most poignant physical embodiment of the ways in which competing visions for a better life—w</w:t>
      </w:r>
      <w:r w:rsidR="006372A8">
        <w:t>hether between Jews and Arabs,</w:t>
      </w:r>
      <w:r>
        <w:t xml:space="preserve"> Americans and Soviets</w:t>
      </w:r>
      <w:r w:rsidR="006372A8">
        <w:t>, or any other conflicting groups</w:t>
      </w:r>
      <w:r>
        <w:t xml:space="preserve">— produce conflict and </w:t>
      </w:r>
      <w:r>
        <w:lastRenderedPageBreak/>
        <w:t xml:space="preserve">suffering. This study has argued that economic development holds the key to unlocking a path towards peace in the Israeli-Palestinian conflict, but I return to the Rashomon effect with which this venture began; only when competing visions for the future find a middle ground for cooperation is progress possible, and economic development is currently the most promising method through which Israelis and Palestinians can move towards a middle ground. </w:t>
      </w:r>
    </w:p>
    <w:p w14:paraId="41ED8CC7" w14:textId="77777777" w:rsidR="005D28B0" w:rsidRDefault="005D28B0" w:rsidP="0074355D">
      <w:pPr>
        <w:jc w:val="both"/>
      </w:pPr>
      <w:r>
        <w:tab/>
        <w:t xml:space="preserve"> </w:t>
      </w:r>
    </w:p>
    <w:p w14:paraId="5951A784" w14:textId="77777777" w:rsidR="005F67F7" w:rsidRDefault="005F67F7" w:rsidP="0074355D">
      <w:pPr>
        <w:pStyle w:val="ListParagraph"/>
        <w:ind w:left="990" w:hanging="450"/>
        <w:jc w:val="both"/>
        <w:rPr>
          <w:rFonts w:ascii="Times New Roman" w:hAnsi="Times New Roman" w:cs="Times New Roman"/>
          <w:sz w:val="20"/>
          <w:szCs w:val="20"/>
        </w:rPr>
      </w:pPr>
    </w:p>
    <w:p w14:paraId="267B5D69" w14:textId="77777777" w:rsidR="00C75BC0" w:rsidRPr="00C75BC0" w:rsidRDefault="00C75BC0" w:rsidP="00C75BC0">
      <w:pPr>
        <w:pStyle w:val="ListParagraph"/>
        <w:ind w:left="990" w:hanging="450"/>
        <w:rPr>
          <w:rFonts w:ascii="Times New Roman" w:hAnsi="Times New Roman" w:cs="Times New Roman"/>
          <w:sz w:val="20"/>
          <w:szCs w:val="20"/>
        </w:rPr>
      </w:pPr>
    </w:p>
    <w:p w14:paraId="4F1F3B1B" w14:textId="550920E7" w:rsidR="005D28B0" w:rsidRDefault="005D28B0" w:rsidP="007C1EF5">
      <w:pPr>
        <w:jc w:val="center"/>
      </w:pPr>
      <w:r>
        <w:br w:type="page"/>
      </w:r>
    </w:p>
    <w:p w14:paraId="5A402192" w14:textId="77777777" w:rsidR="007B6988" w:rsidRDefault="007B6988" w:rsidP="007C1EF5">
      <w:pPr>
        <w:jc w:val="center"/>
        <w:sectPr w:rsidR="007B6988" w:rsidSect="00882E52">
          <w:footerReference w:type="default" r:id="rId32"/>
          <w:pgSz w:w="12240" w:h="15840"/>
          <w:pgMar w:top="1440" w:right="1440" w:bottom="1440" w:left="2304" w:header="720" w:footer="720" w:gutter="0"/>
          <w:cols w:space="720"/>
          <w:docGrid w:linePitch="360"/>
        </w:sectPr>
      </w:pPr>
    </w:p>
    <w:p w14:paraId="23298477" w14:textId="63A514E3" w:rsidR="005E4910" w:rsidRDefault="00DA18DD" w:rsidP="00E73FAF">
      <w:pPr>
        <w:pStyle w:val="Heading1"/>
      </w:pPr>
      <w:bookmarkStart w:id="90" w:name="_Toc324423969"/>
      <w:r>
        <w:lastRenderedPageBreak/>
        <w:t>References</w:t>
      </w:r>
      <w:bookmarkEnd w:id="90"/>
    </w:p>
    <w:p w14:paraId="668B8A3D" w14:textId="77777777" w:rsidR="007B6988" w:rsidRPr="007B6988" w:rsidRDefault="007B6988" w:rsidP="007B6988"/>
    <w:p w14:paraId="24D6FBED" w14:textId="77777777" w:rsidR="007B6988" w:rsidRDefault="007B6988" w:rsidP="005E4910">
      <w:pPr>
        <w:widowControl w:val="0"/>
        <w:autoSpaceDE w:val="0"/>
        <w:autoSpaceDN w:val="0"/>
        <w:adjustRightInd w:val="0"/>
        <w:spacing w:line="240" w:lineRule="auto"/>
        <w:ind w:hanging="720"/>
        <w:sectPr w:rsidR="007B6988" w:rsidSect="007B6988">
          <w:type w:val="continuous"/>
          <w:pgSz w:w="12240" w:h="15840"/>
          <w:pgMar w:top="1440" w:right="1440" w:bottom="1440" w:left="2304" w:header="720" w:footer="720" w:gutter="0"/>
          <w:cols w:space="720"/>
          <w:docGrid w:linePitch="360"/>
        </w:sectPr>
      </w:pPr>
    </w:p>
    <w:p w14:paraId="0ACB9164" w14:textId="7C2B5133" w:rsidR="005E4910" w:rsidRDefault="005E4910" w:rsidP="00DC2F86">
      <w:pPr>
        <w:widowControl w:val="0"/>
        <w:autoSpaceDE w:val="0"/>
        <w:autoSpaceDN w:val="0"/>
        <w:adjustRightInd w:val="0"/>
        <w:spacing w:line="240" w:lineRule="auto"/>
        <w:ind w:left="900" w:hanging="900"/>
      </w:pPr>
      <w:r w:rsidRPr="005E4910">
        <w:lastRenderedPageBreak/>
        <w:t xml:space="preserve">“Aid Under Fire: Development Projects And Civil Conflict,” </w:t>
      </w:r>
      <w:r w:rsidRPr="005E4910">
        <w:rPr>
          <w:i/>
        </w:rPr>
        <w:t>Belfer Center Discussion Paper,</w:t>
      </w:r>
      <w:r w:rsidRPr="005E4910">
        <w:t xml:space="preserve"> No. 2010-18, Harvard Kennedy School, (November 2010).</w:t>
      </w:r>
    </w:p>
    <w:p w14:paraId="480C2C92" w14:textId="77777777" w:rsidR="005709ED" w:rsidRPr="005E4910" w:rsidRDefault="005709ED" w:rsidP="00DC2F86">
      <w:pPr>
        <w:widowControl w:val="0"/>
        <w:autoSpaceDE w:val="0"/>
        <w:autoSpaceDN w:val="0"/>
        <w:adjustRightInd w:val="0"/>
        <w:spacing w:line="240" w:lineRule="auto"/>
        <w:ind w:left="900" w:hanging="900"/>
      </w:pPr>
    </w:p>
    <w:p w14:paraId="1616B54F" w14:textId="77777777" w:rsidR="005709ED" w:rsidRDefault="005E4910" w:rsidP="00DC2F86">
      <w:pPr>
        <w:pStyle w:val="FootnoteText"/>
        <w:ind w:left="900" w:hanging="900"/>
        <w:rPr>
          <w:rStyle w:val="Hyperlink"/>
          <w:sz w:val="24"/>
          <w:szCs w:val="24"/>
        </w:rPr>
      </w:pPr>
      <w:r w:rsidRPr="005E4910">
        <w:rPr>
          <w:sz w:val="24"/>
          <w:szCs w:val="24"/>
        </w:rPr>
        <w:t xml:space="preserve">“Fatalities After Operation Cast Lead,” </w:t>
      </w:r>
      <w:r w:rsidRPr="005E4910">
        <w:rPr>
          <w:i/>
          <w:sz w:val="24"/>
          <w:szCs w:val="24"/>
        </w:rPr>
        <w:t xml:space="preserve">B’tselem- The Israeli Information Center For Human Rights In The Occupied Territories, </w:t>
      </w:r>
      <w:r w:rsidRPr="005E4910">
        <w:rPr>
          <w:sz w:val="24"/>
          <w:szCs w:val="24"/>
        </w:rPr>
        <w:t xml:space="preserve">Web, Retrieved 1 Mar 2016, </w:t>
      </w:r>
      <w:hyperlink r:id="rId33" w:history="1">
        <w:r w:rsidRPr="005E4910">
          <w:rPr>
            <w:rStyle w:val="Hyperlink"/>
            <w:sz w:val="24"/>
            <w:szCs w:val="24"/>
          </w:rPr>
          <w:t>Http://Www.Btselem.Org/Statistics/Fatalities/After-Cast-Lead/By-Date-Of-Event</w:t>
        </w:r>
      </w:hyperlink>
      <w:r w:rsidR="005709ED">
        <w:rPr>
          <w:rStyle w:val="Hyperlink"/>
          <w:sz w:val="24"/>
          <w:szCs w:val="24"/>
        </w:rPr>
        <w:t>.</w:t>
      </w:r>
    </w:p>
    <w:p w14:paraId="3E9559BB" w14:textId="00364A21" w:rsidR="005E4910" w:rsidRPr="005E4910" w:rsidRDefault="005E4910" w:rsidP="00DC2F86">
      <w:pPr>
        <w:pStyle w:val="FootnoteText"/>
        <w:ind w:left="900" w:hanging="900"/>
        <w:rPr>
          <w:sz w:val="24"/>
          <w:szCs w:val="24"/>
        </w:rPr>
      </w:pPr>
      <w:r w:rsidRPr="005E4910">
        <w:rPr>
          <w:sz w:val="24"/>
          <w:szCs w:val="24"/>
        </w:rPr>
        <w:t xml:space="preserve"> </w:t>
      </w:r>
    </w:p>
    <w:p w14:paraId="3DC690D5" w14:textId="77777777" w:rsidR="005709ED" w:rsidRDefault="005E4910" w:rsidP="00DC2F86">
      <w:pPr>
        <w:pStyle w:val="FootnoteText"/>
        <w:ind w:left="900" w:hanging="900"/>
        <w:rPr>
          <w:rStyle w:val="Hyperlink"/>
          <w:sz w:val="24"/>
          <w:szCs w:val="24"/>
        </w:rPr>
      </w:pPr>
      <w:r w:rsidRPr="005E4910">
        <w:rPr>
          <w:sz w:val="24"/>
          <w:szCs w:val="24"/>
        </w:rPr>
        <w:t xml:space="preserve">“Israel Economy Profile 2014,” </w:t>
      </w:r>
      <w:r w:rsidRPr="005E4910">
        <w:rPr>
          <w:i/>
          <w:sz w:val="24"/>
          <w:szCs w:val="24"/>
        </w:rPr>
        <w:t xml:space="preserve">Index Mundi, </w:t>
      </w:r>
      <w:r w:rsidRPr="005E4910">
        <w:rPr>
          <w:sz w:val="24"/>
          <w:szCs w:val="24"/>
        </w:rPr>
        <w:t xml:space="preserve">Web, Retrieved 1 Mar 2016, </w:t>
      </w:r>
      <w:hyperlink r:id="rId34" w:history="1">
        <w:r w:rsidRPr="005E4910">
          <w:rPr>
            <w:rStyle w:val="Hyperlink"/>
            <w:sz w:val="24"/>
            <w:szCs w:val="24"/>
          </w:rPr>
          <w:t>Http://Www.Indexmundi.Com/Israel/Economy_Profile.Html</w:t>
        </w:r>
      </w:hyperlink>
      <w:r w:rsidR="005709ED">
        <w:rPr>
          <w:rStyle w:val="Hyperlink"/>
          <w:sz w:val="24"/>
          <w:szCs w:val="24"/>
        </w:rPr>
        <w:t>.</w:t>
      </w:r>
    </w:p>
    <w:p w14:paraId="02A041D0" w14:textId="05AF01BE" w:rsidR="005E4910" w:rsidRPr="005E4910" w:rsidRDefault="005E4910" w:rsidP="00DC2F86">
      <w:pPr>
        <w:pStyle w:val="FootnoteText"/>
        <w:ind w:left="900" w:hanging="900"/>
        <w:rPr>
          <w:sz w:val="24"/>
          <w:szCs w:val="24"/>
        </w:rPr>
      </w:pPr>
      <w:r w:rsidRPr="005E4910">
        <w:rPr>
          <w:sz w:val="24"/>
          <w:szCs w:val="24"/>
        </w:rPr>
        <w:t xml:space="preserve"> </w:t>
      </w:r>
    </w:p>
    <w:p w14:paraId="59098B19" w14:textId="77777777" w:rsidR="005E4910" w:rsidRDefault="005E4910" w:rsidP="00DC2F86">
      <w:pPr>
        <w:pStyle w:val="FootnoteText"/>
        <w:ind w:left="900" w:hanging="900"/>
        <w:rPr>
          <w:sz w:val="24"/>
          <w:szCs w:val="24"/>
        </w:rPr>
      </w:pPr>
      <w:r w:rsidRPr="005E4910">
        <w:rPr>
          <w:sz w:val="24"/>
          <w:szCs w:val="24"/>
        </w:rPr>
        <w:t xml:space="preserve">“Labor Force Survey Data, February 2016,” </w:t>
      </w:r>
      <w:r w:rsidRPr="005E4910">
        <w:rPr>
          <w:i/>
          <w:sz w:val="24"/>
          <w:szCs w:val="24"/>
        </w:rPr>
        <w:t xml:space="preserve">Israeli Central Bureau of Statistics, </w:t>
      </w:r>
      <w:r w:rsidRPr="005E4910">
        <w:rPr>
          <w:sz w:val="24"/>
          <w:szCs w:val="24"/>
        </w:rPr>
        <w:t xml:space="preserve">Jerusalem, Israel (2016). </w:t>
      </w:r>
    </w:p>
    <w:p w14:paraId="25E28707" w14:textId="77777777" w:rsidR="005709ED" w:rsidRPr="005E4910" w:rsidRDefault="005709ED" w:rsidP="00DC2F86">
      <w:pPr>
        <w:pStyle w:val="FootnoteText"/>
        <w:ind w:left="900" w:hanging="900"/>
        <w:rPr>
          <w:sz w:val="24"/>
          <w:szCs w:val="24"/>
        </w:rPr>
      </w:pPr>
    </w:p>
    <w:p w14:paraId="5E2A2350" w14:textId="156D3343" w:rsidR="005E4910" w:rsidRDefault="005E4910" w:rsidP="00DC2F86">
      <w:pPr>
        <w:pStyle w:val="FootnoteText"/>
        <w:ind w:left="900" w:hanging="900"/>
        <w:rPr>
          <w:sz w:val="24"/>
          <w:szCs w:val="24"/>
        </w:rPr>
      </w:pPr>
      <w:r w:rsidRPr="005E4910">
        <w:rPr>
          <w:sz w:val="24"/>
          <w:szCs w:val="24"/>
        </w:rPr>
        <w:t xml:space="preserve">“Palestinian Labor Force Survey: Q3 2015,” </w:t>
      </w:r>
      <w:r w:rsidRPr="005E4910">
        <w:rPr>
          <w:i/>
          <w:sz w:val="24"/>
          <w:szCs w:val="24"/>
        </w:rPr>
        <w:t xml:space="preserve">Palestinian Central Bureau of Statistics, </w:t>
      </w:r>
      <w:r w:rsidRPr="005E4910">
        <w:rPr>
          <w:sz w:val="24"/>
          <w:szCs w:val="24"/>
        </w:rPr>
        <w:t>Ramallah, West Bank, (2015).</w:t>
      </w:r>
    </w:p>
    <w:p w14:paraId="7E62E970" w14:textId="77777777" w:rsidR="005709ED" w:rsidRPr="005E4910" w:rsidRDefault="005709ED" w:rsidP="00DC2F86">
      <w:pPr>
        <w:pStyle w:val="FootnoteText"/>
        <w:ind w:left="900" w:hanging="900"/>
        <w:rPr>
          <w:sz w:val="24"/>
          <w:szCs w:val="24"/>
        </w:rPr>
      </w:pPr>
    </w:p>
    <w:p w14:paraId="11998DC1" w14:textId="77777777" w:rsidR="005E4910" w:rsidRDefault="005E4910" w:rsidP="00DC2F86">
      <w:pPr>
        <w:pStyle w:val="FootnoteText"/>
        <w:ind w:left="900" w:hanging="900"/>
        <w:rPr>
          <w:sz w:val="24"/>
          <w:szCs w:val="24"/>
        </w:rPr>
      </w:pPr>
      <w:r w:rsidRPr="005E4910">
        <w:rPr>
          <w:sz w:val="24"/>
          <w:szCs w:val="24"/>
        </w:rPr>
        <w:t xml:space="preserve">“Rivlin: Peace With Palestinians Seems Impossible Right Now,” </w:t>
      </w:r>
      <w:r w:rsidRPr="005E4910">
        <w:rPr>
          <w:i/>
          <w:sz w:val="24"/>
          <w:szCs w:val="24"/>
        </w:rPr>
        <w:t xml:space="preserve">The Times Of Israel, </w:t>
      </w:r>
      <w:r w:rsidRPr="005E4910">
        <w:rPr>
          <w:sz w:val="24"/>
          <w:szCs w:val="24"/>
        </w:rPr>
        <w:t xml:space="preserve">8 Feb 2016, Web, Retrieved 8 Feb 2016, </w:t>
      </w:r>
      <w:hyperlink r:id="rId35" w:history="1">
        <w:r w:rsidRPr="005E4910">
          <w:rPr>
            <w:rStyle w:val="Hyperlink"/>
            <w:sz w:val="24"/>
            <w:szCs w:val="24"/>
          </w:rPr>
          <w:t>Http://Www.Timesofisrael.Com/Rivlin-Peace-With-Palestinians-Seems-Impossible-Right-Now/?Utm_Source=Dlvr.It&amp;Utm_Medium=Twitter</w:t>
        </w:r>
      </w:hyperlink>
      <w:r w:rsidRPr="005E4910">
        <w:rPr>
          <w:sz w:val="24"/>
          <w:szCs w:val="24"/>
        </w:rPr>
        <w:t>.</w:t>
      </w:r>
    </w:p>
    <w:p w14:paraId="33A25BFC" w14:textId="77777777" w:rsidR="005709ED" w:rsidRPr="005E4910" w:rsidRDefault="005709ED" w:rsidP="00DC2F86">
      <w:pPr>
        <w:pStyle w:val="FootnoteText"/>
        <w:ind w:left="900" w:hanging="900"/>
        <w:rPr>
          <w:sz w:val="24"/>
          <w:szCs w:val="24"/>
        </w:rPr>
      </w:pPr>
    </w:p>
    <w:p w14:paraId="4ADFE8D9" w14:textId="77777777" w:rsidR="005E4910" w:rsidRDefault="005E4910" w:rsidP="00DC2F86">
      <w:pPr>
        <w:pStyle w:val="FootnoteText"/>
        <w:ind w:left="900" w:hanging="900"/>
        <w:rPr>
          <w:sz w:val="24"/>
          <w:szCs w:val="24"/>
        </w:rPr>
      </w:pPr>
      <w:r w:rsidRPr="005E4910">
        <w:rPr>
          <w:sz w:val="24"/>
          <w:szCs w:val="24"/>
        </w:rPr>
        <w:t xml:space="preserve">“The Customs Union And Israel’s No-State Solution,” </w:t>
      </w:r>
      <w:r w:rsidRPr="005E4910">
        <w:rPr>
          <w:i/>
          <w:sz w:val="24"/>
          <w:szCs w:val="24"/>
        </w:rPr>
        <w:t xml:space="preserve">The Jerusalem Fund, </w:t>
      </w:r>
      <w:r w:rsidRPr="005E4910">
        <w:rPr>
          <w:sz w:val="24"/>
          <w:szCs w:val="24"/>
        </w:rPr>
        <w:t xml:space="preserve">7 January 2015, Web, Retrieved 9 Dec 2015, </w:t>
      </w:r>
      <w:hyperlink r:id="rId36" w:history="1">
        <w:r w:rsidRPr="005E4910">
          <w:rPr>
            <w:rStyle w:val="Hyperlink"/>
            <w:sz w:val="24"/>
            <w:szCs w:val="24"/>
          </w:rPr>
          <w:t>Http://Www.Thejerusalemfund.Org/Ht/D/Contentdetails/I/50055</w:t>
        </w:r>
      </w:hyperlink>
      <w:r w:rsidRPr="005E4910">
        <w:rPr>
          <w:sz w:val="24"/>
          <w:szCs w:val="24"/>
        </w:rPr>
        <w:t>.</w:t>
      </w:r>
    </w:p>
    <w:p w14:paraId="76AF9468" w14:textId="77777777" w:rsidR="005709ED" w:rsidRPr="005E4910" w:rsidRDefault="005709ED" w:rsidP="00DC2F86">
      <w:pPr>
        <w:pStyle w:val="FootnoteText"/>
        <w:ind w:left="900" w:hanging="900"/>
        <w:rPr>
          <w:sz w:val="24"/>
          <w:szCs w:val="24"/>
        </w:rPr>
      </w:pPr>
    </w:p>
    <w:p w14:paraId="0AF4AE78" w14:textId="77777777" w:rsidR="005E4910" w:rsidRDefault="005E4910" w:rsidP="00DC2F86">
      <w:pPr>
        <w:widowControl w:val="0"/>
        <w:autoSpaceDE w:val="0"/>
        <w:autoSpaceDN w:val="0"/>
        <w:adjustRightInd w:val="0"/>
        <w:spacing w:line="240" w:lineRule="auto"/>
        <w:ind w:left="900" w:hanging="900"/>
      </w:pPr>
      <w:r w:rsidRPr="005E4910">
        <w:t>Abadie, Alberto and Javier Gardeazabal, “The Economic Costs Of Conflict,”</w:t>
      </w:r>
      <w:r w:rsidRPr="005E4910">
        <w:rPr>
          <w:i/>
        </w:rPr>
        <w:t xml:space="preserve"> American Economic Review, </w:t>
      </w:r>
      <w:r w:rsidRPr="005E4910">
        <w:t>Vol.93, No.1, (2003): 113–132.</w:t>
      </w:r>
    </w:p>
    <w:p w14:paraId="48DD4D05" w14:textId="77777777" w:rsidR="005709ED" w:rsidRPr="005E4910" w:rsidRDefault="005709ED" w:rsidP="00DC2F86">
      <w:pPr>
        <w:widowControl w:val="0"/>
        <w:autoSpaceDE w:val="0"/>
        <w:autoSpaceDN w:val="0"/>
        <w:adjustRightInd w:val="0"/>
        <w:spacing w:line="240" w:lineRule="auto"/>
        <w:ind w:left="900" w:hanging="900"/>
      </w:pPr>
    </w:p>
    <w:p w14:paraId="67D5D8B4" w14:textId="77777777" w:rsidR="005E4910" w:rsidRDefault="005E4910" w:rsidP="00DC2F86">
      <w:pPr>
        <w:widowControl w:val="0"/>
        <w:autoSpaceDE w:val="0"/>
        <w:autoSpaceDN w:val="0"/>
        <w:adjustRightInd w:val="0"/>
        <w:spacing w:line="240" w:lineRule="auto"/>
        <w:ind w:left="900" w:hanging="900"/>
      </w:pPr>
      <w:r w:rsidRPr="005E4910">
        <w:t>Abadie, Alberto, ”Poverty, Political Freedom, And The Roots Of Terrorism</w:t>
      </w:r>
      <w:r w:rsidRPr="005E4910">
        <w:rPr>
          <w:i/>
        </w:rPr>
        <w:t>. American Economic Review</w:t>
      </w:r>
      <w:r w:rsidRPr="005E4910">
        <w:t xml:space="preserve"> Vol.96, No.2, (2006): 50–56. </w:t>
      </w:r>
    </w:p>
    <w:p w14:paraId="6CE0A0BD" w14:textId="77777777" w:rsidR="005709ED" w:rsidRPr="005E4910" w:rsidRDefault="005709ED" w:rsidP="00DC2F86">
      <w:pPr>
        <w:widowControl w:val="0"/>
        <w:autoSpaceDE w:val="0"/>
        <w:autoSpaceDN w:val="0"/>
        <w:adjustRightInd w:val="0"/>
        <w:spacing w:line="240" w:lineRule="auto"/>
        <w:ind w:left="900" w:hanging="900"/>
      </w:pPr>
    </w:p>
    <w:p w14:paraId="75EF720B" w14:textId="77777777" w:rsidR="005E4910" w:rsidRDefault="005E4910" w:rsidP="00DC2F86">
      <w:pPr>
        <w:pStyle w:val="FootnoteText"/>
        <w:ind w:left="900" w:hanging="900"/>
        <w:rPr>
          <w:sz w:val="24"/>
          <w:szCs w:val="24"/>
        </w:rPr>
      </w:pPr>
      <w:r w:rsidRPr="005E4910">
        <w:rPr>
          <w:sz w:val="24"/>
          <w:szCs w:val="24"/>
        </w:rPr>
        <w:t xml:space="preserve">Abu Khalil, As’ad, “Book Review: The Carrot And The Stick: Israel’s Policy In Judea And Samaria 1967-1968,” </w:t>
      </w:r>
      <w:r w:rsidRPr="005E4910">
        <w:rPr>
          <w:i/>
          <w:sz w:val="24"/>
          <w:szCs w:val="24"/>
        </w:rPr>
        <w:t xml:space="preserve">The Middle East Journal, </w:t>
      </w:r>
      <w:r w:rsidRPr="005E4910">
        <w:rPr>
          <w:sz w:val="24"/>
          <w:szCs w:val="24"/>
        </w:rPr>
        <w:t>(1996): 267-268.</w:t>
      </w:r>
    </w:p>
    <w:p w14:paraId="00837065" w14:textId="77777777" w:rsidR="005709ED" w:rsidRPr="005E4910" w:rsidRDefault="005709ED" w:rsidP="00DC2F86">
      <w:pPr>
        <w:pStyle w:val="FootnoteText"/>
        <w:ind w:left="900" w:hanging="900"/>
        <w:rPr>
          <w:sz w:val="24"/>
          <w:szCs w:val="24"/>
        </w:rPr>
      </w:pPr>
    </w:p>
    <w:p w14:paraId="7DF7137E" w14:textId="77777777" w:rsidR="005E4910" w:rsidRDefault="005E4910" w:rsidP="00DC2F86">
      <w:pPr>
        <w:pStyle w:val="FootnoteText"/>
        <w:ind w:left="900" w:hanging="900"/>
        <w:rPr>
          <w:sz w:val="24"/>
          <w:szCs w:val="24"/>
        </w:rPr>
      </w:pPr>
      <w:r w:rsidRPr="005E4910">
        <w:rPr>
          <w:sz w:val="24"/>
          <w:szCs w:val="24"/>
        </w:rPr>
        <w:t xml:space="preserve">Adnan, Wifag, “Who Gets to Cross the Border? The Impact of Mobility Restrictions on Labor Flows in the West Bank,” </w:t>
      </w:r>
      <w:r w:rsidRPr="005E4910">
        <w:rPr>
          <w:i/>
          <w:sz w:val="24"/>
          <w:szCs w:val="24"/>
        </w:rPr>
        <w:t xml:space="preserve">Labour Economics, </w:t>
      </w:r>
      <w:r w:rsidRPr="005E4910">
        <w:rPr>
          <w:sz w:val="24"/>
          <w:szCs w:val="24"/>
        </w:rPr>
        <w:t xml:space="preserve">Vol. 34, (2015): 86-99. </w:t>
      </w:r>
    </w:p>
    <w:p w14:paraId="4D7B7E60" w14:textId="77777777" w:rsidR="005709ED" w:rsidRPr="005E4910" w:rsidRDefault="005709ED" w:rsidP="00DC2F86">
      <w:pPr>
        <w:pStyle w:val="FootnoteText"/>
        <w:ind w:left="900" w:hanging="900"/>
        <w:rPr>
          <w:sz w:val="24"/>
          <w:szCs w:val="24"/>
        </w:rPr>
      </w:pPr>
    </w:p>
    <w:p w14:paraId="0AB3C096" w14:textId="77777777" w:rsidR="005E4910" w:rsidRDefault="005E4910" w:rsidP="00DC2F86">
      <w:pPr>
        <w:pStyle w:val="FootnoteText"/>
        <w:ind w:left="900" w:hanging="900"/>
        <w:rPr>
          <w:sz w:val="24"/>
          <w:szCs w:val="24"/>
        </w:rPr>
      </w:pPr>
      <w:r w:rsidRPr="005E4910">
        <w:rPr>
          <w:sz w:val="24"/>
          <w:szCs w:val="24"/>
        </w:rPr>
        <w:t xml:space="preserve">Anderson Craig A., and Brad J. Bushman, “Effects Of Violent Video Games On Aggressive Behavior, Aggressive Cognition, Aggressive Affect, Psychological Distrust, Physiological Arousal, And Prosocial Behavior: A Meta-Analytic Review Of The Scientific Literature,” </w:t>
      </w:r>
      <w:r w:rsidRPr="005E4910">
        <w:rPr>
          <w:i/>
          <w:sz w:val="24"/>
          <w:szCs w:val="24"/>
        </w:rPr>
        <w:t xml:space="preserve">Psychological Science, </w:t>
      </w:r>
      <w:r w:rsidRPr="005E4910">
        <w:rPr>
          <w:sz w:val="24"/>
          <w:szCs w:val="24"/>
        </w:rPr>
        <w:t>Vol.12, No. 5, (2001): 353-359.</w:t>
      </w:r>
    </w:p>
    <w:p w14:paraId="15ABFEBF" w14:textId="77777777" w:rsidR="005709ED" w:rsidRPr="005E4910" w:rsidRDefault="005709ED" w:rsidP="00DC2F86">
      <w:pPr>
        <w:pStyle w:val="FootnoteText"/>
        <w:ind w:left="900" w:hanging="900"/>
        <w:rPr>
          <w:sz w:val="24"/>
          <w:szCs w:val="24"/>
        </w:rPr>
      </w:pPr>
    </w:p>
    <w:p w14:paraId="2CEFFF0E" w14:textId="77777777" w:rsidR="005E4910" w:rsidRDefault="005E4910" w:rsidP="00DC2F86">
      <w:pPr>
        <w:pStyle w:val="FootnoteText"/>
        <w:ind w:left="900" w:hanging="900"/>
        <w:rPr>
          <w:sz w:val="24"/>
          <w:szCs w:val="24"/>
        </w:rPr>
      </w:pPr>
      <w:r w:rsidRPr="005E4910">
        <w:rPr>
          <w:sz w:val="24"/>
          <w:szCs w:val="24"/>
        </w:rPr>
        <w:t xml:space="preserve">Anderson Craig A., and Brad J. Bushman, “Human Aggression,” </w:t>
      </w:r>
      <w:r w:rsidRPr="005E4910">
        <w:rPr>
          <w:i/>
          <w:sz w:val="24"/>
          <w:szCs w:val="24"/>
        </w:rPr>
        <w:t xml:space="preserve">Annual Review Of Psychology, </w:t>
      </w:r>
      <w:r w:rsidRPr="005E4910">
        <w:rPr>
          <w:sz w:val="24"/>
          <w:szCs w:val="24"/>
        </w:rPr>
        <w:t>Vol. 53, No.1, (2002): 27-51.</w:t>
      </w:r>
    </w:p>
    <w:p w14:paraId="0258AA7A" w14:textId="77777777" w:rsidR="005709ED" w:rsidRPr="005E4910" w:rsidRDefault="005709ED" w:rsidP="00DC2F86">
      <w:pPr>
        <w:pStyle w:val="FootnoteText"/>
        <w:ind w:left="900" w:hanging="900"/>
        <w:rPr>
          <w:sz w:val="24"/>
          <w:szCs w:val="24"/>
        </w:rPr>
      </w:pPr>
    </w:p>
    <w:p w14:paraId="0E187748" w14:textId="77777777" w:rsidR="005E4910" w:rsidRDefault="005E4910" w:rsidP="00DC2F86">
      <w:pPr>
        <w:pStyle w:val="FootnoteText"/>
        <w:ind w:left="900" w:hanging="900"/>
        <w:rPr>
          <w:sz w:val="24"/>
          <w:szCs w:val="24"/>
        </w:rPr>
      </w:pPr>
      <w:r w:rsidRPr="005E4910">
        <w:rPr>
          <w:sz w:val="24"/>
          <w:szCs w:val="24"/>
        </w:rPr>
        <w:t xml:space="preserve">Anderson, Craig A., William Deuser, And Kristina Deneve, “Hot Temperatures, Hostile Affects, Hostile Cognition, And Arousal: Tests Of A General Model Of Affective Aggression,” </w:t>
      </w:r>
      <w:r w:rsidRPr="005E4910">
        <w:rPr>
          <w:i/>
          <w:sz w:val="24"/>
          <w:szCs w:val="24"/>
        </w:rPr>
        <w:t xml:space="preserve">Personality And Social Psychology Bulletin, </w:t>
      </w:r>
      <w:r w:rsidRPr="005E4910">
        <w:rPr>
          <w:sz w:val="24"/>
          <w:szCs w:val="24"/>
        </w:rPr>
        <w:t xml:space="preserve">Vol. 21, No.5, (1995): 434-448. </w:t>
      </w:r>
    </w:p>
    <w:p w14:paraId="1E90A991" w14:textId="77777777" w:rsidR="005709ED" w:rsidRPr="005E4910" w:rsidRDefault="005709ED" w:rsidP="00DC2F86">
      <w:pPr>
        <w:pStyle w:val="FootnoteText"/>
        <w:ind w:left="900" w:hanging="900"/>
        <w:rPr>
          <w:sz w:val="24"/>
          <w:szCs w:val="24"/>
        </w:rPr>
      </w:pPr>
    </w:p>
    <w:p w14:paraId="5BA4CBAA" w14:textId="77777777" w:rsidR="005E4910" w:rsidRDefault="005E4910" w:rsidP="00DC2F86">
      <w:pPr>
        <w:pStyle w:val="FootnoteText"/>
        <w:ind w:left="900" w:hanging="900"/>
        <w:rPr>
          <w:sz w:val="24"/>
          <w:szCs w:val="24"/>
        </w:rPr>
      </w:pPr>
      <w:r w:rsidRPr="005E4910">
        <w:rPr>
          <w:sz w:val="24"/>
          <w:szCs w:val="24"/>
        </w:rPr>
        <w:t xml:space="preserve">Anthony, C.R. et al., “The Costs of the Israeli-Palestinian Conflict,” </w:t>
      </w:r>
      <w:r w:rsidRPr="005E4910">
        <w:rPr>
          <w:i/>
          <w:sz w:val="24"/>
          <w:szCs w:val="24"/>
        </w:rPr>
        <w:t xml:space="preserve">RAND Corporation, </w:t>
      </w:r>
      <w:r w:rsidRPr="005E4910">
        <w:rPr>
          <w:sz w:val="24"/>
          <w:szCs w:val="24"/>
        </w:rPr>
        <w:t xml:space="preserve">Santa Monica, CA, (2015). </w:t>
      </w:r>
    </w:p>
    <w:p w14:paraId="2EC5EFB4" w14:textId="77777777" w:rsidR="005709ED" w:rsidRPr="005E4910" w:rsidRDefault="005709ED" w:rsidP="00DC2F86">
      <w:pPr>
        <w:pStyle w:val="FootnoteText"/>
        <w:ind w:left="900" w:hanging="900"/>
        <w:rPr>
          <w:sz w:val="24"/>
          <w:szCs w:val="24"/>
        </w:rPr>
      </w:pPr>
    </w:p>
    <w:p w14:paraId="5C260FAC" w14:textId="77777777" w:rsidR="005E4910" w:rsidRDefault="005E4910" w:rsidP="00DC2F86">
      <w:pPr>
        <w:pStyle w:val="FootnoteText"/>
        <w:ind w:left="900" w:hanging="900"/>
        <w:rPr>
          <w:sz w:val="24"/>
          <w:szCs w:val="24"/>
        </w:rPr>
      </w:pPr>
      <w:r w:rsidRPr="005E4910">
        <w:rPr>
          <w:sz w:val="24"/>
          <w:szCs w:val="24"/>
        </w:rPr>
        <w:t xml:space="preserve">Arnon, Arie and David Gottlieb, “An Econometric Analysis Of The Palestinian Economy: The West Bank And Gaza, 1968-1991,” </w:t>
      </w:r>
      <w:r w:rsidRPr="005E4910">
        <w:rPr>
          <w:i/>
          <w:sz w:val="24"/>
          <w:szCs w:val="24"/>
        </w:rPr>
        <w:t xml:space="preserve">The Bank Of Israel: Discussion Paper 93.07, </w:t>
      </w:r>
      <w:r w:rsidRPr="005E4910">
        <w:rPr>
          <w:sz w:val="24"/>
          <w:szCs w:val="24"/>
        </w:rPr>
        <w:t>(October 1993).</w:t>
      </w:r>
    </w:p>
    <w:p w14:paraId="7A899691" w14:textId="77777777" w:rsidR="005709ED" w:rsidRPr="005E4910" w:rsidRDefault="005709ED" w:rsidP="00DC2F86">
      <w:pPr>
        <w:pStyle w:val="FootnoteText"/>
        <w:ind w:left="900" w:hanging="900"/>
        <w:rPr>
          <w:sz w:val="24"/>
          <w:szCs w:val="24"/>
        </w:rPr>
      </w:pPr>
    </w:p>
    <w:p w14:paraId="3B342E4C" w14:textId="77777777" w:rsidR="005E4910" w:rsidRDefault="005E4910" w:rsidP="00DC2F86">
      <w:pPr>
        <w:spacing w:line="240" w:lineRule="auto"/>
        <w:ind w:left="900" w:hanging="900"/>
      </w:pPr>
      <w:r w:rsidRPr="005E4910">
        <w:t xml:space="preserve">Arnon, Arie and Jimmy Weinblatt, “Sovereignty And Economic Development: The Case Of Israel And Palestine,” </w:t>
      </w:r>
      <w:r w:rsidRPr="005E4910">
        <w:rPr>
          <w:i/>
        </w:rPr>
        <w:t xml:space="preserve">The Economic Journal, </w:t>
      </w:r>
      <w:r w:rsidRPr="005E4910">
        <w:t>Vol. 111, Iss. 472, (June 2001): 291-308, 292.</w:t>
      </w:r>
    </w:p>
    <w:p w14:paraId="0B623223" w14:textId="77777777" w:rsidR="005709ED" w:rsidRPr="005E4910" w:rsidRDefault="005709ED" w:rsidP="00DC2F86">
      <w:pPr>
        <w:spacing w:line="240" w:lineRule="auto"/>
        <w:ind w:left="900" w:hanging="900"/>
      </w:pPr>
    </w:p>
    <w:p w14:paraId="60EDE8AE" w14:textId="77777777" w:rsidR="005E4910" w:rsidRDefault="005E4910" w:rsidP="00DC2F86">
      <w:pPr>
        <w:pStyle w:val="FootnoteText"/>
        <w:ind w:left="900" w:hanging="900"/>
        <w:rPr>
          <w:sz w:val="24"/>
          <w:szCs w:val="24"/>
        </w:rPr>
      </w:pPr>
      <w:r w:rsidRPr="005E4910">
        <w:rPr>
          <w:sz w:val="24"/>
          <w:szCs w:val="24"/>
        </w:rPr>
        <w:t xml:space="preserve">Arnon, Arie, “Israeli Policy Towards The Occupied Palestinian Territories: The Economic Dimension 1967-2007,” </w:t>
      </w:r>
      <w:r w:rsidRPr="005E4910">
        <w:rPr>
          <w:i/>
          <w:sz w:val="24"/>
          <w:szCs w:val="24"/>
        </w:rPr>
        <w:t xml:space="preserve">The Middle East Journal, </w:t>
      </w:r>
      <w:r w:rsidRPr="005E4910">
        <w:rPr>
          <w:sz w:val="24"/>
          <w:szCs w:val="24"/>
        </w:rPr>
        <w:t>Vol.67, (2007): 573-595.</w:t>
      </w:r>
    </w:p>
    <w:p w14:paraId="512A2D20" w14:textId="77777777" w:rsidR="005709ED" w:rsidRPr="005E4910" w:rsidRDefault="005709ED" w:rsidP="00DC2F86">
      <w:pPr>
        <w:pStyle w:val="FootnoteText"/>
        <w:ind w:left="900" w:hanging="900"/>
        <w:rPr>
          <w:sz w:val="24"/>
          <w:szCs w:val="24"/>
        </w:rPr>
      </w:pPr>
    </w:p>
    <w:p w14:paraId="22043D38" w14:textId="77777777" w:rsidR="005E4910" w:rsidRDefault="005E4910" w:rsidP="00DC2F86">
      <w:pPr>
        <w:pStyle w:val="FootnoteText"/>
        <w:ind w:left="900" w:hanging="900"/>
        <w:rPr>
          <w:sz w:val="24"/>
          <w:szCs w:val="24"/>
        </w:rPr>
      </w:pPr>
      <w:r w:rsidRPr="005E4910">
        <w:rPr>
          <w:sz w:val="24"/>
          <w:szCs w:val="24"/>
        </w:rPr>
        <w:t xml:space="preserve">Arnon, Arie, Israel Luski, Avia Spivak, And Jimmy Weinblatt, </w:t>
      </w:r>
      <w:r w:rsidRPr="005E4910">
        <w:rPr>
          <w:i/>
          <w:sz w:val="24"/>
          <w:szCs w:val="24"/>
        </w:rPr>
        <w:t>The Palestinian Economy: Between Imposed Integration And Voluntary Separation,</w:t>
      </w:r>
      <w:r w:rsidRPr="005E4910">
        <w:rPr>
          <w:sz w:val="24"/>
          <w:szCs w:val="24"/>
        </w:rPr>
        <w:t xml:space="preserve"> Brill, Leiden, The Netherlands, (1997).</w:t>
      </w:r>
    </w:p>
    <w:p w14:paraId="5A11F83E" w14:textId="77777777" w:rsidR="005709ED" w:rsidRPr="005E4910" w:rsidRDefault="005709ED" w:rsidP="00DC2F86">
      <w:pPr>
        <w:pStyle w:val="FootnoteText"/>
        <w:ind w:left="900" w:hanging="900"/>
        <w:rPr>
          <w:sz w:val="24"/>
          <w:szCs w:val="24"/>
        </w:rPr>
      </w:pPr>
    </w:p>
    <w:p w14:paraId="17AD574D" w14:textId="77777777" w:rsidR="005E4910" w:rsidRDefault="005E4910" w:rsidP="00DC2F86">
      <w:pPr>
        <w:pStyle w:val="FootnoteText"/>
        <w:ind w:left="900" w:hanging="900"/>
        <w:rPr>
          <w:sz w:val="24"/>
          <w:szCs w:val="24"/>
        </w:rPr>
      </w:pPr>
      <w:r w:rsidRPr="005E4910">
        <w:rPr>
          <w:sz w:val="24"/>
          <w:szCs w:val="24"/>
        </w:rPr>
        <w:t xml:space="preserve">Axelrod, Robert, and Leigh Tesfatsion, “A Guide For Newcomers To Agent-Based Modeling In The Social Sciences,” In </w:t>
      </w:r>
      <w:r w:rsidRPr="005E4910">
        <w:rPr>
          <w:i/>
          <w:sz w:val="24"/>
          <w:szCs w:val="24"/>
        </w:rPr>
        <w:t xml:space="preserve">Handbook Of Computational Economics, Vol. 2: Agent-Based Computational Economics, </w:t>
      </w:r>
      <w:r w:rsidRPr="005E4910">
        <w:rPr>
          <w:sz w:val="24"/>
          <w:szCs w:val="24"/>
        </w:rPr>
        <w:t>Edited By Leigh Tesfatsion And Kenneth L. Judd, Elsevier, Amsterdam, The Netherlands, (2006).</w:t>
      </w:r>
    </w:p>
    <w:p w14:paraId="7E6D57A2" w14:textId="77777777" w:rsidR="005709ED" w:rsidRPr="005E4910" w:rsidRDefault="005709ED" w:rsidP="00DC2F86">
      <w:pPr>
        <w:pStyle w:val="FootnoteText"/>
        <w:ind w:left="900" w:hanging="900"/>
        <w:rPr>
          <w:sz w:val="24"/>
          <w:szCs w:val="24"/>
        </w:rPr>
      </w:pPr>
    </w:p>
    <w:p w14:paraId="6FFAE329" w14:textId="77777777" w:rsidR="005E4910" w:rsidRDefault="005E4910" w:rsidP="00DC2F86">
      <w:pPr>
        <w:pStyle w:val="FootnoteText"/>
        <w:ind w:left="900" w:hanging="900"/>
        <w:rPr>
          <w:sz w:val="24"/>
          <w:szCs w:val="24"/>
        </w:rPr>
      </w:pPr>
      <w:r w:rsidRPr="005E4910">
        <w:rPr>
          <w:sz w:val="24"/>
          <w:szCs w:val="24"/>
        </w:rPr>
        <w:t xml:space="preserve">Bailyn, Bernard, </w:t>
      </w:r>
      <w:r w:rsidRPr="005E4910">
        <w:rPr>
          <w:i/>
          <w:sz w:val="24"/>
          <w:szCs w:val="24"/>
        </w:rPr>
        <w:t xml:space="preserve">The Ideological Origins Of The American Revolution, </w:t>
      </w:r>
      <w:r w:rsidRPr="005E4910">
        <w:rPr>
          <w:sz w:val="24"/>
          <w:szCs w:val="24"/>
        </w:rPr>
        <w:t>Belknap Press, Cambridge, MA, (1967).</w:t>
      </w:r>
    </w:p>
    <w:p w14:paraId="43C7DE62" w14:textId="77777777" w:rsidR="005709ED" w:rsidRPr="005E4910" w:rsidRDefault="005709ED" w:rsidP="00DC2F86">
      <w:pPr>
        <w:pStyle w:val="FootnoteText"/>
        <w:ind w:left="900" w:hanging="900"/>
        <w:rPr>
          <w:sz w:val="24"/>
          <w:szCs w:val="24"/>
        </w:rPr>
      </w:pPr>
    </w:p>
    <w:p w14:paraId="06E992F6" w14:textId="77777777" w:rsidR="005E4910" w:rsidRDefault="005E4910" w:rsidP="00DC2F86">
      <w:pPr>
        <w:pStyle w:val="FootnoteText"/>
        <w:ind w:left="900" w:hanging="900"/>
        <w:rPr>
          <w:sz w:val="24"/>
          <w:szCs w:val="24"/>
        </w:rPr>
      </w:pPr>
      <w:r w:rsidRPr="005E4910">
        <w:rPr>
          <w:sz w:val="24"/>
          <w:szCs w:val="24"/>
        </w:rPr>
        <w:t xml:space="preserve">Barnett, Michael, and Raymond Duvall, “Power In International Politics,” </w:t>
      </w:r>
      <w:r w:rsidRPr="005E4910">
        <w:rPr>
          <w:i/>
          <w:sz w:val="24"/>
          <w:szCs w:val="24"/>
        </w:rPr>
        <w:t xml:space="preserve">International Organization, </w:t>
      </w:r>
      <w:r w:rsidRPr="005E4910">
        <w:rPr>
          <w:sz w:val="24"/>
          <w:szCs w:val="24"/>
        </w:rPr>
        <w:t>Vol.59, No.1, (2005): 39-75.</w:t>
      </w:r>
    </w:p>
    <w:p w14:paraId="65AB2B3E" w14:textId="77777777" w:rsidR="005709ED" w:rsidRPr="005E4910" w:rsidRDefault="005709ED" w:rsidP="00DC2F86">
      <w:pPr>
        <w:pStyle w:val="FootnoteText"/>
        <w:ind w:left="900" w:hanging="900"/>
        <w:rPr>
          <w:sz w:val="24"/>
          <w:szCs w:val="24"/>
        </w:rPr>
      </w:pPr>
    </w:p>
    <w:p w14:paraId="49B78C9B" w14:textId="77777777" w:rsidR="005E4910" w:rsidRDefault="005E4910" w:rsidP="00DC2F86">
      <w:pPr>
        <w:spacing w:line="240" w:lineRule="auto"/>
        <w:ind w:left="900" w:hanging="900"/>
      </w:pPr>
      <w:r w:rsidRPr="005E4910">
        <w:t xml:space="preserve">Benmelech, Efraim and Claude Berrebi, “Human Capital and the Productivity of Suicide Bombers,” </w:t>
      </w:r>
      <w:r w:rsidRPr="005E4910">
        <w:rPr>
          <w:i/>
        </w:rPr>
        <w:t>Journal of Economic Perspectives</w:t>
      </w:r>
      <w:r w:rsidRPr="005E4910">
        <w:t>, Vol.21 No.3, (2007): 223–38.</w:t>
      </w:r>
    </w:p>
    <w:p w14:paraId="72A6DAF6" w14:textId="77777777" w:rsidR="005709ED" w:rsidRPr="005E4910" w:rsidRDefault="005709ED" w:rsidP="00DC2F86">
      <w:pPr>
        <w:spacing w:line="240" w:lineRule="auto"/>
        <w:ind w:left="900" w:hanging="900"/>
      </w:pPr>
    </w:p>
    <w:p w14:paraId="2199FAB7" w14:textId="77777777" w:rsidR="005E4910" w:rsidRDefault="005E4910" w:rsidP="00DC2F86">
      <w:pPr>
        <w:widowControl w:val="0"/>
        <w:autoSpaceDE w:val="0"/>
        <w:autoSpaceDN w:val="0"/>
        <w:adjustRightInd w:val="0"/>
        <w:spacing w:line="240" w:lineRule="auto"/>
        <w:ind w:left="900" w:hanging="900"/>
      </w:pPr>
      <w:r w:rsidRPr="005E4910">
        <w:t xml:space="preserve">Berman, Eli, Michael Callen, Joseph H. Felter And Jacob N. Shapiro, “Do Working Men Rebel? Insurgency And Unemployment In Afghanistan, Iraq, And The </w:t>
      </w:r>
      <w:r w:rsidRPr="005E4910">
        <w:lastRenderedPageBreak/>
        <w:t>Philippines,”</w:t>
      </w:r>
      <w:r w:rsidRPr="005E4910">
        <w:rPr>
          <w:i/>
        </w:rPr>
        <w:t xml:space="preserve"> Journal Of</w:t>
      </w:r>
      <w:r w:rsidRPr="005E4910">
        <w:t xml:space="preserve"> </w:t>
      </w:r>
      <w:r w:rsidRPr="005E4910">
        <w:rPr>
          <w:i/>
        </w:rPr>
        <w:t xml:space="preserve">Conflict Resolution, </w:t>
      </w:r>
      <w:r w:rsidRPr="005E4910">
        <w:t>Vol.55, No.4, (2011): 496–528.</w:t>
      </w:r>
    </w:p>
    <w:p w14:paraId="062B0FB9" w14:textId="77777777" w:rsidR="005709ED" w:rsidRPr="005E4910" w:rsidRDefault="005709ED" w:rsidP="00DC2F86">
      <w:pPr>
        <w:widowControl w:val="0"/>
        <w:autoSpaceDE w:val="0"/>
        <w:autoSpaceDN w:val="0"/>
        <w:adjustRightInd w:val="0"/>
        <w:spacing w:line="240" w:lineRule="auto"/>
        <w:ind w:left="900" w:hanging="900"/>
      </w:pPr>
    </w:p>
    <w:p w14:paraId="2B34013E" w14:textId="77777777" w:rsidR="005E4910" w:rsidRDefault="005E4910" w:rsidP="00DC2F86">
      <w:pPr>
        <w:spacing w:line="240" w:lineRule="auto"/>
        <w:ind w:left="900" w:hanging="900"/>
      </w:pPr>
      <w:r w:rsidRPr="005E4910">
        <w:t xml:space="preserve">Bin Laden, Osama, “Declaration Of War Against The Americans Occupying The Land Of The Two Holy Places,” In Roxanne Euben and Muhammad Zaman, Eds., </w:t>
      </w:r>
      <w:r w:rsidRPr="005E4910">
        <w:rPr>
          <w:i/>
        </w:rPr>
        <w:t xml:space="preserve">Princeton Readings On Islamist Thought: Texts And Contexts From Al-Banna To Bin Laden, </w:t>
      </w:r>
      <w:r w:rsidRPr="005E4910">
        <w:t>Princeton University Press</w:t>
      </w:r>
      <w:r w:rsidRPr="005E4910">
        <w:rPr>
          <w:i/>
        </w:rPr>
        <w:t xml:space="preserve">, </w:t>
      </w:r>
      <w:r w:rsidRPr="005E4910">
        <w:t>Princeton, NJ,</w:t>
      </w:r>
      <w:r w:rsidRPr="005E4910">
        <w:rPr>
          <w:i/>
        </w:rPr>
        <w:t xml:space="preserve"> </w:t>
      </w:r>
      <w:r w:rsidRPr="005E4910">
        <w:t>(2009).</w:t>
      </w:r>
    </w:p>
    <w:p w14:paraId="3D06E587" w14:textId="77777777" w:rsidR="005709ED" w:rsidRPr="005E4910" w:rsidRDefault="005709ED" w:rsidP="00DC2F86">
      <w:pPr>
        <w:spacing w:line="240" w:lineRule="auto"/>
        <w:ind w:left="900" w:hanging="900"/>
      </w:pPr>
    </w:p>
    <w:p w14:paraId="05207B4C" w14:textId="77777777" w:rsidR="005E4910" w:rsidRDefault="005E4910" w:rsidP="00DC2F86">
      <w:pPr>
        <w:pStyle w:val="FootnoteText"/>
        <w:ind w:left="900" w:hanging="900"/>
        <w:rPr>
          <w:sz w:val="24"/>
          <w:szCs w:val="24"/>
        </w:rPr>
      </w:pPr>
      <w:r w:rsidRPr="005E4910">
        <w:rPr>
          <w:sz w:val="24"/>
          <w:szCs w:val="24"/>
        </w:rPr>
        <w:t xml:space="preserve">Black, Eric, </w:t>
      </w:r>
      <w:r w:rsidRPr="005E4910">
        <w:rPr>
          <w:i/>
          <w:sz w:val="24"/>
          <w:szCs w:val="24"/>
        </w:rPr>
        <w:t>Parallel Realities: A Jewish/Arab History of Israel</w:t>
      </w:r>
      <w:r w:rsidRPr="005E4910">
        <w:rPr>
          <w:sz w:val="24"/>
          <w:szCs w:val="24"/>
        </w:rPr>
        <w:t>/Palestine, Paradigm Press, Cambridge England, (1992).</w:t>
      </w:r>
    </w:p>
    <w:p w14:paraId="4CA04428" w14:textId="77777777" w:rsidR="005709ED" w:rsidRPr="005E4910" w:rsidRDefault="005709ED" w:rsidP="00DC2F86">
      <w:pPr>
        <w:pStyle w:val="FootnoteText"/>
        <w:ind w:left="900" w:hanging="900"/>
        <w:rPr>
          <w:sz w:val="24"/>
          <w:szCs w:val="24"/>
        </w:rPr>
      </w:pPr>
    </w:p>
    <w:p w14:paraId="4A26C8EF" w14:textId="77777777" w:rsidR="005E4910" w:rsidRDefault="005E4910" w:rsidP="00DC2F86">
      <w:pPr>
        <w:pStyle w:val="FootnoteText"/>
        <w:ind w:left="900" w:hanging="900"/>
        <w:rPr>
          <w:sz w:val="24"/>
          <w:szCs w:val="24"/>
        </w:rPr>
      </w:pPr>
      <w:r w:rsidRPr="005E4910">
        <w:rPr>
          <w:sz w:val="24"/>
          <w:szCs w:val="24"/>
        </w:rPr>
        <w:t xml:space="preserve">Bloomberg, S. Brock, Gregory D. Hess, And Akila Weerapana, “Economic Conditions And Terrorism,” </w:t>
      </w:r>
      <w:r w:rsidRPr="005E4910">
        <w:rPr>
          <w:i/>
          <w:sz w:val="24"/>
          <w:szCs w:val="24"/>
        </w:rPr>
        <w:t xml:space="preserve">European Journal Of Political Economy, </w:t>
      </w:r>
      <w:r w:rsidRPr="005E4910">
        <w:rPr>
          <w:sz w:val="24"/>
          <w:szCs w:val="24"/>
        </w:rPr>
        <w:t>Vol.20, No.2, (2004): 463-478.</w:t>
      </w:r>
    </w:p>
    <w:p w14:paraId="788DC1D5" w14:textId="77777777" w:rsidR="005709ED" w:rsidRPr="005E4910" w:rsidRDefault="005709ED" w:rsidP="00DC2F86">
      <w:pPr>
        <w:pStyle w:val="FootnoteText"/>
        <w:ind w:left="900" w:hanging="900"/>
        <w:rPr>
          <w:sz w:val="24"/>
          <w:szCs w:val="24"/>
        </w:rPr>
      </w:pPr>
    </w:p>
    <w:p w14:paraId="4CF746C0" w14:textId="77777777" w:rsidR="005E4910" w:rsidRDefault="005E4910" w:rsidP="00DC2F86">
      <w:pPr>
        <w:pStyle w:val="FootnoteText"/>
        <w:ind w:left="900" w:hanging="900"/>
        <w:rPr>
          <w:sz w:val="24"/>
          <w:szCs w:val="24"/>
        </w:rPr>
      </w:pPr>
      <w:r w:rsidRPr="005E4910">
        <w:rPr>
          <w:sz w:val="24"/>
          <w:szCs w:val="24"/>
        </w:rPr>
        <w:t xml:space="preserve">Borjas, George J., “Immigration and Globalization: A Review Essay,” </w:t>
      </w:r>
      <w:r w:rsidRPr="005E4910">
        <w:rPr>
          <w:i/>
          <w:sz w:val="24"/>
          <w:szCs w:val="24"/>
        </w:rPr>
        <w:t xml:space="preserve">Journal of Economic Literature, </w:t>
      </w:r>
      <w:r w:rsidRPr="005E4910">
        <w:rPr>
          <w:sz w:val="24"/>
          <w:szCs w:val="24"/>
        </w:rPr>
        <w:t xml:space="preserve">Vol. 53, No. 4, (2015): 961-974. </w:t>
      </w:r>
    </w:p>
    <w:p w14:paraId="3B63A3C0" w14:textId="77777777" w:rsidR="005709ED" w:rsidRPr="005E4910" w:rsidRDefault="005709ED" w:rsidP="00DC2F86">
      <w:pPr>
        <w:pStyle w:val="FootnoteText"/>
        <w:ind w:left="900" w:hanging="900"/>
        <w:rPr>
          <w:sz w:val="24"/>
          <w:szCs w:val="24"/>
        </w:rPr>
      </w:pPr>
    </w:p>
    <w:p w14:paraId="456209FE" w14:textId="77777777" w:rsidR="005E4910" w:rsidRDefault="005E4910" w:rsidP="00DC2F86">
      <w:pPr>
        <w:widowControl w:val="0"/>
        <w:autoSpaceDE w:val="0"/>
        <w:autoSpaceDN w:val="0"/>
        <w:adjustRightInd w:val="0"/>
        <w:spacing w:line="240" w:lineRule="auto"/>
        <w:ind w:left="900" w:hanging="900"/>
      </w:pPr>
      <w:r w:rsidRPr="005E4910">
        <w:t xml:space="preserve">Borjas, George J., “The Labor Demand Curve Is Downward Sloping: Reexamining The Impact Of Immigration On The Labor Market,” </w:t>
      </w:r>
      <w:r w:rsidRPr="005E4910">
        <w:rPr>
          <w:i/>
        </w:rPr>
        <w:t>The Quarterly Journal Of Economics</w:t>
      </w:r>
      <w:r w:rsidRPr="005E4910">
        <w:t>, Vol.118, No.4, (2003).</w:t>
      </w:r>
    </w:p>
    <w:p w14:paraId="7151F459" w14:textId="77777777" w:rsidR="005709ED" w:rsidRPr="005E4910" w:rsidRDefault="005709ED" w:rsidP="00DC2F86">
      <w:pPr>
        <w:widowControl w:val="0"/>
        <w:autoSpaceDE w:val="0"/>
        <w:autoSpaceDN w:val="0"/>
        <w:adjustRightInd w:val="0"/>
        <w:spacing w:line="240" w:lineRule="auto"/>
        <w:ind w:left="900" w:hanging="900"/>
      </w:pPr>
    </w:p>
    <w:p w14:paraId="5D2631BC" w14:textId="4A4A0CD9" w:rsidR="005E4910" w:rsidRDefault="004806EC" w:rsidP="00DC2F86">
      <w:pPr>
        <w:spacing w:line="240" w:lineRule="auto"/>
        <w:ind w:left="900" w:hanging="900"/>
        <w:rPr>
          <w:color w:val="222222"/>
          <w:shd w:val="clear" w:color="auto" w:fill="FFFFFF"/>
        </w:rPr>
      </w:pPr>
      <w:r>
        <w:rPr>
          <w:color w:val="222222"/>
          <w:shd w:val="clear" w:color="auto" w:fill="FFFFFF"/>
        </w:rPr>
        <w:t>Borowski, Allan and Uri Yanay,</w:t>
      </w:r>
      <w:r w:rsidR="005E4910" w:rsidRPr="005E4910">
        <w:rPr>
          <w:color w:val="222222"/>
          <w:shd w:val="clear" w:color="auto" w:fill="FFFFFF"/>
        </w:rPr>
        <w:t xml:space="preserve"> "Temporary And Illegal Labour Migration: The Israeli Experience." </w:t>
      </w:r>
      <w:r w:rsidR="005E4910" w:rsidRPr="005E4910">
        <w:rPr>
          <w:i/>
          <w:iCs/>
          <w:color w:val="222222"/>
          <w:shd w:val="clear" w:color="auto" w:fill="FFFFFF"/>
        </w:rPr>
        <w:t>International Migration</w:t>
      </w:r>
      <w:r w:rsidR="005E4910" w:rsidRPr="005E4910">
        <w:rPr>
          <w:color w:val="222222"/>
          <w:shd w:val="clear" w:color="auto" w:fill="FFFFFF"/>
        </w:rPr>
        <w:t> Vol.35, No.4 (1997).</w:t>
      </w:r>
    </w:p>
    <w:p w14:paraId="7017F0CB" w14:textId="77777777" w:rsidR="005709ED" w:rsidRPr="005E4910" w:rsidRDefault="005709ED" w:rsidP="00DC2F86">
      <w:pPr>
        <w:spacing w:line="240" w:lineRule="auto"/>
        <w:ind w:left="900" w:hanging="900"/>
        <w:rPr>
          <w:color w:val="222222"/>
          <w:shd w:val="clear" w:color="auto" w:fill="FFFFFF"/>
        </w:rPr>
      </w:pPr>
    </w:p>
    <w:p w14:paraId="1D4ED8AF" w14:textId="77777777" w:rsidR="005E4910" w:rsidRDefault="005E4910" w:rsidP="00DC2F86">
      <w:pPr>
        <w:spacing w:line="240" w:lineRule="auto"/>
        <w:ind w:left="900" w:hanging="900"/>
        <w:rPr>
          <w:color w:val="222222"/>
          <w:shd w:val="clear" w:color="auto" w:fill="FFFFFF"/>
        </w:rPr>
      </w:pPr>
      <w:r w:rsidRPr="005E4910">
        <w:t xml:space="preserve">Brom, Shlomo, “Is The Begin Doctrine Still A Viable Option For Israel?” In </w:t>
      </w:r>
      <w:r w:rsidRPr="005E4910">
        <w:rPr>
          <w:i/>
        </w:rPr>
        <w:t xml:space="preserve">Getting Ready For A Nuclear Iran, </w:t>
      </w:r>
      <w:r w:rsidRPr="005E4910">
        <w:rPr>
          <w:iCs/>
          <w:color w:val="222222"/>
          <w:shd w:val="clear" w:color="auto" w:fill="FFFFFF"/>
        </w:rPr>
        <w:t>Sokolski And Clawson, Eds.,</w:t>
      </w:r>
      <w:r w:rsidRPr="005E4910">
        <w:rPr>
          <w:i/>
          <w:iCs/>
          <w:color w:val="222222"/>
          <w:shd w:val="clear" w:color="auto" w:fill="FFFFFF"/>
        </w:rPr>
        <w:t xml:space="preserve"> </w:t>
      </w:r>
      <w:r w:rsidRPr="005E4910">
        <w:rPr>
          <w:iCs/>
          <w:color w:val="222222"/>
          <w:shd w:val="clear" w:color="auto" w:fill="FFFFFF"/>
        </w:rPr>
        <w:t>The Strategic Studies Institute, (</w:t>
      </w:r>
      <w:r w:rsidRPr="005E4910">
        <w:rPr>
          <w:color w:val="222222"/>
          <w:shd w:val="clear" w:color="auto" w:fill="FFFFFF"/>
        </w:rPr>
        <w:t>2005).</w:t>
      </w:r>
    </w:p>
    <w:p w14:paraId="617D7C54" w14:textId="77777777" w:rsidR="005709ED" w:rsidRPr="005E4910" w:rsidRDefault="005709ED" w:rsidP="00DC2F86">
      <w:pPr>
        <w:spacing w:line="240" w:lineRule="auto"/>
        <w:ind w:left="900" w:hanging="900"/>
        <w:rPr>
          <w:color w:val="222222"/>
          <w:shd w:val="clear" w:color="auto" w:fill="FFFFFF"/>
        </w:rPr>
      </w:pPr>
    </w:p>
    <w:p w14:paraId="74DB6DD0" w14:textId="77777777" w:rsidR="005E4910" w:rsidRDefault="005E4910" w:rsidP="00DC2F86">
      <w:pPr>
        <w:spacing w:line="240" w:lineRule="auto"/>
        <w:ind w:left="900" w:hanging="900"/>
      </w:pPr>
      <w:r w:rsidRPr="005E4910">
        <w:t xml:space="preserve">Bueno de Mesquita, Ethan, “The Quality of Terror,” </w:t>
      </w:r>
      <w:r w:rsidRPr="005E4910">
        <w:rPr>
          <w:i/>
        </w:rPr>
        <w:t xml:space="preserve">American Journal of Political Science, </w:t>
      </w:r>
      <w:r w:rsidRPr="005E4910">
        <w:t>Vol.49 No.3, (2005): 515–30.</w:t>
      </w:r>
    </w:p>
    <w:p w14:paraId="2617819A" w14:textId="77777777" w:rsidR="005709ED" w:rsidRPr="005E4910" w:rsidRDefault="005709ED" w:rsidP="00DC2F86">
      <w:pPr>
        <w:spacing w:line="240" w:lineRule="auto"/>
        <w:ind w:left="900" w:hanging="900"/>
      </w:pPr>
    </w:p>
    <w:p w14:paraId="2110C644" w14:textId="77777777" w:rsidR="005E4910" w:rsidRPr="005E4910" w:rsidRDefault="005E4910" w:rsidP="00DC2F86">
      <w:pPr>
        <w:pStyle w:val="FootnoteText"/>
        <w:ind w:left="900" w:hanging="900"/>
        <w:rPr>
          <w:sz w:val="24"/>
          <w:szCs w:val="24"/>
        </w:rPr>
      </w:pPr>
      <w:r w:rsidRPr="005E4910">
        <w:rPr>
          <w:i/>
          <w:sz w:val="24"/>
          <w:szCs w:val="24"/>
        </w:rPr>
        <w:t xml:space="preserve">Building A Successful Palestinian State, </w:t>
      </w:r>
      <w:r w:rsidRPr="005E4910">
        <w:rPr>
          <w:sz w:val="24"/>
          <w:szCs w:val="24"/>
        </w:rPr>
        <w:t>The RAND Corporation, Santa Monica, CA, (2007).</w:t>
      </w:r>
    </w:p>
    <w:p w14:paraId="320CAEC5" w14:textId="77777777" w:rsidR="004806EC" w:rsidRDefault="005E4910" w:rsidP="00DC2F86">
      <w:pPr>
        <w:widowControl w:val="0"/>
        <w:autoSpaceDE w:val="0"/>
        <w:autoSpaceDN w:val="0"/>
        <w:adjustRightInd w:val="0"/>
        <w:spacing w:line="240" w:lineRule="auto"/>
        <w:ind w:left="900" w:hanging="900"/>
      </w:pPr>
      <w:r w:rsidRPr="005E4910">
        <w:t xml:space="preserve">Butler, Judith, </w:t>
      </w:r>
      <w:r w:rsidRPr="005E4910">
        <w:rPr>
          <w:i/>
        </w:rPr>
        <w:t xml:space="preserve">Precarious Life: The Powers Of Mourning And Violence, </w:t>
      </w:r>
      <w:r w:rsidRPr="005E4910">
        <w:t>Verso, London, UK, (2004).</w:t>
      </w:r>
    </w:p>
    <w:p w14:paraId="6ED3B7AD" w14:textId="77777777" w:rsidR="005709ED" w:rsidRDefault="005709ED" w:rsidP="00DC2F86">
      <w:pPr>
        <w:widowControl w:val="0"/>
        <w:autoSpaceDE w:val="0"/>
        <w:autoSpaceDN w:val="0"/>
        <w:adjustRightInd w:val="0"/>
        <w:spacing w:line="240" w:lineRule="auto"/>
        <w:ind w:left="900" w:hanging="900"/>
      </w:pPr>
    </w:p>
    <w:p w14:paraId="2302E160" w14:textId="2B998932" w:rsidR="005E4910" w:rsidRDefault="005E4910" w:rsidP="00DC2F86">
      <w:pPr>
        <w:widowControl w:val="0"/>
        <w:autoSpaceDE w:val="0"/>
        <w:autoSpaceDN w:val="0"/>
        <w:adjustRightInd w:val="0"/>
        <w:spacing w:line="240" w:lineRule="auto"/>
        <w:ind w:left="900" w:hanging="900"/>
      </w:pPr>
      <w:r w:rsidRPr="005E4910">
        <w:t xml:space="preserve">Cali, Massimiliano and Sami H. Miaari, “The Labour Market Impacts of Mobility Restrictions: Evidence from the West Bank,” </w:t>
      </w:r>
      <w:r w:rsidRPr="005E4910">
        <w:rPr>
          <w:i/>
        </w:rPr>
        <w:t>Conference Paper: 53</w:t>
      </w:r>
      <w:r w:rsidRPr="005E4910">
        <w:rPr>
          <w:i/>
          <w:vertAlign w:val="superscript"/>
        </w:rPr>
        <w:t>rd</w:t>
      </w:r>
      <w:r w:rsidRPr="005E4910">
        <w:rPr>
          <w:i/>
        </w:rPr>
        <w:t xml:space="preserve"> Congress of the European Regional Science Association</w:t>
      </w:r>
      <w:r w:rsidRPr="005E4910">
        <w:t>, (2013).</w:t>
      </w:r>
    </w:p>
    <w:p w14:paraId="4B3A53AB" w14:textId="77777777" w:rsidR="005709ED" w:rsidRPr="005E4910" w:rsidRDefault="005709ED" w:rsidP="00DC2F86">
      <w:pPr>
        <w:widowControl w:val="0"/>
        <w:autoSpaceDE w:val="0"/>
        <w:autoSpaceDN w:val="0"/>
        <w:adjustRightInd w:val="0"/>
        <w:spacing w:line="240" w:lineRule="auto"/>
        <w:ind w:left="900" w:hanging="900"/>
      </w:pPr>
    </w:p>
    <w:p w14:paraId="408CF25F" w14:textId="77777777" w:rsidR="005E4910" w:rsidRDefault="005E4910" w:rsidP="00DC2F86">
      <w:pPr>
        <w:pStyle w:val="FootnoteText"/>
        <w:ind w:left="900" w:hanging="900"/>
        <w:rPr>
          <w:sz w:val="24"/>
          <w:szCs w:val="24"/>
        </w:rPr>
      </w:pPr>
      <w:r w:rsidRPr="005E4910">
        <w:rPr>
          <w:sz w:val="24"/>
          <w:szCs w:val="24"/>
        </w:rPr>
        <w:t xml:space="preserve">Calvert, John, </w:t>
      </w:r>
      <w:r w:rsidRPr="005E4910">
        <w:rPr>
          <w:i/>
          <w:sz w:val="24"/>
          <w:szCs w:val="24"/>
        </w:rPr>
        <w:t xml:space="preserve">Sayyid Qutb And The Origins Of Radical Islam, </w:t>
      </w:r>
      <w:r w:rsidRPr="005E4910">
        <w:rPr>
          <w:sz w:val="24"/>
          <w:szCs w:val="24"/>
        </w:rPr>
        <w:t>Columbia University Press, (2010).</w:t>
      </w:r>
    </w:p>
    <w:p w14:paraId="17A8AFA6" w14:textId="77777777" w:rsidR="005709ED" w:rsidRPr="005E4910" w:rsidRDefault="005709ED" w:rsidP="00DC2F86">
      <w:pPr>
        <w:pStyle w:val="FootnoteText"/>
        <w:ind w:left="900" w:hanging="900"/>
        <w:rPr>
          <w:sz w:val="24"/>
          <w:szCs w:val="24"/>
        </w:rPr>
      </w:pPr>
    </w:p>
    <w:p w14:paraId="7A3AFFD3" w14:textId="77777777" w:rsidR="005E4910" w:rsidRDefault="005E4910" w:rsidP="00DC2F86">
      <w:pPr>
        <w:pStyle w:val="FootnoteText"/>
        <w:ind w:left="900" w:hanging="900"/>
        <w:rPr>
          <w:sz w:val="24"/>
          <w:szCs w:val="24"/>
        </w:rPr>
      </w:pPr>
      <w:r w:rsidRPr="005E4910">
        <w:rPr>
          <w:sz w:val="24"/>
          <w:szCs w:val="24"/>
        </w:rPr>
        <w:t xml:space="preserve">Canetti, Daphna, and Nancy Hite, “A Checkpoint Effect? Evidence From A Natural Experiment On Travel Restrictions In The West Bank,” </w:t>
      </w:r>
      <w:r w:rsidRPr="005E4910">
        <w:rPr>
          <w:i/>
          <w:sz w:val="24"/>
          <w:szCs w:val="24"/>
        </w:rPr>
        <w:t xml:space="preserve">American Journal Of Political Science, </w:t>
      </w:r>
      <w:r w:rsidRPr="005E4910">
        <w:rPr>
          <w:sz w:val="24"/>
          <w:szCs w:val="24"/>
        </w:rPr>
        <w:t xml:space="preserve">Vol.58, No.4, (2014): 1006-1023. </w:t>
      </w:r>
    </w:p>
    <w:p w14:paraId="3D6735B1" w14:textId="77777777" w:rsidR="005709ED" w:rsidRPr="005E4910" w:rsidRDefault="005709ED" w:rsidP="00DC2F86">
      <w:pPr>
        <w:pStyle w:val="FootnoteText"/>
        <w:ind w:left="900" w:hanging="900"/>
        <w:rPr>
          <w:sz w:val="24"/>
          <w:szCs w:val="24"/>
        </w:rPr>
      </w:pPr>
    </w:p>
    <w:p w14:paraId="44752F46" w14:textId="77777777" w:rsidR="005E4910" w:rsidRDefault="005E4910" w:rsidP="00DC2F86">
      <w:pPr>
        <w:widowControl w:val="0"/>
        <w:autoSpaceDE w:val="0"/>
        <w:autoSpaceDN w:val="0"/>
        <w:adjustRightInd w:val="0"/>
        <w:spacing w:line="240" w:lineRule="auto"/>
        <w:ind w:left="900" w:hanging="900"/>
      </w:pPr>
      <w:r w:rsidRPr="005E4910">
        <w:t xml:space="preserve">Card, David, “Is The New Immigration Really So Bad?,” </w:t>
      </w:r>
      <w:r w:rsidRPr="005E4910">
        <w:rPr>
          <w:i/>
        </w:rPr>
        <w:t>Economic Journal,</w:t>
      </w:r>
      <w:r w:rsidRPr="005E4910">
        <w:t xml:space="preserve"> Vol.115, No.507, (2005): F300–F323. </w:t>
      </w:r>
    </w:p>
    <w:p w14:paraId="3B839E98" w14:textId="77777777" w:rsidR="005709ED" w:rsidRPr="005E4910" w:rsidRDefault="005709ED" w:rsidP="00DC2F86">
      <w:pPr>
        <w:widowControl w:val="0"/>
        <w:autoSpaceDE w:val="0"/>
        <w:autoSpaceDN w:val="0"/>
        <w:adjustRightInd w:val="0"/>
        <w:spacing w:line="240" w:lineRule="auto"/>
        <w:ind w:left="900" w:hanging="900"/>
      </w:pPr>
    </w:p>
    <w:p w14:paraId="5EA36060" w14:textId="77777777" w:rsidR="005E4910" w:rsidRDefault="005E4910" w:rsidP="00DC2F86">
      <w:pPr>
        <w:widowControl w:val="0"/>
        <w:autoSpaceDE w:val="0"/>
        <w:autoSpaceDN w:val="0"/>
        <w:adjustRightInd w:val="0"/>
        <w:spacing w:line="240" w:lineRule="auto"/>
        <w:ind w:left="900" w:hanging="900"/>
      </w:pPr>
      <w:r w:rsidRPr="005E4910">
        <w:t xml:space="preserve">Chiquiar, Daniel and Gordon H. Hanson, “International Migration, Self-Selection, And The Distribution Of Wages: Evidence From Mexico And The United States,” </w:t>
      </w:r>
      <w:r w:rsidRPr="005E4910">
        <w:rPr>
          <w:i/>
        </w:rPr>
        <w:t>Journal Of Political Economy,</w:t>
      </w:r>
      <w:r w:rsidRPr="005E4910">
        <w:t xml:space="preserve"> Vol.113, No.2, (2005).</w:t>
      </w:r>
    </w:p>
    <w:p w14:paraId="4367F826" w14:textId="77777777" w:rsidR="005709ED" w:rsidRPr="005E4910" w:rsidRDefault="005709ED" w:rsidP="00DC2F86">
      <w:pPr>
        <w:widowControl w:val="0"/>
        <w:autoSpaceDE w:val="0"/>
        <w:autoSpaceDN w:val="0"/>
        <w:adjustRightInd w:val="0"/>
        <w:spacing w:line="240" w:lineRule="auto"/>
        <w:ind w:left="900" w:hanging="900"/>
      </w:pPr>
    </w:p>
    <w:p w14:paraId="3CB53BCF" w14:textId="77777777" w:rsidR="005E4910" w:rsidRDefault="005E4910" w:rsidP="00DC2F86">
      <w:pPr>
        <w:pStyle w:val="FootnoteText"/>
        <w:ind w:left="900" w:hanging="900"/>
        <w:rPr>
          <w:sz w:val="24"/>
          <w:szCs w:val="24"/>
        </w:rPr>
      </w:pPr>
      <w:r w:rsidRPr="005E4910">
        <w:rPr>
          <w:sz w:val="24"/>
          <w:szCs w:val="24"/>
        </w:rPr>
        <w:t xml:space="preserve">Clemens Michael A., and Lant Pritchett, “The New Economic Case For Migration Restrictions: An Assessment,” </w:t>
      </w:r>
      <w:r w:rsidRPr="005E4910">
        <w:rPr>
          <w:i/>
          <w:sz w:val="24"/>
          <w:szCs w:val="24"/>
        </w:rPr>
        <w:t xml:space="preserve">NYU Development Research Institute: Working Paper No.100, </w:t>
      </w:r>
      <w:r w:rsidRPr="005E4910">
        <w:rPr>
          <w:sz w:val="24"/>
          <w:szCs w:val="24"/>
        </w:rPr>
        <w:t>(January 2016).</w:t>
      </w:r>
    </w:p>
    <w:p w14:paraId="06A795DC" w14:textId="77777777" w:rsidR="005709ED" w:rsidRPr="005E4910" w:rsidRDefault="005709ED" w:rsidP="00DC2F86">
      <w:pPr>
        <w:pStyle w:val="FootnoteText"/>
        <w:ind w:left="900" w:hanging="900"/>
        <w:rPr>
          <w:sz w:val="24"/>
          <w:szCs w:val="24"/>
        </w:rPr>
      </w:pPr>
    </w:p>
    <w:p w14:paraId="0FC4547C" w14:textId="77777777" w:rsidR="005E4910" w:rsidRDefault="005E4910" w:rsidP="00DC2F86">
      <w:pPr>
        <w:tabs>
          <w:tab w:val="left" w:pos="0"/>
        </w:tabs>
        <w:spacing w:line="240" w:lineRule="auto"/>
        <w:ind w:left="900" w:hanging="900"/>
        <w:rPr>
          <w:color w:val="000000"/>
          <w:shd w:val="clear" w:color="auto" w:fill="FFFFFF"/>
        </w:rPr>
      </w:pPr>
      <w:r w:rsidRPr="005E4910">
        <w:rPr>
          <w:color w:val="000000"/>
          <w:shd w:val="clear" w:color="auto" w:fill="FFFFFF"/>
        </w:rPr>
        <w:t xml:space="preserve">Clemens, Michael A., "Economics And Emigration: Trillion-Dollar Bills On The Sidewalk?" </w:t>
      </w:r>
      <w:r w:rsidRPr="005E4910">
        <w:rPr>
          <w:i/>
          <w:iCs/>
          <w:color w:val="000000"/>
          <w:shd w:val="clear" w:color="auto" w:fill="FFFFFF"/>
        </w:rPr>
        <w:t>Journal Of Economic Perspectives</w:t>
      </w:r>
      <w:r w:rsidRPr="005E4910">
        <w:rPr>
          <w:color w:val="000000"/>
          <w:shd w:val="clear" w:color="auto" w:fill="FFFFFF"/>
        </w:rPr>
        <w:t>, Vol.25, No.3, (2011).</w:t>
      </w:r>
    </w:p>
    <w:p w14:paraId="662CDA68" w14:textId="77777777" w:rsidR="005709ED" w:rsidRPr="005E4910" w:rsidRDefault="005709ED" w:rsidP="00DC2F86">
      <w:pPr>
        <w:tabs>
          <w:tab w:val="left" w:pos="0"/>
        </w:tabs>
        <w:spacing w:line="240" w:lineRule="auto"/>
        <w:ind w:left="900" w:hanging="900"/>
        <w:rPr>
          <w:color w:val="000000"/>
          <w:shd w:val="clear" w:color="auto" w:fill="FFFFFF"/>
        </w:rPr>
      </w:pPr>
    </w:p>
    <w:p w14:paraId="79E9DC2E" w14:textId="77777777" w:rsidR="005E4910" w:rsidRDefault="005E4910" w:rsidP="00DC2F86">
      <w:pPr>
        <w:tabs>
          <w:tab w:val="left" w:pos="0"/>
        </w:tabs>
        <w:spacing w:line="240" w:lineRule="auto"/>
        <w:ind w:left="900" w:hanging="900"/>
        <w:rPr>
          <w:color w:val="000000"/>
          <w:shd w:val="clear" w:color="auto" w:fill="FFFFFF"/>
        </w:rPr>
      </w:pPr>
      <w:r w:rsidRPr="005E4910">
        <w:rPr>
          <w:color w:val="000000"/>
          <w:shd w:val="clear" w:color="auto" w:fill="FFFFFF"/>
        </w:rPr>
        <w:t xml:space="preserve">Clemens, Michael A., Claudio Montenegro, And Lant Pritchett, “The Place Premium: Wage Differences For Identical Workers Across The US Border,” </w:t>
      </w:r>
      <w:r w:rsidRPr="005E4910">
        <w:rPr>
          <w:i/>
          <w:color w:val="000000"/>
          <w:shd w:val="clear" w:color="auto" w:fill="FFFFFF"/>
        </w:rPr>
        <w:t xml:space="preserve">Harvard Kennedy School, Faculty Research Working Papers Series, </w:t>
      </w:r>
      <w:r w:rsidRPr="005E4910">
        <w:rPr>
          <w:color w:val="000000"/>
          <w:shd w:val="clear" w:color="auto" w:fill="FFFFFF"/>
        </w:rPr>
        <w:t>(2009).</w:t>
      </w:r>
    </w:p>
    <w:p w14:paraId="61C3BE8A" w14:textId="77777777" w:rsidR="005709ED" w:rsidRPr="005E4910" w:rsidRDefault="005709ED" w:rsidP="00DC2F86">
      <w:pPr>
        <w:tabs>
          <w:tab w:val="left" w:pos="0"/>
        </w:tabs>
        <w:spacing w:line="240" w:lineRule="auto"/>
        <w:ind w:left="900" w:hanging="900"/>
        <w:rPr>
          <w:color w:val="000000"/>
          <w:shd w:val="clear" w:color="auto" w:fill="FFFFFF"/>
        </w:rPr>
      </w:pPr>
    </w:p>
    <w:p w14:paraId="1BB0C753" w14:textId="77777777" w:rsidR="005E4910" w:rsidRDefault="005E4910" w:rsidP="00DC2F86">
      <w:pPr>
        <w:pStyle w:val="FootnoteText"/>
        <w:ind w:left="900" w:hanging="900"/>
        <w:rPr>
          <w:sz w:val="24"/>
          <w:szCs w:val="24"/>
        </w:rPr>
      </w:pPr>
      <w:r w:rsidRPr="005E4910">
        <w:rPr>
          <w:sz w:val="24"/>
          <w:szCs w:val="24"/>
        </w:rPr>
        <w:t xml:space="preserve">Cohen, Shaul E., “Israel’s West Bank Barrier: An Impediment To Peace?” </w:t>
      </w:r>
      <w:r w:rsidRPr="005E4910">
        <w:rPr>
          <w:i/>
          <w:sz w:val="24"/>
          <w:szCs w:val="24"/>
        </w:rPr>
        <w:t xml:space="preserve">The Geographical Review, </w:t>
      </w:r>
      <w:r w:rsidRPr="005E4910">
        <w:rPr>
          <w:sz w:val="24"/>
          <w:szCs w:val="24"/>
        </w:rPr>
        <w:t>Vol.96, No.4, (October 2006): 682-695.</w:t>
      </w:r>
    </w:p>
    <w:p w14:paraId="2D71B084" w14:textId="77777777" w:rsidR="005709ED" w:rsidRPr="005E4910" w:rsidRDefault="005709ED" w:rsidP="00DC2F86">
      <w:pPr>
        <w:pStyle w:val="FootnoteText"/>
        <w:ind w:left="900" w:hanging="900"/>
        <w:rPr>
          <w:sz w:val="24"/>
          <w:szCs w:val="24"/>
        </w:rPr>
      </w:pPr>
    </w:p>
    <w:p w14:paraId="7D8D7F82" w14:textId="77777777" w:rsidR="005709ED" w:rsidRDefault="005E4910" w:rsidP="00DC2F86">
      <w:pPr>
        <w:pStyle w:val="FootnoteText"/>
        <w:ind w:left="900" w:hanging="900"/>
        <w:rPr>
          <w:rStyle w:val="Hyperlink"/>
          <w:sz w:val="24"/>
          <w:szCs w:val="24"/>
        </w:rPr>
      </w:pPr>
      <w:r w:rsidRPr="005E4910">
        <w:rPr>
          <w:sz w:val="24"/>
          <w:szCs w:val="24"/>
        </w:rPr>
        <w:t xml:space="preserve">Collier, Paul and Anke Hoeffler, “Military Expenditure: Threats, Aid, And Arms Races,” </w:t>
      </w:r>
      <w:r w:rsidRPr="005E4910">
        <w:rPr>
          <w:i/>
          <w:sz w:val="24"/>
          <w:szCs w:val="24"/>
        </w:rPr>
        <w:t xml:space="preserve">The World Bank: Policy Research Working Paper No. 2927, </w:t>
      </w:r>
      <w:r w:rsidRPr="005E4910">
        <w:rPr>
          <w:sz w:val="24"/>
          <w:szCs w:val="24"/>
        </w:rPr>
        <w:t>(November 2002)</w:t>
      </w:r>
      <w:r w:rsidRPr="005E4910">
        <w:rPr>
          <w:i/>
          <w:sz w:val="24"/>
          <w:szCs w:val="24"/>
        </w:rPr>
        <w:t xml:space="preserve"> </w:t>
      </w:r>
      <w:r w:rsidRPr="005E4910">
        <w:rPr>
          <w:sz w:val="24"/>
          <w:szCs w:val="24"/>
        </w:rPr>
        <w:t xml:space="preserve">Web, Retrieved 20 Mar 2016, </w:t>
      </w:r>
      <w:hyperlink r:id="rId37" w:history="1">
        <w:r w:rsidRPr="005E4910">
          <w:rPr>
            <w:rStyle w:val="Hyperlink"/>
            <w:sz w:val="24"/>
            <w:szCs w:val="24"/>
          </w:rPr>
          <w:t>Http://213.154.74.164/Invenio/Record/13296/Files/Wps2927.Pdf</w:t>
        </w:r>
      </w:hyperlink>
      <w:r w:rsidR="005709ED">
        <w:rPr>
          <w:rStyle w:val="Hyperlink"/>
          <w:sz w:val="24"/>
          <w:szCs w:val="24"/>
        </w:rPr>
        <w:t>.</w:t>
      </w:r>
    </w:p>
    <w:p w14:paraId="67DB834E" w14:textId="386189F9" w:rsidR="005E4910" w:rsidRPr="005E4910" w:rsidRDefault="005E4910" w:rsidP="00DC2F86">
      <w:pPr>
        <w:pStyle w:val="FootnoteText"/>
        <w:ind w:left="900" w:hanging="900"/>
        <w:rPr>
          <w:sz w:val="24"/>
          <w:szCs w:val="24"/>
        </w:rPr>
      </w:pPr>
      <w:r w:rsidRPr="005E4910">
        <w:rPr>
          <w:sz w:val="24"/>
          <w:szCs w:val="24"/>
        </w:rPr>
        <w:t xml:space="preserve"> </w:t>
      </w:r>
    </w:p>
    <w:p w14:paraId="6B494477" w14:textId="77777777" w:rsidR="005E4910" w:rsidRDefault="005E4910" w:rsidP="00DC2F86">
      <w:pPr>
        <w:widowControl w:val="0"/>
        <w:autoSpaceDE w:val="0"/>
        <w:autoSpaceDN w:val="0"/>
        <w:adjustRightInd w:val="0"/>
        <w:spacing w:line="240" w:lineRule="auto"/>
        <w:ind w:left="900" w:hanging="900"/>
      </w:pPr>
      <w:r w:rsidRPr="005E4910">
        <w:t xml:space="preserve">Coser, Lewis, </w:t>
      </w:r>
      <w:r w:rsidRPr="005E4910">
        <w:rPr>
          <w:i/>
        </w:rPr>
        <w:t>The Functions Of Social Conflict,</w:t>
      </w:r>
      <w:r w:rsidRPr="005E4910">
        <w:t xml:space="preserve"> Free Press, New York, NY, (1956).</w:t>
      </w:r>
    </w:p>
    <w:p w14:paraId="10F6F717" w14:textId="77777777" w:rsidR="005709ED" w:rsidRPr="005E4910" w:rsidRDefault="005709ED" w:rsidP="00DC2F86">
      <w:pPr>
        <w:widowControl w:val="0"/>
        <w:autoSpaceDE w:val="0"/>
        <w:autoSpaceDN w:val="0"/>
        <w:adjustRightInd w:val="0"/>
        <w:spacing w:line="240" w:lineRule="auto"/>
        <w:ind w:left="900" w:hanging="900"/>
      </w:pPr>
    </w:p>
    <w:p w14:paraId="74D4701B" w14:textId="77777777" w:rsidR="005E4910" w:rsidRDefault="005E4910" w:rsidP="00DC2F86">
      <w:pPr>
        <w:spacing w:line="240" w:lineRule="auto"/>
        <w:ind w:left="900" w:hanging="900"/>
      </w:pPr>
      <w:r w:rsidRPr="005E4910">
        <w:t xml:space="preserve">Cottam, Martha, </w:t>
      </w:r>
      <w:r w:rsidRPr="005E4910">
        <w:rPr>
          <w:i/>
        </w:rPr>
        <w:t xml:space="preserve">Images And Intervention: U.S. Policies In Latin America, </w:t>
      </w:r>
      <w:r w:rsidRPr="005E4910">
        <w:t xml:space="preserve">University Of Pittsburgh Press, Pittsburgh, PA, (1994). </w:t>
      </w:r>
    </w:p>
    <w:p w14:paraId="6D71FAD4" w14:textId="77777777" w:rsidR="005709ED" w:rsidRPr="005E4910" w:rsidRDefault="005709ED" w:rsidP="00DC2F86">
      <w:pPr>
        <w:spacing w:line="240" w:lineRule="auto"/>
        <w:ind w:left="900" w:hanging="900"/>
      </w:pPr>
    </w:p>
    <w:p w14:paraId="14DDA4C9" w14:textId="77777777" w:rsidR="005E4910" w:rsidRDefault="005E4910" w:rsidP="00DC2F86">
      <w:pPr>
        <w:pStyle w:val="FootnoteText"/>
        <w:ind w:left="900" w:hanging="900"/>
        <w:rPr>
          <w:sz w:val="24"/>
          <w:szCs w:val="24"/>
        </w:rPr>
      </w:pPr>
      <w:r w:rsidRPr="005E4910">
        <w:rPr>
          <w:sz w:val="24"/>
          <w:szCs w:val="24"/>
        </w:rPr>
        <w:t xml:space="preserve">Dana, Tariq, “The Symbiosis Between Palestinian ‘Fayyadism’ And Israeli ‘Economic Peace’: The Political Economy Of Capitalist Peace In The Context Of Colonization,” </w:t>
      </w:r>
      <w:r w:rsidRPr="005E4910">
        <w:rPr>
          <w:i/>
          <w:sz w:val="24"/>
          <w:szCs w:val="24"/>
        </w:rPr>
        <w:t xml:space="preserve">Conflict, Security &amp; Development, </w:t>
      </w:r>
      <w:r w:rsidRPr="005E4910">
        <w:rPr>
          <w:sz w:val="24"/>
          <w:szCs w:val="24"/>
        </w:rPr>
        <w:t>Vol.15, No.5, (2015): 455-477.</w:t>
      </w:r>
    </w:p>
    <w:p w14:paraId="48B0902D" w14:textId="77777777" w:rsidR="005709ED" w:rsidRPr="005E4910" w:rsidRDefault="005709ED" w:rsidP="00DC2F86">
      <w:pPr>
        <w:pStyle w:val="FootnoteText"/>
        <w:ind w:left="900" w:hanging="900"/>
        <w:rPr>
          <w:sz w:val="24"/>
          <w:szCs w:val="24"/>
        </w:rPr>
      </w:pPr>
    </w:p>
    <w:p w14:paraId="160778EE" w14:textId="77777777" w:rsidR="005E4910" w:rsidRDefault="005E4910" w:rsidP="00DC2F86">
      <w:pPr>
        <w:pStyle w:val="FootnoteText"/>
        <w:ind w:left="900" w:hanging="900"/>
        <w:rPr>
          <w:sz w:val="24"/>
          <w:szCs w:val="24"/>
        </w:rPr>
      </w:pPr>
      <w:r w:rsidRPr="005E4910">
        <w:rPr>
          <w:i/>
          <w:sz w:val="24"/>
          <w:szCs w:val="24"/>
        </w:rPr>
        <w:t xml:space="preserve">Developing The Occupied Territories: An Investment In Peace, </w:t>
      </w:r>
      <w:r w:rsidRPr="005E4910">
        <w:rPr>
          <w:sz w:val="24"/>
          <w:szCs w:val="24"/>
        </w:rPr>
        <w:t>The World Bank Group, Washington DC (1993).</w:t>
      </w:r>
    </w:p>
    <w:p w14:paraId="3897DD3F" w14:textId="77777777" w:rsidR="005709ED" w:rsidRPr="005E4910" w:rsidRDefault="005709ED" w:rsidP="00DC2F86">
      <w:pPr>
        <w:pStyle w:val="FootnoteText"/>
        <w:ind w:left="900" w:hanging="900"/>
        <w:rPr>
          <w:sz w:val="24"/>
          <w:szCs w:val="24"/>
        </w:rPr>
      </w:pPr>
    </w:p>
    <w:p w14:paraId="37B707FF" w14:textId="77777777" w:rsidR="005E4910" w:rsidRDefault="005E4910" w:rsidP="00DC2F86">
      <w:pPr>
        <w:pStyle w:val="FootnoteText"/>
        <w:ind w:left="900" w:hanging="900"/>
        <w:rPr>
          <w:sz w:val="24"/>
          <w:szCs w:val="24"/>
        </w:rPr>
      </w:pPr>
      <w:r w:rsidRPr="005E4910">
        <w:rPr>
          <w:sz w:val="24"/>
          <w:szCs w:val="24"/>
        </w:rPr>
        <w:t xml:space="preserve">Dewall, Nathan C., Craig A. Anderson, And Brad Bushman, “The General Aggression Model: Theoretical Extensions To Violence,” </w:t>
      </w:r>
      <w:r w:rsidRPr="005E4910">
        <w:rPr>
          <w:i/>
          <w:sz w:val="24"/>
          <w:szCs w:val="24"/>
        </w:rPr>
        <w:t xml:space="preserve">Psychology Of Violence, </w:t>
      </w:r>
      <w:r w:rsidRPr="005E4910">
        <w:rPr>
          <w:sz w:val="24"/>
          <w:szCs w:val="24"/>
        </w:rPr>
        <w:t>Vol.1, No.3, (2011): 245-258.</w:t>
      </w:r>
    </w:p>
    <w:p w14:paraId="350F9DFE" w14:textId="77777777" w:rsidR="005709ED" w:rsidRPr="005E4910" w:rsidRDefault="005709ED" w:rsidP="00DC2F86">
      <w:pPr>
        <w:pStyle w:val="FootnoteText"/>
        <w:ind w:left="900" w:hanging="900"/>
        <w:rPr>
          <w:sz w:val="24"/>
          <w:szCs w:val="24"/>
        </w:rPr>
      </w:pPr>
    </w:p>
    <w:p w14:paraId="03BA8AB2" w14:textId="77777777" w:rsidR="005E4910" w:rsidRDefault="005E4910" w:rsidP="00DC2F86">
      <w:pPr>
        <w:tabs>
          <w:tab w:val="left" w:pos="900"/>
        </w:tabs>
        <w:spacing w:line="240" w:lineRule="auto"/>
        <w:ind w:left="900" w:hanging="900"/>
        <w:jc w:val="both"/>
      </w:pPr>
      <w:r w:rsidRPr="005E4910">
        <w:rPr>
          <w:bCs/>
        </w:rPr>
        <w:lastRenderedPageBreak/>
        <w:t xml:space="preserve">Diwan, Ishac and Radwan Shaban, </w:t>
      </w:r>
      <w:r w:rsidRPr="005E4910">
        <w:rPr>
          <w:i/>
        </w:rPr>
        <w:t>Development Under Adversity: The Palestinian Economy In Transition.</w:t>
      </w:r>
      <w:r w:rsidRPr="005E4910">
        <w:t xml:space="preserve"> MAS-World Bank Joint Report, Washington, DC, (1999). </w:t>
      </w:r>
    </w:p>
    <w:p w14:paraId="332CE687" w14:textId="77777777" w:rsidR="005709ED" w:rsidRPr="005E4910" w:rsidRDefault="005709ED" w:rsidP="00DC2F86">
      <w:pPr>
        <w:tabs>
          <w:tab w:val="left" w:pos="900"/>
        </w:tabs>
        <w:spacing w:line="240" w:lineRule="auto"/>
        <w:ind w:left="900" w:hanging="900"/>
        <w:jc w:val="both"/>
      </w:pPr>
    </w:p>
    <w:p w14:paraId="266785F7" w14:textId="77777777" w:rsidR="005E4910" w:rsidRDefault="005E4910" w:rsidP="00DC2F86">
      <w:pPr>
        <w:pStyle w:val="FootnoteText"/>
        <w:ind w:left="900" w:hanging="900"/>
        <w:rPr>
          <w:sz w:val="24"/>
          <w:szCs w:val="24"/>
        </w:rPr>
      </w:pPr>
      <w:r w:rsidRPr="005E4910">
        <w:rPr>
          <w:sz w:val="24"/>
          <w:szCs w:val="24"/>
        </w:rPr>
        <w:t xml:space="preserve">Drori, Israel, </w:t>
      </w:r>
      <w:r w:rsidRPr="005E4910">
        <w:rPr>
          <w:i/>
          <w:sz w:val="24"/>
          <w:szCs w:val="24"/>
        </w:rPr>
        <w:t xml:space="preserve">Foreign Workers in Israel: Global Perspectives, </w:t>
      </w:r>
      <w:r w:rsidRPr="005E4910">
        <w:rPr>
          <w:sz w:val="24"/>
          <w:szCs w:val="24"/>
        </w:rPr>
        <w:t>State University of New York Press, Albany, NY, (2009).</w:t>
      </w:r>
    </w:p>
    <w:p w14:paraId="5C9486EF" w14:textId="77777777" w:rsidR="005709ED" w:rsidRPr="005E4910" w:rsidRDefault="005709ED" w:rsidP="00DC2F86">
      <w:pPr>
        <w:pStyle w:val="FootnoteText"/>
        <w:ind w:left="900" w:hanging="900"/>
        <w:rPr>
          <w:sz w:val="24"/>
          <w:szCs w:val="24"/>
        </w:rPr>
      </w:pPr>
    </w:p>
    <w:p w14:paraId="6C8B0A27" w14:textId="77777777" w:rsidR="005E4910" w:rsidRDefault="005E4910" w:rsidP="00DC2F86">
      <w:pPr>
        <w:widowControl w:val="0"/>
        <w:autoSpaceDE w:val="0"/>
        <w:autoSpaceDN w:val="0"/>
        <w:adjustRightInd w:val="0"/>
        <w:spacing w:line="240" w:lineRule="auto"/>
        <w:ind w:left="900" w:hanging="900"/>
      </w:pPr>
      <w:r w:rsidRPr="005E4910">
        <w:t xml:space="preserve">Dustmann, C., A. Glitz, And T. Frattini, “The Labour Market Impact Of Immigration," </w:t>
      </w:r>
      <w:r w:rsidRPr="005E4910">
        <w:rPr>
          <w:i/>
        </w:rPr>
        <w:t>Oxford Review Of Economic Policy,</w:t>
      </w:r>
      <w:r w:rsidRPr="005E4910">
        <w:t xml:space="preserve"> Vol.24, No.3, (2008).</w:t>
      </w:r>
    </w:p>
    <w:p w14:paraId="49095A03" w14:textId="77777777" w:rsidR="005709ED" w:rsidRPr="005E4910" w:rsidRDefault="005709ED" w:rsidP="00DC2F86">
      <w:pPr>
        <w:widowControl w:val="0"/>
        <w:autoSpaceDE w:val="0"/>
        <w:autoSpaceDN w:val="0"/>
        <w:adjustRightInd w:val="0"/>
        <w:spacing w:line="240" w:lineRule="auto"/>
        <w:ind w:left="900" w:hanging="900"/>
      </w:pPr>
    </w:p>
    <w:p w14:paraId="2D116791" w14:textId="77777777" w:rsidR="005E4910" w:rsidRDefault="005E4910" w:rsidP="00DC2F86">
      <w:pPr>
        <w:pStyle w:val="FootnoteText"/>
        <w:ind w:left="900" w:hanging="900"/>
        <w:rPr>
          <w:sz w:val="24"/>
          <w:szCs w:val="24"/>
        </w:rPr>
      </w:pPr>
      <w:r w:rsidRPr="005E4910">
        <w:rPr>
          <w:i/>
          <w:sz w:val="24"/>
          <w:szCs w:val="24"/>
        </w:rPr>
        <w:t xml:space="preserve">Employment Of Palestinians In Israel And The Settlements: Restrictive Policies And Abuse Of Rights, </w:t>
      </w:r>
      <w:r w:rsidRPr="005E4910">
        <w:rPr>
          <w:sz w:val="24"/>
          <w:szCs w:val="24"/>
        </w:rPr>
        <w:t xml:space="preserve">Kav Laoved, (August 2012). </w:t>
      </w:r>
    </w:p>
    <w:p w14:paraId="06CF011B" w14:textId="77777777" w:rsidR="005709ED" w:rsidRPr="005E4910" w:rsidRDefault="005709ED" w:rsidP="00DC2F86">
      <w:pPr>
        <w:pStyle w:val="FootnoteText"/>
        <w:ind w:left="900" w:hanging="900"/>
        <w:rPr>
          <w:sz w:val="24"/>
          <w:szCs w:val="24"/>
        </w:rPr>
      </w:pPr>
    </w:p>
    <w:p w14:paraId="28BCF1E9" w14:textId="581C6A92" w:rsidR="005E4910" w:rsidRDefault="005E4910" w:rsidP="00DC2F86">
      <w:pPr>
        <w:tabs>
          <w:tab w:val="left" w:pos="0"/>
        </w:tabs>
        <w:spacing w:line="240" w:lineRule="auto"/>
        <w:ind w:left="900" w:hanging="900"/>
      </w:pPr>
      <w:r w:rsidRPr="005E4910">
        <w:t xml:space="preserve">Enderlin, Charles, </w:t>
      </w:r>
      <w:r w:rsidRPr="005E4910">
        <w:rPr>
          <w:i/>
          <w:iCs/>
        </w:rPr>
        <w:t>Shattered Dreams: The Failure of the Peace Process in the Middle East, 1995-2002</w:t>
      </w:r>
      <w:r w:rsidRPr="005E4910">
        <w:t>, Other Press, New York, NY, 2003</w:t>
      </w:r>
      <w:r w:rsidR="005709ED">
        <w:t>.</w:t>
      </w:r>
    </w:p>
    <w:p w14:paraId="4E6A1E62" w14:textId="77777777" w:rsidR="005709ED" w:rsidRPr="005E4910" w:rsidRDefault="005709ED" w:rsidP="00DC2F86">
      <w:pPr>
        <w:tabs>
          <w:tab w:val="left" w:pos="0"/>
        </w:tabs>
        <w:spacing w:line="240" w:lineRule="auto"/>
        <w:ind w:left="900" w:hanging="900"/>
      </w:pPr>
    </w:p>
    <w:p w14:paraId="7399348F" w14:textId="77777777" w:rsidR="005E4910" w:rsidRDefault="005E4910" w:rsidP="00DC2F86">
      <w:pPr>
        <w:spacing w:line="240" w:lineRule="auto"/>
        <w:ind w:left="900" w:hanging="900"/>
      </w:pPr>
      <w:r w:rsidRPr="005E4910">
        <w:t xml:space="preserve">Euben, Roxanne and Muhammad Zaman, Eds, </w:t>
      </w:r>
      <w:r w:rsidRPr="005E4910">
        <w:rPr>
          <w:i/>
        </w:rPr>
        <w:t xml:space="preserve">Princeton Readings On Islamist Thought: Texts And Contexts From Al-Banna To Bin Laden, </w:t>
      </w:r>
      <w:r w:rsidRPr="005E4910">
        <w:t>Princeton University Press</w:t>
      </w:r>
      <w:r w:rsidRPr="005E4910">
        <w:rPr>
          <w:i/>
        </w:rPr>
        <w:t xml:space="preserve">, </w:t>
      </w:r>
      <w:r w:rsidRPr="005E4910">
        <w:t>Princeton, NJ,</w:t>
      </w:r>
      <w:r w:rsidRPr="005E4910">
        <w:rPr>
          <w:i/>
        </w:rPr>
        <w:t xml:space="preserve"> </w:t>
      </w:r>
      <w:r w:rsidRPr="005E4910">
        <w:t>(2009).</w:t>
      </w:r>
    </w:p>
    <w:p w14:paraId="5CDC96B4" w14:textId="77777777" w:rsidR="005709ED" w:rsidRPr="005E4910" w:rsidRDefault="005709ED" w:rsidP="00DC2F86">
      <w:pPr>
        <w:spacing w:line="240" w:lineRule="auto"/>
        <w:ind w:left="900" w:hanging="900"/>
      </w:pPr>
    </w:p>
    <w:p w14:paraId="3BB66970" w14:textId="102B11F8" w:rsidR="005E4910" w:rsidRDefault="005E4910" w:rsidP="00DC2F86">
      <w:pPr>
        <w:pStyle w:val="FootnoteText"/>
        <w:ind w:left="900" w:hanging="900"/>
        <w:rPr>
          <w:sz w:val="24"/>
          <w:szCs w:val="24"/>
        </w:rPr>
      </w:pPr>
      <w:r w:rsidRPr="005E4910">
        <w:rPr>
          <w:sz w:val="24"/>
          <w:szCs w:val="24"/>
        </w:rPr>
        <w:t xml:space="preserve">Even, Shmuel, “Israel’s Defense Expenditure,” </w:t>
      </w:r>
      <w:r w:rsidRPr="005E4910">
        <w:rPr>
          <w:i/>
          <w:sz w:val="24"/>
          <w:szCs w:val="24"/>
        </w:rPr>
        <w:t xml:space="preserve">Strategic Assessment, </w:t>
      </w:r>
      <w:r w:rsidRPr="005E4910">
        <w:rPr>
          <w:sz w:val="24"/>
          <w:szCs w:val="24"/>
        </w:rPr>
        <w:t>Vol. 12, No. 4, (2010)</w:t>
      </w:r>
      <w:r w:rsidR="005709ED">
        <w:rPr>
          <w:sz w:val="24"/>
          <w:szCs w:val="24"/>
        </w:rPr>
        <w:t>.</w:t>
      </w:r>
    </w:p>
    <w:p w14:paraId="158E53A1" w14:textId="77777777" w:rsidR="005709ED" w:rsidRPr="005E4910" w:rsidRDefault="005709ED" w:rsidP="00DC2F86">
      <w:pPr>
        <w:pStyle w:val="FootnoteText"/>
        <w:ind w:left="900" w:hanging="900"/>
        <w:rPr>
          <w:sz w:val="24"/>
          <w:szCs w:val="24"/>
        </w:rPr>
      </w:pPr>
    </w:p>
    <w:p w14:paraId="5FF7C4C1" w14:textId="77777777" w:rsidR="005E4910" w:rsidRDefault="005E4910" w:rsidP="00DC2F86">
      <w:pPr>
        <w:widowControl w:val="0"/>
        <w:autoSpaceDE w:val="0"/>
        <w:autoSpaceDN w:val="0"/>
        <w:adjustRightInd w:val="0"/>
        <w:spacing w:line="240" w:lineRule="auto"/>
        <w:ind w:left="900" w:hanging="900"/>
      </w:pPr>
      <w:r w:rsidRPr="005E4910">
        <w:t xml:space="preserve">Faist, Thomas, “The Migration-Security Nexus: International Migration And Security Before And After 9/11,” </w:t>
      </w:r>
      <w:r w:rsidRPr="005E4910">
        <w:rPr>
          <w:i/>
        </w:rPr>
        <w:t xml:space="preserve">Working Paper No. 9, Center On Migration, Citizenship And Development, </w:t>
      </w:r>
      <w:r w:rsidRPr="005E4910">
        <w:t>(2005).</w:t>
      </w:r>
    </w:p>
    <w:p w14:paraId="5F5D1FB3" w14:textId="77777777" w:rsidR="005709ED" w:rsidRPr="005E4910" w:rsidRDefault="005709ED" w:rsidP="00DC2F86">
      <w:pPr>
        <w:widowControl w:val="0"/>
        <w:autoSpaceDE w:val="0"/>
        <w:autoSpaceDN w:val="0"/>
        <w:adjustRightInd w:val="0"/>
        <w:spacing w:line="240" w:lineRule="auto"/>
        <w:ind w:left="900" w:hanging="900"/>
      </w:pPr>
    </w:p>
    <w:p w14:paraId="3F43FC80" w14:textId="77777777" w:rsidR="005E4910" w:rsidRDefault="005E4910" w:rsidP="00DC2F86">
      <w:pPr>
        <w:tabs>
          <w:tab w:val="left" w:pos="900"/>
        </w:tabs>
        <w:spacing w:line="240" w:lineRule="auto"/>
        <w:ind w:left="900" w:hanging="900"/>
      </w:pPr>
      <w:r w:rsidRPr="005E4910">
        <w:rPr>
          <w:bCs/>
        </w:rPr>
        <w:t>Farsakh</w:t>
      </w:r>
      <w:r w:rsidRPr="005E4910">
        <w:t xml:space="preserve">, Leila, </w:t>
      </w:r>
      <w:r w:rsidRPr="005E4910">
        <w:rPr>
          <w:i/>
        </w:rPr>
        <w:t>Palestinian Employment In Israel 1967-1997: A Review,</w:t>
      </w:r>
      <w:r w:rsidRPr="005E4910">
        <w:t xml:space="preserve"> MAS Ramallah, West Bank, (1998).</w:t>
      </w:r>
    </w:p>
    <w:p w14:paraId="1295F03E" w14:textId="77777777" w:rsidR="005709ED" w:rsidRPr="005E4910" w:rsidRDefault="005709ED" w:rsidP="00DC2F86">
      <w:pPr>
        <w:tabs>
          <w:tab w:val="left" w:pos="900"/>
        </w:tabs>
        <w:spacing w:line="240" w:lineRule="auto"/>
        <w:ind w:left="900" w:hanging="900"/>
      </w:pPr>
    </w:p>
    <w:p w14:paraId="2E3A92EB" w14:textId="64C878CD" w:rsidR="005E4910" w:rsidRDefault="005E4910" w:rsidP="00DC2F86">
      <w:pPr>
        <w:pStyle w:val="FootnoteText"/>
        <w:ind w:left="900" w:hanging="900"/>
        <w:rPr>
          <w:sz w:val="24"/>
          <w:szCs w:val="24"/>
        </w:rPr>
      </w:pPr>
      <w:r w:rsidRPr="005E4910">
        <w:rPr>
          <w:sz w:val="24"/>
          <w:szCs w:val="24"/>
        </w:rPr>
        <w:t xml:space="preserve">Farsarkh, Leila, “Palestinian Labor Migration to Israel Since Oslo and Beyond,” </w:t>
      </w:r>
      <w:r w:rsidRPr="005E4910">
        <w:rPr>
          <w:i/>
          <w:sz w:val="24"/>
          <w:szCs w:val="24"/>
        </w:rPr>
        <w:t xml:space="preserve">Topics in Middle Eastern and North African Economies, </w:t>
      </w:r>
      <w:r w:rsidR="007C1EF5">
        <w:rPr>
          <w:sz w:val="24"/>
          <w:szCs w:val="24"/>
        </w:rPr>
        <w:t>Vol.</w:t>
      </w:r>
      <w:r w:rsidRPr="005E4910">
        <w:rPr>
          <w:sz w:val="24"/>
          <w:szCs w:val="24"/>
        </w:rPr>
        <w:t>4, (2002).</w:t>
      </w:r>
    </w:p>
    <w:p w14:paraId="1D2E48AD" w14:textId="77777777" w:rsidR="005709ED" w:rsidRPr="005E4910" w:rsidRDefault="005709ED" w:rsidP="00DC2F86">
      <w:pPr>
        <w:pStyle w:val="FootnoteText"/>
        <w:ind w:left="900" w:hanging="900"/>
        <w:rPr>
          <w:sz w:val="24"/>
          <w:szCs w:val="24"/>
        </w:rPr>
      </w:pPr>
    </w:p>
    <w:p w14:paraId="182301BD" w14:textId="77777777" w:rsidR="005E4910" w:rsidRDefault="005E4910" w:rsidP="00DC2F86">
      <w:pPr>
        <w:pStyle w:val="FootnoteText"/>
        <w:ind w:left="900" w:hanging="900"/>
        <w:rPr>
          <w:sz w:val="24"/>
          <w:szCs w:val="24"/>
        </w:rPr>
      </w:pPr>
      <w:r w:rsidRPr="005E4910">
        <w:rPr>
          <w:sz w:val="24"/>
          <w:szCs w:val="24"/>
        </w:rPr>
        <w:t xml:space="preserve">Fearon, James D. and David D. Laitin, “Ethnicity, Insurgency, And Civil War,” </w:t>
      </w:r>
      <w:r w:rsidRPr="005E4910">
        <w:rPr>
          <w:i/>
          <w:sz w:val="24"/>
          <w:szCs w:val="24"/>
        </w:rPr>
        <w:t xml:space="preserve">American Political Science Review, </w:t>
      </w:r>
      <w:r w:rsidRPr="005E4910">
        <w:rPr>
          <w:sz w:val="24"/>
          <w:szCs w:val="24"/>
        </w:rPr>
        <w:t>Vol. 97, No. 1, (2003): 75-90.</w:t>
      </w:r>
    </w:p>
    <w:p w14:paraId="13A6D9A3" w14:textId="77777777" w:rsidR="005709ED" w:rsidRPr="005E4910" w:rsidRDefault="005709ED" w:rsidP="00DC2F86">
      <w:pPr>
        <w:pStyle w:val="FootnoteText"/>
        <w:ind w:left="900" w:hanging="900"/>
        <w:rPr>
          <w:sz w:val="24"/>
          <w:szCs w:val="24"/>
        </w:rPr>
      </w:pPr>
    </w:p>
    <w:p w14:paraId="12066443" w14:textId="77777777" w:rsidR="005E4910" w:rsidRDefault="005E4910" w:rsidP="00DC2F86">
      <w:pPr>
        <w:pStyle w:val="FootnoteText"/>
        <w:ind w:left="900" w:hanging="900"/>
        <w:rPr>
          <w:sz w:val="24"/>
          <w:szCs w:val="24"/>
        </w:rPr>
      </w:pPr>
      <w:r w:rsidRPr="005E4910">
        <w:rPr>
          <w:sz w:val="24"/>
          <w:szCs w:val="24"/>
        </w:rPr>
        <w:t xml:space="preserve">Fisher, Roger And William Ury, “Getting To Yes”, In David P. Barash, Ed., </w:t>
      </w:r>
      <w:r w:rsidRPr="005E4910">
        <w:rPr>
          <w:i/>
          <w:iCs/>
          <w:sz w:val="24"/>
          <w:szCs w:val="24"/>
        </w:rPr>
        <w:t>Approaches To Peace</w:t>
      </w:r>
      <w:r w:rsidRPr="005E4910">
        <w:rPr>
          <w:sz w:val="24"/>
          <w:szCs w:val="24"/>
        </w:rPr>
        <w:t>, Oxford University Press, New York, NY, (2000): 70-76.</w:t>
      </w:r>
    </w:p>
    <w:p w14:paraId="02F7EBF4" w14:textId="77777777" w:rsidR="005709ED" w:rsidRPr="005E4910" w:rsidRDefault="005709ED" w:rsidP="00DC2F86">
      <w:pPr>
        <w:pStyle w:val="FootnoteText"/>
        <w:ind w:left="900" w:hanging="900"/>
        <w:rPr>
          <w:sz w:val="24"/>
          <w:szCs w:val="24"/>
        </w:rPr>
      </w:pPr>
    </w:p>
    <w:p w14:paraId="1A412573" w14:textId="77777777" w:rsidR="005E4910" w:rsidRDefault="005E4910" w:rsidP="00DC2F86">
      <w:pPr>
        <w:pStyle w:val="FootnoteText"/>
        <w:ind w:left="900" w:hanging="900"/>
        <w:rPr>
          <w:sz w:val="24"/>
          <w:szCs w:val="24"/>
        </w:rPr>
      </w:pPr>
      <w:r w:rsidRPr="005E4910">
        <w:rPr>
          <w:sz w:val="24"/>
          <w:szCs w:val="24"/>
        </w:rPr>
        <w:t xml:space="preserve">Flaig, Dorothee, Khalid Siddig, Harold Grethe, Jonas Luckmann, And Scott Mcdonald, “Relaxing Israeli Restrictions On Palestinian Labor: Who Benefits?” </w:t>
      </w:r>
      <w:r w:rsidRPr="005E4910">
        <w:rPr>
          <w:i/>
          <w:sz w:val="24"/>
          <w:szCs w:val="24"/>
        </w:rPr>
        <w:t xml:space="preserve">Economic Modeling, </w:t>
      </w:r>
      <w:r w:rsidRPr="005E4910">
        <w:rPr>
          <w:sz w:val="24"/>
          <w:szCs w:val="24"/>
        </w:rPr>
        <w:t>Vol.31, (2013).</w:t>
      </w:r>
    </w:p>
    <w:p w14:paraId="7C23A9C8" w14:textId="77777777" w:rsidR="005709ED" w:rsidRPr="005E4910" w:rsidRDefault="005709ED" w:rsidP="00DC2F86">
      <w:pPr>
        <w:pStyle w:val="FootnoteText"/>
        <w:ind w:left="900" w:hanging="900"/>
        <w:rPr>
          <w:sz w:val="24"/>
          <w:szCs w:val="24"/>
        </w:rPr>
      </w:pPr>
    </w:p>
    <w:p w14:paraId="3D19ACB3" w14:textId="77777777" w:rsidR="005709ED" w:rsidRDefault="005E4910" w:rsidP="00DC2F86">
      <w:pPr>
        <w:widowControl w:val="0"/>
        <w:autoSpaceDE w:val="0"/>
        <w:autoSpaceDN w:val="0"/>
        <w:adjustRightInd w:val="0"/>
        <w:spacing w:line="240" w:lineRule="auto"/>
        <w:ind w:left="900" w:hanging="900"/>
      </w:pPr>
      <w:r w:rsidRPr="005E4910">
        <w:t xml:space="preserve">Freytag, Andreas, Jens J. Kruger, Daniel Meierrieks, and Friedrich Schneider, “The Origins Of Terrorism: Cross-Country Estimates Of Socio-Economic </w:t>
      </w:r>
      <w:r w:rsidRPr="005E4910">
        <w:lastRenderedPageBreak/>
        <w:t>Determinants Of Terrorism</w:t>
      </w:r>
      <w:r w:rsidRPr="005E4910">
        <w:rPr>
          <w:i/>
        </w:rPr>
        <w:t>,” European Journal Of Political Economy</w:t>
      </w:r>
      <w:r w:rsidRPr="005E4910">
        <w:t>, Vol. 27, Sec.5–16, (2011).</w:t>
      </w:r>
    </w:p>
    <w:p w14:paraId="1F2C4856" w14:textId="77777777" w:rsidR="005709ED" w:rsidRDefault="005709ED" w:rsidP="00DC2F86">
      <w:pPr>
        <w:widowControl w:val="0"/>
        <w:autoSpaceDE w:val="0"/>
        <w:autoSpaceDN w:val="0"/>
        <w:adjustRightInd w:val="0"/>
        <w:spacing w:line="240" w:lineRule="auto"/>
        <w:ind w:left="900" w:hanging="900"/>
      </w:pPr>
    </w:p>
    <w:p w14:paraId="39123653" w14:textId="1D03359B" w:rsidR="005E4910" w:rsidRDefault="005E4910" w:rsidP="00DC2F86">
      <w:pPr>
        <w:widowControl w:val="0"/>
        <w:autoSpaceDE w:val="0"/>
        <w:autoSpaceDN w:val="0"/>
        <w:adjustRightInd w:val="0"/>
        <w:spacing w:line="240" w:lineRule="auto"/>
        <w:ind w:left="900" w:hanging="900"/>
      </w:pPr>
      <w:r w:rsidRPr="005E4910">
        <w:t>Gartzke, Erik and Alex Weisiger, “Under Construction: Development, Democracy, And Difference As Determinants Of Systemic Liberal Peace,”</w:t>
      </w:r>
      <w:r w:rsidRPr="005E4910">
        <w:rPr>
          <w:i/>
        </w:rPr>
        <w:t xml:space="preserve"> International Studies Quarterly, </w:t>
      </w:r>
      <w:r w:rsidRPr="005E4910">
        <w:t>Vol.58, Iss.1, (March 2014): 130-145.</w:t>
      </w:r>
    </w:p>
    <w:p w14:paraId="00DFDA98" w14:textId="77777777" w:rsidR="005709ED" w:rsidRPr="005E4910" w:rsidRDefault="005709ED" w:rsidP="00DC2F86">
      <w:pPr>
        <w:widowControl w:val="0"/>
        <w:autoSpaceDE w:val="0"/>
        <w:autoSpaceDN w:val="0"/>
        <w:adjustRightInd w:val="0"/>
        <w:spacing w:line="240" w:lineRule="auto"/>
        <w:ind w:left="900" w:hanging="900"/>
      </w:pPr>
    </w:p>
    <w:p w14:paraId="0ABAF1D0" w14:textId="77777777" w:rsidR="005E4910" w:rsidRDefault="005E4910" w:rsidP="00DC2F86">
      <w:pPr>
        <w:pStyle w:val="FootnoteText"/>
        <w:ind w:left="900" w:hanging="900"/>
        <w:rPr>
          <w:sz w:val="24"/>
          <w:szCs w:val="24"/>
        </w:rPr>
      </w:pPr>
      <w:r w:rsidRPr="005E4910">
        <w:rPr>
          <w:sz w:val="24"/>
          <w:szCs w:val="24"/>
        </w:rPr>
        <w:t xml:space="preserve">Gartzke, Erik, “The Capitalist Peace,” </w:t>
      </w:r>
      <w:r w:rsidRPr="005E4910">
        <w:rPr>
          <w:i/>
          <w:sz w:val="24"/>
          <w:szCs w:val="24"/>
        </w:rPr>
        <w:t xml:space="preserve">American Journal Of Political Science, </w:t>
      </w:r>
      <w:r w:rsidRPr="005E4910">
        <w:rPr>
          <w:sz w:val="24"/>
          <w:szCs w:val="24"/>
        </w:rPr>
        <w:t xml:space="preserve">Vol.51, No.1, (January 2007): 166-191. </w:t>
      </w:r>
    </w:p>
    <w:p w14:paraId="26D1BA69" w14:textId="77777777" w:rsidR="005709ED" w:rsidRPr="005E4910" w:rsidRDefault="005709ED" w:rsidP="00DC2F86">
      <w:pPr>
        <w:pStyle w:val="FootnoteText"/>
        <w:ind w:left="900" w:hanging="900"/>
        <w:rPr>
          <w:sz w:val="24"/>
          <w:szCs w:val="24"/>
        </w:rPr>
      </w:pPr>
    </w:p>
    <w:p w14:paraId="40DB5C01" w14:textId="77777777" w:rsidR="005E4910" w:rsidRDefault="005E4910" w:rsidP="00DC2F86">
      <w:pPr>
        <w:spacing w:line="240" w:lineRule="auto"/>
        <w:ind w:left="900" w:hanging="900"/>
      </w:pPr>
      <w:r w:rsidRPr="005E4910">
        <w:t xml:space="preserve">Gazit, Shlomo: Israeli Major General, </w:t>
      </w:r>
      <w:r w:rsidRPr="005E4910">
        <w:rPr>
          <w:i/>
        </w:rPr>
        <w:t xml:space="preserve">The Carrot And The Stick: Israel’s Policy In Judea And Samaria, 1967-1968, </w:t>
      </w:r>
      <w:r w:rsidRPr="005E4910">
        <w:t>B’nai B’rith Books, Washington, D.C., (1995): 220-221.</w:t>
      </w:r>
    </w:p>
    <w:p w14:paraId="56E902AB" w14:textId="77777777" w:rsidR="005709ED" w:rsidRPr="005E4910" w:rsidRDefault="005709ED" w:rsidP="00DC2F86">
      <w:pPr>
        <w:spacing w:line="240" w:lineRule="auto"/>
        <w:ind w:left="900" w:hanging="900"/>
      </w:pPr>
    </w:p>
    <w:p w14:paraId="3A6568FB" w14:textId="732D3C4B" w:rsidR="005E4910" w:rsidRDefault="005E4910" w:rsidP="00DC2F86">
      <w:pPr>
        <w:pStyle w:val="FootnoteText"/>
        <w:ind w:left="900" w:hanging="900"/>
        <w:rPr>
          <w:sz w:val="24"/>
          <w:szCs w:val="24"/>
        </w:rPr>
      </w:pPr>
      <w:r w:rsidRPr="005E4910">
        <w:rPr>
          <w:sz w:val="24"/>
          <w:szCs w:val="24"/>
        </w:rPr>
        <w:t>Geneva Declaration Secretariat,</w:t>
      </w:r>
      <w:r w:rsidRPr="005E4910">
        <w:rPr>
          <w:i/>
          <w:sz w:val="24"/>
          <w:szCs w:val="24"/>
        </w:rPr>
        <w:t xml:space="preserve"> Global Burden of Armed Violence</w:t>
      </w:r>
      <w:r w:rsidRPr="005E4910">
        <w:rPr>
          <w:sz w:val="24"/>
          <w:szCs w:val="24"/>
        </w:rPr>
        <w:t>, 2008, Geneva, Switzerland</w:t>
      </w:r>
      <w:r w:rsidR="005709ED">
        <w:rPr>
          <w:sz w:val="24"/>
          <w:szCs w:val="24"/>
        </w:rPr>
        <w:t>.</w:t>
      </w:r>
    </w:p>
    <w:p w14:paraId="44184C20" w14:textId="77777777" w:rsidR="005709ED" w:rsidRPr="005E4910" w:rsidRDefault="005709ED" w:rsidP="00DC2F86">
      <w:pPr>
        <w:pStyle w:val="FootnoteText"/>
        <w:ind w:left="900" w:hanging="900"/>
        <w:rPr>
          <w:sz w:val="24"/>
          <w:szCs w:val="24"/>
        </w:rPr>
      </w:pPr>
    </w:p>
    <w:p w14:paraId="5F793E1F" w14:textId="77777777" w:rsidR="005E4910" w:rsidRDefault="005E4910" w:rsidP="00DC2F86">
      <w:pPr>
        <w:spacing w:line="240" w:lineRule="auto"/>
        <w:ind w:left="900" w:hanging="900"/>
        <w:rPr>
          <w:color w:val="222222"/>
          <w:shd w:val="clear" w:color="auto" w:fill="FFFFFF"/>
        </w:rPr>
      </w:pPr>
      <w:r w:rsidRPr="005E4910">
        <w:t xml:space="preserve">Gibson, James L., “A Sober Second Thought: An Experiment In Persuading Russians To Tolerate,” </w:t>
      </w:r>
      <w:r w:rsidRPr="005E4910">
        <w:rPr>
          <w:i/>
        </w:rPr>
        <w:t xml:space="preserve">American Journal Of Political Science, </w:t>
      </w:r>
      <w:r w:rsidRPr="005E4910">
        <w:t>Vol.42, (1998).</w:t>
      </w:r>
      <w:r w:rsidRPr="005E4910">
        <w:rPr>
          <w:color w:val="222222"/>
          <w:shd w:val="clear" w:color="auto" w:fill="FFFFFF"/>
        </w:rPr>
        <w:t xml:space="preserve"> </w:t>
      </w:r>
    </w:p>
    <w:p w14:paraId="296EECD4" w14:textId="77777777" w:rsidR="005709ED" w:rsidRPr="005E4910" w:rsidRDefault="005709ED" w:rsidP="00DC2F86">
      <w:pPr>
        <w:spacing w:line="240" w:lineRule="auto"/>
        <w:ind w:left="900" w:hanging="900"/>
        <w:rPr>
          <w:color w:val="222222"/>
          <w:shd w:val="clear" w:color="auto" w:fill="FFFFFF"/>
        </w:rPr>
      </w:pPr>
    </w:p>
    <w:p w14:paraId="49511C67" w14:textId="77777777" w:rsidR="005E4910" w:rsidRDefault="005E4910" w:rsidP="00DC2F86">
      <w:pPr>
        <w:pStyle w:val="FootnoteText"/>
        <w:ind w:left="900" w:hanging="900"/>
        <w:rPr>
          <w:sz w:val="24"/>
          <w:szCs w:val="24"/>
        </w:rPr>
      </w:pPr>
      <w:r w:rsidRPr="005E4910">
        <w:rPr>
          <w:sz w:val="24"/>
          <w:szCs w:val="24"/>
        </w:rPr>
        <w:t xml:space="preserve">Gilpin, Robert, </w:t>
      </w:r>
      <w:r w:rsidRPr="005E4910">
        <w:rPr>
          <w:i/>
          <w:sz w:val="24"/>
          <w:szCs w:val="24"/>
        </w:rPr>
        <w:t xml:space="preserve">War And Change In International Politics, </w:t>
      </w:r>
      <w:r w:rsidRPr="005E4910">
        <w:rPr>
          <w:sz w:val="24"/>
          <w:szCs w:val="24"/>
        </w:rPr>
        <w:t>Cambridge University Press, New York, (1981).</w:t>
      </w:r>
    </w:p>
    <w:p w14:paraId="1F8043EE" w14:textId="77777777" w:rsidR="005709ED" w:rsidRPr="005E4910" w:rsidRDefault="005709ED" w:rsidP="00DC2F86">
      <w:pPr>
        <w:pStyle w:val="FootnoteText"/>
        <w:ind w:left="900" w:hanging="900"/>
        <w:rPr>
          <w:sz w:val="24"/>
          <w:szCs w:val="24"/>
        </w:rPr>
      </w:pPr>
    </w:p>
    <w:p w14:paraId="47BB7FE6" w14:textId="77777777" w:rsidR="005E4910" w:rsidRDefault="005E4910" w:rsidP="00DC2F86">
      <w:pPr>
        <w:pStyle w:val="FootnoteText"/>
        <w:ind w:left="900" w:hanging="900"/>
        <w:rPr>
          <w:sz w:val="24"/>
          <w:szCs w:val="24"/>
        </w:rPr>
      </w:pPr>
      <w:r w:rsidRPr="005E4910">
        <w:rPr>
          <w:sz w:val="24"/>
          <w:szCs w:val="24"/>
        </w:rPr>
        <w:t xml:space="preserve">Gupta, Sanjiv et al., “The Elusive Peace Dividend,” </w:t>
      </w:r>
      <w:r w:rsidRPr="005E4910">
        <w:rPr>
          <w:i/>
          <w:sz w:val="24"/>
          <w:szCs w:val="24"/>
        </w:rPr>
        <w:t xml:space="preserve">Finance and Development, </w:t>
      </w:r>
      <w:r w:rsidRPr="005E4910">
        <w:rPr>
          <w:sz w:val="24"/>
          <w:szCs w:val="24"/>
        </w:rPr>
        <w:t>Vol.39, No.4, (2002).</w:t>
      </w:r>
    </w:p>
    <w:p w14:paraId="16BABCCF" w14:textId="77777777" w:rsidR="005709ED" w:rsidRPr="005E4910" w:rsidRDefault="005709ED" w:rsidP="00DC2F86">
      <w:pPr>
        <w:pStyle w:val="FootnoteText"/>
        <w:ind w:left="900" w:hanging="900"/>
        <w:rPr>
          <w:sz w:val="24"/>
          <w:szCs w:val="24"/>
        </w:rPr>
      </w:pPr>
    </w:p>
    <w:p w14:paraId="7F266448" w14:textId="77777777" w:rsidR="005E4910" w:rsidRDefault="005E4910" w:rsidP="00DC2F86">
      <w:pPr>
        <w:pStyle w:val="FootnoteText"/>
        <w:ind w:left="900" w:hanging="900"/>
        <w:rPr>
          <w:sz w:val="24"/>
          <w:szCs w:val="24"/>
        </w:rPr>
      </w:pPr>
      <w:r w:rsidRPr="005E4910">
        <w:rPr>
          <w:sz w:val="24"/>
          <w:szCs w:val="24"/>
        </w:rPr>
        <w:t xml:space="preserve">Haddad, Yvonne, “Islamists And The ‘Problem Of Israel’: The 1967 Awakening,” </w:t>
      </w:r>
      <w:r w:rsidRPr="005E4910">
        <w:rPr>
          <w:i/>
          <w:sz w:val="24"/>
          <w:szCs w:val="24"/>
        </w:rPr>
        <w:t xml:space="preserve">Middle East Journal, </w:t>
      </w:r>
      <w:r w:rsidRPr="005E4910">
        <w:rPr>
          <w:sz w:val="24"/>
          <w:szCs w:val="24"/>
        </w:rPr>
        <w:t xml:space="preserve">Vol.46, No.2, (1992) 266-285. </w:t>
      </w:r>
    </w:p>
    <w:p w14:paraId="14E9FF48" w14:textId="77777777" w:rsidR="005709ED" w:rsidRPr="005E4910" w:rsidRDefault="005709ED" w:rsidP="00DC2F86">
      <w:pPr>
        <w:pStyle w:val="FootnoteText"/>
        <w:ind w:left="900" w:hanging="900"/>
        <w:rPr>
          <w:sz w:val="24"/>
          <w:szCs w:val="24"/>
        </w:rPr>
      </w:pPr>
    </w:p>
    <w:p w14:paraId="7EE2142A" w14:textId="77777777" w:rsidR="005E4910" w:rsidRDefault="005E4910" w:rsidP="00DC2F86">
      <w:pPr>
        <w:widowControl w:val="0"/>
        <w:autoSpaceDE w:val="0"/>
        <w:autoSpaceDN w:val="0"/>
        <w:adjustRightInd w:val="0"/>
        <w:spacing w:line="240" w:lineRule="auto"/>
        <w:ind w:left="900" w:hanging="900"/>
      </w:pPr>
      <w:r w:rsidRPr="005E4910">
        <w:t xml:space="preserve">Hall, Robert E., And Charles I. Jones, “Why Do Some Countries Produce So Much More Output Per Worker Than Others?” </w:t>
      </w:r>
      <w:r w:rsidRPr="005E4910">
        <w:rPr>
          <w:i/>
        </w:rPr>
        <w:t>Quarterly Journal Of Economics,</w:t>
      </w:r>
      <w:r w:rsidRPr="005E4910">
        <w:t xml:space="preserve"> Vol.114, No.1, (1999): 83–116.</w:t>
      </w:r>
    </w:p>
    <w:p w14:paraId="6FF33BD4" w14:textId="77777777" w:rsidR="005709ED" w:rsidRPr="005E4910" w:rsidRDefault="005709ED" w:rsidP="00DC2F86">
      <w:pPr>
        <w:widowControl w:val="0"/>
        <w:autoSpaceDE w:val="0"/>
        <w:autoSpaceDN w:val="0"/>
        <w:adjustRightInd w:val="0"/>
        <w:spacing w:line="240" w:lineRule="auto"/>
        <w:ind w:left="900" w:hanging="900"/>
      </w:pPr>
    </w:p>
    <w:p w14:paraId="614B2994" w14:textId="77777777" w:rsidR="005709ED" w:rsidRDefault="005E4910" w:rsidP="00DC2F86">
      <w:pPr>
        <w:pStyle w:val="FootnoteText"/>
        <w:ind w:left="900" w:hanging="900"/>
        <w:rPr>
          <w:rStyle w:val="Hyperlink"/>
          <w:sz w:val="24"/>
          <w:szCs w:val="24"/>
        </w:rPr>
      </w:pPr>
      <w:r w:rsidRPr="005E4910">
        <w:rPr>
          <w:sz w:val="24"/>
          <w:szCs w:val="24"/>
        </w:rPr>
        <w:t xml:space="preserve">Harel, Amos, “Military Wants 30,000 More Palestinians Working In Israel,” </w:t>
      </w:r>
      <w:r w:rsidRPr="005E4910">
        <w:rPr>
          <w:i/>
          <w:sz w:val="24"/>
          <w:szCs w:val="24"/>
        </w:rPr>
        <w:t xml:space="preserve">Haaretz, </w:t>
      </w:r>
      <w:r w:rsidRPr="005E4910">
        <w:rPr>
          <w:sz w:val="24"/>
          <w:szCs w:val="24"/>
        </w:rPr>
        <w:t xml:space="preserve">8 Feb 2016, Web, Retrieved 8 Feb 2016, </w:t>
      </w:r>
      <w:hyperlink r:id="rId38" w:history="1">
        <w:r w:rsidRPr="005E4910">
          <w:rPr>
            <w:rStyle w:val="Hyperlink"/>
            <w:sz w:val="24"/>
            <w:szCs w:val="24"/>
          </w:rPr>
          <w:t>Http://Www.Haaretz.Com/Israel-News/.Premium-1.702003</w:t>
        </w:r>
      </w:hyperlink>
      <w:r w:rsidR="005709ED">
        <w:rPr>
          <w:rStyle w:val="Hyperlink"/>
          <w:sz w:val="24"/>
          <w:szCs w:val="24"/>
        </w:rPr>
        <w:t>.</w:t>
      </w:r>
    </w:p>
    <w:p w14:paraId="422C92C2" w14:textId="1B86EC75" w:rsidR="005E4910" w:rsidRPr="005E4910" w:rsidRDefault="005E4910" w:rsidP="00DC2F86">
      <w:pPr>
        <w:pStyle w:val="FootnoteText"/>
        <w:ind w:left="900" w:hanging="900"/>
        <w:rPr>
          <w:sz w:val="24"/>
          <w:szCs w:val="24"/>
        </w:rPr>
      </w:pPr>
      <w:r w:rsidRPr="005E4910">
        <w:rPr>
          <w:sz w:val="24"/>
          <w:szCs w:val="24"/>
        </w:rPr>
        <w:t xml:space="preserve"> </w:t>
      </w:r>
    </w:p>
    <w:p w14:paraId="7BE26194" w14:textId="6008719B" w:rsidR="005E4910" w:rsidRDefault="005E4910" w:rsidP="00DC2F86">
      <w:pPr>
        <w:pStyle w:val="FootnoteText"/>
        <w:ind w:left="900" w:hanging="900"/>
        <w:rPr>
          <w:sz w:val="24"/>
          <w:szCs w:val="24"/>
        </w:rPr>
      </w:pPr>
      <w:r w:rsidRPr="005E4910">
        <w:rPr>
          <w:sz w:val="24"/>
          <w:szCs w:val="24"/>
        </w:rPr>
        <w:t xml:space="preserve">Harkov, Lahav, “Higher Penalty for Hiring Illegal Palestinian workers Passes Final Vote,” </w:t>
      </w:r>
      <w:r w:rsidRPr="005E4910">
        <w:rPr>
          <w:i/>
          <w:sz w:val="24"/>
          <w:szCs w:val="24"/>
        </w:rPr>
        <w:t xml:space="preserve">The Jerusalem Post, </w:t>
      </w:r>
      <w:r w:rsidRPr="005E4910">
        <w:rPr>
          <w:sz w:val="24"/>
          <w:szCs w:val="24"/>
        </w:rPr>
        <w:t xml:space="preserve">15 Mar 2016, Web, Retrieved 3 Apr 2016, </w:t>
      </w:r>
      <w:hyperlink r:id="rId39" w:history="1">
        <w:r w:rsidR="005709ED" w:rsidRPr="00322BED">
          <w:rPr>
            <w:rStyle w:val="Hyperlink"/>
            <w:sz w:val="24"/>
            <w:szCs w:val="24"/>
          </w:rPr>
          <w:t>http://www.jpost.com/Israel-News/Politics-And-Diplomacy/Higher-penalty-for-hiring-illegal-Palestinian-workers-heads-to-final-vote-447943</w:t>
        </w:r>
      </w:hyperlink>
      <w:r w:rsidR="005709ED">
        <w:rPr>
          <w:sz w:val="24"/>
          <w:szCs w:val="24"/>
        </w:rPr>
        <w:t xml:space="preserve">. </w:t>
      </w:r>
    </w:p>
    <w:p w14:paraId="3EFB42A4" w14:textId="77777777" w:rsidR="005709ED" w:rsidRPr="005E4910" w:rsidRDefault="005709ED" w:rsidP="00DC2F86">
      <w:pPr>
        <w:pStyle w:val="FootnoteText"/>
        <w:ind w:left="900" w:hanging="900"/>
        <w:rPr>
          <w:sz w:val="24"/>
          <w:szCs w:val="24"/>
        </w:rPr>
      </w:pPr>
    </w:p>
    <w:p w14:paraId="36C66BB8" w14:textId="77777777" w:rsidR="005E4910" w:rsidRDefault="005E4910" w:rsidP="00DC2F86">
      <w:pPr>
        <w:pStyle w:val="FootnoteText"/>
        <w:tabs>
          <w:tab w:val="left" w:pos="180"/>
        </w:tabs>
        <w:ind w:left="900" w:hanging="900"/>
        <w:rPr>
          <w:sz w:val="24"/>
          <w:szCs w:val="24"/>
        </w:rPr>
      </w:pPr>
      <w:r w:rsidRPr="005E4910">
        <w:rPr>
          <w:sz w:val="24"/>
          <w:szCs w:val="24"/>
        </w:rPr>
        <w:t xml:space="preserve">Harris, J. R. and Michael P. Todaro, "Migration, Unemployment, And Development: A Two-Sector Analysis." </w:t>
      </w:r>
      <w:r w:rsidRPr="005E4910">
        <w:rPr>
          <w:i/>
          <w:sz w:val="24"/>
          <w:szCs w:val="24"/>
        </w:rPr>
        <w:t>American Economic Review</w:t>
      </w:r>
      <w:r w:rsidRPr="005E4910">
        <w:rPr>
          <w:sz w:val="24"/>
          <w:szCs w:val="24"/>
        </w:rPr>
        <w:t>, Vol.60, (1970).</w:t>
      </w:r>
    </w:p>
    <w:p w14:paraId="483866AB" w14:textId="77777777" w:rsidR="005709ED" w:rsidRPr="005E4910" w:rsidRDefault="005709ED" w:rsidP="00DC2F86">
      <w:pPr>
        <w:pStyle w:val="FootnoteText"/>
        <w:tabs>
          <w:tab w:val="left" w:pos="180"/>
        </w:tabs>
        <w:ind w:left="900" w:hanging="900"/>
        <w:rPr>
          <w:sz w:val="24"/>
          <w:szCs w:val="24"/>
        </w:rPr>
      </w:pPr>
    </w:p>
    <w:p w14:paraId="751F3C8B" w14:textId="77777777" w:rsidR="005E4910" w:rsidRDefault="005E4910" w:rsidP="00DC2F86">
      <w:pPr>
        <w:pStyle w:val="FootnoteText"/>
        <w:ind w:left="900" w:hanging="900"/>
        <w:rPr>
          <w:sz w:val="24"/>
          <w:szCs w:val="24"/>
        </w:rPr>
      </w:pPr>
      <w:r w:rsidRPr="005E4910">
        <w:rPr>
          <w:sz w:val="24"/>
          <w:szCs w:val="24"/>
        </w:rPr>
        <w:lastRenderedPageBreak/>
        <w:t xml:space="preserve">Harrison, Mark, “Valuing The Future: The Social Discount Rate In Cost-Benefit Analysis,” </w:t>
      </w:r>
      <w:r w:rsidRPr="005E4910">
        <w:rPr>
          <w:i/>
          <w:sz w:val="24"/>
          <w:szCs w:val="24"/>
        </w:rPr>
        <w:t xml:space="preserve">Visiting Research Paper, Productivity Commission, Canberra, </w:t>
      </w:r>
      <w:r w:rsidRPr="005E4910">
        <w:rPr>
          <w:sz w:val="24"/>
          <w:szCs w:val="24"/>
        </w:rPr>
        <w:t xml:space="preserve">Web, Apr 2010, Retrieved Mar 20 2016, </w:t>
      </w:r>
      <w:hyperlink r:id="rId40" w:history="1">
        <w:r w:rsidRPr="005E4910">
          <w:rPr>
            <w:rStyle w:val="Hyperlink"/>
            <w:sz w:val="24"/>
            <w:szCs w:val="24"/>
          </w:rPr>
          <w:t>Http://Www.Pc.Gov.Au/Research/Supporting/Cost-Benefit-Discount/Cost-Benefit-Discount.Pdf</w:t>
        </w:r>
      </w:hyperlink>
      <w:r w:rsidRPr="005E4910">
        <w:rPr>
          <w:rStyle w:val="Hyperlink"/>
          <w:sz w:val="24"/>
          <w:szCs w:val="24"/>
        </w:rPr>
        <w:t>.</w:t>
      </w:r>
      <w:r w:rsidRPr="005E4910">
        <w:rPr>
          <w:sz w:val="24"/>
          <w:szCs w:val="24"/>
        </w:rPr>
        <w:t xml:space="preserve"> </w:t>
      </w:r>
    </w:p>
    <w:p w14:paraId="36C786D6" w14:textId="77777777" w:rsidR="005709ED" w:rsidRPr="005E4910" w:rsidRDefault="005709ED" w:rsidP="00DC2F86">
      <w:pPr>
        <w:pStyle w:val="FootnoteText"/>
        <w:ind w:left="900" w:hanging="900"/>
        <w:rPr>
          <w:sz w:val="24"/>
          <w:szCs w:val="24"/>
        </w:rPr>
      </w:pPr>
    </w:p>
    <w:p w14:paraId="4A62A45F" w14:textId="77777777" w:rsidR="005E4910" w:rsidRDefault="005E4910" w:rsidP="00DC2F86">
      <w:pPr>
        <w:pStyle w:val="FootnoteText"/>
        <w:ind w:left="900" w:hanging="900"/>
        <w:rPr>
          <w:sz w:val="24"/>
          <w:szCs w:val="24"/>
        </w:rPr>
      </w:pPr>
      <w:r w:rsidRPr="005E4910">
        <w:rPr>
          <w:sz w:val="24"/>
          <w:szCs w:val="24"/>
        </w:rPr>
        <w:t xml:space="preserve">Heller, Jeffrey and Matt Spetalnick, “Obama, Netanyahu At White House Seek To Mend U.S.-Israel Ties,” </w:t>
      </w:r>
      <w:r w:rsidRPr="005E4910">
        <w:rPr>
          <w:i/>
          <w:sz w:val="24"/>
          <w:szCs w:val="24"/>
        </w:rPr>
        <w:t xml:space="preserve">Reuters, </w:t>
      </w:r>
      <w:r w:rsidRPr="005E4910">
        <w:rPr>
          <w:sz w:val="24"/>
          <w:szCs w:val="24"/>
        </w:rPr>
        <w:t xml:space="preserve">9 Nov 2015, Web, Retrieved 4 Feb 2016, </w:t>
      </w:r>
      <w:hyperlink r:id="rId41" w:history="1">
        <w:r w:rsidRPr="005E4910">
          <w:rPr>
            <w:rStyle w:val="Hyperlink"/>
            <w:sz w:val="24"/>
            <w:szCs w:val="24"/>
          </w:rPr>
          <w:t>Http://Www.Reuters.Com/Article/Us-Israel-Usa-Meeting-Iduskcn0sy1wj20151110</w:t>
        </w:r>
      </w:hyperlink>
      <w:r w:rsidRPr="005E4910">
        <w:rPr>
          <w:sz w:val="24"/>
          <w:szCs w:val="24"/>
        </w:rPr>
        <w:t>.</w:t>
      </w:r>
    </w:p>
    <w:p w14:paraId="1F8C9BFB" w14:textId="77777777" w:rsidR="005709ED" w:rsidRPr="005E4910" w:rsidRDefault="005709ED" w:rsidP="00DC2F86">
      <w:pPr>
        <w:pStyle w:val="FootnoteText"/>
        <w:ind w:left="900" w:hanging="900"/>
        <w:rPr>
          <w:sz w:val="24"/>
          <w:szCs w:val="24"/>
        </w:rPr>
      </w:pPr>
    </w:p>
    <w:p w14:paraId="0DF02510" w14:textId="6773B910" w:rsidR="005E4910" w:rsidRDefault="005E4910" w:rsidP="00DC2F86">
      <w:pPr>
        <w:widowControl w:val="0"/>
        <w:autoSpaceDE w:val="0"/>
        <w:autoSpaceDN w:val="0"/>
        <w:adjustRightInd w:val="0"/>
        <w:spacing w:line="240" w:lineRule="auto"/>
        <w:ind w:left="900" w:hanging="900"/>
      </w:pPr>
      <w:r w:rsidRPr="005E4910">
        <w:t xml:space="preserve">Hillesund, Solveig, “A Dangerous Discrepancy: Testing The Micro-Dynamics Of Horizontal Inequality On Palestinian Support For Armed Resistance,” </w:t>
      </w:r>
      <w:r w:rsidRPr="005E4910">
        <w:rPr>
          <w:i/>
        </w:rPr>
        <w:t xml:space="preserve">Journal Of Peace Research, </w:t>
      </w:r>
      <w:r w:rsidRPr="005E4910">
        <w:t>Vol.52, No.1, (2015).</w:t>
      </w:r>
      <w:r w:rsidR="007C1EF5">
        <w:t xml:space="preserve"> </w:t>
      </w:r>
      <w:hyperlink r:id="rId42" w:history="1">
        <w:r w:rsidRPr="005E4910">
          <w:rPr>
            <w:rStyle w:val="Hyperlink"/>
          </w:rPr>
          <w:t>http://www.jpost.com/Israel-News/Politics-And-Diplomacy/Higher-penalty-for-hiring-illegal-Palestinian-workers-heads-to-final-vote-447943</w:t>
        </w:r>
      </w:hyperlink>
      <w:r w:rsidRPr="005E4910">
        <w:t xml:space="preserve"> </w:t>
      </w:r>
    </w:p>
    <w:p w14:paraId="7048B6A9" w14:textId="77777777" w:rsidR="005709ED" w:rsidRPr="005E4910" w:rsidRDefault="005709ED" w:rsidP="00DC2F86">
      <w:pPr>
        <w:widowControl w:val="0"/>
        <w:autoSpaceDE w:val="0"/>
        <w:autoSpaceDN w:val="0"/>
        <w:adjustRightInd w:val="0"/>
        <w:spacing w:line="240" w:lineRule="auto"/>
        <w:ind w:left="900" w:hanging="900"/>
      </w:pPr>
    </w:p>
    <w:p w14:paraId="50CA9108" w14:textId="77777777" w:rsidR="005E4910" w:rsidRDefault="005E4910" w:rsidP="00DC2F86">
      <w:pPr>
        <w:pStyle w:val="FootnoteText"/>
        <w:ind w:left="900" w:hanging="900"/>
        <w:rPr>
          <w:sz w:val="24"/>
          <w:szCs w:val="24"/>
        </w:rPr>
      </w:pPr>
      <w:r w:rsidRPr="005E4910">
        <w:rPr>
          <w:sz w:val="24"/>
          <w:szCs w:val="24"/>
        </w:rPr>
        <w:t xml:space="preserve">Ikle, Fred C., </w:t>
      </w:r>
      <w:r w:rsidRPr="005E4910">
        <w:rPr>
          <w:i/>
          <w:sz w:val="24"/>
          <w:szCs w:val="24"/>
        </w:rPr>
        <w:t xml:space="preserve">How Nations Negotiate, </w:t>
      </w:r>
      <w:r w:rsidRPr="005E4910">
        <w:rPr>
          <w:sz w:val="24"/>
          <w:szCs w:val="24"/>
        </w:rPr>
        <w:t xml:space="preserve">Harper And Row, New York, NY, (1964). </w:t>
      </w:r>
    </w:p>
    <w:p w14:paraId="3094605D" w14:textId="77777777" w:rsidR="005709ED" w:rsidRPr="005E4910" w:rsidRDefault="005709ED" w:rsidP="00DC2F86">
      <w:pPr>
        <w:pStyle w:val="FootnoteText"/>
        <w:ind w:left="900" w:hanging="900"/>
        <w:rPr>
          <w:sz w:val="24"/>
          <w:szCs w:val="24"/>
        </w:rPr>
      </w:pPr>
    </w:p>
    <w:p w14:paraId="062ABEEB" w14:textId="77777777" w:rsidR="005E4910" w:rsidRDefault="005E4910" w:rsidP="00DC2F86">
      <w:pPr>
        <w:widowControl w:val="0"/>
        <w:autoSpaceDE w:val="0"/>
        <w:autoSpaceDN w:val="0"/>
        <w:adjustRightInd w:val="0"/>
        <w:spacing w:line="240" w:lineRule="auto"/>
        <w:ind w:left="900" w:hanging="900"/>
      </w:pPr>
      <w:r w:rsidRPr="005E4910">
        <w:t xml:space="preserve">Isaac, Julius, </w:t>
      </w:r>
      <w:r w:rsidRPr="005E4910">
        <w:rPr>
          <w:i/>
        </w:rPr>
        <w:t>Economics Of Migration,</w:t>
      </w:r>
      <w:r w:rsidRPr="005E4910">
        <w:t xml:space="preserve"> Routledge, Trench, Trubner &amp; Co. Ltd., London, UK, (1947).</w:t>
      </w:r>
    </w:p>
    <w:p w14:paraId="4741AA13" w14:textId="77777777" w:rsidR="005709ED" w:rsidRPr="005E4910" w:rsidRDefault="005709ED" w:rsidP="00DC2F86">
      <w:pPr>
        <w:widowControl w:val="0"/>
        <w:autoSpaceDE w:val="0"/>
        <w:autoSpaceDN w:val="0"/>
        <w:adjustRightInd w:val="0"/>
        <w:spacing w:line="240" w:lineRule="auto"/>
        <w:ind w:left="900" w:hanging="900"/>
      </w:pPr>
    </w:p>
    <w:p w14:paraId="30EAFD23" w14:textId="77777777" w:rsidR="005E4910" w:rsidRDefault="005E4910" w:rsidP="00DC2F86">
      <w:pPr>
        <w:spacing w:line="240" w:lineRule="auto"/>
        <w:ind w:left="900" w:hanging="900"/>
        <w:rPr>
          <w:color w:val="000000"/>
        </w:rPr>
      </w:pPr>
      <w:r w:rsidRPr="005E4910">
        <w:rPr>
          <w:color w:val="000000"/>
        </w:rPr>
        <w:t xml:space="preserve">Israeli Central Bureau Of Statistics, </w:t>
      </w:r>
      <w:r w:rsidRPr="005E4910">
        <w:rPr>
          <w:i/>
          <w:iCs/>
          <w:color w:val="000000"/>
        </w:rPr>
        <w:t xml:space="preserve">Defence Expenditure In Israel: 1950-2013, </w:t>
      </w:r>
      <w:r w:rsidRPr="005E4910">
        <w:rPr>
          <w:color w:val="000000"/>
        </w:rPr>
        <w:t xml:space="preserve">Nov 2015, Web, Retrieved 21 Mar 2016, </w:t>
      </w:r>
      <w:hyperlink r:id="rId43" w:history="1">
        <w:r w:rsidRPr="005E4910">
          <w:rPr>
            <w:rStyle w:val="Hyperlink"/>
          </w:rPr>
          <w:t>Http://Www.Cbs.Gov.Il/Webpub/Pub/Text_Page_Eng.Html?Publ=7&amp;Cyear=2013&amp;Cmonth=1</w:t>
        </w:r>
      </w:hyperlink>
      <w:r w:rsidRPr="005E4910">
        <w:rPr>
          <w:color w:val="000000"/>
        </w:rPr>
        <w:t xml:space="preserve">.   </w:t>
      </w:r>
    </w:p>
    <w:p w14:paraId="3D267005" w14:textId="77777777" w:rsidR="005709ED" w:rsidRPr="005E4910" w:rsidRDefault="005709ED" w:rsidP="00DC2F86">
      <w:pPr>
        <w:spacing w:line="240" w:lineRule="auto"/>
        <w:ind w:left="900" w:hanging="900"/>
        <w:rPr>
          <w:color w:val="000000"/>
        </w:rPr>
      </w:pPr>
    </w:p>
    <w:p w14:paraId="41FDF14B" w14:textId="77777777" w:rsidR="005E4910" w:rsidRDefault="005E4910" w:rsidP="00DC2F86">
      <w:pPr>
        <w:pStyle w:val="FootnoteText"/>
        <w:ind w:left="900" w:hanging="900"/>
        <w:rPr>
          <w:sz w:val="24"/>
          <w:szCs w:val="24"/>
        </w:rPr>
      </w:pPr>
      <w:r w:rsidRPr="005E4910">
        <w:rPr>
          <w:sz w:val="24"/>
          <w:szCs w:val="24"/>
        </w:rPr>
        <w:t xml:space="preserve">Jaeger, David A., Esteban Klor, Sami H. Miaari, and Marco D. Paserman, “The Struggle for Palestinian Hearts and Minds: Violence and Public Opinion in the Second Intifada,” </w:t>
      </w:r>
      <w:r w:rsidRPr="005E4910">
        <w:rPr>
          <w:i/>
          <w:sz w:val="24"/>
          <w:szCs w:val="24"/>
        </w:rPr>
        <w:t xml:space="preserve">IZA Discussion Papers No.3439, </w:t>
      </w:r>
      <w:r w:rsidRPr="005E4910">
        <w:rPr>
          <w:sz w:val="24"/>
          <w:szCs w:val="24"/>
        </w:rPr>
        <w:t>(2008).</w:t>
      </w:r>
    </w:p>
    <w:p w14:paraId="06A456D9" w14:textId="77777777" w:rsidR="005709ED" w:rsidRPr="005E4910" w:rsidRDefault="005709ED" w:rsidP="00DC2F86">
      <w:pPr>
        <w:pStyle w:val="FootnoteText"/>
        <w:ind w:left="900" w:hanging="900"/>
        <w:rPr>
          <w:sz w:val="24"/>
          <w:szCs w:val="24"/>
        </w:rPr>
      </w:pPr>
    </w:p>
    <w:p w14:paraId="461EB252" w14:textId="77777777" w:rsidR="005E4910" w:rsidRDefault="005E4910" w:rsidP="00DC2F86">
      <w:pPr>
        <w:pStyle w:val="FootnoteText"/>
        <w:ind w:left="900" w:hanging="900"/>
        <w:rPr>
          <w:sz w:val="24"/>
          <w:szCs w:val="24"/>
        </w:rPr>
      </w:pPr>
      <w:r w:rsidRPr="005E4910">
        <w:rPr>
          <w:sz w:val="24"/>
          <w:szCs w:val="24"/>
        </w:rPr>
        <w:t xml:space="preserve">Jaeger, David and Marco D. Paserman, “The Cycle of Violence? An Empirical Analysis of Fatalities in the Israeli-Palestinian Conflict,” </w:t>
      </w:r>
      <w:r w:rsidRPr="005E4910">
        <w:rPr>
          <w:i/>
          <w:sz w:val="24"/>
          <w:szCs w:val="24"/>
        </w:rPr>
        <w:t xml:space="preserve">IZA Discussion Papers No. 1808, </w:t>
      </w:r>
      <w:r w:rsidRPr="005E4910">
        <w:rPr>
          <w:sz w:val="24"/>
          <w:szCs w:val="24"/>
        </w:rPr>
        <w:t>(October 2005).</w:t>
      </w:r>
    </w:p>
    <w:p w14:paraId="69A46CF1" w14:textId="77777777" w:rsidR="005709ED" w:rsidRPr="005E4910" w:rsidRDefault="005709ED" w:rsidP="00DC2F86">
      <w:pPr>
        <w:pStyle w:val="FootnoteText"/>
        <w:ind w:left="900" w:hanging="900"/>
        <w:rPr>
          <w:sz w:val="24"/>
          <w:szCs w:val="24"/>
        </w:rPr>
      </w:pPr>
    </w:p>
    <w:p w14:paraId="22ABD918" w14:textId="77777777" w:rsidR="005E4910" w:rsidRDefault="005E4910" w:rsidP="00DC2F86">
      <w:pPr>
        <w:spacing w:line="240" w:lineRule="auto"/>
        <w:ind w:left="900" w:hanging="900"/>
      </w:pPr>
      <w:r w:rsidRPr="005E4910">
        <w:t xml:space="preserve">Jha Saumitra, and Moses Shayo, “Valuing Peace: The Effects Of Financial Market Exposure On Votes And Political Attitudes,” </w:t>
      </w:r>
      <w:r w:rsidRPr="005E4910">
        <w:rPr>
          <w:i/>
        </w:rPr>
        <w:t>Stanford University Graduate School Of Business: Research Paper No. 3389,</w:t>
      </w:r>
      <w:r w:rsidRPr="005E4910">
        <w:t xml:space="preserve"> (Jan 2016).</w:t>
      </w:r>
    </w:p>
    <w:p w14:paraId="63F43689" w14:textId="77777777" w:rsidR="005709ED" w:rsidRPr="005E4910" w:rsidRDefault="005709ED" w:rsidP="00DC2F86">
      <w:pPr>
        <w:spacing w:line="240" w:lineRule="auto"/>
        <w:ind w:left="900" w:hanging="900"/>
      </w:pPr>
    </w:p>
    <w:p w14:paraId="35B43760" w14:textId="77777777" w:rsidR="005E4910" w:rsidRDefault="005E4910" w:rsidP="00DC2F86">
      <w:pPr>
        <w:pStyle w:val="FootnoteText"/>
        <w:ind w:left="900" w:hanging="900"/>
        <w:rPr>
          <w:sz w:val="24"/>
          <w:szCs w:val="24"/>
        </w:rPr>
      </w:pPr>
      <w:r w:rsidRPr="005E4910">
        <w:rPr>
          <w:sz w:val="24"/>
          <w:szCs w:val="24"/>
        </w:rPr>
        <w:t xml:space="preserve">Kacowicz, Arie, “Rashomon In The Middle East: Clashing Narratives Of The Israeli-Palestinian Conflict,” </w:t>
      </w:r>
      <w:r w:rsidRPr="005E4910">
        <w:rPr>
          <w:i/>
          <w:sz w:val="24"/>
          <w:szCs w:val="24"/>
        </w:rPr>
        <w:t xml:space="preserve">Cooperation And Conflict, </w:t>
      </w:r>
      <w:r w:rsidRPr="005E4910">
        <w:rPr>
          <w:sz w:val="24"/>
          <w:szCs w:val="24"/>
        </w:rPr>
        <w:t>Vol. 40, No.3, (2005): 343-360.</w:t>
      </w:r>
    </w:p>
    <w:p w14:paraId="2ADD0F92" w14:textId="77777777" w:rsidR="005709ED" w:rsidRPr="005E4910" w:rsidRDefault="005709ED" w:rsidP="00DC2F86">
      <w:pPr>
        <w:pStyle w:val="FootnoteText"/>
        <w:ind w:left="900" w:hanging="900"/>
        <w:rPr>
          <w:sz w:val="24"/>
          <w:szCs w:val="24"/>
        </w:rPr>
      </w:pPr>
    </w:p>
    <w:p w14:paraId="5DBD268E" w14:textId="77777777" w:rsidR="005E4910" w:rsidRDefault="005E4910" w:rsidP="00DC2F86">
      <w:pPr>
        <w:pStyle w:val="FootnoteText"/>
        <w:ind w:left="900" w:hanging="900"/>
        <w:rPr>
          <w:sz w:val="24"/>
          <w:szCs w:val="24"/>
        </w:rPr>
      </w:pPr>
      <w:r w:rsidRPr="005E4910">
        <w:rPr>
          <w:sz w:val="24"/>
          <w:szCs w:val="24"/>
        </w:rPr>
        <w:t xml:space="preserve">Keohane, Robert O. Ed., </w:t>
      </w:r>
      <w:r w:rsidRPr="005E4910">
        <w:rPr>
          <w:i/>
          <w:sz w:val="24"/>
          <w:szCs w:val="24"/>
        </w:rPr>
        <w:t xml:space="preserve">Neorealism And Its Critics, </w:t>
      </w:r>
      <w:r w:rsidRPr="005E4910">
        <w:rPr>
          <w:sz w:val="24"/>
          <w:szCs w:val="24"/>
        </w:rPr>
        <w:t>Columbia University Press, New York, Ny, (1988): 198</w:t>
      </w:r>
    </w:p>
    <w:p w14:paraId="7DAB19CB" w14:textId="77777777" w:rsidR="005709ED" w:rsidRPr="005E4910" w:rsidRDefault="005709ED" w:rsidP="00DC2F86">
      <w:pPr>
        <w:pStyle w:val="FootnoteText"/>
        <w:ind w:left="900" w:hanging="900"/>
        <w:rPr>
          <w:sz w:val="24"/>
          <w:szCs w:val="24"/>
        </w:rPr>
      </w:pPr>
    </w:p>
    <w:p w14:paraId="3C7CF6C5" w14:textId="1042D4FD" w:rsidR="005E4910" w:rsidRDefault="005E4910" w:rsidP="00DC2F86">
      <w:pPr>
        <w:pStyle w:val="FootnoteText"/>
        <w:ind w:left="900" w:hanging="900"/>
        <w:rPr>
          <w:sz w:val="24"/>
          <w:szCs w:val="24"/>
        </w:rPr>
      </w:pPr>
      <w:r w:rsidRPr="005E4910">
        <w:rPr>
          <w:sz w:val="24"/>
          <w:szCs w:val="24"/>
        </w:rPr>
        <w:lastRenderedPageBreak/>
        <w:t xml:space="preserve">Khoury, Jack, “Hundreds of Palestinian Laborers Discover Their Permits to Work In Israel Have Been Revoked,” </w:t>
      </w:r>
      <w:r w:rsidRPr="005E4910">
        <w:rPr>
          <w:i/>
          <w:sz w:val="24"/>
          <w:szCs w:val="24"/>
        </w:rPr>
        <w:t xml:space="preserve">Haaretz, </w:t>
      </w:r>
      <w:r w:rsidRPr="005E4910">
        <w:rPr>
          <w:sz w:val="24"/>
          <w:szCs w:val="24"/>
        </w:rPr>
        <w:t xml:space="preserve">15 Apr 2016, Web, Retrieved 23 Apr 2016, </w:t>
      </w:r>
      <w:hyperlink r:id="rId44" w:history="1">
        <w:r w:rsidRPr="005E4910">
          <w:rPr>
            <w:rStyle w:val="Hyperlink"/>
            <w:sz w:val="24"/>
            <w:szCs w:val="24"/>
          </w:rPr>
          <w:t>http://www.haaretz.com/israel-news/.premium-1.714544</w:t>
        </w:r>
      </w:hyperlink>
      <w:r w:rsidR="005709ED">
        <w:rPr>
          <w:rStyle w:val="Hyperlink"/>
          <w:sz w:val="24"/>
          <w:szCs w:val="24"/>
        </w:rPr>
        <w:t>.</w:t>
      </w:r>
      <w:r w:rsidRPr="005E4910">
        <w:rPr>
          <w:sz w:val="24"/>
          <w:szCs w:val="24"/>
        </w:rPr>
        <w:t xml:space="preserve"> </w:t>
      </w:r>
    </w:p>
    <w:p w14:paraId="28098512" w14:textId="77777777" w:rsidR="005709ED" w:rsidRPr="005E4910" w:rsidRDefault="005709ED" w:rsidP="00DC2F86">
      <w:pPr>
        <w:pStyle w:val="FootnoteText"/>
        <w:ind w:left="900" w:hanging="900"/>
        <w:rPr>
          <w:sz w:val="24"/>
          <w:szCs w:val="24"/>
        </w:rPr>
      </w:pPr>
    </w:p>
    <w:p w14:paraId="2113AD99" w14:textId="77777777" w:rsidR="005E4910" w:rsidRDefault="005E4910" w:rsidP="00DC2F86">
      <w:pPr>
        <w:widowControl w:val="0"/>
        <w:autoSpaceDE w:val="0"/>
        <w:autoSpaceDN w:val="0"/>
        <w:adjustRightInd w:val="0"/>
        <w:spacing w:line="240" w:lineRule="auto"/>
        <w:ind w:left="900" w:hanging="900"/>
      </w:pPr>
      <w:r w:rsidRPr="005E4910">
        <w:t xml:space="preserve">Krueger, Alan and David Laitin, “Kto Kogo? A Cross-Country Study Of The Origins And Targets Of Terrorism,” In: Philip Keefer And Norman Loayza (Eds.), </w:t>
      </w:r>
      <w:r w:rsidRPr="005E4910">
        <w:rPr>
          <w:i/>
        </w:rPr>
        <w:t xml:space="preserve">Terrorism, Economic Development, And Political Openness, </w:t>
      </w:r>
      <w:r w:rsidRPr="005E4910">
        <w:t>Cambridge University Press, New York, (2008), 148–173.</w:t>
      </w:r>
    </w:p>
    <w:p w14:paraId="6EF1B264" w14:textId="77777777" w:rsidR="005709ED" w:rsidRPr="005E4910" w:rsidRDefault="005709ED" w:rsidP="00DC2F86">
      <w:pPr>
        <w:widowControl w:val="0"/>
        <w:autoSpaceDE w:val="0"/>
        <w:autoSpaceDN w:val="0"/>
        <w:adjustRightInd w:val="0"/>
        <w:spacing w:line="240" w:lineRule="auto"/>
        <w:ind w:left="900" w:hanging="900"/>
      </w:pPr>
    </w:p>
    <w:p w14:paraId="0AF78BBF" w14:textId="77777777" w:rsidR="005E4910" w:rsidRDefault="005E4910" w:rsidP="00DC2F86">
      <w:pPr>
        <w:pStyle w:val="FootnoteText"/>
        <w:ind w:left="900" w:hanging="900"/>
        <w:rPr>
          <w:sz w:val="24"/>
          <w:szCs w:val="24"/>
        </w:rPr>
      </w:pPr>
      <w:r w:rsidRPr="005E4910">
        <w:rPr>
          <w:sz w:val="24"/>
          <w:szCs w:val="24"/>
        </w:rPr>
        <w:t xml:space="preserve">Kurtzer, Daniel C. and Scott B. Lasensky, </w:t>
      </w:r>
      <w:r w:rsidRPr="005E4910">
        <w:rPr>
          <w:i/>
          <w:iCs/>
          <w:sz w:val="24"/>
          <w:szCs w:val="24"/>
        </w:rPr>
        <w:t>Negotiating Arab-Israeli Peace: American Leadership In The Middle East</w:t>
      </w:r>
      <w:r w:rsidRPr="005E4910">
        <w:rPr>
          <w:sz w:val="24"/>
          <w:szCs w:val="24"/>
        </w:rPr>
        <w:t>, USIP, Washington, DC, (2008).</w:t>
      </w:r>
    </w:p>
    <w:p w14:paraId="4955A748" w14:textId="77777777" w:rsidR="005709ED" w:rsidRPr="005E4910" w:rsidRDefault="005709ED" w:rsidP="00DC2F86">
      <w:pPr>
        <w:pStyle w:val="FootnoteText"/>
        <w:ind w:left="900" w:hanging="900"/>
        <w:rPr>
          <w:sz w:val="24"/>
          <w:szCs w:val="24"/>
        </w:rPr>
      </w:pPr>
    </w:p>
    <w:p w14:paraId="55B8C499" w14:textId="77777777" w:rsidR="005E4910" w:rsidRDefault="005E4910" w:rsidP="00DC2F86">
      <w:pPr>
        <w:pStyle w:val="FootnoteText"/>
        <w:ind w:left="900" w:hanging="900"/>
        <w:rPr>
          <w:sz w:val="24"/>
          <w:szCs w:val="24"/>
        </w:rPr>
      </w:pPr>
      <w:r w:rsidRPr="005E4910">
        <w:rPr>
          <w:sz w:val="24"/>
          <w:szCs w:val="24"/>
        </w:rPr>
        <w:t xml:space="preserve">Lafree, Gary, “The Global Terrorism Database: Accomplishments And Challenges,” </w:t>
      </w:r>
      <w:r w:rsidRPr="005E4910">
        <w:rPr>
          <w:i/>
          <w:sz w:val="24"/>
          <w:szCs w:val="24"/>
        </w:rPr>
        <w:t xml:space="preserve">Perspectives On Terrorism, </w:t>
      </w:r>
      <w:r w:rsidRPr="005E4910">
        <w:rPr>
          <w:sz w:val="24"/>
          <w:szCs w:val="24"/>
        </w:rPr>
        <w:t>Vol.4, No.1, (2010).</w:t>
      </w:r>
    </w:p>
    <w:p w14:paraId="75FF3FDB" w14:textId="77777777" w:rsidR="005709ED" w:rsidRPr="005E4910" w:rsidRDefault="005709ED" w:rsidP="00DC2F86">
      <w:pPr>
        <w:pStyle w:val="FootnoteText"/>
        <w:ind w:left="900" w:hanging="900"/>
        <w:rPr>
          <w:sz w:val="24"/>
          <w:szCs w:val="24"/>
        </w:rPr>
      </w:pPr>
    </w:p>
    <w:p w14:paraId="2C5B13D9" w14:textId="77777777" w:rsidR="005E4910" w:rsidRDefault="005E4910" w:rsidP="00DC2F86">
      <w:pPr>
        <w:pStyle w:val="FootnoteText"/>
        <w:ind w:left="900" w:hanging="900"/>
        <w:rPr>
          <w:sz w:val="24"/>
          <w:szCs w:val="24"/>
        </w:rPr>
      </w:pPr>
      <w:r w:rsidRPr="005E4910">
        <w:rPr>
          <w:sz w:val="24"/>
          <w:szCs w:val="24"/>
        </w:rPr>
        <w:t xml:space="preserve">Lagerquist, Pete, “Fencing The Last Sky: Excavating Palestine After Israel’s “Separation Wall,” </w:t>
      </w:r>
      <w:r w:rsidRPr="005E4910">
        <w:rPr>
          <w:i/>
          <w:sz w:val="24"/>
          <w:szCs w:val="24"/>
        </w:rPr>
        <w:t xml:space="preserve">Journal Of Palestine Studies, </w:t>
      </w:r>
      <w:r w:rsidRPr="005E4910">
        <w:rPr>
          <w:sz w:val="24"/>
          <w:szCs w:val="24"/>
        </w:rPr>
        <w:t>Vol.33, No 2, (Winter 2004): 5-35.</w:t>
      </w:r>
    </w:p>
    <w:p w14:paraId="5C41B86E" w14:textId="77777777" w:rsidR="005709ED" w:rsidRPr="005E4910" w:rsidRDefault="005709ED" w:rsidP="00DC2F86">
      <w:pPr>
        <w:pStyle w:val="FootnoteText"/>
        <w:ind w:left="900" w:hanging="900"/>
        <w:rPr>
          <w:sz w:val="24"/>
          <w:szCs w:val="24"/>
        </w:rPr>
      </w:pPr>
    </w:p>
    <w:p w14:paraId="3D1545BF" w14:textId="77777777" w:rsidR="005E4910" w:rsidRDefault="005E4910" w:rsidP="00DC2F86">
      <w:pPr>
        <w:pStyle w:val="FootnoteText"/>
        <w:ind w:left="900" w:hanging="900"/>
        <w:rPr>
          <w:color w:val="000000"/>
          <w:sz w:val="24"/>
          <w:szCs w:val="24"/>
        </w:rPr>
      </w:pPr>
      <w:r w:rsidRPr="005E4910">
        <w:rPr>
          <w:sz w:val="24"/>
          <w:szCs w:val="24"/>
        </w:rPr>
        <w:t xml:space="preserve">Langer, Michael, </w:t>
      </w:r>
      <w:r w:rsidRPr="005E4910">
        <w:rPr>
          <w:color w:val="000000"/>
          <w:sz w:val="24"/>
          <w:szCs w:val="24"/>
        </w:rPr>
        <w:t xml:space="preserve">“Democracy, Religion, And The Zionist Future Of Israel,” </w:t>
      </w:r>
      <w:r w:rsidRPr="005E4910">
        <w:rPr>
          <w:i/>
          <w:color w:val="000000"/>
          <w:sz w:val="24"/>
          <w:szCs w:val="24"/>
        </w:rPr>
        <w:t xml:space="preserve">Judaism: A Quarterly Journal Of Jewish Life And Thought, </w:t>
      </w:r>
      <w:r w:rsidRPr="005E4910">
        <w:rPr>
          <w:color w:val="000000"/>
          <w:sz w:val="24"/>
          <w:szCs w:val="24"/>
        </w:rPr>
        <w:t>Vol.36, No.4, (1987): 400-415.</w:t>
      </w:r>
    </w:p>
    <w:p w14:paraId="604D482C" w14:textId="77777777" w:rsidR="005709ED" w:rsidRPr="005E4910" w:rsidRDefault="005709ED" w:rsidP="00DC2F86">
      <w:pPr>
        <w:pStyle w:val="FootnoteText"/>
        <w:ind w:left="900" w:hanging="900"/>
        <w:rPr>
          <w:color w:val="000000"/>
          <w:sz w:val="24"/>
          <w:szCs w:val="24"/>
        </w:rPr>
      </w:pPr>
    </w:p>
    <w:p w14:paraId="74218906" w14:textId="77777777" w:rsidR="005E4910" w:rsidRDefault="005E4910" w:rsidP="00DC2F86">
      <w:pPr>
        <w:pStyle w:val="FootnoteText"/>
        <w:ind w:left="900" w:hanging="900"/>
        <w:rPr>
          <w:sz w:val="24"/>
          <w:szCs w:val="24"/>
        </w:rPr>
      </w:pPr>
      <w:r w:rsidRPr="005E4910">
        <w:rPr>
          <w:sz w:val="24"/>
          <w:szCs w:val="24"/>
        </w:rPr>
        <w:t xml:space="preserve">Le More, Anne, “Killing with Kindness: Funding the Demise of a Palestinian State, </w:t>
      </w:r>
      <w:r w:rsidRPr="005E4910">
        <w:rPr>
          <w:i/>
          <w:sz w:val="24"/>
          <w:szCs w:val="24"/>
        </w:rPr>
        <w:t xml:space="preserve">International Affairs, </w:t>
      </w:r>
      <w:r w:rsidRPr="005E4910">
        <w:rPr>
          <w:sz w:val="24"/>
          <w:szCs w:val="24"/>
        </w:rPr>
        <w:t>Vol.81, No.5, (2005): 981-999.</w:t>
      </w:r>
    </w:p>
    <w:p w14:paraId="3B027558" w14:textId="77777777" w:rsidR="005709ED" w:rsidRDefault="005709ED" w:rsidP="00DC2F86">
      <w:pPr>
        <w:pStyle w:val="FootnoteText"/>
        <w:tabs>
          <w:tab w:val="left" w:pos="180"/>
        </w:tabs>
        <w:ind w:left="900" w:hanging="900"/>
        <w:rPr>
          <w:sz w:val="24"/>
          <w:szCs w:val="24"/>
        </w:rPr>
      </w:pPr>
    </w:p>
    <w:p w14:paraId="26164850" w14:textId="77777777" w:rsidR="005E4910" w:rsidRDefault="005E4910" w:rsidP="00DC2F86">
      <w:pPr>
        <w:pStyle w:val="FootnoteText"/>
        <w:tabs>
          <w:tab w:val="left" w:pos="180"/>
        </w:tabs>
        <w:ind w:left="900" w:hanging="900"/>
        <w:rPr>
          <w:sz w:val="24"/>
          <w:szCs w:val="24"/>
        </w:rPr>
      </w:pPr>
      <w:r w:rsidRPr="005E4910">
        <w:rPr>
          <w:sz w:val="24"/>
          <w:szCs w:val="24"/>
        </w:rPr>
        <w:t xml:space="preserve">Lee, Everett S., “A Theory Of Migration” </w:t>
      </w:r>
      <w:r w:rsidRPr="005E4910">
        <w:rPr>
          <w:i/>
          <w:sz w:val="24"/>
          <w:szCs w:val="24"/>
        </w:rPr>
        <w:t>Demography</w:t>
      </w:r>
      <w:r w:rsidRPr="005E4910">
        <w:rPr>
          <w:sz w:val="24"/>
          <w:szCs w:val="24"/>
        </w:rPr>
        <w:t>, Vol.3, No.1, (1966).</w:t>
      </w:r>
    </w:p>
    <w:p w14:paraId="685C8FFA" w14:textId="77777777" w:rsidR="005709ED" w:rsidRPr="005E4910" w:rsidRDefault="005709ED" w:rsidP="00DC2F86">
      <w:pPr>
        <w:pStyle w:val="FootnoteText"/>
        <w:tabs>
          <w:tab w:val="left" w:pos="180"/>
        </w:tabs>
        <w:ind w:left="900" w:hanging="900"/>
        <w:rPr>
          <w:sz w:val="24"/>
          <w:szCs w:val="24"/>
        </w:rPr>
      </w:pPr>
    </w:p>
    <w:p w14:paraId="3FE0FB3B" w14:textId="77777777" w:rsidR="005E4910" w:rsidRDefault="005E4910" w:rsidP="00DC2F86">
      <w:pPr>
        <w:pStyle w:val="FootnoteText"/>
        <w:ind w:left="900" w:hanging="900"/>
        <w:rPr>
          <w:sz w:val="24"/>
          <w:szCs w:val="24"/>
        </w:rPr>
      </w:pPr>
      <w:r w:rsidRPr="005E4910">
        <w:rPr>
          <w:sz w:val="24"/>
          <w:szCs w:val="24"/>
        </w:rPr>
        <w:t xml:space="preserve">Macartan Humphreys, “Economics And Violent Conflict,” </w:t>
      </w:r>
      <w:r w:rsidRPr="005E4910">
        <w:rPr>
          <w:i/>
          <w:sz w:val="24"/>
          <w:szCs w:val="24"/>
        </w:rPr>
        <w:t xml:space="preserve">UNICEF Program On Humanitarian Policy And Conflict, </w:t>
      </w:r>
      <w:r w:rsidRPr="005E4910">
        <w:rPr>
          <w:sz w:val="24"/>
          <w:szCs w:val="24"/>
        </w:rPr>
        <w:t xml:space="preserve">(2003). </w:t>
      </w:r>
    </w:p>
    <w:p w14:paraId="420C4FF3" w14:textId="77777777" w:rsidR="005709ED" w:rsidRPr="005E4910" w:rsidRDefault="005709ED" w:rsidP="00DC2F86">
      <w:pPr>
        <w:pStyle w:val="FootnoteText"/>
        <w:ind w:left="900" w:hanging="900"/>
        <w:rPr>
          <w:sz w:val="24"/>
          <w:szCs w:val="24"/>
        </w:rPr>
      </w:pPr>
    </w:p>
    <w:p w14:paraId="3512DBEE" w14:textId="77777777" w:rsidR="005E4910" w:rsidRDefault="005E4910" w:rsidP="00DC2F86">
      <w:pPr>
        <w:pStyle w:val="FootnoteText"/>
        <w:ind w:left="900" w:hanging="900"/>
        <w:rPr>
          <w:sz w:val="24"/>
          <w:szCs w:val="24"/>
        </w:rPr>
      </w:pPr>
      <w:r w:rsidRPr="005E4910">
        <w:rPr>
          <w:sz w:val="24"/>
          <w:szCs w:val="24"/>
        </w:rPr>
        <w:t xml:space="preserve">Mackey, Robert, “Israeli Rights Group Releases Video of Army Medic Executing Wounded Palestinian Suspect,” </w:t>
      </w:r>
      <w:r w:rsidRPr="005E4910">
        <w:rPr>
          <w:i/>
          <w:sz w:val="24"/>
          <w:szCs w:val="24"/>
        </w:rPr>
        <w:t xml:space="preserve">The Intercept, </w:t>
      </w:r>
      <w:r w:rsidRPr="005E4910">
        <w:rPr>
          <w:sz w:val="24"/>
          <w:szCs w:val="24"/>
        </w:rPr>
        <w:t xml:space="preserve">24 March, 2016, Web, Retrieved 20 April, 2016, </w:t>
      </w:r>
      <w:hyperlink r:id="rId45" w:history="1">
        <w:r w:rsidRPr="005E4910">
          <w:rPr>
            <w:rStyle w:val="Hyperlink"/>
            <w:sz w:val="24"/>
            <w:szCs w:val="24"/>
          </w:rPr>
          <w:t>https://theintercept.com/2016/03/24/israeli-rights-group-releases-video-soldier-executing-wounded-palestinian-suspect/</w:t>
        </w:r>
      </w:hyperlink>
      <w:r w:rsidRPr="005E4910">
        <w:rPr>
          <w:sz w:val="24"/>
          <w:szCs w:val="24"/>
        </w:rPr>
        <w:t xml:space="preserve"> </w:t>
      </w:r>
    </w:p>
    <w:p w14:paraId="6D63E6DB" w14:textId="77777777" w:rsidR="005709ED" w:rsidRPr="005E4910" w:rsidRDefault="005709ED" w:rsidP="00DC2F86">
      <w:pPr>
        <w:pStyle w:val="FootnoteText"/>
        <w:ind w:left="900" w:hanging="900"/>
        <w:rPr>
          <w:sz w:val="24"/>
          <w:szCs w:val="24"/>
        </w:rPr>
      </w:pPr>
    </w:p>
    <w:p w14:paraId="2F8BF69B" w14:textId="77777777" w:rsidR="005E4910" w:rsidRDefault="005E4910" w:rsidP="00DC2F86">
      <w:pPr>
        <w:pStyle w:val="FootnoteText"/>
        <w:ind w:left="900" w:hanging="900"/>
        <w:rPr>
          <w:sz w:val="24"/>
          <w:szCs w:val="24"/>
        </w:rPr>
      </w:pPr>
      <w:r w:rsidRPr="005E4910">
        <w:rPr>
          <w:sz w:val="24"/>
          <w:szCs w:val="24"/>
        </w:rPr>
        <w:t xml:space="preserve">Makovsky, David, “U.S. Military Aid To Israel: Debating An Increase,” </w:t>
      </w:r>
      <w:r w:rsidRPr="005E4910">
        <w:rPr>
          <w:i/>
          <w:sz w:val="24"/>
          <w:szCs w:val="24"/>
        </w:rPr>
        <w:t xml:space="preserve">The Washington Institute, </w:t>
      </w:r>
      <w:r w:rsidRPr="005E4910">
        <w:rPr>
          <w:sz w:val="24"/>
          <w:szCs w:val="24"/>
        </w:rPr>
        <w:t xml:space="preserve">14 Mar 2016, Web, Retrieved 20 Mar 2016, </w:t>
      </w:r>
      <w:hyperlink r:id="rId46" w:history="1">
        <w:r w:rsidRPr="005E4910">
          <w:rPr>
            <w:rStyle w:val="Hyperlink"/>
            <w:sz w:val="24"/>
            <w:szCs w:val="24"/>
          </w:rPr>
          <w:t>Http://Www.Washingtoninstitute.Org/Policy-Analysis/View/U.S.-Military-Aid-To-Israel-Debating-An-Increase</w:t>
        </w:r>
      </w:hyperlink>
      <w:r w:rsidRPr="005E4910">
        <w:rPr>
          <w:sz w:val="24"/>
          <w:szCs w:val="24"/>
        </w:rPr>
        <w:t>.</w:t>
      </w:r>
    </w:p>
    <w:p w14:paraId="2C9C47A3" w14:textId="77777777" w:rsidR="005709ED" w:rsidRPr="005E4910" w:rsidRDefault="005709ED" w:rsidP="00DC2F86">
      <w:pPr>
        <w:pStyle w:val="FootnoteText"/>
        <w:ind w:left="900" w:hanging="900"/>
        <w:rPr>
          <w:sz w:val="24"/>
          <w:szCs w:val="24"/>
        </w:rPr>
      </w:pPr>
    </w:p>
    <w:p w14:paraId="2780542E" w14:textId="77777777" w:rsidR="005E4910" w:rsidRDefault="005E4910" w:rsidP="00DC2F86">
      <w:pPr>
        <w:pStyle w:val="FootnoteText"/>
        <w:ind w:left="900" w:hanging="900"/>
        <w:rPr>
          <w:sz w:val="24"/>
          <w:szCs w:val="24"/>
        </w:rPr>
      </w:pPr>
      <w:r w:rsidRPr="005E4910">
        <w:rPr>
          <w:sz w:val="24"/>
          <w:szCs w:val="24"/>
        </w:rPr>
        <w:t xml:space="preserve">Malley, Robert, “Fictions About The Failure At Camp David,” </w:t>
      </w:r>
      <w:r w:rsidRPr="005E4910">
        <w:rPr>
          <w:i/>
          <w:sz w:val="24"/>
          <w:szCs w:val="24"/>
        </w:rPr>
        <w:t xml:space="preserve">The New York Times, </w:t>
      </w:r>
      <w:r w:rsidRPr="005E4910">
        <w:rPr>
          <w:sz w:val="24"/>
          <w:szCs w:val="24"/>
        </w:rPr>
        <w:t xml:space="preserve">8 Jul 2001, Web, Retrieved 4 Feb 2016, </w:t>
      </w:r>
      <w:hyperlink r:id="rId47" w:history="1">
        <w:r w:rsidRPr="005E4910">
          <w:rPr>
            <w:rStyle w:val="Hyperlink"/>
            <w:sz w:val="24"/>
            <w:szCs w:val="24"/>
          </w:rPr>
          <w:t>Http://Www.Nytimes.Com/2001/07/08/Opinion/Fictions-About-The-Failure-At-Camp-David.Html</w:t>
        </w:r>
      </w:hyperlink>
      <w:r w:rsidRPr="005E4910">
        <w:rPr>
          <w:sz w:val="24"/>
          <w:szCs w:val="24"/>
        </w:rPr>
        <w:t>.</w:t>
      </w:r>
    </w:p>
    <w:p w14:paraId="0274F73C" w14:textId="77777777" w:rsidR="005709ED" w:rsidRPr="005E4910" w:rsidRDefault="005709ED" w:rsidP="00DC2F86">
      <w:pPr>
        <w:pStyle w:val="FootnoteText"/>
        <w:ind w:left="900" w:hanging="900"/>
        <w:rPr>
          <w:sz w:val="24"/>
          <w:szCs w:val="24"/>
        </w:rPr>
      </w:pPr>
    </w:p>
    <w:p w14:paraId="012A2136" w14:textId="77777777" w:rsidR="005E4910" w:rsidRDefault="005E4910" w:rsidP="00DC2F86">
      <w:pPr>
        <w:widowControl w:val="0"/>
        <w:autoSpaceDE w:val="0"/>
        <w:autoSpaceDN w:val="0"/>
        <w:adjustRightInd w:val="0"/>
        <w:spacing w:line="240" w:lineRule="auto"/>
        <w:ind w:left="900" w:hanging="900"/>
      </w:pPr>
      <w:r w:rsidRPr="005E4910">
        <w:lastRenderedPageBreak/>
        <w:t xml:space="preserve">Mansour, Hani, “The Effects Of Labor Supply Shocks On Labor Market Outcomes: Evidence From The Israeli-Palestinian Conflict,” </w:t>
      </w:r>
      <w:r w:rsidRPr="005E4910">
        <w:rPr>
          <w:i/>
        </w:rPr>
        <w:t xml:space="preserve">Labour Economics, </w:t>
      </w:r>
      <w:r w:rsidRPr="005E4910">
        <w:t xml:space="preserve">Vol.17, (2010): 930-939. </w:t>
      </w:r>
    </w:p>
    <w:p w14:paraId="5C3D630E" w14:textId="77777777" w:rsidR="005709ED" w:rsidRPr="005E4910" w:rsidRDefault="005709ED" w:rsidP="00DC2F86">
      <w:pPr>
        <w:widowControl w:val="0"/>
        <w:autoSpaceDE w:val="0"/>
        <w:autoSpaceDN w:val="0"/>
        <w:adjustRightInd w:val="0"/>
        <w:spacing w:line="240" w:lineRule="auto"/>
        <w:ind w:left="900" w:hanging="900"/>
      </w:pPr>
    </w:p>
    <w:p w14:paraId="4848C672" w14:textId="77777777" w:rsidR="005E4910" w:rsidRDefault="005E4910" w:rsidP="00DC2F86">
      <w:pPr>
        <w:pStyle w:val="FootnoteText"/>
        <w:ind w:left="900" w:hanging="900"/>
        <w:rPr>
          <w:sz w:val="24"/>
          <w:szCs w:val="24"/>
        </w:rPr>
      </w:pPr>
      <w:r w:rsidRPr="005E4910">
        <w:rPr>
          <w:sz w:val="24"/>
          <w:szCs w:val="24"/>
        </w:rPr>
        <w:t xml:space="preserve">Massey et al., “Theories Of International Migration: A Review And Appraisal” </w:t>
      </w:r>
      <w:r w:rsidRPr="005E4910">
        <w:rPr>
          <w:i/>
          <w:sz w:val="24"/>
          <w:szCs w:val="24"/>
        </w:rPr>
        <w:t xml:space="preserve">Population And Development Review, </w:t>
      </w:r>
      <w:r w:rsidRPr="005E4910">
        <w:rPr>
          <w:sz w:val="24"/>
          <w:szCs w:val="24"/>
        </w:rPr>
        <w:t>Vol.19, No.3, (1993): 431-466.</w:t>
      </w:r>
    </w:p>
    <w:p w14:paraId="3A0DFB03" w14:textId="77777777" w:rsidR="005709ED" w:rsidRPr="005E4910" w:rsidRDefault="005709ED" w:rsidP="00DC2F86">
      <w:pPr>
        <w:pStyle w:val="FootnoteText"/>
        <w:ind w:left="900" w:hanging="900"/>
        <w:rPr>
          <w:sz w:val="24"/>
          <w:szCs w:val="24"/>
        </w:rPr>
      </w:pPr>
    </w:p>
    <w:p w14:paraId="2AF1D53D" w14:textId="77777777" w:rsidR="005E4910" w:rsidRDefault="005E4910" w:rsidP="00DC2F86">
      <w:pPr>
        <w:pStyle w:val="FootnoteText"/>
        <w:ind w:left="900" w:hanging="900"/>
        <w:rPr>
          <w:sz w:val="24"/>
          <w:szCs w:val="24"/>
        </w:rPr>
      </w:pPr>
      <w:r w:rsidRPr="005E4910">
        <w:rPr>
          <w:sz w:val="24"/>
          <w:szCs w:val="24"/>
        </w:rPr>
        <w:t xml:space="preserve">Massey, Douglas S., “The Political Economy Of Migration In An Era Of Globalization,” </w:t>
      </w:r>
      <w:r w:rsidRPr="005E4910">
        <w:rPr>
          <w:i/>
          <w:sz w:val="24"/>
          <w:szCs w:val="24"/>
        </w:rPr>
        <w:t xml:space="preserve">International Migration And Human Rights: The Repercussions Of US Policy, </w:t>
      </w:r>
      <w:r w:rsidRPr="005E4910">
        <w:rPr>
          <w:sz w:val="24"/>
          <w:szCs w:val="24"/>
        </w:rPr>
        <w:t>(2009).</w:t>
      </w:r>
    </w:p>
    <w:p w14:paraId="45637449" w14:textId="77777777" w:rsidR="005709ED" w:rsidRPr="005E4910" w:rsidRDefault="005709ED" w:rsidP="00DC2F86">
      <w:pPr>
        <w:pStyle w:val="FootnoteText"/>
        <w:ind w:left="900" w:hanging="900"/>
        <w:rPr>
          <w:sz w:val="24"/>
          <w:szCs w:val="24"/>
        </w:rPr>
      </w:pPr>
    </w:p>
    <w:p w14:paraId="1A8E5197" w14:textId="77777777" w:rsidR="005E4910" w:rsidRDefault="005E4910" w:rsidP="00DC2F86">
      <w:pPr>
        <w:pStyle w:val="FootnoteText"/>
        <w:ind w:left="900" w:hanging="900"/>
        <w:rPr>
          <w:sz w:val="24"/>
          <w:szCs w:val="24"/>
        </w:rPr>
      </w:pPr>
      <w:r w:rsidRPr="005E4910">
        <w:rPr>
          <w:sz w:val="24"/>
          <w:szCs w:val="24"/>
        </w:rPr>
        <w:t xml:space="preserve">Mazen, Abdelmagid, “When Settlement and Resolution are in Conflict: Searching for a Mideast Peace Dividend,” </w:t>
      </w:r>
      <w:r w:rsidRPr="005E4910">
        <w:rPr>
          <w:i/>
          <w:sz w:val="24"/>
          <w:szCs w:val="24"/>
        </w:rPr>
        <w:t xml:space="preserve">Negotiation Journal, </w:t>
      </w:r>
      <w:r w:rsidRPr="005E4910">
        <w:rPr>
          <w:sz w:val="24"/>
          <w:szCs w:val="24"/>
        </w:rPr>
        <w:t>Vol. 14, Iss.4, (Oct 1998): 357-367.</w:t>
      </w:r>
    </w:p>
    <w:p w14:paraId="1370F854" w14:textId="77777777" w:rsidR="005709ED" w:rsidRPr="005E4910" w:rsidRDefault="005709ED" w:rsidP="00DC2F86">
      <w:pPr>
        <w:pStyle w:val="FootnoteText"/>
        <w:ind w:left="900" w:hanging="900"/>
        <w:rPr>
          <w:sz w:val="24"/>
          <w:szCs w:val="24"/>
        </w:rPr>
      </w:pPr>
    </w:p>
    <w:p w14:paraId="60DCCBD2" w14:textId="77777777" w:rsidR="005E4910" w:rsidRDefault="005E4910" w:rsidP="00DC2F86">
      <w:pPr>
        <w:pStyle w:val="FootnoteText"/>
        <w:ind w:left="900" w:hanging="900"/>
        <w:rPr>
          <w:sz w:val="24"/>
          <w:szCs w:val="24"/>
        </w:rPr>
      </w:pPr>
      <w:r w:rsidRPr="005E4910">
        <w:rPr>
          <w:sz w:val="24"/>
          <w:szCs w:val="24"/>
        </w:rPr>
        <w:t xml:space="preserve">Mearsheimer, John and Stephen Walt, “The Israel Lobby And U.S. Foreign Policy,” </w:t>
      </w:r>
      <w:r w:rsidRPr="005E4910">
        <w:rPr>
          <w:i/>
          <w:sz w:val="24"/>
          <w:szCs w:val="24"/>
        </w:rPr>
        <w:t xml:space="preserve">Middle East Policy, </w:t>
      </w:r>
      <w:r w:rsidRPr="005E4910">
        <w:rPr>
          <w:sz w:val="24"/>
          <w:szCs w:val="24"/>
        </w:rPr>
        <w:t>Vol.13, No.3, (2006): 29-87.</w:t>
      </w:r>
    </w:p>
    <w:p w14:paraId="6FF35FE4" w14:textId="77777777" w:rsidR="005709ED" w:rsidRPr="005E4910" w:rsidRDefault="005709ED" w:rsidP="00DC2F86">
      <w:pPr>
        <w:pStyle w:val="FootnoteText"/>
        <w:ind w:left="900" w:hanging="900"/>
        <w:rPr>
          <w:sz w:val="24"/>
          <w:szCs w:val="24"/>
        </w:rPr>
      </w:pPr>
    </w:p>
    <w:p w14:paraId="11841973" w14:textId="77777777" w:rsidR="005E4910" w:rsidRDefault="005E4910" w:rsidP="00DC2F86">
      <w:pPr>
        <w:pStyle w:val="FootnoteText"/>
        <w:ind w:left="900" w:hanging="900"/>
        <w:rPr>
          <w:sz w:val="24"/>
          <w:szCs w:val="24"/>
        </w:rPr>
      </w:pPr>
      <w:r w:rsidRPr="005E4910">
        <w:rPr>
          <w:sz w:val="24"/>
          <w:szCs w:val="24"/>
        </w:rPr>
        <w:t xml:space="preserve">Metzer, Jacob, “Some Perspectives On The Israeli Economy: Stocktakng And Looking Ahead,” </w:t>
      </w:r>
      <w:r w:rsidRPr="005E4910">
        <w:rPr>
          <w:i/>
          <w:sz w:val="24"/>
          <w:szCs w:val="24"/>
        </w:rPr>
        <w:t xml:space="preserve">Israel Studies, </w:t>
      </w:r>
      <w:r w:rsidRPr="005E4910">
        <w:rPr>
          <w:sz w:val="24"/>
          <w:szCs w:val="24"/>
        </w:rPr>
        <w:t>2014, Vol.19, No.2, 133-161.</w:t>
      </w:r>
    </w:p>
    <w:p w14:paraId="66B2A290" w14:textId="77777777" w:rsidR="005709ED" w:rsidRPr="005E4910" w:rsidRDefault="005709ED" w:rsidP="00DC2F86">
      <w:pPr>
        <w:pStyle w:val="FootnoteText"/>
        <w:ind w:left="900" w:hanging="900"/>
        <w:rPr>
          <w:sz w:val="24"/>
          <w:szCs w:val="24"/>
        </w:rPr>
      </w:pPr>
    </w:p>
    <w:p w14:paraId="545246A6" w14:textId="77777777" w:rsidR="005E4910" w:rsidRDefault="005E4910" w:rsidP="00DC2F86">
      <w:pPr>
        <w:pStyle w:val="FootnoteText"/>
        <w:ind w:left="900" w:hanging="900"/>
        <w:rPr>
          <w:sz w:val="24"/>
          <w:szCs w:val="24"/>
        </w:rPr>
      </w:pPr>
      <w:r w:rsidRPr="005E4910">
        <w:rPr>
          <w:sz w:val="24"/>
          <w:szCs w:val="24"/>
        </w:rPr>
        <w:t xml:space="preserve">Miaari, Sami H. and Robert M. Sauer, “The Labor Market Costs of Conflict: Closures, Foreign Workers, and Palestinian Employment and Earnings,” </w:t>
      </w:r>
      <w:r w:rsidRPr="005E4910">
        <w:rPr>
          <w:i/>
          <w:sz w:val="24"/>
          <w:szCs w:val="24"/>
        </w:rPr>
        <w:t xml:space="preserve">IZA Discussion Paper No. 2282, </w:t>
      </w:r>
      <w:r w:rsidRPr="005E4910">
        <w:rPr>
          <w:sz w:val="24"/>
          <w:szCs w:val="24"/>
        </w:rPr>
        <w:t xml:space="preserve">(September 2006). </w:t>
      </w:r>
    </w:p>
    <w:p w14:paraId="6E136E83" w14:textId="77777777" w:rsidR="005709ED" w:rsidRPr="005E4910" w:rsidRDefault="005709ED" w:rsidP="00DC2F86">
      <w:pPr>
        <w:pStyle w:val="FootnoteText"/>
        <w:ind w:left="900" w:hanging="900"/>
        <w:rPr>
          <w:sz w:val="24"/>
          <w:szCs w:val="24"/>
        </w:rPr>
      </w:pPr>
    </w:p>
    <w:p w14:paraId="736D1FC0" w14:textId="71B743FE" w:rsidR="005E4910" w:rsidRDefault="005E4910" w:rsidP="00DC2F86">
      <w:pPr>
        <w:widowControl w:val="0"/>
        <w:autoSpaceDE w:val="0"/>
        <w:autoSpaceDN w:val="0"/>
        <w:adjustRightInd w:val="0"/>
        <w:spacing w:line="240" w:lineRule="auto"/>
        <w:ind w:left="900" w:hanging="900"/>
      </w:pPr>
      <w:r w:rsidRPr="005E4910">
        <w:t xml:space="preserve">Miaari, Sami, Asaf Zussman, And Noam Zussman, “Employment Restrictions And Political Conflict In The Israeli-Palestinian Conflict,” </w:t>
      </w:r>
      <w:r w:rsidRPr="005E4910">
        <w:rPr>
          <w:i/>
        </w:rPr>
        <w:t xml:space="preserve">Journal Of Economic Behavior And Organization, </w:t>
      </w:r>
      <w:r w:rsidR="005709ED">
        <w:t>Vol.101, (2014): 24-44.</w:t>
      </w:r>
      <w:r w:rsidRPr="005E4910">
        <w:t xml:space="preserve"> </w:t>
      </w:r>
    </w:p>
    <w:p w14:paraId="7A838F9F" w14:textId="77777777" w:rsidR="005709ED" w:rsidRPr="005E4910" w:rsidRDefault="005709ED" w:rsidP="00DC2F86">
      <w:pPr>
        <w:widowControl w:val="0"/>
        <w:autoSpaceDE w:val="0"/>
        <w:autoSpaceDN w:val="0"/>
        <w:adjustRightInd w:val="0"/>
        <w:spacing w:line="240" w:lineRule="auto"/>
        <w:ind w:left="900" w:hanging="900"/>
      </w:pPr>
    </w:p>
    <w:p w14:paraId="3C67F399" w14:textId="77777777" w:rsidR="005E4910" w:rsidRDefault="005E4910" w:rsidP="00DC2F86">
      <w:pPr>
        <w:pStyle w:val="FootnoteText"/>
        <w:ind w:left="900" w:hanging="900"/>
        <w:rPr>
          <w:sz w:val="24"/>
          <w:szCs w:val="24"/>
        </w:rPr>
      </w:pPr>
      <w:r w:rsidRPr="005E4910">
        <w:rPr>
          <w:sz w:val="24"/>
          <w:szCs w:val="24"/>
        </w:rPr>
        <w:t xml:space="preserve">Mintz, Alex and Michael D. Ward, “The Evolution Of Israel’s Security Expenditures: 1960-1983,” </w:t>
      </w:r>
      <w:r w:rsidRPr="005E4910">
        <w:rPr>
          <w:i/>
          <w:sz w:val="24"/>
          <w:szCs w:val="24"/>
        </w:rPr>
        <w:t xml:space="preserve">The Western Political Quarterly, </w:t>
      </w:r>
      <w:r w:rsidRPr="005E4910">
        <w:rPr>
          <w:sz w:val="24"/>
          <w:szCs w:val="24"/>
        </w:rPr>
        <w:t>Vol. 41, No. 3, (1988) 489-507.</w:t>
      </w:r>
    </w:p>
    <w:p w14:paraId="1EB8581E" w14:textId="77777777" w:rsidR="005709ED" w:rsidRPr="005E4910" w:rsidRDefault="005709ED" w:rsidP="00DC2F86">
      <w:pPr>
        <w:pStyle w:val="FootnoteText"/>
        <w:ind w:left="900" w:hanging="900"/>
        <w:rPr>
          <w:sz w:val="24"/>
          <w:szCs w:val="24"/>
        </w:rPr>
      </w:pPr>
    </w:p>
    <w:p w14:paraId="7AF90F51" w14:textId="77777777" w:rsidR="005E4910" w:rsidRDefault="005E4910" w:rsidP="00DC2F86">
      <w:pPr>
        <w:pStyle w:val="FootnoteText"/>
        <w:ind w:left="900" w:hanging="900"/>
        <w:rPr>
          <w:sz w:val="24"/>
          <w:szCs w:val="24"/>
        </w:rPr>
      </w:pPr>
      <w:r w:rsidRPr="005E4910">
        <w:rPr>
          <w:sz w:val="24"/>
          <w:szCs w:val="24"/>
        </w:rPr>
        <w:t xml:space="preserve">Mintz, Alex and Michael D. Ward, “The Political Economy Of Military Spending In Israel,” </w:t>
      </w:r>
      <w:r w:rsidRPr="005E4910">
        <w:rPr>
          <w:i/>
          <w:sz w:val="24"/>
          <w:szCs w:val="24"/>
        </w:rPr>
        <w:t xml:space="preserve">The American Political Science Review, </w:t>
      </w:r>
      <w:r w:rsidRPr="005E4910">
        <w:rPr>
          <w:sz w:val="24"/>
          <w:szCs w:val="24"/>
        </w:rPr>
        <w:t>Vol.83, No.2, (1989): 521-533.</w:t>
      </w:r>
    </w:p>
    <w:p w14:paraId="21193FA8" w14:textId="77777777" w:rsidR="005709ED" w:rsidRPr="005E4910" w:rsidRDefault="005709ED" w:rsidP="00DC2F86">
      <w:pPr>
        <w:pStyle w:val="FootnoteText"/>
        <w:ind w:left="900" w:hanging="900"/>
        <w:rPr>
          <w:sz w:val="24"/>
          <w:szCs w:val="24"/>
        </w:rPr>
      </w:pPr>
    </w:p>
    <w:p w14:paraId="3FCD955B" w14:textId="77777777" w:rsidR="005E4910" w:rsidRDefault="005E4910" w:rsidP="00DC2F86">
      <w:pPr>
        <w:pStyle w:val="FootnoteText"/>
        <w:ind w:left="900" w:hanging="900"/>
        <w:rPr>
          <w:sz w:val="24"/>
          <w:szCs w:val="24"/>
        </w:rPr>
      </w:pPr>
      <w:r w:rsidRPr="005E4910">
        <w:rPr>
          <w:sz w:val="24"/>
          <w:szCs w:val="24"/>
        </w:rPr>
        <w:t xml:space="preserve">Mitchell, George J., Suleyman Demiral, Warren B. Rudman, Thorbjeorn Jagland, and Javier Solana, </w:t>
      </w:r>
      <w:r w:rsidRPr="005E4910">
        <w:rPr>
          <w:i/>
          <w:sz w:val="24"/>
          <w:szCs w:val="24"/>
        </w:rPr>
        <w:t xml:space="preserve">Report of the Sharm-el-Sheikh Fact-Finding Committee, </w:t>
      </w:r>
      <w:r w:rsidRPr="005E4910">
        <w:rPr>
          <w:sz w:val="24"/>
          <w:szCs w:val="24"/>
        </w:rPr>
        <w:t>United States Government, (April 2001).</w:t>
      </w:r>
    </w:p>
    <w:p w14:paraId="60ABD1D1" w14:textId="77777777" w:rsidR="005709ED" w:rsidRPr="005E4910" w:rsidRDefault="005709ED" w:rsidP="00DC2F86">
      <w:pPr>
        <w:pStyle w:val="FootnoteText"/>
        <w:ind w:left="900" w:hanging="900"/>
        <w:rPr>
          <w:sz w:val="24"/>
          <w:szCs w:val="24"/>
        </w:rPr>
      </w:pPr>
    </w:p>
    <w:p w14:paraId="4CE79282" w14:textId="77777777" w:rsidR="005E4910" w:rsidRDefault="005E4910" w:rsidP="00DC2F86">
      <w:pPr>
        <w:pStyle w:val="FootnoteText"/>
        <w:ind w:left="900" w:hanging="900"/>
        <w:rPr>
          <w:sz w:val="24"/>
          <w:szCs w:val="24"/>
        </w:rPr>
      </w:pPr>
      <w:r w:rsidRPr="005E4910">
        <w:rPr>
          <w:sz w:val="24"/>
          <w:szCs w:val="24"/>
        </w:rPr>
        <w:t xml:space="preserve">Morrow, James, “Capabilities, Uncertainty, And Resolve: A Limited Information Model Of Crisis Bargaining,” </w:t>
      </w:r>
      <w:r w:rsidRPr="005E4910">
        <w:rPr>
          <w:i/>
          <w:sz w:val="24"/>
          <w:szCs w:val="24"/>
        </w:rPr>
        <w:t xml:space="preserve">American Journal Of Political Science, </w:t>
      </w:r>
      <w:r w:rsidRPr="005E4910">
        <w:rPr>
          <w:sz w:val="24"/>
          <w:szCs w:val="24"/>
        </w:rPr>
        <w:t xml:space="preserve">Vol.33, No.4, (1989): 931-972. </w:t>
      </w:r>
    </w:p>
    <w:p w14:paraId="576F8B51" w14:textId="77777777" w:rsidR="005709ED" w:rsidRDefault="005709ED" w:rsidP="00DC2F86">
      <w:pPr>
        <w:pStyle w:val="FootnoteText"/>
        <w:ind w:left="900" w:hanging="900"/>
        <w:rPr>
          <w:sz w:val="24"/>
          <w:szCs w:val="24"/>
        </w:rPr>
      </w:pPr>
    </w:p>
    <w:p w14:paraId="4E930850" w14:textId="77777777" w:rsidR="005709ED" w:rsidRDefault="005709ED" w:rsidP="00DC2F86">
      <w:pPr>
        <w:pStyle w:val="FootnoteText"/>
        <w:ind w:left="900" w:hanging="900"/>
        <w:rPr>
          <w:sz w:val="24"/>
          <w:szCs w:val="24"/>
        </w:rPr>
      </w:pPr>
      <w:r>
        <w:rPr>
          <w:sz w:val="24"/>
          <w:szCs w:val="24"/>
        </w:rPr>
        <w:t>Mtanes Shehadeh a</w:t>
      </w:r>
      <w:r w:rsidRPr="005E4910">
        <w:rPr>
          <w:sz w:val="24"/>
          <w:szCs w:val="24"/>
        </w:rPr>
        <w:t xml:space="preserve">nd Raja Khalid, “Impeded Development: The Political Economy Of The Palestinian Arabs Inside Israel,” In </w:t>
      </w:r>
      <w:r w:rsidRPr="005E4910">
        <w:rPr>
          <w:i/>
          <w:sz w:val="24"/>
          <w:szCs w:val="24"/>
        </w:rPr>
        <w:t xml:space="preserve">Decolonizing Palestinian Political </w:t>
      </w:r>
      <w:r w:rsidRPr="005E4910">
        <w:rPr>
          <w:i/>
          <w:sz w:val="24"/>
          <w:szCs w:val="24"/>
        </w:rPr>
        <w:lastRenderedPageBreak/>
        <w:t xml:space="preserve">Economy: De-Development And Beyond, </w:t>
      </w:r>
      <w:r w:rsidRPr="005E4910">
        <w:rPr>
          <w:sz w:val="24"/>
          <w:szCs w:val="24"/>
        </w:rPr>
        <w:t>Palgrave Macmillan, London, UK, (2014).</w:t>
      </w:r>
    </w:p>
    <w:p w14:paraId="3A9D2B33" w14:textId="77777777" w:rsidR="005709ED" w:rsidRPr="005E4910" w:rsidRDefault="005709ED" w:rsidP="00DC2F86">
      <w:pPr>
        <w:pStyle w:val="FootnoteText"/>
        <w:ind w:left="900" w:hanging="900"/>
        <w:rPr>
          <w:sz w:val="24"/>
          <w:szCs w:val="24"/>
        </w:rPr>
      </w:pPr>
    </w:p>
    <w:p w14:paraId="6AEC65E2" w14:textId="77777777" w:rsidR="005E4910" w:rsidRDefault="005E4910" w:rsidP="00DC2F86">
      <w:pPr>
        <w:pStyle w:val="FootnoteText"/>
        <w:ind w:left="900" w:hanging="900"/>
        <w:rPr>
          <w:sz w:val="24"/>
          <w:szCs w:val="24"/>
        </w:rPr>
      </w:pPr>
      <w:r w:rsidRPr="005E4910">
        <w:rPr>
          <w:sz w:val="24"/>
          <w:szCs w:val="24"/>
        </w:rPr>
        <w:t xml:space="preserve">Muller, Harold, “Arguing, Bargaining, And All That: Communicative Action, Rationalist Theory, and The Logic Of Appropriateness In International Relations,” </w:t>
      </w:r>
      <w:r w:rsidRPr="005E4910">
        <w:rPr>
          <w:i/>
          <w:sz w:val="24"/>
          <w:szCs w:val="24"/>
        </w:rPr>
        <w:t xml:space="preserve">European Journal Of International Relations, </w:t>
      </w:r>
      <w:r w:rsidRPr="005E4910">
        <w:rPr>
          <w:sz w:val="24"/>
          <w:szCs w:val="24"/>
        </w:rPr>
        <w:t xml:space="preserve">Vol.10, No.3, (2004): 395-435. </w:t>
      </w:r>
    </w:p>
    <w:p w14:paraId="3A8F0910" w14:textId="77777777" w:rsidR="005709ED" w:rsidRPr="005E4910" w:rsidRDefault="005709ED" w:rsidP="00DC2F86">
      <w:pPr>
        <w:pStyle w:val="FootnoteText"/>
        <w:ind w:left="900" w:hanging="900"/>
        <w:rPr>
          <w:sz w:val="24"/>
          <w:szCs w:val="24"/>
        </w:rPr>
      </w:pPr>
    </w:p>
    <w:p w14:paraId="0A0D7515" w14:textId="77777777" w:rsidR="005E4910" w:rsidRDefault="005E4910" w:rsidP="00DC2F86">
      <w:pPr>
        <w:spacing w:line="240" w:lineRule="auto"/>
        <w:ind w:left="900" w:hanging="900"/>
        <w:rPr>
          <w:color w:val="000000"/>
        </w:rPr>
      </w:pPr>
      <w:r w:rsidRPr="005E4910">
        <w:rPr>
          <w:color w:val="000000"/>
        </w:rPr>
        <w:t xml:space="preserve">Nafziger E.Wayne and Juha Auvinen, “The Economic Causes Of Humanitarian Emergencies,” In E. Wayne Nafziger , Frances Stewart, </w:t>
      </w:r>
      <w:r w:rsidRPr="005E4910">
        <w:rPr>
          <w:color w:val="222222"/>
          <w:shd w:val="clear" w:color="auto" w:fill="FFFFFF"/>
        </w:rPr>
        <w:t xml:space="preserve">Raimo Väyrynen, Eds., </w:t>
      </w:r>
      <w:r w:rsidRPr="005E4910">
        <w:rPr>
          <w:i/>
          <w:color w:val="000000"/>
        </w:rPr>
        <w:t>War, Hunger, And Displacement: The Origins Of Humanitarian Emergencies,</w:t>
      </w:r>
      <w:r w:rsidRPr="005E4910">
        <w:rPr>
          <w:color w:val="000000"/>
        </w:rPr>
        <w:t xml:space="preserve"> Vol. 1, (2001): 91-146.</w:t>
      </w:r>
    </w:p>
    <w:p w14:paraId="1C5B73DF" w14:textId="77777777" w:rsidR="005709ED" w:rsidRPr="005E4910" w:rsidRDefault="005709ED" w:rsidP="00DC2F86">
      <w:pPr>
        <w:spacing w:line="240" w:lineRule="auto"/>
        <w:ind w:left="900" w:hanging="900"/>
        <w:rPr>
          <w:color w:val="000000"/>
        </w:rPr>
      </w:pPr>
    </w:p>
    <w:p w14:paraId="41516259" w14:textId="77777777" w:rsidR="005E4910" w:rsidRDefault="005E4910" w:rsidP="00DC2F86">
      <w:pPr>
        <w:pStyle w:val="FootnoteText"/>
        <w:ind w:left="900" w:hanging="900"/>
        <w:rPr>
          <w:sz w:val="24"/>
          <w:szCs w:val="24"/>
        </w:rPr>
      </w:pPr>
      <w:r w:rsidRPr="005E4910">
        <w:rPr>
          <w:sz w:val="24"/>
          <w:szCs w:val="24"/>
        </w:rPr>
        <w:t xml:space="preserve">Nitzan, Jonathan and Shimshon Bichler, </w:t>
      </w:r>
      <w:r w:rsidRPr="005E4910">
        <w:rPr>
          <w:i/>
          <w:sz w:val="24"/>
          <w:szCs w:val="24"/>
        </w:rPr>
        <w:t xml:space="preserve">The Global Political Economy Of Israel, </w:t>
      </w:r>
      <w:r w:rsidRPr="005E4910">
        <w:rPr>
          <w:sz w:val="24"/>
          <w:szCs w:val="24"/>
        </w:rPr>
        <w:t>Pluto Press, London, UK, (2002): 198-272.</w:t>
      </w:r>
    </w:p>
    <w:p w14:paraId="7B78E94E" w14:textId="77777777" w:rsidR="005709ED" w:rsidRPr="005E4910" w:rsidRDefault="005709ED" w:rsidP="00DC2F86">
      <w:pPr>
        <w:pStyle w:val="FootnoteText"/>
        <w:ind w:left="900" w:hanging="900"/>
        <w:rPr>
          <w:sz w:val="24"/>
          <w:szCs w:val="24"/>
        </w:rPr>
      </w:pPr>
    </w:p>
    <w:p w14:paraId="6A36C141" w14:textId="77777777" w:rsidR="005E4910" w:rsidRDefault="005E4910" w:rsidP="00DC2F86">
      <w:pPr>
        <w:pStyle w:val="FootnoteText"/>
        <w:ind w:left="900" w:hanging="900"/>
        <w:rPr>
          <w:sz w:val="24"/>
          <w:szCs w:val="24"/>
        </w:rPr>
      </w:pPr>
      <w:r w:rsidRPr="005E4910">
        <w:rPr>
          <w:sz w:val="24"/>
          <w:szCs w:val="24"/>
        </w:rPr>
        <w:t xml:space="preserve">O’Malley, Padraig, </w:t>
      </w:r>
      <w:r w:rsidRPr="005E4910">
        <w:rPr>
          <w:i/>
          <w:sz w:val="24"/>
          <w:szCs w:val="24"/>
        </w:rPr>
        <w:t xml:space="preserve">The Two-State Delusion: Israel And Palestine- A Tale Of Two Narratives, </w:t>
      </w:r>
      <w:r w:rsidRPr="005E4910">
        <w:rPr>
          <w:sz w:val="24"/>
          <w:szCs w:val="24"/>
        </w:rPr>
        <w:t>Penguin Group, New York, NY, (2015).</w:t>
      </w:r>
    </w:p>
    <w:p w14:paraId="689B577C" w14:textId="77777777" w:rsidR="005709ED" w:rsidRPr="005E4910" w:rsidRDefault="005709ED" w:rsidP="00DC2F86">
      <w:pPr>
        <w:pStyle w:val="FootnoteText"/>
        <w:ind w:left="900" w:hanging="900"/>
        <w:rPr>
          <w:sz w:val="24"/>
          <w:szCs w:val="24"/>
        </w:rPr>
      </w:pPr>
    </w:p>
    <w:p w14:paraId="51A0BB0C" w14:textId="77777777" w:rsidR="005E4910" w:rsidRDefault="005E4910" w:rsidP="00DC2F86">
      <w:pPr>
        <w:pStyle w:val="FootnoteText"/>
        <w:ind w:left="900" w:hanging="900"/>
        <w:rPr>
          <w:sz w:val="24"/>
          <w:szCs w:val="24"/>
        </w:rPr>
      </w:pPr>
      <w:r w:rsidRPr="005E4910">
        <w:rPr>
          <w:sz w:val="24"/>
          <w:szCs w:val="24"/>
        </w:rPr>
        <w:t xml:space="preserve">Odin, Steve, “Derrida And The Decentered Universe Of Chan/Zen Buddhism,” </w:t>
      </w:r>
      <w:r w:rsidRPr="005E4910">
        <w:rPr>
          <w:i/>
          <w:sz w:val="24"/>
          <w:szCs w:val="24"/>
        </w:rPr>
        <w:t xml:space="preserve">Journal Of Chinese Philosophy, </w:t>
      </w:r>
      <w:r w:rsidRPr="005E4910">
        <w:rPr>
          <w:sz w:val="24"/>
          <w:szCs w:val="24"/>
        </w:rPr>
        <w:t>Vol.17, (1990): 61-86.</w:t>
      </w:r>
    </w:p>
    <w:p w14:paraId="2A781D85" w14:textId="77777777" w:rsidR="005709ED" w:rsidRPr="005E4910" w:rsidRDefault="005709ED" w:rsidP="00DC2F86">
      <w:pPr>
        <w:pStyle w:val="FootnoteText"/>
        <w:ind w:left="900" w:hanging="900"/>
        <w:rPr>
          <w:sz w:val="24"/>
          <w:szCs w:val="24"/>
        </w:rPr>
      </w:pPr>
    </w:p>
    <w:p w14:paraId="1E348C6F" w14:textId="77777777" w:rsidR="005E4910" w:rsidRDefault="005E4910" w:rsidP="00DC2F86">
      <w:pPr>
        <w:pStyle w:val="FootnoteText"/>
        <w:ind w:left="900" w:hanging="900"/>
        <w:rPr>
          <w:sz w:val="24"/>
          <w:szCs w:val="24"/>
        </w:rPr>
      </w:pPr>
      <w:r w:rsidRPr="005E4910">
        <w:rPr>
          <w:sz w:val="24"/>
          <w:szCs w:val="24"/>
        </w:rPr>
        <w:t xml:space="preserve">OECD, Income Inequality Indicator, and Poverty Rate Indicator, Web, Accessed 30 March 2016, </w:t>
      </w:r>
      <w:hyperlink r:id="rId48" w:history="1">
        <w:r w:rsidRPr="005E4910">
          <w:rPr>
            <w:rStyle w:val="Hyperlink"/>
            <w:sz w:val="24"/>
            <w:szCs w:val="24"/>
          </w:rPr>
          <w:t>Https://Data.Oecd.Org/</w:t>
        </w:r>
      </w:hyperlink>
      <w:r w:rsidRPr="005E4910">
        <w:rPr>
          <w:sz w:val="24"/>
          <w:szCs w:val="24"/>
        </w:rPr>
        <w:t xml:space="preserve"> </w:t>
      </w:r>
    </w:p>
    <w:p w14:paraId="5D113940" w14:textId="77777777" w:rsidR="005709ED" w:rsidRPr="005E4910" w:rsidRDefault="005709ED" w:rsidP="00DC2F86">
      <w:pPr>
        <w:pStyle w:val="FootnoteText"/>
        <w:ind w:left="900" w:hanging="900"/>
        <w:rPr>
          <w:sz w:val="24"/>
          <w:szCs w:val="24"/>
        </w:rPr>
      </w:pPr>
    </w:p>
    <w:p w14:paraId="60FC4654" w14:textId="77777777" w:rsidR="005E4910" w:rsidRDefault="005E4910" w:rsidP="00DC2F86">
      <w:pPr>
        <w:widowControl w:val="0"/>
        <w:autoSpaceDE w:val="0"/>
        <w:autoSpaceDN w:val="0"/>
        <w:adjustRightInd w:val="0"/>
        <w:spacing w:line="240" w:lineRule="auto"/>
        <w:ind w:left="900" w:hanging="900"/>
      </w:pPr>
      <w:r w:rsidRPr="005E4910">
        <w:t xml:space="preserve">Ottaviano, Gianmarco and Giovanni Peri, “Rethinking The Effect Of Immigration On Wages,” </w:t>
      </w:r>
      <w:r w:rsidRPr="005E4910">
        <w:rPr>
          <w:i/>
        </w:rPr>
        <w:t>Journal Of The European Economic Association,</w:t>
      </w:r>
      <w:r w:rsidRPr="005E4910">
        <w:t xml:space="preserve"> Vol.10, No.1, (2012).</w:t>
      </w:r>
    </w:p>
    <w:p w14:paraId="78CE4674" w14:textId="77777777" w:rsidR="005709ED" w:rsidRPr="005E4910" w:rsidRDefault="005709ED" w:rsidP="00DC2F86">
      <w:pPr>
        <w:widowControl w:val="0"/>
        <w:autoSpaceDE w:val="0"/>
        <w:autoSpaceDN w:val="0"/>
        <w:adjustRightInd w:val="0"/>
        <w:spacing w:line="240" w:lineRule="auto"/>
        <w:ind w:left="900" w:hanging="900"/>
      </w:pPr>
    </w:p>
    <w:p w14:paraId="4922F3B5" w14:textId="77777777" w:rsidR="005E4910" w:rsidRDefault="005E4910" w:rsidP="00DC2F86">
      <w:pPr>
        <w:pStyle w:val="FootnoteText"/>
        <w:ind w:left="900" w:hanging="900"/>
        <w:rPr>
          <w:i/>
          <w:sz w:val="24"/>
          <w:szCs w:val="24"/>
        </w:rPr>
      </w:pPr>
      <w:r w:rsidRPr="005E4910">
        <w:rPr>
          <w:sz w:val="24"/>
          <w:szCs w:val="24"/>
        </w:rPr>
        <w:t>Paine, Thomas, “Prospects On The Rubicon,” In</w:t>
      </w:r>
      <w:r w:rsidRPr="005E4910">
        <w:rPr>
          <w:i/>
          <w:sz w:val="24"/>
          <w:szCs w:val="24"/>
        </w:rPr>
        <w:t xml:space="preserve"> Political Writings Of Thomas Paine: Secretary To The Committee Of Foreign Affairs In The American Revolution, Vol. Ii, </w:t>
      </w:r>
      <w:r w:rsidRPr="005E4910">
        <w:rPr>
          <w:sz w:val="24"/>
          <w:szCs w:val="24"/>
        </w:rPr>
        <w:t>Solomon King, New York, NY, (1830)</w:t>
      </w:r>
      <w:r w:rsidRPr="005E4910">
        <w:rPr>
          <w:i/>
          <w:sz w:val="24"/>
          <w:szCs w:val="24"/>
        </w:rPr>
        <w:t>.</w:t>
      </w:r>
    </w:p>
    <w:p w14:paraId="1C71DA29" w14:textId="77777777" w:rsidR="005709ED" w:rsidRPr="005E4910" w:rsidRDefault="005709ED" w:rsidP="00DC2F86">
      <w:pPr>
        <w:pStyle w:val="FootnoteText"/>
        <w:ind w:left="900" w:hanging="900"/>
        <w:rPr>
          <w:i/>
          <w:sz w:val="24"/>
          <w:szCs w:val="24"/>
        </w:rPr>
      </w:pPr>
    </w:p>
    <w:p w14:paraId="5CEC55DF" w14:textId="77777777" w:rsidR="005E4910" w:rsidRDefault="005E4910" w:rsidP="00DC2F86">
      <w:pPr>
        <w:pStyle w:val="FootnoteText"/>
        <w:ind w:left="900" w:hanging="900"/>
        <w:rPr>
          <w:sz w:val="24"/>
          <w:szCs w:val="24"/>
        </w:rPr>
      </w:pPr>
      <w:r w:rsidRPr="005E4910">
        <w:rPr>
          <w:i/>
          <w:sz w:val="24"/>
          <w:szCs w:val="24"/>
        </w:rPr>
        <w:t xml:space="preserve">Palestinian External Trade Under Israeli Occupation, </w:t>
      </w:r>
      <w:r w:rsidRPr="005E4910">
        <w:rPr>
          <w:sz w:val="24"/>
          <w:szCs w:val="24"/>
        </w:rPr>
        <w:t>United Nations Conference On Trade And Development (UNCTAD), Geneva, Switzerland, (1989).</w:t>
      </w:r>
    </w:p>
    <w:p w14:paraId="56CB20D9" w14:textId="77777777" w:rsidR="005709ED" w:rsidRPr="005E4910" w:rsidRDefault="005709ED" w:rsidP="00DC2F86">
      <w:pPr>
        <w:pStyle w:val="FootnoteText"/>
        <w:ind w:left="900" w:hanging="900"/>
        <w:rPr>
          <w:sz w:val="24"/>
          <w:szCs w:val="24"/>
        </w:rPr>
      </w:pPr>
    </w:p>
    <w:p w14:paraId="71A73429" w14:textId="77777777" w:rsidR="005E4910" w:rsidRDefault="005E4910" w:rsidP="00DC2F86">
      <w:pPr>
        <w:spacing w:line="240" w:lineRule="auto"/>
        <w:ind w:left="900" w:hanging="900"/>
      </w:pPr>
      <w:r w:rsidRPr="005E4910">
        <w:t xml:space="preserve">Pallage, Stéphane et al., “The Potential of Foreign Aid as Insurance,” </w:t>
      </w:r>
      <w:r w:rsidRPr="005E4910">
        <w:rPr>
          <w:i/>
        </w:rPr>
        <w:t xml:space="preserve">IMF Staff Papers, </w:t>
      </w:r>
      <w:r w:rsidRPr="005E4910">
        <w:t xml:space="preserve">Vol. 53, No. 3, (2006): 453-475. Jim Zanotti, “U.S. Foreign Aid to the Palestinians, </w:t>
      </w:r>
      <w:r w:rsidRPr="005E4910">
        <w:rPr>
          <w:i/>
        </w:rPr>
        <w:t xml:space="preserve">Congressional Research Services, </w:t>
      </w:r>
      <w:r w:rsidRPr="005E4910">
        <w:t xml:space="preserve">3 Jul 2014, Web, </w:t>
      </w:r>
      <w:hyperlink r:id="rId49" w:history="1">
        <w:r w:rsidRPr="005E4910">
          <w:rPr>
            <w:rStyle w:val="Hyperlink"/>
          </w:rPr>
          <w:t>https://www.fas.org/sgp/crs/mideast/RS22967.pdf</w:t>
        </w:r>
      </w:hyperlink>
      <w:r w:rsidRPr="005E4910">
        <w:t>.</w:t>
      </w:r>
    </w:p>
    <w:p w14:paraId="49B80963" w14:textId="77777777" w:rsidR="005709ED" w:rsidRPr="005E4910" w:rsidRDefault="005709ED" w:rsidP="00DC2F86">
      <w:pPr>
        <w:spacing w:line="240" w:lineRule="auto"/>
        <w:ind w:left="900" w:hanging="900"/>
      </w:pPr>
    </w:p>
    <w:p w14:paraId="3688F52B" w14:textId="77777777" w:rsidR="005E4910" w:rsidRDefault="005E4910" w:rsidP="00DC2F86">
      <w:pPr>
        <w:pStyle w:val="FootnoteText"/>
        <w:ind w:left="900" w:hanging="900"/>
        <w:rPr>
          <w:color w:val="000000"/>
          <w:sz w:val="24"/>
          <w:szCs w:val="24"/>
        </w:rPr>
      </w:pPr>
      <w:r w:rsidRPr="005E4910">
        <w:rPr>
          <w:color w:val="000000"/>
          <w:sz w:val="24"/>
          <w:szCs w:val="24"/>
        </w:rPr>
        <w:t xml:space="preserve">Parvin, Manoucher, “Economic Determinants Of Political Unrest: An Econometric Approach,” </w:t>
      </w:r>
      <w:r w:rsidRPr="005E4910">
        <w:rPr>
          <w:i/>
          <w:iCs/>
          <w:color w:val="000000"/>
          <w:sz w:val="24"/>
          <w:szCs w:val="24"/>
        </w:rPr>
        <w:t>Journal Of Conflict Resolution</w:t>
      </w:r>
      <w:r w:rsidRPr="005E4910">
        <w:rPr>
          <w:color w:val="000000"/>
          <w:sz w:val="24"/>
          <w:szCs w:val="24"/>
        </w:rPr>
        <w:t>, Vol.17, No. 2, (1973): 271-296.</w:t>
      </w:r>
    </w:p>
    <w:p w14:paraId="344CEBAA" w14:textId="77777777" w:rsidR="005709ED" w:rsidRPr="005E4910" w:rsidRDefault="005709ED" w:rsidP="00DC2F86">
      <w:pPr>
        <w:pStyle w:val="FootnoteText"/>
        <w:ind w:left="900" w:hanging="900"/>
        <w:rPr>
          <w:color w:val="000000"/>
          <w:sz w:val="24"/>
          <w:szCs w:val="24"/>
        </w:rPr>
      </w:pPr>
    </w:p>
    <w:p w14:paraId="3F32383B" w14:textId="77777777" w:rsidR="005E4910" w:rsidRDefault="005E4910" w:rsidP="00DC2F86">
      <w:pPr>
        <w:spacing w:line="240" w:lineRule="auto"/>
        <w:ind w:left="900" w:hanging="900"/>
        <w:rPr>
          <w:color w:val="222222"/>
          <w:shd w:val="clear" w:color="auto" w:fill="FFFFFF"/>
        </w:rPr>
      </w:pPr>
      <w:r w:rsidRPr="005E4910">
        <w:rPr>
          <w:color w:val="222222"/>
          <w:shd w:val="clear" w:color="auto" w:fill="FFFFFF"/>
        </w:rPr>
        <w:t xml:space="preserve">Pickett, Justin T., Thomas Baker, Christi Metcalfe, Marc Gertz, And Rose Bellandi, "Contact And Compromise Explaining Support For Conciliatory Measures In </w:t>
      </w:r>
      <w:r w:rsidRPr="005E4910">
        <w:rPr>
          <w:color w:val="222222"/>
          <w:shd w:val="clear" w:color="auto" w:fill="FFFFFF"/>
        </w:rPr>
        <w:lastRenderedPageBreak/>
        <w:t>The Context Of Violent Intergroup Conflict." </w:t>
      </w:r>
      <w:r w:rsidRPr="005E4910">
        <w:rPr>
          <w:i/>
          <w:iCs/>
          <w:color w:val="222222"/>
          <w:shd w:val="clear" w:color="auto" w:fill="FFFFFF"/>
        </w:rPr>
        <w:t>Journal Of Research In Crime And Delinquency</w:t>
      </w:r>
      <w:r w:rsidRPr="005E4910">
        <w:rPr>
          <w:color w:val="222222"/>
          <w:shd w:val="clear" w:color="auto" w:fill="FFFFFF"/>
        </w:rPr>
        <w:t>, (2014).</w:t>
      </w:r>
    </w:p>
    <w:p w14:paraId="05F9A44A" w14:textId="77777777" w:rsidR="005709ED" w:rsidRPr="005E4910" w:rsidRDefault="005709ED" w:rsidP="00DC2F86">
      <w:pPr>
        <w:spacing w:line="240" w:lineRule="auto"/>
        <w:ind w:left="900" w:hanging="900"/>
        <w:rPr>
          <w:color w:val="222222"/>
          <w:shd w:val="clear" w:color="auto" w:fill="FFFFFF"/>
        </w:rPr>
      </w:pPr>
    </w:p>
    <w:p w14:paraId="04A3FF76" w14:textId="77777777" w:rsidR="005E4910" w:rsidRDefault="005E4910" w:rsidP="00DC2F86">
      <w:pPr>
        <w:pStyle w:val="FootnoteText"/>
        <w:ind w:left="900" w:hanging="900"/>
        <w:rPr>
          <w:sz w:val="24"/>
          <w:szCs w:val="24"/>
        </w:rPr>
      </w:pPr>
      <w:r w:rsidRPr="005E4910">
        <w:rPr>
          <w:sz w:val="24"/>
          <w:szCs w:val="24"/>
        </w:rPr>
        <w:t xml:space="preserve">Porter, Michael, Scott Stern, and Michael Green, </w:t>
      </w:r>
      <w:r w:rsidRPr="005E4910">
        <w:rPr>
          <w:i/>
          <w:sz w:val="24"/>
          <w:szCs w:val="24"/>
        </w:rPr>
        <w:t xml:space="preserve">Social Progress Index 2015, </w:t>
      </w:r>
      <w:r w:rsidRPr="005E4910">
        <w:rPr>
          <w:sz w:val="24"/>
          <w:szCs w:val="24"/>
        </w:rPr>
        <w:t xml:space="preserve">Social Progress Imperative, 2015, Web, Retrieved 30 Mar 2016, </w:t>
      </w:r>
      <w:hyperlink r:id="rId50" w:history="1">
        <w:r w:rsidRPr="005E4910">
          <w:rPr>
            <w:rStyle w:val="Hyperlink"/>
            <w:sz w:val="24"/>
            <w:szCs w:val="24"/>
          </w:rPr>
          <w:t>Http://Www.Socialprogressimperative.Org/System/Resources/W1siziisijiwmtuvmduvmdcvmtcvmjkvmzevmzi4lziwmtvfu09dsufmx1bst0dsrvntx0lorevyx0zjtkfmlnbkzijdxq/2015%20social%20progress%20index_Final.Pdf</w:t>
        </w:r>
      </w:hyperlink>
      <w:r w:rsidRPr="005E4910">
        <w:rPr>
          <w:sz w:val="24"/>
          <w:szCs w:val="24"/>
        </w:rPr>
        <w:t>.</w:t>
      </w:r>
    </w:p>
    <w:p w14:paraId="552061F4" w14:textId="77777777" w:rsidR="005709ED" w:rsidRPr="005E4910" w:rsidRDefault="005709ED" w:rsidP="00DC2F86">
      <w:pPr>
        <w:pStyle w:val="FootnoteText"/>
        <w:ind w:left="900" w:hanging="900"/>
        <w:rPr>
          <w:sz w:val="24"/>
          <w:szCs w:val="24"/>
        </w:rPr>
      </w:pPr>
    </w:p>
    <w:p w14:paraId="228C050C" w14:textId="77777777" w:rsidR="005E4910" w:rsidRDefault="005E4910" w:rsidP="00DC2F86">
      <w:pPr>
        <w:pStyle w:val="FootnoteText"/>
        <w:ind w:left="900" w:hanging="900"/>
        <w:rPr>
          <w:sz w:val="24"/>
          <w:szCs w:val="24"/>
        </w:rPr>
      </w:pPr>
      <w:r w:rsidRPr="005E4910">
        <w:rPr>
          <w:sz w:val="24"/>
          <w:szCs w:val="24"/>
        </w:rPr>
        <w:t xml:space="preserve">Pritchett, Lant, Clifford G. Gaddy, And Simon Johnson, “Boom Towns And Ghost Countries: Geography, Agglomeration, And Population Mobility,” </w:t>
      </w:r>
      <w:r w:rsidRPr="005E4910">
        <w:rPr>
          <w:i/>
          <w:sz w:val="24"/>
          <w:szCs w:val="24"/>
        </w:rPr>
        <w:t>Brookings Trade Forum: Global Labor Markets?</w:t>
      </w:r>
      <w:r w:rsidRPr="005E4910">
        <w:rPr>
          <w:sz w:val="24"/>
          <w:szCs w:val="24"/>
        </w:rPr>
        <w:t xml:space="preserve"> (2006): 1-56.</w:t>
      </w:r>
    </w:p>
    <w:p w14:paraId="565ABAE3" w14:textId="77777777" w:rsidR="005709ED" w:rsidRPr="005E4910" w:rsidRDefault="005709ED" w:rsidP="00DC2F86">
      <w:pPr>
        <w:pStyle w:val="FootnoteText"/>
        <w:ind w:left="900" w:hanging="900"/>
        <w:rPr>
          <w:sz w:val="24"/>
          <w:szCs w:val="24"/>
        </w:rPr>
      </w:pPr>
    </w:p>
    <w:p w14:paraId="70AA5328" w14:textId="77777777" w:rsidR="005E4910" w:rsidRDefault="005E4910" w:rsidP="00DC2F86">
      <w:pPr>
        <w:pStyle w:val="FootnoteText"/>
        <w:ind w:left="900" w:hanging="900"/>
        <w:rPr>
          <w:sz w:val="24"/>
          <w:szCs w:val="24"/>
        </w:rPr>
      </w:pPr>
      <w:r w:rsidRPr="005E4910">
        <w:rPr>
          <w:sz w:val="24"/>
          <w:szCs w:val="24"/>
        </w:rPr>
        <w:t xml:space="preserve">Qato, Dima et al., “West Bank Barrier Decreases Access To Schools And Health Services,” </w:t>
      </w:r>
      <w:r w:rsidRPr="005E4910">
        <w:rPr>
          <w:i/>
          <w:sz w:val="24"/>
          <w:szCs w:val="24"/>
        </w:rPr>
        <w:t xml:space="preserve">Prehospital And Disaster Medicine, </w:t>
      </w:r>
      <w:r w:rsidRPr="005E4910">
        <w:rPr>
          <w:sz w:val="24"/>
          <w:szCs w:val="24"/>
        </w:rPr>
        <w:t>Vol. 22, No. 4, (2007): 263-266.</w:t>
      </w:r>
    </w:p>
    <w:p w14:paraId="71C069DB" w14:textId="77777777" w:rsidR="005709ED" w:rsidRPr="005E4910" w:rsidRDefault="005709ED" w:rsidP="00DC2F86">
      <w:pPr>
        <w:pStyle w:val="FootnoteText"/>
        <w:ind w:left="900" w:hanging="900"/>
        <w:rPr>
          <w:sz w:val="24"/>
          <w:szCs w:val="24"/>
        </w:rPr>
      </w:pPr>
    </w:p>
    <w:p w14:paraId="51450F67" w14:textId="77777777" w:rsidR="005E4910" w:rsidRDefault="005E4910" w:rsidP="00DC2F86">
      <w:pPr>
        <w:pStyle w:val="FootnoteText"/>
        <w:tabs>
          <w:tab w:val="left" w:pos="180"/>
        </w:tabs>
        <w:ind w:left="900" w:hanging="900"/>
        <w:rPr>
          <w:sz w:val="24"/>
          <w:szCs w:val="24"/>
        </w:rPr>
      </w:pPr>
      <w:r w:rsidRPr="005E4910">
        <w:rPr>
          <w:sz w:val="24"/>
          <w:szCs w:val="24"/>
        </w:rPr>
        <w:t xml:space="preserve">Ranis, Gustav and J.C.H. Fei, “A Theory Of Economic Development" </w:t>
      </w:r>
      <w:r w:rsidRPr="005E4910">
        <w:rPr>
          <w:i/>
          <w:sz w:val="24"/>
          <w:szCs w:val="24"/>
        </w:rPr>
        <w:t>American Economic Review</w:t>
      </w:r>
      <w:r w:rsidRPr="005E4910">
        <w:rPr>
          <w:sz w:val="24"/>
          <w:szCs w:val="24"/>
        </w:rPr>
        <w:t>, Vol.51, (1961).</w:t>
      </w:r>
    </w:p>
    <w:p w14:paraId="7DA9FD20" w14:textId="77777777" w:rsidR="005709ED" w:rsidRPr="005E4910" w:rsidRDefault="005709ED" w:rsidP="00DC2F86">
      <w:pPr>
        <w:pStyle w:val="FootnoteText"/>
        <w:tabs>
          <w:tab w:val="left" w:pos="180"/>
        </w:tabs>
        <w:ind w:left="900" w:hanging="900"/>
        <w:rPr>
          <w:sz w:val="24"/>
          <w:szCs w:val="24"/>
        </w:rPr>
      </w:pPr>
    </w:p>
    <w:p w14:paraId="616CD595" w14:textId="77777777" w:rsidR="005E4910" w:rsidRDefault="005E4910" w:rsidP="00DC2F86">
      <w:pPr>
        <w:pStyle w:val="FootnoteText"/>
        <w:ind w:left="900" w:hanging="900"/>
        <w:rPr>
          <w:sz w:val="24"/>
          <w:szCs w:val="24"/>
        </w:rPr>
      </w:pPr>
      <w:r w:rsidRPr="005E4910">
        <w:rPr>
          <w:sz w:val="24"/>
          <w:szCs w:val="24"/>
        </w:rPr>
        <w:t>Rapaport, Meron, “Was 1967 A Victory Too Far For Israel?”</w:t>
      </w:r>
      <w:r w:rsidRPr="005E4910">
        <w:rPr>
          <w:i/>
          <w:sz w:val="24"/>
          <w:szCs w:val="24"/>
        </w:rPr>
        <w:t xml:space="preserve"> Le Monde Diplomatique, </w:t>
      </w:r>
      <w:r w:rsidRPr="005E4910">
        <w:rPr>
          <w:sz w:val="24"/>
          <w:szCs w:val="24"/>
        </w:rPr>
        <w:t xml:space="preserve">June 2007, Web, Retrieved 8 Dec 2015, </w:t>
      </w:r>
      <w:hyperlink r:id="rId51" w:history="1">
        <w:r w:rsidRPr="005E4910">
          <w:rPr>
            <w:rStyle w:val="Hyperlink"/>
            <w:sz w:val="24"/>
            <w:szCs w:val="24"/>
          </w:rPr>
          <w:t>Https://Mondediplo.Com/2007/06/11victory</w:t>
        </w:r>
      </w:hyperlink>
      <w:r w:rsidRPr="005E4910">
        <w:rPr>
          <w:sz w:val="24"/>
          <w:szCs w:val="24"/>
        </w:rPr>
        <w:t>.</w:t>
      </w:r>
    </w:p>
    <w:p w14:paraId="7D60BD84" w14:textId="77777777" w:rsidR="005709ED" w:rsidRPr="005E4910" w:rsidRDefault="005709ED" w:rsidP="00DC2F86">
      <w:pPr>
        <w:pStyle w:val="FootnoteText"/>
        <w:ind w:left="900" w:hanging="900"/>
        <w:rPr>
          <w:sz w:val="24"/>
          <w:szCs w:val="24"/>
        </w:rPr>
      </w:pPr>
    </w:p>
    <w:p w14:paraId="274A95F0" w14:textId="77777777" w:rsidR="005E4910" w:rsidRDefault="005E4910" w:rsidP="00DC2F86">
      <w:pPr>
        <w:pStyle w:val="FootnoteText"/>
        <w:ind w:left="900" w:hanging="900"/>
        <w:rPr>
          <w:sz w:val="24"/>
          <w:szCs w:val="24"/>
        </w:rPr>
      </w:pPr>
      <w:r w:rsidRPr="005E4910">
        <w:rPr>
          <w:sz w:val="24"/>
          <w:szCs w:val="24"/>
        </w:rPr>
        <w:t xml:space="preserve">Ravenstein, E. G., “The Laws Of Migration,” </w:t>
      </w:r>
      <w:r w:rsidRPr="005E4910">
        <w:rPr>
          <w:i/>
          <w:sz w:val="24"/>
          <w:szCs w:val="24"/>
        </w:rPr>
        <w:t xml:space="preserve">Journal Of The Royal Statistical Society, </w:t>
      </w:r>
      <w:r w:rsidRPr="005E4910">
        <w:rPr>
          <w:sz w:val="24"/>
          <w:szCs w:val="24"/>
        </w:rPr>
        <w:t>Vol. 52, (1889): 241-290.</w:t>
      </w:r>
    </w:p>
    <w:p w14:paraId="03536BC4" w14:textId="77777777" w:rsidR="005709ED" w:rsidRPr="005E4910" w:rsidRDefault="005709ED" w:rsidP="00DC2F86">
      <w:pPr>
        <w:pStyle w:val="FootnoteText"/>
        <w:ind w:left="900" w:hanging="900"/>
        <w:rPr>
          <w:sz w:val="24"/>
          <w:szCs w:val="24"/>
        </w:rPr>
      </w:pPr>
    </w:p>
    <w:p w14:paraId="7366E5BC" w14:textId="77777777" w:rsidR="005E4910" w:rsidRDefault="005E4910" w:rsidP="00DC2F86">
      <w:pPr>
        <w:spacing w:line="240" w:lineRule="auto"/>
        <w:ind w:left="900" w:hanging="900"/>
        <w:rPr>
          <w:color w:val="222222"/>
          <w:shd w:val="clear" w:color="auto" w:fill="FFFFFF"/>
        </w:rPr>
      </w:pPr>
      <w:r w:rsidRPr="005E4910">
        <w:rPr>
          <w:color w:val="222222"/>
          <w:shd w:val="clear" w:color="auto" w:fill="FFFFFF"/>
        </w:rPr>
        <w:t>Reid, Lesley Williams, Harald E. Weiss, Robert M. Adelman, And Charles Jaret, "The Immigration–Crime Relationship: Evidence Across Us Metropolitan Areas." </w:t>
      </w:r>
      <w:r w:rsidRPr="005E4910">
        <w:rPr>
          <w:i/>
          <w:iCs/>
          <w:color w:val="222222"/>
          <w:shd w:val="clear" w:color="auto" w:fill="FFFFFF"/>
        </w:rPr>
        <w:t>Social Science Research</w:t>
      </w:r>
      <w:r w:rsidRPr="005E4910">
        <w:rPr>
          <w:color w:val="222222"/>
          <w:shd w:val="clear" w:color="auto" w:fill="FFFFFF"/>
        </w:rPr>
        <w:t> 34, No. 4 (2005).</w:t>
      </w:r>
    </w:p>
    <w:p w14:paraId="3259E697" w14:textId="77777777" w:rsidR="005709ED" w:rsidRPr="005E4910" w:rsidRDefault="005709ED" w:rsidP="00DC2F86">
      <w:pPr>
        <w:spacing w:line="240" w:lineRule="auto"/>
        <w:ind w:left="900" w:hanging="900"/>
      </w:pPr>
    </w:p>
    <w:p w14:paraId="4D885D6C" w14:textId="77777777" w:rsidR="005E4910" w:rsidRDefault="005E4910" w:rsidP="00DC2F86">
      <w:pPr>
        <w:pStyle w:val="FootnoteText"/>
        <w:ind w:left="900" w:hanging="900"/>
        <w:rPr>
          <w:sz w:val="24"/>
          <w:szCs w:val="24"/>
        </w:rPr>
      </w:pPr>
      <w:r w:rsidRPr="005E4910">
        <w:rPr>
          <w:sz w:val="24"/>
          <w:szCs w:val="24"/>
        </w:rPr>
        <w:t xml:space="preserve">Reiter, Dan, “Exploring The Bargaining Model Of War,” </w:t>
      </w:r>
      <w:r w:rsidRPr="005E4910">
        <w:rPr>
          <w:i/>
          <w:sz w:val="24"/>
          <w:szCs w:val="24"/>
        </w:rPr>
        <w:t xml:space="preserve">Perspectives On Politics, </w:t>
      </w:r>
      <w:r w:rsidRPr="005E4910">
        <w:rPr>
          <w:sz w:val="24"/>
          <w:szCs w:val="24"/>
        </w:rPr>
        <w:t>Vol.1, No.1, (2003): 27-43.</w:t>
      </w:r>
    </w:p>
    <w:p w14:paraId="3DF00507" w14:textId="77777777" w:rsidR="005709ED" w:rsidRPr="005E4910" w:rsidRDefault="005709ED" w:rsidP="00DC2F86">
      <w:pPr>
        <w:pStyle w:val="FootnoteText"/>
        <w:ind w:left="900" w:hanging="900"/>
        <w:rPr>
          <w:sz w:val="24"/>
          <w:szCs w:val="24"/>
        </w:rPr>
      </w:pPr>
    </w:p>
    <w:p w14:paraId="4CA392AE" w14:textId="77777777" w:rsidR="005E4910" w:rsidRDefault="005E4910" w:rsidP="00DC2F86">
      <w:pPr>
        <w:widowControl w:val="0"/>
        <w:autoSpaceDE w:val="0"/>
        <w:autoSpaceDN w:val="0"/>
        <w:adjustRightInd w:val="0"/>
        <w:spacing w:line="240" w:lineRule="auto"/>
        <w:ind w:left="900" w:hanging="900"/>
      </w:pPr>
      <w:r w:rsidRPr="005E4910">
        <w:t xml:space="preserve">Saleh, Basel A., “An Econometric Analysis Of Palestinian Attacks: An Examination Of Deprivation Theory And Choice Of Attacks,” </w:t>
      </w:r>
      <w:r w:rsidRPr="005E4910">
        <w:rPr>
          <w:i/>
        </w:rPr>
        <w:t>European Journal Of Social Sciences,</w:t>
      </w:r>
      <w:r w:rsidRPr="005E4910">
        <w:t xml:space="preserve"> Vol.7, No.4, (2009): 17–29.</w:t>
      </w:r>
    </w:p>
    <w:p w14:paraId="3BFDA3AD" w14:textId="77777777" w:rsidR="005709ED" w:rsidRPr="005E4910" w:rsidRDefault="005709ED" w:rsidP="00DC2F86">
      <w:pPr>
        <w:widowControl w:val="0"/>
        <w:autoSpaceDE w:val="0"/>
        <w:autoSpaceDN w:val="0"/>
        <w:adjustRightInd w:val="0"/>
        <w:spacing w:line="240" w:lineRule="auto"/>
        <w:ind w:left="900" w:hanging="900"/>
      </w:pPr>
    </w:p>
    <w:p w14:paraId="3A3EED3C" w14:textId="77777777" w:rsidR="005E4910" w:rsidRDefault="005E4910" w:rsidP="00DC2F86">
      <w:pPr>
        <w:widowControl w:val="0"/>
        <w:autoSpaceDE w:val="0"/>
        <w:autoSpaceDN w:val="0"/>
        <w:adjustRightInd w:val="0"/>
        <w:spacing w:line="240" w:lineRule="auto"/>
        <w:ind w:left="900" w:hanging="900"/>
      </w:pPr>
      <w:r w:rsidRPr="005E4910">
        <w:t xml:space="preserve">Saleh, Basel A., “Economic Conditions And Resistance To Occupation In The West Bank And Gaza Strip: There Is A Causal Connection.” </w:t>
      </w:r>
      <w:r w:rsidRPr="005E4910">
        <w:rPr>
          <w:i/>
        </w:rPr>
        <w:t>Topics In Middle Eastern</w:t>
      </w:r>
      <w:r w:rsidRPr="005E4910">
        <w:t xml:space="preserve"> </w:t>
      </w:r>
      <w:r w:rsidRPr="005E4910">
        <w:rPr>
          <w:i/>
        </w:rPr>
        <w:t>And North African Economies</w:t>
      </w:r>
      <w:r w:rsidRPr="005E4910">
        <w:t xml:space="preserve">, Vol.6, (2004). </w:t>
      </w:r>
    </w:p>
    <w:p w14:paraId="0C7CFE4A" w14:textId="77777777" w:rsidR="005709ED" w:rsidRPr="005E4910" w:rsidRDefault="005709ED" w:rsidP="00DC2F86">
      <w:pPr>
        <w:widowControl w:val="0"/>
        <w:autoSpaceDE w:val="0"/>
        <w:autoSpaceDN w:val="0"/>
        <w:adjustRightInd w:val="0"/>
        <w:spacing w:line="240" w:lineRule="auto"/>
        <w:ind w:left="900" w:hanging="900"/>
      </w:pPr>
    </w:p>
    <w:p w14:paraId="1B1FF057" w14:textId="77777777" w:rsidR="005E4910" w:rsidRDefault="005E4910" w:rsidP="00DC2F86">
      <w:pPr>
        <w:widowControl w:val="0"/>
        <w:autoSpaceDE w:val="0"/>
        <w:autoSpaceDN w:val="0"/>
        <w:adjustRightInd w:val="0"/>
        <w:spacing w:line="240" w:lineRule="auto"/>
        <w:ind w:left="900" w:hanging="900"/>
      </w:pPr>
      <w:r w:rsidRPr="005E4910">
        <w:t xml:space="preserve">Saleh, Basel A., “Economic Conditions And Resistance To Occupation In The West Bank And Gaza Strip: There Is A Causal Connection.” </w:t>
      </w:r>
      <w:r w:rsidRPr="005E4910">
        <w:rPr>
          <w:i/>
        </w:rPr>
        <w:t>Topics In Middle Eastern</w:t>
      </w:r>
      <w:r w:rsidRPr="005E4910">
        <w:t xml:space="preserve"> </w:t>
      </w:r>
      <w:r w:rsidRPr="005E4910">
        <w:rPr>
          <w:i/>
        </w:rPr>
        <w:t>And North African Economies,</w:t>
      </w:r>
      <w:r w:rsidRPr="005E4910">
        <w:t xml:space="preserve"> Vol.6, (2004). </w:t>
      </w:r>
    </w:p>
    <w:p w14:paraId="32341993" w14:textId="77777777" w:rsidR="005709ED" w:rsidRPr="005E4910" w:rsidRDefault="005709ED" w:rsidP="00DC2F86">
      <w:pPr>
        <w:widowControl w:val="0"/>
        <w:autoSpaceDE w:val="0"/>
        <w:autoSpaceDN w:val="0"/>
        <w:adjustRightInd w:val="0"/>
        <w:spacing w:line="240" w:lineRule="auto"/>
        <w:ind w:left="900" w:hanging="900"/>
      </w:pPr>
    </w:p>
    <w:p w14:paraId="3353EF68" w14:textId="77777777" w:rsidR="005E4910" w:rsidRDefault="005E4910" w:rsidP="00DC2F86">
      <w:pPr>
        <w:spacing w:line="240" w:lineRule="auto"/>
        <w:ind w:left="900" w:hanging="900"/>
        <w:rPr>
          <w:color w:val="222222"/>
          <w:shd w:val="clear" w:color="auto" w:fill="FFFFFF"/>
        </w:rPr>
      </w:pPr>
      <w:r w:rsidRPr="005E4910">
        <w:rPr>
          <w:color w:val="222222"/>
          <w:shd w:val="clear" w:color="auto" w:fill="FFFFFF"/>
        </w:rPr>
        <w:lastRenderedPageBreak/>
        <w:t>Sales, Stephen M., and Kenneth E. Friend. "Success And Failure As Determinants Of Level Of Authoritarianism." </w:t>
      </w:r>
      <w:r w:rsidRPr="005E4910">
        <w:rPr>
          <w:i/>
          <w:iCs/>
          <w:color w:val="222222"/>
          <w:shd w:val="clear" w:color="auto" w:fill="FFFFFF"/>
        </w:rPr>
        <w:t>Behavioral Science</w:t>
      </w:r>
      <w:r w:rsidRPr="005E4910">
        <w:rPr>
          <w:color w:val="222222"/>
          <w:shd w:val="clear" w:color="auto" w:fill="FFFFFF"/>
        </w:rPr>
        <w:t>, Vol.18, No.3 (1973).</w:t>
      </w:r>
    </w:p>
    <w:p w14:paraId="13C5FB31" w14:textId="77777777" w:rsidR="005709ED" w:rsidRPr="005E4910" w:rsidRDefault="005709ED" w:rsidP="00DC2F86">
      <w:pPr>
        <w:spacing w:line="240" w:lineRule="auto"/>
        <w:ind w:left="900" w:hanging="900"/>
        <w:rPr>
          <w:color w:val="222222"/>
          <w:shd w:val="clear" w:color="auto" w:fill="FFFFFF"/>
        </w:rPr>
      </w:pPr>
    </w:p>
    <w:p w14:paraId="2D4231A9" w14:textId="77777777" w:rsidR="005709ED" w:rsidRDefault="005E4910" w:rsidP="00DC2F86">
      <w:pPr>
        <w:pStyle w:val="FootnoteText"/>
        <w:ind w:left="900" w:hanging="900"/>
        <w:rPr>
          <w:rStyle w:val="Hyperlink"/>
          <w:sz w:val="24"/>
          <w:szCs w:val="24"/>
        </w:rPr>
      </w:pPr>
      <w:r w:rsidRPr="005E4910">
        <w:rPr>
          <w:sz w:val="24"/>
          <w:szCs w:val="24"/>
        </w:rPr>
        <w:t xml:space="preserve">Sayigh, Yezid and Saeb Erekat, “Who Killed the Oslo Accords?” </w:t>
      </w:r>
      <w:r w:rsidRPr="005E4910">
        <w:rPr>
          <w:i/>
          <w:sz w:val="24"/>
          <w:szCs w:val="24"/>
        </w:rPr>
        <w:t xml:space="preserve">Al Jazeera, </w:t>
      </w:r>
      <w:r w:rsidRPr="005E4910">
        <w:rPr>
          <w:sz w:val="24"/>
          <w:szCs w:val="24"/>
        </w:rPr>
        <w:t xml:space="preserve">15 Oct 2015, Web, Retrieved 24 Nov 2015, </w:t>
      </w:r>
      <w:hyperlink r:id="rId52" w:history="1">
        <w:r w:rsidRPr="005E4910">
          <w:rPr>
            <w:rStyle w:val="Hyperlink"/>
            <w:sz w:val="24"/>
            <w:szCs w:val="24"/>
          </w:rPr>
          <w:t>http://www.aljazeera.com/indepth/opinion/2015/10/killed-oslo-accords-151001072411049.html</w:t>
        </w:r>
      </w:hyperlink>
      <w:r w:rsidR="005709ED">
        <w:rPr>
          <w:rStyle w:val="Hyperlink"/>
          <w:sz w:val="24"/>
          <w:szCs w:val="24"/>
        </w:rPr>
        <w:t>.</w:t>
      </w:r>
    </w:p>
    <w:p w14:paraId="36142C4B" w14:textId="5F77F656" w:rsidR="005E4910" w:rsidRPr="005E4910" w:rsidRDefault="005E4910" w:rsidP="00DC2F86">
      <w:pPr>
        <w:pStyle w:val="FootnoteText"/>
        <w:ind w:left="900" w:hanging="900"/>
        <w:rPr>
          <w:sz w:val="24"/>
          <w:szCs w:val="24"/>
        </w:rPr>
      </w:pPr>
      <w:r w:rsidRPr="005E4910">
        <w:rPr>
          <w:sz w:val="24"/>
          <w:szCs w:val="24"/>
        </w:rPr>
        <w:t xml:space="preserve"> </w:t>
      </w:r>
    </w:p>
    <w:p w14:paraId="3295FB4C" w14:textId="77777777" w:rsidR="005E4910" w:rsidRDefault="005E4910" w:rsidP="00DC2F86">
      <w:pPr>
        <w:pStyle w:val="FootnoteText"/>
        <w:ind w:left="900" w:hanging="900"/>
        <w:rPr>
          <w:sz w:val="24"/>
          <w:szCs w:val="24"/>
        </w:rPr>
      </w:pPr>
      <w:r w:rsidRPr="005E4910">
        <w:rPr>
          <w:sz w:val="24"/>
          <w:szCs w:val="24"/>
        </w:rPr>
        <w:t xml:space="preserve">Sayre, Edward A., “Labor Market Conditions, Political Events, And Palestinian Suicide Bombings,” </w:t>
      </w:r>
      <w:r w:rsidRPr="005E4910">
        <w:rPr>
          <w:i/>
          <w:sz w:val="24"/>
          <w:szCs w:val="24"/>
        </w:rPr>
        <w:t>Peace Economics, Peace Science And Public Policy,</w:t>
      </w:r>
      <w:r w:rsidRPr="005E4910">
        <w:rPr>
          <w:sz w:val="24"/>
          <w:szCs w:val="24"/>
        </w:rPr>
        <w:t xml:space="preserve"> Vol.15, No.1, (2009): 1-26.</w:t>
      </w:r>
    </w:p>
    <w:p w14:paraId="18322832" w14:textId="77777777" w:rsidR="005709ED" w:rsidRPr="005E4910" w:rsidRDefault="005709ED" w:rsidP="00DC2F86">
      <w:pPr>
        <w:pStyle w:val="FootnoteText"/>
        <w:ind w:left="900" w:hanging="900"/>
        <w:rPr>
          <w:sz w:val="24"/>
          <w:szCs w:val="24"/>
        </w:rPr>
      </w:pPr>
    </w:p>
    <w:p w14:paraId="41D1F78C" w14:textId="77777777" w:rsidR="005E4910" w:rsidRDefault="005E4910" w:rsidP="00DC2F86">
      <w:pPr>
        <w:pStyle w:val="FootnoteText"/>
        <w:ind w:left="900" w:hanging="900"/>
        <w:rPr>
          <w:rStyle w:val="Hyperlink"/>
          <w:sz w:val="24"/>
          <w:szCs w:val="24"/>
        </w:rPr>
      </w:pPr>
      <w:r w:rsidRPr="005E4910">
        <w:rPr>
          <w:sz w:val="24"/>
          <w:szCs w:val="24"/>
        </w:rPr>
        <w:t xml:space="preserve">Sharp, Jeremy M., “U.S. Foreign Aid To Israel,” </w:t>
      </w:r>
      <w:r w:rsidRPr="005E4910">
        <w:rPr>
          <w:i/>
          <w:sz w:val="24"/>
          <w:szCs w:val="24"/>
        </w:rPr>
        <w:t xml:space="preserve">Congressional Research Service, </w:t>
      </w:r>
      <w:r w:rsidRPr="005E4910">
        <w:rPr>
          <w:sz w:val="24"/>
          <w:szCs w:val="24"/>
        </w:rPr>
        <w:t xml:space="preserve">10 Jun 2015, Web, Retrieved 20 Mar 2016, </w:t>
      </w:r>
      <w:hyperlink r:id="rId53" w:history="1">
        <w:r w:rsidRPr="005E4910">
          <w:rPr>
            <w:rStyle w:val="Hyperlink"/>
            <w:sz w:val="24"/>
            <w:szCs w:val="24"/>
          </w:rPr>
          <w:t>Https://Www.Fas.Org/Sgp/Crs/Mideast/Rl33222.Pdf</w:t>
        </w:r>
      </w:hyperlink>
      <w:r w:rsidRPr="005E4910">
        <w:rPr>
          <w:rStyle w:val="Hyperlink"/>
          <w:sz w:val="24"/>
          <w:szCs w:val="24"/>
        </w:rPr>
        <w:t>.</w:t>
      </w:r>
    </w:p>
    <w:p w14:paraId="573CCFAB" w14:textId="77777777" w:rsidR="005709ED" w:rsidRPr="005E4910" w:rsidRDefault="005709ED" w:rsidP="00DC2F86">
      <w:pPr>
        <w:pStyle w:val="FootnoteText"/>
        <w:ind w:left="900" w:hanging="900"/>
        <w:rPr>
          <w:rStyle w:val="Hyperlink"/>
          <w:sz w:val="24"/>
          <w:szCs w:val="24"/>
        </w:rPr>
      </w:pPr>
    </w:p>
    <w:p w14:paraId="2F128416" w14:textId="77777777" w:rsidR="005E4910" w:rsidRDefault="005E4910" w:rsidP="00DC2F86">
      <w:pPr>
        <w:spacing w:line="240" w:lineRule="auto"/>
        <w:ind w:left="900" w:hanging="900"/>
        <w:rPr>
          <w:color w:val="222222"/>
          <w:shd w:val="clear" w:color="auto" w:fill="FFFFFF"/>
        </w:rPr>
      </w:pPr>
      <w:r w:rsidRPr="005E4910">
        <w:rPr>
          <w:color w:val="222222"/>
          <w:shd w:val="clear" w:color="auto" w:fill="FFFFFF"/>
        </w:rPr>
        <w:t>Siddig, Khalid, Dorothee Flaig, Jonas Luckmann, And Harald Grethe, "A 2004 Social Accounting Matrix For Israel: Documentation Of An Economy-Wide Database With A Focus On Agriculture, The Labour Market, And Income Distribution," (2011).</w:t>
      </w:r>
    </w:p>
    <w:p w14:paraId="52F7B43A" w14:textId="77777777" w:rsidR="005709ED" w:rsidRPr="005E4910" w:rsidRDefault="005709ED" w:rsidP="00DC2F86">
      <w:pPr>
        <w:spacing w:line="240" w:lineRule="auto"/>
        <w:ind w:left="900" w:hanging="900"/>
        <w:rPr>
          <w:color w:val="222222"/>
          <w:shd w:val="clear" w:color="auto" w:fill="FFFFFF"/>
        </w:rPr>
      </w:pPr>
    </w:p>
    <w:p w14:paraId="74620BBE" w14:textId="77777777" w:rsidR="005E4910" w:rsidRDefault="005E4910" w:rsidP="00DC2F86">
      <w:pPr>
        <w:spacing w:line="240" w:lineRule="auto"/>
        <w:ind w:left="900" w:hanging="900"/>
      </w:pPr>
      <w:r w:rsidRPr="005E4910">
        <w:t>Sjaastad, Larry A., "The Costs And Returns Of Human Migration,"</w:t>
      </w:r>
      <w:r w:rsidRPr="005E4910">
        <w:rPr>
          <w:i/>
        </w:rPr>
        <w:t xml:space="preserve"> Journal Of Political Economy, </w:t>
      </w:r>
      <w:r w:rsidRPr="005E4910">
        <w:t>Vol.70S, (1976).</w:t>
      </w:r>
    </w:p>
    <w:p w14:paraId="03C9FE80" w14:textId="77777777" w:rsidR="005709ED" w:rsidRPr="005E4910" w:rsidRDefault="005709ED" w:rsidP="00DC2F86">
      <w:pPr>
        <w:spacing w:line="240" w:lineRule="auto"/>
        <w:ind w:left="900" w:hanging="900"/>
      </w:pPr>
    </w:p>
    <w:p w14:paraId="4AD03013" w14:textId="77777777" w:rsidR="005709ED" w:rsidRDefault="005E4910" w:rsidP="00DC2F86">
      <w:pPr>
        <w:pStyle w:val="FootnoteText"/>
        <w:ind w:left="900" w:hanging="900"/>
        <w:rPr>
          <w:sz w:val="24"/>
          <w:szCs w:val="24"/>
        </w:rPr>
      </w:pPr>
      <w:r w:rsidRPr="005E4910">
        <w:rPr>
          <w:sz w:val="24"/>
          <w:szCs w:val="24"/>
        </w:rPr>
        <w:t xml:space="preserve">Smooha, Sammy, “Minority Status In An Ethnic Democracy: The Status Of The Arab Minority In Israel,” </w:t>
      </w:r>
      <w:r w:rsidRPr="005E4910">
        <w:rPr>
          <w:i/>
          <w:sz w:val="24"/>
          <w:szCs w:val="24"/>
        </w:rPr>
        <w:t xml:space="preserve">Ethnic And Racial Studies, </w:t>
      </w:r>
      <w:r w:rsidRPr="005E4910">
        <w:rPr>
          <w:sz w:val="24"/>
          <w:szCs w:val="24"/>
        </w:rPr>
        <w:t xml:space="preserve">Vol. 13, No. 3, (1990). </w:t>
      </w:r>
    </w:p>
    <w:p w14:paraId="6BDE1D54" w14:textId="77777777" w:rsidR="005709ED" w:rsidRDefault="005709ED" w:rsidP="00DC2F86">
      <w:pPr>
        <w:pStyle w:val="FootnoteText"/>
        <w:ind w:left="900" w:hanging="900"/>
        <w:rPr>
          <w:sz w:val="24"/>
          <w:szCs w:val="24"/>
        </w:rPr>
      </w:pPr>
    </w:p>
    <w:p w14:paraId="1310D76F" w14:textId="77777777" w:rsidR="005709ED" w:rsidRDefault="005E4910" w:rsidP="00DC2F86">
      <w:pPr>
        <w:spacing w:line="240" w:lineRule="auto"/>
        <w:ind w:left="900" w:hanging="900"/>
      </w:pPr>
      <w:r w:rsidRPr="005E4910">
        <w:t xml:space="preserve">Stein, Kenneth W. and Samuel W. Lewis, </w:t>
      </w:r>
      <w:r w:rsidRPr="005E4910">
        <w:rPr>
          <w:i/>
          <w:iCs/>
        </w:rPr>
        <w:t>Making Peace Among Arabs And Israelis: Lessons From Fifty Years Of Negotiating Experience</w:t>
      </w:r>
      <w:r w:rsidRPr="005E4910">
        <w:t>, USIP</w:t>
      </w:r>
      <w:r w:rsidRPr="005E4910">
        <w:rPr>
          <w:i/>
        </w:rPr>
        <w:t xml:space="preserve">, </w:t>
      </w:r>
      <w:r w:rsidRPr="005E4910">
        <w:t>Washington, DC, (1991).</w:t>
      </w:r>
    </w:p>
    <w:p w14:paraId="172252D2" w14:textId="082568F0" w:rsidR="005E4910" w:rsidRPr="005E4910" w:rsidRDefault="005E4910" w:rsidP="00DC2F86">
      <w:pPr>
        <w:spacing w:line="240" w:lineRule="auto"/>
        <w:ind w:left="900" w:hanging="900"/>
      </w:pPr>
      <w:r w:rsidRPr="005E4910">
        <w:t xml:space="preserve"> </w:t>
      </w:r>
    </w:p>
    <w:p w14:paraId="1ACFFE76" w14:textId="77777777" w:rsidR="005E4910" w:rsidRDefault="005E4910" w:rsidP="00DC2F86">
      <w:pPr>
        <w:pStyle w:val="FootnoteText"/>
        <w:ind w:left="900" w:hanging="900"/>
        <w:rPr>
          <w:color w:val="000000"/>
          <w:sz w:val="24"/>
          <w:szCs w:val="24"/>
        </w:rPr>
      </w:pPr>
      <w:r w:rsidRPr="005E4910">
        <w:rPr>
          <w:color w:val="000000"/>
          <w:sz w:val="24"/>
          <w:szCs w:val="24"/>
        </w:rPr>
        <w:t>Stein, Kenneth, “The Intifada And The 1936-39 Uprising: A Comparison</w:t>
      </w:r>
      <w:r w:rsidRPr="005E4910">
        <w:rPr>
          <w:i/>
          <w:iCs/>
          <w:color w:val="000000"/>
          <w:sz w:val="24"/>
          <w:szCs w:val="24"/>
        </w:rPr>
        <w:t>,” Journal Of Palestine Studies</w:t>
      </w:r>
      <w:r w:rsidRPr="005E4910">
        <w:rPr>
          <w:color w:val="000000"/>
          <w:sz w:val="24"/>
          <w:szCs w:val="24"/>
        </w:rPr>
        <w:t>, Vol.19, No.4, (1990): 64-85.</w:t>
      </w:r>
    </w:p>
    <w:p w14:paraId="4318050B" w14:textId="77777777" w:rsidR="005709ED" w:rsidRPr="005E4910" w:rsidRDefault="005709ED" w:rsidP="00DC2F86">
      <w:pPr>
        <w:pStyle w:val="FootnoteText"/>
        <w:ind w:left="900" w:hanging="900"/>
        <w:rPr>
          <w:color w:val="000000"/>
          <w:sz w:val="24"/>
          <w:szCs w:val="24"/>
        </w:rPr>
      </w:pPr>
    </w:p>
    <w:p w14:paraId="3861A2E0" w14:textId="77777777" w:rsidR="005E4910" w:rsidRDefault="005E4910" w:rsidP="00DC2F86">
      <w:pPr>
        <w:spacing w:line="240" w:lineRule="auto"/>
        <w:ind w:left="900" w:hanging="900"/>
      </w:pPr>
      <w:r w:rsidRPr="005E4910">
        <w:t>Swirsky, Shlomo, Etty Konor-Atias, Noga Dagan-Buzaglo, And Tzipi Lazar Shoef, “</w:t>
      </w:r>
      <w:r w:rsidRPr="005E4910">
        <w:rPr>
          <w:color w:val="252525"/>
        </w:rPr>
        <w:t xml:space="preserve">Workers, Employers And The Distribution Of Israel’s National Income – Labor Report 2014: </w:t>
      </w:r>
      <w:r w:rsidRPr="005E4910">
        <w:t xml:space="preserve">The Report Reveals The Worsening Of The Share Of Workers In Israel Between 2004 And 2014,” </w:t>
      </w:r>
      <w:r w:rsidRPr="005E4910">
        <w:rPr>
          <w:i/>
        </w:rPr>
        <w:t xml:space="preserve">Adva Center: Information On Equality And Social Justice In Israel, </w:t>
      </w:r>
      <w:r w:rsidRPr="005E4910">
        <w:t xml:space="preserve">1 May 2015, Web, Retrieved 1 Mar 2016, </w:t>
      </w:r>
      <w:hyperlink r:id="rId54" w:history="1">
        <w:r w:rsidRPr="005E4910">
          <w:rPr>
            <w:rStyle w:val="Hyperlink"/>
          </w:rPr>
          <w:t>Http://Adva.Org/En/Workers-Employers2014/</w:t>
        </w:r>
      </w:hyperlink>
      <w:r w:rsidRPr="005E4910">
        <w:t xml:space="preserve"> </w:t>
      </w:r>
    </w:p>
    <w:p w14:paraId="0B8655A2" w14:textId="77777777" w:rsidR="005709ED" w:rsidRPr="005E4910" w:rsidRDefault="005709ED" w:rsidP="00DC2F86">
      <w:pPr>
        <w:spacing w:line="240" w:lineRule="auto"/>
        <w:ind w:left="900" w:hanging="900"/>
      </w:pPr>
    </w:p>
    <w:p w14:paraId="14B23316" w14:textId="77777777" w:rsidR="005E4910" w:rsidRDefault="005E4910" w:rsidP="00DC2F86">
      <w:pPr>
        <w:pStyle w:val="FootnoteText"/>
        <w:ind w:left="900" w:hanging="900"/>
        <w:rPr>
          <w:sz w:val="24"/>
          <w:szCs w:val="24"/>
        </w:rPr>
      </w:pPr>
      <w:r w:rsidRPr="005E4910">
        <w:rPr>
          <w:sz w:val="24"/>
          <w:szCs w:val="24"/>
        </w:rPr>
        <w:t xml:space="preserve">Tartier, Alaa, “Securitized Development And Palestinian Authoritarianism Under Fayyadism,” </w:t>
      </w:r>
      <w:r w:rsidRPr="005E4910">
        <w:rPr>
          <w:i/>
          <w:sz w:val="24"/>
          <w:szCs w:val="24"/>
        </w:rPr>
        <w:t xml:space="preserve">Conflict, Security, And Development, </w:t>
      </w:r>
      <w:r w:rsidRPr="005E4910">
        <w:rPr>
          <w:sz w:val="24"/>
          <w:szCs w:val="24"/>
        </w:rPr>
        <w:t>Vol.15, No.5, (2015): 479-502.</w:t>
      </w:r>
    </w:p>
    <w:p w14:paraId="3B8FEB23" w14:textId="77777777" w:rsidR="005709ED" w:rsidRPr="005E4910" w:rsidRDefault="005709ED" w:rsidP="00DC2F86">
      <w:pPr>
        <w:pStyle w:val="FootnoteText"/>
        <w:ind w:left="900" w:hanging="900"/>
        <w:rPr>
          <w:sz w:val="24"/>
          <w:szCs w:val="24"/>
        </w:rPr>
      </w:pPr>
    </w:p>
    <w:p w14:paraId="135E7FF4" w14:textId="77777777" w:rsidR="005E4910" w:rsidRDefault="005E4910" w:rsidP="00DC2F86">
      <w:pPr>
        <w:pStyle w:val="FootnoteText"/>
        <w:ind w:left="900" w:hanging="900"/>
        <w:rPr>
          <w:sz w:val="24"/>
          <w:szCs w:val="24"/>
        </w:rPr>
      </w:pPr>
      <w:r w:rsidRPr="005E4910">
        <w:rPr>
          <w:sz w:val="24"/>
          <w:szCs w:val="24"/>
        </w:rPr>
        <w:lastRenderedPageBreak/>
        <w:t xml:space="preserve">Tavares, Jose, “The Open Society Assesses Its Enemies: Shocks, Disasters And Terrorist Attacks,” </w:t>
      </w:r>
      <w:r w:rsidRPr="005E4910">
        <w:rPr>
          <w:i/>
          <w:sz w:val="24"/>
          <w:szCs w:val="24"/>
        </w:rPr>
        <w:t>Journal Of Monetary Economics</w:t>
      </w:r>
      <w:r w:rsidRPr="005E4910">
        <w:rPr>
          <w:sz w:val="24"/>
          <w:szCs w:val="24"/>
        </w:rPr>
        <w:t xml:space="preserve"> Vol.51, No.5, (2004): 1039–1070.</w:t>
      </w:r>
    </w:p>
    <w:p w14:paraId="20A3EE47" w14:textId="77777777" w:rsidR="005709ED" w:rsidRPr="005E4910" w:rsidRDefault="005709ED" w:rsidP="00DC2F86">
      <w:pPr>
        <w:pStyle w:val="FootnoteText"/>
        <w:ind w:left="900" w:hanging="900"/>
        <w:rPr>
          <w:sz w:val="24"/>
          <w:szCs w:val="24"/>
        </w:rPr>
      </w:pPr>
    </w:p>
    <w:p w14:paraId="2B5F6685" w14:textId="77777777" w:rsidR="005E4910" w:rsidRDefault="005E4910" w:rsidP="00DC2F86">
      <w:pPr>
        <w:pStyle w:val="FootnoteText"/>
        <w:ind w:left="900" w:hanging="900"/>
        <w:rPr>
          <w:sz w:val="24"/>
          <w:szCs w:val="24"/>
        </w:rPr>
      </w:pPr>
      <w:r w:rsidRPr="005E4910">
        <w:rPr>
          <w:sz w:val="24"/>
          <w:szCs w:val="24"/>
        </w:rPr>
        <w:t xml:space="preserve">Tesfatsion, Leigh, “Agent-Based Computational Economics: Modeling Economics As Complex Adaptive Systems,” </w:t>
      </w:r>
      <w:r w:rsidRPr="005E4910">
        <w:rPr>
          <w:i/>
          <w:sz w:val="24"/>
          <w:szCs w:val="24"/>
        </w:rPr>
        <w:t xml:space="preserve">Information Sciences, </w:t>
      </w:r>
      <w:r w:rsidRPr="005E4910">
        <w:rPr>
          <w:sz w:val="24"/>
          <w:szCs w:val="24"/>
        </w:rPr>
        <w:t>Vol. 149, (2003).</w:t>
      </w:r>
    </w:p>
    <w:p w14:paraId="4BF8D2F6" w14:textId="77777777" w:rsidR="005709ED" w:rsidRPr="005E4910" w:rsidRDefault="005709ED" w:rsidP="00DC2F86">
      <w:pPr>
        <w:pStyle w:val="FootnoteText"/>
        <w:ind w:left="900" w:hanging="900"/>
        <w:rPr>
          <w:sz w:val="24"/>
          <w:szCs w:val="24"/>
        </w:rPr>
      </w:pPr>
    </w:p>
    <w:p w14:paraId="05ECBC9C" w14:textId="77777777" w:rsidR="005E4910" w:rsidRDefault="005E4910" w:rsidP="00DC2F86">
      <w:pPr>
        <w:pStyle w:val="FootnoteText"/>
        <w:ind w:left="900" w:hanging="900"/>
        <w:rPr>
          <w:sz w:val="24"/>
          <w:szCs w:val="24"/>
        </w:rPr>
      </w:pPr>
      <w:r w:rsidRPr="005E4910">
        <w:rPr>
          <w:i/>
          <w:sz w:val="24"/>
          <w:szCs w:val="24"/>
        </w:rPr>
        <w:t xml:space="preserve">The Legacy of Camp David: 1979-2009, </w:t>
      </w:r>
      <w:r w:rsidRPr="005E4910">
        <w:rPr>
          <w:sz w:val="24"/>
          <w:szCs w:val="24"/>
        </w:rPr>
        <w:t>The Middle East Institute, Washington D.C., (2010).</w:t>
      </w:r>
    </w:p>
    <w:p w14:paraId="681C18BD" w14:textId="77777777" w:rsidR="005709ED" w:rsidRPr="005E4910" w:rsidRDefault="005709ED" w:rsidP="00DC2F86">
      <w:pPr>
        <w:pStyle w:val="FootnoteText"/>
        <w:ind w:left="900" w:hanging="900"/>
        <w:rPr>
          <w:sz w:val="24"/>
          <w:szCs w:val="24"/>
        </w:rPr>
      </w:pPr>
    </w:p>
    <w:p w14:paraId="660C5A4D" w14:textId="77777777" w:rsidR="005E4910" w:rsidRDefault="005E4910" w:rsidP="00DC2F86">
      <w:pPr>
        <w:pStyle w:val="FootnoteText"/>
        <w:ind w:left="900" w:hanging="900"/>
        <w:rPr>
          <w:sz w:val="24"/>
          <w:szCs w:val="24"/>
        </w:rPr>
      </w:pPr>
      <w:r w:rsidRPr="005E4910">
        <w:rPr>
          <w:i/>
          <w:sz w:val="24"/>
          <w:szCs w:val="24"/>
        </w:rPr>
        <w:t xml:space="preserve">The Protocol On Economic Relations Between The Government Of The State Of Israel And The PLO, Representing The Palestinian People, </w:t>
      </w:r>
      <w:r w:rsidRPr="005E4910">
        <w:rPr>
          <w:sz w:val="24"/>
          <w:szCs w:val="24"/>
        </w:rPr>
        <w:t>Paris, (1994).</w:t>
      </w:r>
    </w:p>
    <w:p w14:paraId="23C217E9" w14:textId="77777777" w:rsidR="005709ED" w:rsidRPr="005E4910" w:rsidRDefault="005709ED" w:rsidP="00DC2F86">
      <w:pPr>
        <w:pStyle w:val="FootnoteText"/>
        <w:ind w:left="900" w:hanging="900"/>
        <w:rPr>
          <w:sz w:val="24"/>
          <w:szCs w:val="24"/>
        </w:rPr>
      </w:pPr>
    </w:p>
    <w:p w14:paraId="18EDF55C" w14:textId="77777777" w:rsidR="005709ED" w:rsidRDefault="005E4910" w:rsidP="00DC2F86">
      <w:pPr>
        <w:widowControl w:val="0"/>
        <w:autoSpaceDE w:val="0"/>
        <w:autoSpaceDN w:val="0"/>
        <w:adjustRightInd w:val="0"/>
        <w:spacing w:line="240" w:lineRule="auto"/>
        <w:ind w:left="900" w:hanging="900"/>
        <w:rPr>
          <w:rStyle w:val="Hyperlink"/>
        </w:rPr>
      </w:pPr>
      <w:r w:rsidRPr="005E4910">
        <w:t xml:space="preserve">The Small Arms Survey, </w:t>
      </w:r>
      <w:r w:rsidRPr="005E4910">
        <w:rPr>
          <w:i/>
        </w:rPr>
        <w:t>Conflict,</w:t>
      </w:r>
      <w:r w:rsidRPr="005E4910">
        <w:t xml:space="preserve"> </w:t>
      </w:r>
      <w:r w:rsidRPr="005E4910">
        <w:rPr>
          <w:i/>
        </w:rPr>
        <w:t>Crime And Violence And Development: A Compendium Of Tools For Measurement, Monitoring And Evaluation</w:t>
      </w:r>
      <w:r w:rsidRPr="005E4910">
        <w:t>:</w:t>
      </w:r>
      <w:r w:rsidRPr="005E4910">
        <w:rPr>
          <w:i/>
        </w:rPr>
        <w:t xml:space="preserve"> Sources Of Conflict, Crime And Violence Data, </w:t>
      </w:r>
      <w:r w:rsidRPr="005E4910">
        <w:t xml:space="preserve">Feb 2013, Web, </w:t>
      </w:r>
      <w:hyperlink r:id="rId55" w:history="1">
        <w:r w:rsidRPr="005E4910">
          <w:rPr>
            <w:rStyle w:val="Hyperlink"/>
          </w:rPr>
          <w:t>http://www.smallarmssurvey.org/fileadmin/docs/M-files/CCRVI/CCVRI-Practice-Product-Sources-of-Data.pdf</w:t>
        </w:r>
      </w:hyperlink>
      <w:r w:rsidR="005709ED">
        <w:rPr>
          <w:rStyle w:val="Hyperlink"/>
        </w:rPr>
        <w:t>.</w:t>
      </w:r>
    </w:p>
    <w:p w14:paraId="02F12D91" w14:textId="7BEA9712" w:rsidR="005E4910" w:rsidRPr="005E4910" w:rsidRDefault="005E4910" w:rsidP="00DC2F86">
      <w:pPr>
        <w:widowControl w:val="0"/>
        <w:autoSpaceDE w:val="0"/>
        <w:autoSpaceDN w:val="0"/>
        <w:adjustRightInd w:val="0"/>
        <w:spacing w:line="240" w:lineRule="auto"/>
        <w:ind w:left="900" w:hanging="900"/>
      </w:pPr>
      <w:r w:rsidRPr="005E4910">
        <w:t xml:space="preserve"> </w:t>
      </w:r>
    </w:p>
    <w:p w14:paraId="71B286C5" w14:textId="77777777" w:rsidR="005709ED" w:rsidRDefault="005E4910" w:rsidP="00DC2F86">
      <w:pPr>
        <w:pStyle w:val="FootnoteText"/>
        <w:ind w:left="900" w:hanging="900"/>
        <w:rPr>
          <w:rStyle w:val="Hyperlink"/>
          <w:sz w:val="24"/>
          <w:szCs w:val="24"/>
        </w:rPr>
      </w:pPr>
      <w:r w:rsidRPr="005E4910">
        <w:rPr>
          <w:i/>
          <w:sz w:val="24"/>
          <w:szCs w:val="24"/>
        </w:rPr>
        <w:t xml:space="preserve">The System Of National Accounts, 2008, </w:t>
      </w:r>
      <w:r w:rsidRPr="005E4910">
        <w:rPr>
          <w:sz w:val="24"/>
          <w:szCs w:val="24"/>
        </w:rPr>
        <w:t>UN,</w:t>
      </w:r>
      <w:r w:rsidRPr="005E4910">
        <w:rPr>
          <w:i/>
          <w:sz w:val="24"/>
          <w:szCs w:val="24"/>
        </w:rPr>
        <w:t xml:space="preserve"> </w:t>
      </w:r>
      <w:r w:rsidRPr="005E4910">
        <w:rPr>
          <w:sz w:val="24"/>
          <w:szCs w:val="24"/>
        </w:rPr>
        <w:t xml:space="preserve">IMF, OECD, World Bank, European Commission, New York, NY, (2009), Web, Retrieved 22 Mar 2016, </w:t>
      </w:r>
      <w:hyperlink r:id="rId56" w:history="1">
        <w:r w:rsidRPr="005E4910">
          <w:rPr>
            <w:rStyle w:val="Hyperlink"/>
            <w:sz w:val="24"/>
            <w:szCs w:val="24"/>
          </w:rPr>
          <w:t>Http://Unstats.Un.Org/Unsd/Nationalaccount/Docs/Sna2008.Pdf</w:t>
        </w:r>
      </w:hyperlink>
      <w:r w:rsidR="005709ED">
        <w:rPr>
          <w:rStyle w:val="Hyperlink"/>
          <w:sz w:val="24"/>
          <w:szCs w:val="24"/>
        </w:rPr>
        <w:t>.</w:t>
      </w:r>
    </w:p>
    <w:p w14:paraId="796DD53C" w14:textId="68E92FDF" w:rsidR="005E4910" w:rsidRPr="005E4910" w:rsidRDefault="005E4910" w:rsidP="00DC2F86">
      <w:pPr>
        <w:pStyle w:val="FootnoteText"/>
        <w:ind w:left="900" w:hanging="900"/>
        <w:rPr>
          <w:sz w:val="24"/>
          <w:szCs w:val="24"/>
        </w:rPr>
      </w:pPr>
      <w:r w:rsidRPr="005E4910">
        <w:rPr>
          <w:sz w:val="24"/>
          <w:szCs w:val="24"/>
        </w:rPr>
        <w:t xml:space="preserve"> </w:t>
      </w:r>
    </w:p>
    <w:p w14:paraId="059A5C88" w14:textId="77777777" w:rsidR="005E4910" w:rsidRDefault="005E4910" w:rsidP="00DC2F86">
      <w:pPr>
        <w:spacing w:line="240" w:lineRule="auto"/>
        <w:ind w:left="900" w:hanging="900"/>
      </w:pPr>
      <w:r w:rsidRPr="005E4910">
        <w:t xml:space="preserve">Todaro, Michael P. and Lydia Maruszko,"Illegal Migration And US Immigration Reform: A Conceptual Framework." </w:t>
      </w:r>
      <w:r w:rsidRPr="005E4910">
        <w:rPr>
          <w:i/>
        </w:rPr>
        <w:t>Population And Development Review</w:t>
      </w:r>
      <w:r w:rsidRPr="005E4910">
        <w:t>, Vol.13, (1987).</w:t>
      </w:r>
    </w:p>
    <w:p w14:paraId="54DE650A" w14:textId="77777777" w:rsidR="005709ED" w:rsidRPr="005E4910" w:rsidRDefault="005709ED" w:rsidP="00DC2F86">
      <w:pPr>
        <w:spacing w:line="240" w:lineRule="auto"/>
        <w:ind w:left="900" w:hanging="900"/>
      </w:pPr>
    </w:p>
    <w:p w14:paraId="0DDC9005" w14:textId="77777777" w:rsidR="005E4910" w:rsidRDefault="005E4910" w:rsidP="00DC2F86">
      <w:pPr>
        <w:spacing w:line="240" w:lineRule="auto"/>
        <w:ind w:left="900" w:hanging="900"/>
      </w:pPr>
      <w:r w:rsidRPr="005E4910">
        <w:t xml:space="preserve">Todaro, Michael P., "A Model Of Labor Migration And Urban Unemployment In Less Developed Countries." </w:t>
      </w:r>
      <w:r w:rsidRPr="005E4910">
        <w:rPr>
          <w:i/>
        </w:rPr>
        <w:t>The American Economic Review,</w:t>
      </w:r>
      <w:r w:rsidRPr="005E4910">
        <w:t xml:space="preserve"> Vol.59, (1969).</w:t>
      </w:r>
    </w:p>
    <w:p w14:paraId="72D7011A" w14:textId="77777777" w:rsidR="005709ED" w:rsidRPr="005E4910" w:rsidRDefault="005709ED" w:rsidP="00DC2F86">
      <w:pPr>
        <w:spacing w:line="240" w:lineRule="auto"/>
        <w:ind w:left="900" w:hanging="900"/>
      </w:pPr>
    </w:p>
    <w:p w14:paraId="618DD5A6" w14:textId="77777777" w:rsidR="005E4910" w:rsidRDefault="005E4910" w:rsidP="00DC2F86">
      <w:pPr>
        <w:spacing w:line="240" w:lineRule="auto"/>
        <w:ind w:left="900" w:hanging="900"/>
      </w:pPr>
      <w:r w:rsidRPr="005E4910">
        <w:t xml:space="preserve">Todaro, Michael P., </w:t>
      </w:r>
      <w:r w:rsidRPr="005E4910">
        <w:rPr>
          <w:i/>
        </w:rPr>
        <w:t>Internal Migration In Developing Countries</w:t>
      </w:r>
      <w:r w:rsidRPr="005E4910">
        <w:t>, Geneva: International Labor Office, (1976).</w:t>
      </w:r>
    </w:p>
    <w:p w14:paraId="3D5245CC" w14:textId="77777777" w:rsidR="005709ED" w:rsidRPr="005E4910" w:rsidRDefault="005709ED" w:rsidP="00DC2F86">
      <w:pPr>
        <w:spacing w:line="240" w:lineRule="auto"/>
        <w:ind w:left="900" w:hanging="900"/>
      </w:pPr>
    </w:p>
    <w:p w14:paraId="194A263C" w14:textId="7C77CB3F" w:rsidR="005E4910" w:rsidRDefault="005E4910" w:rsidP="00DC2F86">
      <w:pPr>
        <w:pStyle w:val="FootnoteText"/>
        <w:ind w:left="900" w:hanging="900"/>
        <w:rPr>
          <w:sz w:val="24"/>
          <w:szCs w:val="24"/>
        </w:rPr>
      </w:pPr>
      <w:r w:rsidRPr="005E4910">
        <w:rPr>
          <w:sz w:val="24"/>
          <w:szCs w:val="24"/>
        </w:rPr>
        <w:t>Touval, Saadia, “Mediation In Th</w:t>
      </w:r>
      <w:r w:rsidR="005709ED">
        <w:rPr>
          <w:sz w:val="24"/>
          <w:szCs w:val="24"/>
        </w:rPr>
        <w:t>e Arab-Israeli Conflict During a</w:t>
      </w:r>
      <w:r w:rsidRPr="005E4910">
        <w:rPr>
          <w:sz w:val="24"/>
          <w:szCs w:val="24"/>
        </w:rPr>
        <w:t xml:space="preserve">nd After The Cold War,” </w:t>
      </w:r>
      <w:r w:rsidRPr="005E4910">
        <w:rPr>
          <w:i/>
          <w:iCs/>
          <w:sz w:val="24"/>
          <w:szCs w:val="24"/>
        </w:rPr>
        <w:t>Davis Occasional Papers</w:t>
      </w:r>
      <w:r w:rsidRPr="005E4910">
        <w:rPr>
          <w:sz w:val="24"/>
          <w:szCs w:val="24"/>
        </w:rPr>
        <w:t>, No. 74, (October 1999).</w:t>
      </w:r>
    </w:p>
    <w:p w14:paraId="184C669F" w14:textId="77777777" w:rsidR="005709ED" w:rsidRPr="005E4910" w:rsidRDefault="005709ED" w:rsidP="00DC2F86">
      <w:pPr>
        <w:pStyle w:val="FootnoteText"/>
        <w:ind w:left="900" w:hanging="900"/>
        <w:rPr>
          <w:sz w:val="24"/>
          <w:szCs w:val="24"/>
        </w:rPr>
      </w:pPr>
    </w:p>
    <w:p w14:paraId="1ABD27ED" w14:textId="65B16246" w:rsidR="005709ED" w:rsidRPr="005E4910" w:rsidRDefault="005E4910" w:rsidP="00DC2F86">
      <w:pPr>
        <w:pStyle w:val="FootnoteText"/>
        <w:ind w:left="900" w:hanging="900"/>
        <w:rPr>
          <w:sz w:val="24"/>
          <w:szCs w:val="24"/>
        </w:rPr>
      </w:pPr>
      <w:r w:rsidRPr="005E4910">
        <w:rPr>
          <w:sz w:val="24"/>
          <w:szCs w:val="24"/>
        </w:rPr>
        <w:t xml:space="preserve">Trottier, Julie, “A Wall, Water, And Power: The Israeli ‘Separation Fence,’” </w:t>
      </w:r>
      <w:r w:rsidRPr="005E4910">
        <w:rPr>
          <w:i/>
          <w:sz w:val="24"/>
          <w:szCs w:val="24"/>
        </w:rPr>
        <w:t xml:space="preserve">Review Of International Studies, </w:t>
      </w:r>
      <w:r w:rsidRPr="005E4910">
        <w:rPr>
          <w:sz w:val="24"/>
          <w:szCs w:val="24"/>
        </w:rPr>
        <w:t>Vol.33, No.1, (January 2007): 105-127.</w:t>
      </w:r>
    </w:p>
    <w:p w14:paraId="5ADCDD84" w14:textId="77777777" w:rsidR="005E4910" w:rsidRDefault="005E4910" w:rsidP="00DC2F86">
      <w:pPr>
        <w:pStyle w:val="FootnoteText"/>
        <w:ind w:left="900" w:hanging="900"/>
        <w:rPr>
          <w:sz w:val="24"/>
          <w:szCs w:val="24"/>
        </w:rPr>
      </w:pPr>
      <w:r w:rsidRPr="005E4910">
        <w:rPr>
          <w:sz w:val="24"/>
          <w:szCs w:val="24"/>
        </w:rPr>
        <w:t xml:space="preserve">U.S. Department of State, </w:t>
      </w:r>
      <w:r w:rsidRPr="005E4910">
        <w:rPr>
          <w:i/>
          <w:sz w:val="24"/>
          <w:szCs w:val="24"/>
        </w:rPr>
        <w:t xml:space="preserve">Country Reports on Human Rights Practices—2000 (Israel), </w:t>
      </w:r>
      <w:r w:rsidRPr="005E4910">
        <w:rPr>
          <w:sz w:val="24"/>
          <w:szCs w:val="24"/>
        </w:rPr>
        <w:t>Bureau of Democracy, Human Rights, and Labor, (February 2001).</w:t>
      </w:r>
    </w:p>
    <w:p w14:paraId="6113F397" w14:textId="77777777" w:rsidR="005709ED" w:rsidRPr="005E4910" w:rsidRDefault="005709ED" w:rsidP="00DC2F86">
      <w:pPr>
        <w:pStyle w:val="FootnoteText"/>
        <w:ind w:left="900" w:hanging="900"/>
        <w:rPr>
          <w:sz w:val="24"/>
          <w:szCs w:val="24"/>
        </w:rPr>
      </w:pPr>
    </w:p>
    <w:p w14:paraId="662AF069" w14:textId="77777777" w:rsidR="005E4910" w:rsidRDefault="005E4910" w:rsidP="00DC2F86">
      <w:pPr>
        <w:pStyle w:val="FootnoteText"/>
        <w:tabs>
          <w:tab w:val="left" w:pos="900"/>
        </w:tabs>
        <w:ind w:left="900" w:hanging="900"/>
        <w:rPr>
          <w:sz w:val="24"/>
          <w:szCs w:val="24"/>
        </w:rPr>
      </w:pPr>
      <w:r w:rsidRPr="005E4910">
        <w:rPr>
          <w:bCs/>
          <w:sz w:val="24"/>
          <w:szCs w:val="24"/>
        </w:rPr>
        <w:t>UNSCO.</w:t>
      </w:r>
      <w:r w:rsidRPr="005E4910">
        <w:rPr>
          <w:sz w:val="24"/>
          <w:szCs w:val="24"/>
        </w:rPr>
        <w:t xml:space="preserve"> </w:t>
      </w:r>
      <w:r w:rsidRPr="005E4910">
        <w:rPr>
          <w:i/>
          <w:sz w:val="24"/>
          <w:szCs w:val="24"/>
        </w:rPr>
        <w:t xml:space="preserve">The Impact on the Palestinian Economy of the Recent Confrontations, Mobility Restriction and Border Closures, 1 October 2000-31 January 2001, </w:t>
      </w:r>
      <w:r w:rsidRPr="005E4910">
        <w:rPr>
          <w:sz w:val="24"/>
          <w:szCs w:val="24"/>
        </w:rPr>
        <w:t xml:space="preserve">Jerusalem, (2001). </w:t>
      </w:r>
    </w:p>
    <w:p w14:paraId="5574D1BA" w14:textId="77777777" w:rsidR="005709ED" w:rsidRPr="005E4910" w:rsidRDefault="005709ED" w:rsidP="00DC2F86">
      <w:pPr>
        <w:pStyle w:val="FootnoteText"/>
        <w:tabs>
          <w:tab w:val="left" w:pos="900"/>
        </w:tabs>
        <w:ind w:left="900" w:hanging="900"/>
        <w:rPr>
          <w:b/>
          <w:bCs/>
          <w:sz w:val="24"/>
          <w:szCs w:val="24"/>
        </w:rPr>
      </w:pPr>
    </w:p>
    <w:p w14:paraId="1855D5B9" w14:textId="77777777" w:rsidR="005E4910" w:rsidRDefault="005E4910" w:rsidP="00DC2F86">
      <w:pPr>
        <w:pStyle w:val="FootnoteText"/>
        <w:ind w:left="900" w:hanging="900"/>
        <w:rPr>
          <w:sz w:val="24"/>
          <w:szCs w:val="24"/>
        </w:rPr>
      </w:pPr>
      <w:r w:rsidRPr="005E4910">
        <w:rPr>
          <w:sz w:val="24"/>
          <w:szCs w:val="24"/>
        </w:rPr>
        <w:lastRenderedPageBreak/>
        <w:t xml:space="preserve">Walt, Stephen M., “Alliance Formation And The Balance Of World Power,” </w:t>
      </w:r>
      <w:r w:rsidRPr="005E4910">
        <w:rPr>
          <w:i/>
          <w:sz w:val="24"/>
          <w:szCs w:val="24"/>
        </w:rPr>
        <w:t xml:space="preserve">International Security, </w:t>
      </w:r>
      <w:r w:rsidRPr="005E4910">
        <w:rPr>
          <w:sz w:val="24"/>
          <w:szCs w:val="24"/>
        </w:rPr>
        <w:t xml:space="preserve">Vol.9, No.4, (1985): 3-43. </w:t>
      </w:r>
    </w:p>
    <w:p w14:paraId="7D9EBFA8" w14:textId="77777777" w:rsidR="005709ED" w:rsidRPr="005E4910" w:rsidRDefault="005709ED" w:rsidP="00DC2F86">
      <w:pPr>
        <w:pStyle w:val="FootnoteText"/>
        <w:ind w:left="900" w:hanging="900"/>
        <w:rPr>
          <w:sz w:val="24"/>
          <w:szCs w:val="24"/>
        </w:rPr>
      </w:pPr>
    </w:p>
    <w:p w14:paraId="2FF4CB10" w14:textId="77777777" w:rsidR="005E4910" w:rsidRDefault="005E4910" w:rsidP="00DC2F86">
      <w:pPr>
        <w:pStyle w:val="FootnoteText"/>
        <w:ind w:left="900" w:hanging="900"/>
        <w:rPr>
          <w:sz w:val="24"/>
          <w:szCs w:val="24"/>
        </w:rPr>
      </w:pPr>
      <w:r w:rsidRPr="005E4910">
        <w:rPr>
          <w:sz w:val="24"/>
          <w:szCs w:val="24"/>
        </w:rPr>
        <w:t xml:space="preserve">Waltz, Kenneth, </w:t>
      </w:r>
      <w:r w:rsidRPr="005E4910">
        <w:rPr>
          <w:i/>
          <w:sz w:val="24"/>
          <w:szCs w:val="24"/>
        </w:rPr>
        <w:t xml:space="preserve">Theory Of International Politics, </w:t>
      </w:r>
      <w:r w:rsidRPr="005E4910">
        <w:rPr>
          <w:sz w:val="24"/>
          <w:szCs w:val="24"/>
        </w:rPr>
        <w:t xml:space="preserve">Mcgraw Hill, New York, NY, (1979). </w:t>
      </w:r>
    </w:p>
    <w:p w14:paraId="4E2B903C" w14:textId="77777777" w:rsidR="005709ED" w:rsidRPr="005E4910" w:rsidRDefault="005709ED" w:rsidP="00DC2F86">
      <w:pPr>
        <w:pStyle w:val="FootnoteText"/>
        <w:ind w:left="900" w:hanging="900"/>
        <w:rPr>
          <w:sz w:val="24"/>
          <w:szCs w:val="24"/>
        </w:rPr>
      </w:pPr>
    </w:p>
    <w:p w14:paraId="5D1EE8C5" w14:textId="77777777" w:rsidR="005E4910" w:rsidRDefault="005E4910" w:rsidP="00DC2F86">
      <w:pPr>
        <w:spacing w:line="240" w:lineRule="auto"/>
        <w:ind w:left="900" w:hanging="900"/>
        <w:rPr>
          <w:color w:val="222222"/>
          <w:shd w:val="clear" w:color="auto" w:fill="FFFFFF"/>
        </w:rPr>
      </w:pPr>
      <w:r w:rsidRPr="005E4910">
        <w:rPr>
          <w:color w:val="222222"/>
          <w:shd w:val="clear" w:color="auto" w:fill="FFFFFF"/>
        </w:rPr>
        <w:t xml:space="preserve">Westad, Odd Arne, </w:t>
      </w:r>
      <w:r w:rsidRPr="005E4910">
        <w:rPr>
          <w:i/>
          <w:iCs/>
          <w:color w:val="222222"/>
          <w:shd w:val="clear" w:color="auto" w:fill="FFFFFF"/>
        </w:rPr>
        <w:t>The Global Cold War: Third World Interventions And The Making Of Our Times</w:t>
      </w:r>
      <w:r w:rsidRPr="005E4910">
        <w:rPr>
          <w:color w:val="222222"/>
          <w:shd w:val="clear" w:color="auto" w:fill="FFFFFF"/>
        </w:rPr>
        <w:t>. Cambridge University Press, London, UK, (2005).</w:t>
      </w:r>
    </w:p>
    <w:p w14:paraId="78491F8A" w14:textId="77777777" w:rsidR="005709ED" w:rsidRPr="005E4910" w:rsidRDefault="005709ED" w:rsidP="00DC2F86">
      <w:pPr>
        <w:spacing w:line="240" w:lineRule="auto"/>
        <w:ind w:left="900" w:hanging="900"/>
        <w:rPr>
          <w:color w:val="222222"/>
          <w:shd w:val="clear" w:color="auto" w:fill="FFFFFF"/>
        </w:rPr>
      </w:pPr>
    </w:p>
    <w:p w14:paraId="05D4C41B" w14:textId="77777777" w:rsidR="005E4910" w:rsidRDefault="005E4910" w:rsidP="00DC2F86">
      <w:pPr>
        <w:widowControl w:val="0"/>
        <w:autoSpaceDE w:val="0"/>
        <w:autoSpaceDN w:val="0"/>
        <w:adjustRightInd w:val="0"/>
        <w:spacing w:line="240" w:lineRule="auto"/>
        <w:ind w:left="900" w:hanging="900"/>
      </w:pPr>
      <w:r w:rsidRPr="005E4910">
        <w:t xml:space="preserve">Wolf, Martin, “The Benefits Of Migration Are Questionable: Cosmopolitanism Is Incompatible With Our Organization Into Territorial Jurisdictions,” </w:t>
      </w:r>
      <w:r w:rsidRPr="005E4910">
        <w:rPr>
          <w:i/>
        </w:rPr>
        <w:t xml:space="preserve">Financial Times, </w:t>
      </w:r>
      <w:r w:rsidRPr="005E4910">
        <w:t>2015, September 29.</w:t>
      </w:r>
    </w:p>
    <w:p w14:paraId="284BF7DB" w14:textId="77777777" w:rsidR="005709ED" w:rsidRPr="005E4910" w:rsidRDefault="005709ED" w:rsidP="00DC2F86">
      <w:pPr>
        <w:widowControl w:val="0"/>
        <w:autoSpaceDE w:val="0"/>
        <w:autoSpaceDN w:val="0"/>
        <w:adjustRightInd w:val="0"/>
        <w:spacing w:line="240" w:lineRule="auto"/>
        <w:ind w:left="900" w:hanging="900"/>
      </w:pPr>
    </w:p>
    <w:p w14:paraId="4E7400EC" w14:textId="77777777" w:rsidR="005E4910" w:rsidRDefault="005E4910" w:rsidP="00DC2F86">
      <w:pPr>
        <w:pStyle w:val="FootnoteText"/>
        <w:ind w:left="900" w:hanging="900"/>
        <w:rPr>
          <w:sz w:val="24"/>
          <w:szCs w:val="24"/>
        </w:rPr>
      </w:pPr>
      <w:r w:rsidRPr="005E4910">
        <w:rPr>
          <w:i/>
          <w:sz w:val="24"/>
          <w:szCs w:val="24"/>
        </w:rPr>
        <w:t xml:space="preserve">World Military Expenditures And Arms Transfers: 1972-1982, </w:t>
      </w:r>
      <w:r w:rsidRPr="005E4910">
        <w:rPr>
          <w:sz w:val="24"/>
          <w:szCs w:val="24"/>
        </w:rPr>
        <w:t>U.S. Arms Control And Disarmament Agency</w:t>
      </w:r>
      <w:r w:rsidRPr="005E4910">
        <w:rPr>
          <w:i/>
          <w:sz w:val="24"/>
          <w:szCs w:val="24"/>
        </w:rPr>
        <w:t xml:space="preserve">, </w:t>
      </w:r>
      <w:r w:rsidRPr="005E4910">
        <w:rPr>
          <w:sz w:val="24"/>
          <w:szCs w:val="24"/>
        </w:rPr>
        <w:t>Washington, DC, (1984).</w:t>
      </w:r>
    </w:p>
    <w:p w14:paraId="057056D1" w14:textId="77777777" w:rsidR="005709ED" w:rsidRDefault="005709ED" w:rsidP="00DC2F86">
      <w:pPr>
        <w:pStyle w:val="FootnoteText"/>
        <w:ind w:left="900" w:hanging="900"/>
        <w:rPr>
          <w:sz w:val="24"/>
          <w:szCs w:val="24"/>
        </w:rPr>
      </w:pPr>
    </w:p>
    <w:p w14:paraId="5BD4F274" w14:textId="09F76C1E" w:rsidR="00091E54" w:rsidRDefault="00091E54" w:rsidP="00DC2F86">
      <w:pPr>
        <w:pStyle w:val="FootnoteText"/>
        <w:ind w:left="900" w:hanging="900"/>
        <w:rPr>
          <w:sz w:val="24"/>
        </w:rPr>
      </w:pPr>
      <w:r w:rsidRPr="00091E54">
        <w:rPr>
          <w:sz w:val="24"/>
        </w:rPr>
        <w:t xml:space="preserve">Wolfson, Elliot R., “Assaulting the Border: Kabbalistic Traces in the Margins of Derrida,” </w:t>
      </w:r>
      <w:r w:rsidRPr="00091E54">
        <w:rPr>
          <w:i/>
          <w:sz w:val="24"/>
        </w:rPr>
        <w:t xml:space="preserve">Journal of the American Academy of Religion, </w:t>
      </w:r>
      <w:r w:rsidRPr="00091E54">
        <w:rPr>
          <w:sz w:val="24"/>
        </w:rPr>
        <w:t>Vol.70, No.3, (September 2002): 475-514.</w:t>
      </w:r>
    </w:p>
    <w:p w14:paraId="41BF43A0" w14:textId="77777777" w:rsidR="005709ED" w:rsidRPr="00091E54" w:rsidRDefault="005709ED" w:rsidP="00DC2F86">
      <w:pPr>
        <w:pStyle w:val="FootnoteText"/>
        <w:ind w:left="900" w:hanging="900"/>
        <w:rPr>
          <w:sz w:val="32"/>
          <w:szCs w:val="24"/>
        </w:rPr>
      </w:pPr>
    </w:p>
    <w:p w14:paraId="535431A7" w14:textId="77777777" w:rsidR="005E4910" w:rsidRDefault="005E4910" w:rsidP="00DC2F86">
      <w:pPr>
        <w:spacing w:line="240" w:lineRule="auto"/>
        <w:ind w:left="900" w:hanging="900"/>
      </w:pPr>
      <w:r w:rsidRPr="005E4910">
        <w:t xml:space="preserve">Zartman, William, “Negotiations As A Mechanism For Resolution In The Arab-Israeli Conflict,” </w:t>
      </w:r>
      <w:r w:rsidRPr="005E4910">
        <w:rPr>
          <w:i/>
          <w:iCs/>
        </w:rPr>
        <w:t>Davis Occasional Papers</w:t>
      </w:r>
      <w:r w:rsidRPr="005E4910">
        <w:t xml:space="preserve">, No.72, (August 1999). </w:t>
      </w:r>
    </w:p>
    <w:p w14:paraId="619237B3" w14:textId="77777777" w:rsidR="005709ED" w:rsidRPr="005E4910" w:rsidRDefault="005709ED" w:rsidP="00DC2F86">
      <w:pPr>
        <w:spacing w:line="240" w:lineRule="auto"/>
        <w:ind w:left="900" w:hanging="900"/>
      </w:pPr>
    </w:p>
    <w:p w14:paraId="6001BE4A" w14:textId="77777777" w:rsidR="005E4910" w:rsidRPr="005E4910" w:rsidRDefault="005E4910" w:rsidP="00DC2F86">
      <w:pPr>
        <w:spacing w:line="240" w:lineRule="auto"/>
        <w:ind w:left="900" w:hanging="900"/>
        <w:rPr>
          <w:color w:val="222222"/>
          <w:shd w:val="clear" w:color="auto" w:fill="FFFFFF"/>
        </w:rPr>
      </w:pPr>
      <w:r w:rsidRPr="005E4910">
        <w:rPr>
          <w:color w:val="222222"/>
          <w:shd w:val="clear" w:color="auto" w:fill="FFFFFF"/>
        </w:rPr>
        <w:t>Zussman, Asaf, Noam Zussman, And Morten Ørregaard Nielsen, "Asset Market Perspectives On The Israeli–Palestinian Conflict." </w:t>
      </w:r>
      <w:r w:rsidRPr="005E4910">
        <w:rPr>
          <w:i/>
          <w:iCs/>
          <w:color w:val="222222"/>
          <w:shd w:val="clear" w:color="auto" w:fill="FFFFFF"/>
        </w:rPr>
        <w:t xml:space="preserve">Economica, </w:t>
      </w:r>
      <w:r w:rsidRPr="005E4910">
        <w:rPr>
          <w:iCs/>
          <w:color w:val="222222"/>
          <w:shd w:val="clear" w:color="auto" w:fill="FFFFFF"/>
        </w:rPr>
        <w:t>Vol.</w:t>
      </w:r>
      <w:r w:rsidRPr="005E4910">
        <w:rPr>
          <w:color w:val="222222"/>
          <w:shd w:val="clear" w:color="auto" w:fill="FFFFFF"/>
        </w:rPr>
        <w:t>75, No.297, (2008): 84-115.</w:t>
      </w:r>
    </w:p>
    <w:p w14:paraId="3D1AF4F6" w14:textId="6F74367F" w:rsidR="004C7B3A" w:rsidRDefault="004C7B3A" w:rsidP="00DC2F86">
      <w:pPr>
        <w:ind w:left="900" w:hanging="900"/>
        <w:jc w:val="center"/>
      </w:pPr>
    </w:p>
    <w:sectPr w:rsidR="004C7B3A" w:rsidSect="00DC2F86">
      <w:type w:val="continuous"/>
      <w:pgSz w:w="12240" w:h="15840"/>
      <w:pgMar w:top="1440" w:right="1440" w:bottom="1440" w:left="2304"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2AFA78" w14:textId="77777777" w:rsidR="00D14100" w:rsidRDefault="00D14100" w:rsidP="00E975A6">
      <w:pPr>
        <w:spacing w:line="240" w:lineRule="auto"/>
      </w:pPr>
      <w:r>
        <w:separator/>
      </w:r>
    </w:p>
  </w:endnote>
  <w:endnote w:type="continuationSeparator" w:id="0">
    <w:p w14:paraId="4081BE8D" w14:textId="77777777" w:rsidR="00D14100" w:rsidRDefault="00D14100" w:rsidP="00E975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Cambria Math">
    <w:panose1 w:val="02040503050406030204"/>
    <w:charset w:val="00"/>
    <w:family w:val="auto"/>
    <w:pitch w:val="variable"/>
    <w:sig w:usb0="E00002FF" w:usb1="420024FF"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B44AD7" w14:textId="77777777" w:rsidR="00D14100" w:rsidRDefault="00D14100" w:rsidP="00E83B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7678B4F" w14:textId="77777777" w:rsidR="00D14100" w:rsidRDefault="00D14100">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8CE178" w14:textId="38591C14" w:rsidR="00D14100" w:rsidRDefault="00D14100" w:rsidP="00C954EF">
    <w:pPr>
      <w:pStyle w:val="Footer"/>
      <w:tabs>
        <w:tab w:val="clear" w:pos="9360"/>
        <w:tab w:val="left" w:pos="4680"/>
      </w:tabs>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8C64EB" w14:textId="77777777" w:rsidR="00E83B03" w:rsidRDefault="00E83B03" w:rsidP="004221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00133">
      <w:rPr>
        <w:rStyle w:val="PageNumber"/>
        <w:noProof/>
      </w:rPr>
      <w:t>iv</w:t>
    </w:r>
    <w:r>
      <w:rPr>
        <w:rStyle w:val="PageNumber"/>
      </w:rPr>
      <w:fldChar w:fldCharType="end"/>
    </w:r>
  </w:p>
  <w:p w14:paraId="60CF7B6C" w14:textId="77777777" w:rsidR="00E83B03" w:rsidRDefault="00E83B03">
    <w:pPr>
      <w:pStyle w:val="Footer"/>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F2C74B" w14:textId="77777777" w:rsidR="00D14100" w:rsidRDefault="00D14100" w:rsidP="001F75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3D4634A" w14:textId="77777777" w:rsidR="00D14100" w:rsidRDefault="00D14100">
    <w:pPr>
      <w:pStyle w:val="Footer"/>
    </w:pP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D06C66" w14:textId="77777777" w:rsidR="00D14100" w:rsidRDefault="00D14100" w:rsidP="001F75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00133">
      <w:rPr>
        <w:rStyle w:val="PageNumber"/>
        <w:noProof/>
      </w:rPr>
      <w:t>1</w:t>
    </w:r>
    <w:r>
      <w:rPr>
        <w:rStyle w:val="PageNumber"/>
      </w:rPr>
      <w:fldChar w:fldCharType="end"/>
    </w:r>
  </w:p>
  <w:p w14:paraId="6ADB5946" w14:textId="77777777" w:rsidR="00D14100" w:rsidRDefault="00D14100" w:rsidP="00713252">
    <w:pPr>
      <w:pStyle w:val="Footer"/>
    </w:pPr>
  </w:p>
</w:ftr>
</file>

<file path=word/footer6.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A17413" w14:textId="77777777" w:rsidR="00D14100" w:rsidRDefault="00D14100" w:rsidP="0074355D">
    <w:pPr>
      <w:pStyle w:val="Footer"/>
      <w:framePr w:w="361" w:h="551" w:hRule="exact" w:wrap="around" w:vAnchor="text" w:hAnchor="page" w:x="361" w:y="-5413"/>
      <w:textDirection w:val="tbRl"/>
      <w:rPr>
        <w:rStyle w:val="PageNumber"/>
      </w:rPr>
    </w:pPr>
    <w:r>
      <w:rPr>
        <w:rStyle w:val="PageNumber"/>
      </w:rPr>
      <w:fldChar w:fldCharType="begin"/>
    </w:r>
    <w:r>
      <w:rPr>
        <w:rStyle w:val="PageNumber"/>
      </w:rPr>
      <w:instrText xml:space="preserve">PAGE  </w:instrText>
    </w:r>
    <w:r>
      <w:rPr>
        <w:rStyle w:val="PageNumber"/>
      </w:rPr>
      <w:fldChar w:fldCharType="separate"/>
    </w:r>
    <w:r w:rsidR="00500133">
      <w:rPr>
        <w:rStyle w:val="PageNumber"/>
        <w:noProof/>
      </w:rPr>
      <w:t>24</w:t>
    </w:r>
    <w:r>
      <w:rPr>
        <w:rStyle w:val="PageNumber"/>
      </w:rPr>
      <w:fldChar w:fldCharType="end"/>
    </w:r>
  </w:p>
  <w:p w14:paraId="70051B03" w14:textId="7ABA70FD" w:rsidR="00D14100" w:rsidRDefault="00D14100" w:rsidP="00713252">
    <w:pPr>
      <w:pStyle w:val="Footer"/>
    </w:pPr>
  </w:p>
</w:ftr>
</file>

<file path=word/footer7.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2CD90D" w14:textId="77777777" w:rsidR="00D14100" w:rsidRDefault="00D14100" w:rsidP="005F67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98FC9A7" w14:textId="77777777" w:rsidR="00D14100" w:rsidRDefault="00D14100">
    <w:pPr>
      <w:pStyle w:val="Footer"/>
    </w:pPr>
  </w:p>
</w:ftr>
</file>

<file path=word/footer8.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7EC22F" w14:textId="77777777" w:rsidR="00D14100" w:rsidRDefault="00D14100" w:rsidP="005F67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00133">
      <w:rPr>
        <w:rStyle w:val="PageNumber"/>
        <w:noProof/>
      </w:rPr>
      <w:t>34</w:t>
    </w:r>
    <w:r>
      <w:rPr>
        <w:rStyle w:val="PageNumber"/>
      </w:rPr>
      <w:fldChar w:fldCharType="end"/>
    </w:r>
  </w:p>
  <w:p w14:paraId="36EC53AD" w14:textId="77777777" w:rsidR="00D14100" w:rsidRDefault="00D14100">
    <w:pPr>
      <w:pStyle w:val="Footer"/>
    </w:pPr>
  </w:p>
</w:ftr>
</file>

<file path=word/footer9.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4EC70A" w14:textId="77777777" w:rsidR="00D14100" w:rsidRDefault="00D14100" w:rsidP="0074355D">
    <w:pPr>
      <w:pStyle w:val="Footer"/>
      <w:framePr w:wrap="around" w:vAnchor="text" w:hAnchor="page" w:x="685" w:y="-5059"/>
      <w:textDirection w:val="tbRl"/>
      <w:rPr>
        <w:rStyle w:val="PageNumber"/>
      </w:rPr>
    </w:pPr>
    <w:r>
      <w:rPr>
        <w:rStyle w:val="PageNumber"/>
      </w:rPr>
      <w:fldChar w:fldCharType="begin"/>
    </w:r>
    <w:r>
      <w:rPr>
        <w:rStyle w:val="PageNumber"/>
      </w:rPr>
      <w:instrText xml:space="preserve">PAGE  </w:instrText>
    </w:r>
    <w:r>
      <w:rPr>
        <w:rStyle w:val="PageNumber"/>
      </w:rPr>
      <w:fldChar w:fldCharType="separate"/>
    </w:r>
    <w:r w:rsidR="00500133">
      <w:rPr>
        <w:rStyle w:val="PageNumber"/>
        <w:noProof/>
      </w:rPr>
      <w:t>99</w:t>
    </w:r>
    <w:r>
      <w:rPr>
        <w:rStyle w:val="PageNumber"/>
      </w:rPr>
      <w:fldChar w:fldCharType="end"/>
    </w:r>
  </w:p>
  <w:p w14:paraId="16576CCB" w14:textId="77777777" w:rsidR="00D14100" w:rsidRDefault="00D14100">
    <w:pPr>
      <w:pStyle w:val="Footer"/>
    </w:pPr>
  </w:p>
</w:ftr>
</file>

<file path=word/footer10.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D1C900" w14:textId="77777777" w:rsidR="00D14100" w:rsidRDefault="00D14100" w:rsidP="001F75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718E7C1" w14:textId="77777777" w:rsidR="00D14100" w:rsidRDefault="00D14100">
    <w:pPr>
      <w:pStyle w:val="Footer"/>
    </w:pPr>
  </w:p>
</w:ftr>
</file>

<file path=word/footer1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0477AC" w14:textId="77777777" w:rsidR="00D14100" w:rsidRDefault="00D14100" w:rsidP="005F67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00133">
      <w:rPr>
        <w:rStyle w:val="PageNumber"/>
        <w:noProof/>
      </w:rPr>
      <w:t>111</w:t>
    </w:r>
    <w:r>
      <w:rPr>
        <w:rStyle w:val="PageNumber"/>
      </w:rPr>
      <w:fldChar w:fldCharType="end"/>
    </w:r>
  </w:p>
  <w:p w14:paraId="3F6FD5EE" w14:textId="77777777" w:rsidR="00D14100" w:rsidRDefault="00D14100">
    <w:pPr>
      <w:pStyle w:val="Footer"/>
    </w:pPr>
  </w:p>
</w:ftr>
</file>

<file path=word/footer1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9F84B7" w14:textId="77777777" w:rsidR="00D14100" w:rsidRDefault="00D14100" w:rsidP="0074355D">
    <w:pPr>
      <w:pStyle w:val="Footer"/>
      <w:framePr w:wrap="around" w:vAnchor="text" w:hAnchor="page" w:x="325" w:y="-5558"/>
      <w:textDirection w:val="tbRl"/>
      <w:rPr>
        <w:rStyle w:val="PageNumber"/>
      </w:rPr>
    </w:pPr>
    <w:r>
      <w:rPr>
        <w:rStyle w:val="PageNumber"/>
      </w:rPr>
      <w:fldChar w:fldCharType="begin"/>
    </w:r>
    <w:r>
      <w:rPr>
        <w:rStyle w:val="PageNumber"/>
      </w:rPr>
      <w:instrText xml:space="preserve">PAGE  </w:instrText>
    </w:r>
    <w:r>
      <w:rPr>
        <w:rStyle w:val="PageNumber"/>
      </w:rPr>
      <w:fldChar w:fldCharType="separate"/>
    </w:r>
    <w:r w:rsidR="00500133">
      <w:rPr>
        <w:rStyle w:val="PageNumber"/>
        <w:noProof/>
      </w:rPr>
      <w:t>112</w:t>
    </w:r>
    <w:r>
      <w:rPr>
        <w:rStyle w:val="PageNumber"/>
      </w:rPr>
      <w:fldChar w:fldCharType="end"/>
    </w:r>
  </w:p>
  <w:p w14:paraId="3331D7E3" w14:textId="77777777" w:rsidR="00D14100" w:rsidRDefault="00D14100">
    <w:pPr>
      <w:pStyle w:val="Footer"/>
    </w:pPr>
  </w:p>
</w:ftr>
</file>

<file path=word/footer1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5473BA" w14:textId="77777777" w:rsidR="00D14100" w:rsidRDefault="00D14100" w:rsidP="001F7501">
    <w:pPr>
      <w:pStyle w:val="Footer"/>
      <w:framePr w:wrap="around" w:vAnchor="text" w:hAnchor="margin" w:xAlign="center" w:y="1"/>
      <w:ind w:right="-9"/>
      <w:rPr>
        <w:rStyle w:val="PageNumber"/>
      </w:rPr>
    </w:pPr>
    <w:r>
      <w:rPr>
        <w:rStyle w:val="PageNumber"/>
      </w:rPr>
      <w:fldChar w:fldCharType="begin"/>
    </w:r>
    <w:r>
      <w:rPr>
        <w:rStyle w:val="PageNumber"/>
      </w:rPr>
      <w:instrText xml:space="preserve">PAGE  </w:instrText>
    </w:r>
    <w:r>
      <w:rPr>
        <w:rStyle w:val="PageNumber"/>
      </w:rPr>
      <w:fldChar w:fldCharType="separate"/>
    </w:r>
    <w:r w:rsidR="00500133">
      <w:rPr>
        <w:rStyle w:val="PageNumber"/>
        <w:noProof/>
      </w:rPr>
      <w:t>129</w:t>
    </w:r>
    <w:r>
      <w:rPr>
        <w:rStyle w:val="PageNumber"/>
      </w:rPr>
      <w:fldChar w:fldCharType="end"/>
    </w:r>
  </w:p>
  <w:p w14:paraId="19E877B8" w14:textId="12FF4A8A" w:rsidR="00D14100" w:rsidRDefault="00D1410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2153DA" w14:textId="77777777" w:rsidR="00D14100" w:rsidRDefault="00D14100" w:rsidP="00E975A6">
      <w:pPr>
        <w:spacing w:line="240" w:lineRule="auto"/>
      </w:pPr>
      <w:r>
        <w:separator/>
      </w:r>
    </w:p>
  </w:footnote>
  <w:footnote w:type="continuationSeparator" w:id="0">
    <w:p w14:paraId="56B5BEBC" w14:textId="77777777" w:rsidR="00D14100" w:rsidRDefault="00D14100" w:rsidP="00E975A6">
      <w:pPr>
        <w:spacing w:line="240" w:lineRule="auto"/>
      </w:pPr>
      <w:r>
        <w:continuationSeparator/>
      </w:r>
    </w:p>
  </w:footnote>
  <w:footnote w:id="1">
    <w:p w14:paraId="49FF5ED0" w14:textId="77777777" w:rsidR="00D14100" w:rsidRPr="005F67F7" w:rsidRDefault="00D14100" w:rsidP="005F67F7">
      <w:pPr>
        <w:pStyle w:val="FootnoteText"/>
      </w:pPr>
      <w:r w:rsidRPr="005F67F7">
        <w:rPr>
          <w:rStyle w:val="FootnoteReference"/>
        </w:rPr>
        <w:footnoteRef/>
      </w:r>
      <w:r w:rsidRPr="005F67F7">
        <w:t xml:space="preserve"> Steve Odin, “Derrida And The Decentered Universe Of Chan/Zen Buddhism,” </w:t>
      </w:r>
      <w:r w:rsidRPr="005F67F7">
        <w:rPr>
          <w:i/>
        </w:rPr>
        <w:t xml:space="preserve">Journal Of Chinese Philosophy, </w:t>
      </w:r>
      <w:r w:rsidRPr="005F67F7">
        <w:t>Vol.17, (1990): 61-86.</w:t>
      </w:r>
    </w:p>
  </w:footnote>
  <w:footnote w:id="2">
    <w:p w14:paraId="64E51BBD" w14:textId="77777777" w:rsidR="00D14100" w:rsidRPr="005F67F7" w:rsidRDefault="00D14100" w:rsidP="005F67F7">
      <w:pPr>
        <w:pStyle w:val="FootnoteText"/>
      </w:pPr>
      <w:r w:rsidRPr="005F67F7">
        <w:rPr>
          <w:rStyle w:val="FootnoteReference"/>
        </w:rPr>
        <w:footnoteRef/>
      </w:r>
      <w:r w:rsidRPr="005F67F7">
        <w:t xml:space="preserve"> Arie Kacowicz, “Rashomon In The Middle East: Clashing Narratives Of The Israeli-Palestinian Conflict,” </w:t>
      </w:r>
      <w:r w:rsidRPr="005F67F7">
        <w:rPr>
          <w:i/>
        </w:rPr>
        <w:t xml:space="preserve">Cooperation And Conflict, </w:t>
      </w:r>
      <w:r w:rsidRPr="005F67F7">
        <w:t>Vol. 40, No.3, (2005): 343-360.</w:t>
      </w:r>
    </w:p>
  </w:footnote>
  <w:footnote w:id="3">
    <w:p w14:paraId="44661B1E" w14:textId="0E1B489E" w:rsidR="00D14100" w:rsidRPr="005F67F7" w:rsidRDefault="00D14100" w:rsidP="005F67F7">
      <w:pPr>
        <w:pStyle w:val="FootnoteText"/>
      </w:pPr>
      <w:r w:rsidRPr="005F67F7">
        <w:rPr>
          <w:rStyle w:val="FootnoteReference"/>
        </w:rPr>
        <w:footnoteRef/>
      </w:r>
      <w:r w:rsidRPr="005F67F7">
        <w:t xml:space="preserve"> Ibid</w:t>
      </w:r>
      <w:r>
        <w:t>.</w:t>
      </w:r>
    </w:p>
  </w:footnote>
  <w:footnote w:id="4">
    <w:p w14:paraId="1C2B3899" w14:textId="77777777" w:rsidR="00D14100" w:rsidRPr="005F67F7" w:rsidRDefault="00D14100" w:rsidP="005F67F7">
      <w:pPr>
        <w:pStyle w:val="FootnoteText"/>
      </w:pPr>
      <w:r w:rsidRPr="005F67F7">
        <w:rPr>
          <w:rStyle w:val="FootnoteReference"/>
        </w:rPr>
        <w:footnoteRef/>
      </w:r>
      <w:r w:rsidRPr="005F67F7">
        <w:t xml:space="preserve"> Ibid, 346</w:t>
      </w:r>
    </w:p>
  </w:footnote>
  <w:footnote w:id="5">
    <w:p w14:paraId="4127123C" w14:textId="77777777" w:rsidR="00D14100" w:rsidRPr="005F67F7" w:rsidRDefault="00D14100" w:rsidP="005F67F7">
      <w:pPr>
        <w:pStyle w:val="FootnoteText"/>
      </w:pPr>
      <w:r w:rsidRPr="005F67F7">
        <w:rPr>
          <w:rStyle w:val="FootnoteReference"/>
        </w:rPr>
        <w:footnoteRef/>
      </w:r>
      <w:r w:rsidRPr="005F67F7">
        <w:t xml:space="preserve"> Robert Malley, “Fictions About The Failure At Camp David,” </w:t>
      </w:r>
      <w:r w:rsidRPr="005F67F7">
        <w:rPr>
          <w:i/>
        </w:rPr>
        <w:t xml:space="preserve">The New York Times, </w:t>
      </w:r>
      <w:r w:rsidRPr="005F67F7">
        <w:t xml:space="preserve">8 Jul 2001, Web, Retrieved 4 Feb 2016, </w:t>
      </w:r>
      <w:hyperlink r:id="rId1" w:history="1">
        <w:r w:rsidRPr="005F67F7">
          <w:rPr>
            <w:rStyle w:val="Hyperlink"/>
          </w:rPr>
          <w:t>Http://Www.Nytimes.Com/2001/07/08/Opinion/Fictions-About-The-Failure-At-Camp-David.Html</w:t>
        </w:r>
      </w:hyperlink>
      <w:r w:rsidRPr="005F67F7">
        <w:t>.</w:t>
      </w:r>
    </w:p>
  </w:footnote>
  <w:footnote w:id="6">
    <w:p w14:paraId="12F35AAC" w14:textId="66D864AA" w:rsidR="00D14100" w:rsidRPr="005F67F7" w:rsidRDefault="00D14100" w:rsidP="005F67F7">
      <w:pPr>
        <w:pStyle w:val="FootnoteText"/>
      </w:pPr>
      <w:r w:rsidRPr="005F67F7">
        <w:rPr>
          <w:rStyle w:val="FootnoteReference"/>
        </w:rPr>
        <w:footnoteRef/>
      </w:r>
      <w:r w:rsidRPr="005F67F7">
        <w:t xml:space="preserve"> Padraig O’malley, </w:t>
      </w:r>
      <w:r w:rsidRPr="005F67F7">
        <w:rPr>
          <w:i/>
        </w:rPr>
        <w:t xml:space="preserve">The Two-State Delusion: Israel And Palestine- A Tale Of Two Narratives, </w:t>
      </w:r>
      <w:r>
        <w:t>Penguin Group, New York, NY</w:t>
      </w:r>
      <w:r w:rsidRPr="005F67F7">
        <w:t>, (2015).</w:t>
      </w:r>
    </w:p>
  </w:footnote>
  <w:footnote w:id="7">
    <w:p w14:paraId="1CEA27EB" w14:textId="77777777" w:rsidR="00D14100" w:rsidRPr="005F67F7" w:rsidRDefault="00D14100" w:rsidP="005F67F7">
      <w:pPr>
        <w:pStyle w:val="FootnoteText"/>
      </w:pPr>
      <w:r w:rsidRPr="005F67F7">
        <w:rPr>
          <w:rStyle w:val="FootnoteReference"/>
        </w:rPr>
        <w:footnoteRef/>
      </w:r>
      <w:r w:rsidRPr="005F67F7">
        <w:t xml:space="preserve"> See: Jeffrey Heller And Matt Spetalnick, “Obama, Netanyahu At White House Seek To Mend U.S.-Israel Ties,” </w:t>
      </w:r>
      <w:r w:rsidRPr="005F67F7">
        <w:rPr>
          <w:i/>
        </w:rPr>
        <w:t xml:space="preserve">Reuters, </w:t>
      </w:r>
      <w:r w:rsidRPr="005F67F7">
        <w:t xml:space="preserve">9 Nov 2015, Web, Retrieved 4 Feb 2016, </w:t>
      </w:r>
      <w:hyperlink r:id="rId2" w:history="1">
        <w:r w:rsidRPr="005F67F7">
          <w:rPr>
            <w:rStyle w:val="Hyperlink"/>
          </w:rPr>
          <w:t>Http://Www.Reuters.Com/Article/Us-Israel-Usa-Meeting-Iduskcn0sy1wj20151110</w:t>
        </w:r>
      </w:hyperlink>
      <w:r w:rsidRPr="005F67F7">
        <w:t>.</w:t>
      </w:r>
    </w:p>
  </w:footnote>
  <w:footnote w:id="8">
    <w:p w14:paraId="5E0A1505" w14:textId="77777777" w:rsidR="00D14100" w:rsidRPr="005F67F7" w:rsidRDefault="00D14100" w:rsidP="005F67F7">
      <w:pPr>
        <w:pStyle w:val="FootnoteText"/>
      </w:pPr>
      <w:r w:rsidRPr="005F67F7">
        <w:rPr>
          <w:rStyle w:val="FootnoteReference"/>
        </w:rPr>
        <w:footnoteRef/>
      </w:r>
      <w:r w:rsidRPr="005F67F7">
        <w:t xml:space="preserve"> “Rivlin: Peace With Palestinians Seems Impossible Right Now,” </w:t>
      </w:r>
      <w:r w:rsidRPr="005F67F7">
        <w:rPr>
          <w:i/>
        </w:rPr>
        <w:t xml:space="preserve">The Times Of Israel, </w:t>
      </w:r>
      <w:r w:rsidRPr="005F67F7">
        <w:t xml:space="preserve">8 Feb 2016, Web, Retrieved 8 Feb 2016, </w:t>
      </w:r>
      <w:hyperlink r:id="rId3" w:history="1">
        <w:r w:rsidRPr="005F67F7">
          <w:rPr>
            <w:rStyle w:val="Hyperlink"/>
          </w:rPr>
          <w:t>Http://Www.Timesofisrael.Com/Rivlin-Peace-With-Palestinians-Seems-Impossible-Right-Now/?Utm_Source=Dlvr.It&amp;Utm_Medium=Twitter</w:t>
        </w:r>
      </w:hyperlink>
      <w:r w:rsidRPr="005F67F7">
        <w:t>.</w:t>
      </w:r>
    </w:p>
  </w:footnote>
  <w:footnote w:id="9">
    <w:p w14:paraId="43D558ED" w14:textId="2E54652F" w:rsidR="00D14100" w:rsidRPr="005F67F7" w:rsidRDefault="00D14100" w:rsidP="005F67F7">
      <w:pPr>
        <w:pStyle w:val="FootnoteText"/>
      </w:pPr>
      <w:r w:rsidRPr="005F67F7">
        <w:rPr>
          <w:rStyle w:val="FootnoteReference"/>
        </w:rPr>
        <w:footnoteRef/>
      </w:r>
      <w:r w:rsidRPr="005F67F7">
        <w:t xml:space="preserve">  Alaa Tartier “Securitized Development And Palestinian Authoritarianism Under Fayyadism,” </w:t>
      </w:r>
      <w:r w:rsidRPr="005F67F7">
        <w:rPr>
          <w:i/>
        </w:rPr>
        <w:t xml:space="preserve">Conflict, Security, And Development, </w:t>
      </w:r>
      <w:r>
        <w:t>Vol.15, No.</w:t>
      </w:r>
      <w:r w:rsidRPr="005F67F7">
        <w:t>5, (2015): 479-502.</w:t>
      </w:r>
    </w:p>
  </w:footnote>
  <w:footnote w:id="10">
    <w:p w14:paraId="6AC15C74" w14:textId="46053E5F" w:rsidR="00D14100" w:rsidRPr="005F67F7" w:rsidRDefault="00D14100" w:rsidP="005F67F7">
      <w:pPr>
        <w:pStyle w:val="FootnoteText"/>
      </w:pPr>
      <w:r w:rsidRPr="005F67F7">
        <w:rPr>
          <w:rStyle w:val="FootnoteReference"/>
        </w:rPr>
        <w:footnoteRef/>
      </w:r>
      <w:r w:rsidRPr="005F67F7">
        <w:t xml:space="preserve"> Tariq Dana, “The Symbiosis Between Palestinian ‘Fayyadism’ And Israeli ‘Economic Peace’: The Political Economy Of Capitalist Peace In The Context Of Colonisation,” </w:t>
      </w:r>
      <w:r w:rsidRPr="005F67F7">
        <w:rPr>
          <w:i/>
        </w:rPr>
        <w:t xml:space="preserve">Conflict, Security &amp; Development, </w:t>
      </w:r>
      <w:r>
        <w:t>Vol.15, No.</w:t>
      </w:r>
      <w:r w:rsidRPr="005F67F7">
        <w:t>5, (2015): 455-477.</w:t>
      </w:r>
    </w:p>
  </w:footnote>
  <w:footnote w:id="11">
    <w:p w14:paraId="1704BE9C" w14:textId="4C906A6D" w:rsidR="00D14100" w:rsidRPr="005F67F7" w:rsidRDefault="00D14100" w:rsidP="005F67F7">
      <w:pPr>
        <w:pStyle w:val="FootnoteText"/>
      </w:pPr>
      <w:r w:rsidRPr="005F67F7">
        <w:rPr>
          <w:rStyle w:val="FootnoteReference"/>
        </w:rPr>
        <w:footnoteRef/>
      </w:r>
      <w:r w:rsidRPr="005F67F7">
        <w:t xml:space="preserve"> Ibid, 466</w:t>
      </w:r>
      <w:r>
        <w:t>.</w:t>
      </w:r>
      <w:r w:rsidRPr="005F67F7">
        <w:t xml:space="preserve"> </w:t>
      </w:r>
    </w:p>
  </w:footnote>
  <w:footnote w:id="12">
    <w:p w14:paraId="2C1132CD" w14:textId="52368BF1" w:rsidR="00D14100" w:rsidRPr="005F67F7" w:rsidRDefault="00D14100" w:rsidP="005F67F7">
      <w:pPr>
        <w:pStyle w:val="FootnoteText"/>
      </w:pPr>
      <w:r w:rsidRPr="005F67F7">
        <w:rPr>
          <w:rStyle w:val="FootnoteReference"/>
        </w:rPr>
        <w:footnoteRef/>
      </w:r>
      <w:r w:rsidRPr="005F67F7">
        <w:t xml:space="preserve"> Tarti</w:t>
      </w:r>
      <w:r>
        <w:t>e</w:t>
      </w:r>
      <w:r w:rsidRPr="005F67F7">
        <w:t>r, “Securitized Development,” 480</w:t>
      </w:r>
    </w:p>
  </w:footnote>
  <w:footnote w:id="13">
    <w:p w14:paraId="2AD6AAEE" w14:textId="47BD8FB1" w:rsidR="00D14100" w:rsidRPr="005F67F7" w:rsidRDefault="00D14100" w:rsidP="005F67F7">
      <w:pPr>
        <w:pStyle w:val="FootnoteText"/>
      </w:pPr>
      <w:r w:rsidRPr="005F67F7">
        <w:rPr>
          <w:rStyle w:val="FootnoteReference"/>
        </w:rPr>
        <w:footnoteRef/>
      </w:r>
      <w:r w:rsidRPr="005F67F7">
        <w:t xml:space="preserve"> Ibid</w:t>
      </w:r>
      <w:r>
        <w:t>.</w:t>
      </w:r>
    </w:p>
  </w:footnote>
  <w:footnote w:id="14">
    <w:p w14:paraId="086838BE" w14:textId="4E3E5F47" w:rsidR="00D14100" w:rsidRPr="005F67F7" w:rsidRDefault="00D14100" w:rsidP="005F67F7">
      <w:pPr>
        <w:pStyle w:val="FootnoteText"/>
      </w:pPr>
      <w:r w:rsidRPr="005F67F7">
        <w:rPr>
          <w:rStyle w:val="FootnoteReference"/>
        </w:rPr>
        <w:footnoteRef/>
      </w:r>
      <w:r w:rsidRPr="005F67F7">
        <w:t xml:space="preserve"> Ibid</w:t>
      </w:r>
      <w:r>
        <w:t>.</w:t>
      </w:r>
    </w:p>
  </w:footnote>
  <w:footnote w:id="15">
    <w:p w14:paraId="2155810E" w14:textId="49DA08CD" w:rsidR="00D14100" w:rsidRPr="005F67F7" w:rsidRDefault="00D14100" w:rsidP="005F67F7">
      <w:pPr>
        <w:pStyle w:val="FootnoteText"/>
      </w:pPr>
      <w:r w:rsidRPr="005F67F7">
        <w:rPr>
          <w:rStyle w:val="FootnoteReference"/>
        </w:rPr>
        <w:footnoteRef/>
      </w:r>
      <w:r w:rsidRPr="005F67F7">
        <w:t xml:space="preserve"> Ibid</w:t>
      </w:r>
      <w:r>
        <w:t>.</w:t>
      </w:r>
    </w:p>
  </w:footnote>
  <w:footnote w:id="16">
    <w:p w14:paraId="6844BA1E" w14:textId="77777777" w:rsidR="00D14100" w:rsidRPr="005F67F7" w:rsidRDefault="00D14100" w:rsidP="005F67F7">
      <w:pPr>
        <w:pStyle w:val="FootnoteText"/>
      </w:pPr>
      <w:r w:rsidRPr="005F67F7">
        <w:rPr>
          <w:rStyle w:val="FootnoteReference"/>
        </w:rPr>
        <w:footnoteRef/>
      </w:r>
      <w:r w:rsidRPr="005F67F7">
        <w:t xml:space="preserve"> Amos Harel, “Military Wants 30,000 More Palestinians Working In Israel,” </w:t>
      </w:r>
      <w:r w:rsidRPr="005F67F7">
        <w:rPr>
          <w:i/>
        </w:rPr>
        <w:t xml:space="preserve">Haaretz, </w:t>
      </w:r>
      <w:r w:rsidRPr="005F67F7">
        <w:t xml:space="preserve">8 Feb 2016, Web, Retrieved 8 Feb 2016, </w:t>
      </w:r>
      <w:hyperlink r:id="rId4" w:history="1">
        <w:r w:rsidRPr="005F67F7">
          <w:rPr>
            <w:rStyle w:val="Hyperlink"/>
          </w:rPr>
          <w:t>Http://Www.Haaretz.Com/Israel-News/.Premium-1.702003</w:t>
        </w:r>
      </w:hyperlink>
      <w:r w:rsidRPr="005F67F7">
        <w:t xml:space="preserve"> </w:t>
      </w:r>
    </w:p>
  </w:footnote>
  <w:footnote w:id="17">
    <w:p w14:paraId="2FA50E68" w14:textId="77777777" w:rsidR="00D14100" w:rsidRPr="005F67F7" w:rsidRDefault="00D14100" w:rsidP="005F67F7">
      <w:pPr>
        <w:pStyle w:val="FootnoteText"/>
      </w:pPr>
      <w:r w:rsidRPr="005F67F7">
        <w:rPr>
          <w:rStyle w:val="FootnoteReference"/>
        </w:rPr>
        <w:footnoteRef/>
      </w:r>
      <w:r w:rsidRPr="005F67F7">
        <w:t xml:space="preserve"> Dana, “The Symbiosis,” 466 </w:t>
      </w:r>
    </w:p>
  </w:footnote>
  <w:footnote w:id="18">
    <w:p w14:paraId="6A2668C5" w14:textId="5B4FBC26" w:rsidR="00D14100" w:rsidRPr="005F67F7" w:rsidRDefault="00D14100" w:rsidP="005F67F7">
      <w:pPr>
        <w:pStyle w:val="FootnoteText"/>
      </w:pPr>
      <w:r w:rsidRPr="005F67F7">
        <w:rPr>
          <w:rStyle w:val="FootnoteReference"/>
        </w:rPr>
        <w:footnoteRef/>
      </w:r>
      <w:r w:rsidRPr="005F67F7">
        <w:t xml:space="preserve"> Ibid</w:t>
      </w:r>
      <w:r>
        <w:t>.</w:t>
      </w:r>
    </w:p>
  </w:footnote>
  <w:footnote w:id="19">
    <w:p w14:paraId="5E8E4839" w14:textId="0DF5B569" w:rsidR="00D14100" w:rsidRPr="005F67F7" w:rsidRDefault="00D14100" w:rsidP="005F67F7">
      <w:pPr>
        <w:pStyle w:val="FootnoteText"/>
      </w:pPr>
      <w:r w:rsidRPr="005F67F7">
        <w:rPr>
          <w:rStyle w:val="FootnoteReference"/>
        </w:rPr>
        <w:footnoteRef/>
      </w:r>
      <w:r w:rsidRPr="005F67F7">
        <w:t xml:space="preserve"> Kenneth Waltz, </w:t>
      </w:r>
      <w:r w:rsidRPr="005F67F7">
        <w:rPr>
          <w:i/>
        </w:rPr>
        <w:t xml:space="preserve">Theory Of International Politics, </w:t>
      </w:r>
      <w:r>
        <w:t>Mcgraw Hill, New York, NY</w:t>
      </w:r>
      <w:r w:rsidRPr="005F67F7">
        <w:t xml:space="preserve">, (1979). Michael, Barnett And Raymond Duvall, “Power In International Politics,” </w:t>
      </w:r>
      <w:r w:rsidRPr="005F67F7">
        <w:rPr>
          <w:i/>
        </w:rPr>
        <w:t xml:space="preserve">International Organization, </w:t>
      </w:r>
      <w:r>
        <w:t>Vol.59, No.</w:t>
      </w:r>
      <w:r w:rsidRPr="005F67F7">
        <w:t xml:space="preserve">1, (2005): 39-75. Stephen M. Walt, “Alliance Formation And The Balance Of World Power,” </w:t>
      </w:r>
      <w:r w:rsidRPr="005F67F7">
        <w:rPr>
          <w:i/>
        </w:rPr>
        <w:t xml:space="preserve">International Security, </w:t>
      </w:r>
      <w:r>
        <w:t>Vol.9, No.</w:t>
      </w:r>
      <w:r w:rsidRPr="005F67F7">
        <w:t xml:space="preserve">4, (1985): 3-43. Robert Gilpin, </w:t>
      </w:r>
      <w:r w:rsidRPr="005F67F7">
        <w:rPr>
          <w:i/>
        </w:rPr>
        <w:t xml:space="preserve">War And Change In International Politics, </w:t>
      </w:r>
      <w:r w:rsidRPr="005F67F7">
        <w:t>Cambridge University Press, New York, (1981).</w:t>
      </w:r>
    </w:p>
  </w:footnote>
  <w:footnote w:id="20">
    <w:p w14:paraId="137599D0" w14:textId="08AC9787" w:rsidR="00D14100" w:rsidRPr="005F67F7" w:rsidRDefault="00D14100" w:rsidP="005F67F7">
      <w:pPr>
        <w:pStyle w:val="FootnoteText"/>
      </w:pPr>
      <w:r w:rsidRPr="005F67F7">
        <w:rPr>
          <w:rStyle w:val="FootnoteReference"/>
        </w:rPr>
        <w:footnoteRef/>
      </w:r>
      <w:r w:rsidRPr="005F67F7">
        <w:t xml:space="preserve"> Robert O. Keohane, Ed., </w:t>
      </w:r>
      <w:r w:rsidRPr="005F67F7">
        <w:rPr>
          <w:i/>
        </w:rPr>
        <w:t xml:space="preserve">Neorealism And Its Critics, </w:t>
      </w:r>
      <w:r w:rsidRPr="005F67F7">
        <w:t xml:space="preserve">Columbia University </w:t>
      </w:r>
      <w:r>
        <w:t>Press, New York, NY</w:t>
      </w:r>
      <w:r w:rsidRPr="005F67F7">
        <w:t>, (1988): 198</w:t>
      </w:r>
      <w:r>
        <w:t>.</w:t>
      </w:r>
    </w:p>
  </w:footnote>
  <w:footnote w:id="21">
    <w:p w14:paraId="219A71A5" w14:textId="51ED354D" w:rsidR="00D14100" w:rsidRPr="005F67F7" w:rsidRDefault="00D14100" w:rsidP="005F67F7">
      <w:pPr>
        <w:pStyle w:val="FootnoteText"/>
      </w:pPr>
      <w:r w:rsidRPr="005F67F7">
        <w:rPr>
          <w:rStyle w:val="FootnoteReference"/>
        </w:rPr>
        <w:footnoteRef/>
      </w:r>
      <w:r w:rsidRPr="005F67F7">
        <w:t xml:space="preserve"> Fred C. Ikle, </w:t>
      </w:r>
      <w:r w:rsidRPr="005F67F7">
        <w:rPr>
          <w:i/>
        </w:rPr>
        <w:t xml:space="preserve">How Nations Negotiate, </w:t>
      </w:r>
      <w:r>
        <w:t>Harper And Row, New York, NY</w:t>
      </w:r>
      <w:r w:rsidRPr="005F67F7">
        <w:t xml:space="preserve">, (1964). Harold Muller, “Arguing, Bargaining, And All That: Communicative Action, Rationalist Theory, And The Logic Of Appropriateness In International Relations,” </w:t>
      </w:r>
      <w:r w:rsidRPr="005F67F7">
        <w:rPr>
          <w:i/>
        </w:rPr>
        <w:t xml:space="preserve">European Journal Of International Relations, </w:t>
      </w:r>
      <w:r>
        <w:t>Vol.10, No.</w:t>
      </w:r>
      <w:r w:rsidRPr="005F67F7">
        <w:t xml:space="preserve">3, (2004): 395-435. Dan Reiter, “Exploring The Bargaining Model Of War,” </w:t>
      </w:r>
      <w:r w:rsidRPr="005F67F7">
        <w:rPr>
          <w:i/>
        </w:rPr>
        <w:t xml:space="preserve">Perspectives On Politics, </w:t>
      </w:r>
      <w:r>
        <w:t>Vol.1, No.</w:t>
      </w:r>
      <w:r w:rsidRPr="005F67F7">
        <w:t xml:space="preserve">1, (2003): 27-43. James Morrow, “Capabilities, Uncertainty, And Resolve: A Limited Information Model Of Crisis Bargaining,” </w:t>
      </w:r>
      <w:r w:rsidRPr="005F67F7">
        <w:rPr>
          <w:i/>
        </w:rPr>
        <w:t xml:space="preserve">American Journal Of Political Science, </w:t>
      </w:r>
      <w:r>
        <w:t>Vol.33, No.</w:t>
      </w:r>
      <w:r w:rsidRPr="005F67F7">
        <w:t xml:space="preserve">4, (1989): 931-972. Roger Fisher And William Ury, “Getting To Yes”, In David P. Barash, Ed., </w:t>
      </w:r>
      <w:r w:rsidRPr="005F67F7">
        <w:rPr>
          <w:i/>
          <w:iCs/>
        </w:rPr>
        <w:t>Approaches To Peace</w:t>
      </w:r>
      <w:r w:rsidRPr="005F67F7">
        <w:t>, Oxfor</w:t>
      </w:r>
      <w:r>
        <w:t>d University Press, New York, NY</w:t>
      </w:r>
      <w:r w:rsidRPr="005F67F7">
        <w:t>, (2000): 70-76.</w:t>
      </w:r>
    </w:p>
  </w:footnote>
  <w:footnote w:id="22">
    <w:p w14:paraId="3D067972" w14:textId="0EFDE5E6" w:rsidR="00D14100" w:rsidRPr="005F67F7" w:rsidRDefault="00D14100" w:rsidP="005F67F7">
      <w:pPr>
        <w:spacing w:line="240" w:lineRule="auto"/>
        <w:rPr>
          <w:sz w:val="20"/>
          <w:szCs w:val="20"/>
        </w:rPr>
      </w:pPr>
      <w:r w:rsidRPr="005F67F7">
        <w:rPr>
          <w:rStyle w:val="FootnoteReference"/>
          <w:sz w:val="20"/>
          <w:szCs w:val="20"/>
        </w:rPr>
        <w:footnoteRef/>
      </w:r>
      <w:r w:rsidRPr="005F67F7">
        <w:rPr>
          <w:sz w:val="20"/>
          <w:szCs w:val="20"/>
        </w:rPr>
        <w:t xml:space="preserve"> Kenneth W. Stein And Samuel W. Lewis, </w:t>
      </w:r>
      <w:r w:rsidRPr="005F67F7">
        <w:rPr>
          <w:i/>
          <w:iCs/>
          <w:sz w:val="20"/>
          <w:szCs w:val="20"/>
        </w:rPr>
        <w:t>Making Peace Among Arabs And Israelis: Lessons From Fifty Years Of Negotiating Experience</w:t>
      </w:r>
      <w:r w:rsidRPr="005F67F7">
        <w:rPr>
          <w:sz w:val="20"/>
          <w:szCs w:val="20"/>
        </w:rPr>
        <w:t>, USIP</w:t>
      </w:r>
      <w:r w:rsidRPr="005F67F7">
        <w:rPr>
          <w:i/>
          <w:sz w:val="20"/>
          <w:szCs w:val="20"/>
        </w:rPr>
        <w:t xml:space="preserve">, </w:t>
      </w:r>
      <w:r w:rsidRPr="005F67F7">
        <w:rPr>
          <w:sz w:val="20"/>
          <w:szCs w:val="20"/>
        </w:rPr>
        <w:t>Washington,</w:t>
      </w:r>
      <w:r>
        <w:rPr>
          <w:sz w:val="20"/>
          <w:szCs w:val="20"/>
        </w:rPr>
        <w:t xml:space="preserve"> DC</w:t>
      </w:r>
      <w:r w:rsidRPr="005F67F7">
        <w:rPr>
          <w:sz w:val="20"/>
          <w:szCs w:val="20"/>
        </w:rPr>
        <w:t xml:space="preserve">, (1991). William Zartman, “Negotiations As A Mechanism For Resolution In The Arab-Israeli Conflict,” </w:t>
      </w:r>
      <w:r w:rsidRPr="005F67F7">
        <w:rPr>
          <w:i/>
          <w:iCs/>
          <w:sz w:val="20"/>
          <w:szCs w:val="20"/>
        </w:rPr>
        <w:t>Davis Occasional Papers</w:t>
      </w:r>
      <w:r>
        <w:rPr>
          <w:sz w:val="20"/>
          <w:szCs w:val="20"/>
        </w:rPr>
        <w:t>, No.</w:t>
      </w:r>
      <w:r w:rsidRPr="005F67F7">
        <w:rPr>
          <w:sz w:val="20"/>
          <w:szCs w:val="20"/>
        </w:rPr>
        <w:t xml:space="preserve">72, August (1999). </w:t>
      </w:r>
    </w:p>
  </w:footnote>
  <w:footnote w:id="23">
    <w:p w14:paraId="3C6DCE3A" w14:textId="3DCEE9D2" w:rsidR="00D14100" w:rsidRPr="005F67F7" w:rsidRDefault="00D14100" w:rsidP="005F67F7">
      <w:pPr>
        <w:pStyle w:val="FootnoteText"/>
      </w:pPr>
      <w:r w:rsidRPr="005F67F7">
        <w:rPr>
          <w:rStyle w:val="FootnoteReference"/>
        </w:rPr>
        <w:footnoteRef/>
      </w:r>
      <w:r w:rsidRPr="005F67F7">
        <w:t xml:space="preserve"> Saadia Touval, “Mediation In The Arab-Israeli Conflict During And After The Cold War,” </w:t>
      </w:r>
      <w:r w:rsidRPr="005F67F7">
        <w:rPr>
          <w:i/>
          <w:iCs/>
        </w:rPr>
        <w:t>Davis Occasional Papers</w:t>
      </w:r>
      <w:r>
        <w:t>, No.</w:t>
      </w:r>
      <w:r w:rsidRPr="005F67F7">
        <w:t xml:space="preserve">74, October (1999). Daniel C. Kurtzer And Scott B. Lasensky, </w:t>
      </w:r>
      <w:r w:rsidRPr="005F67F7">
        <w:rPr>
          <w:i/>
          <w:iCs/>
        </w:rPr>
        <w:t>Negotiating Arab-Israeli Peace: American Leadership In The Middle East</w:t>
      </w:r>
      <w:r w:rsidRPr="005F67F7">
        <w:t>, USIP, Washington, Dc, (2008).</w:t>
      </w:r>
    </w:p>
  </w:footnote>
  <w:footnote w:id="24">
    <w:p w14:paraId="5B8D494E" w14:textId="25AAEB06" w:rsidR="00D14100" w:rsidRPr="005F67F7" w:rsidRDefault="00D14100" w:rsidP="005F67F7">
      <w:pPr>
        <w:pStyle w:val="FootnoteText"/>
      </w:pPr>
      <w:r w:rsidRPr="005F67F7">
        <w:rPr>
          <w:rStyle w:val="FootnoteReference"/>
        </w:rPr>
        <w:footnoteRef/>
      </w:r>
      <w:r w:rsidRPr="005F67F7">
        <w:t xml:space="preserve"> Erik Gartzke, “The Capitalist Peace,” </w:t>
      </w:r>
      <w:r w:rsidRPr="005F67F7">
        <w:rPr>
          <w:i/>
        </w:rPr>
        <w:t xml:space="preserve">American Journal Of Political Science, </w:t>
      </w:r>
      <w:r>
        <w:t>Vol.</w:t>
      </w:r>
      <w:r w:rsidRPr="005F67F7">
        <w:t>51, No.1, (Janua</w:t>
      </w:r>
      <w:r>
        <w:t>ry 2007):166-191. Erik Gartzke a</w:t>
      </w:r>
      <w:r w:rsidRPr="005F67F7">
        <w:t>nd Alex Weisiger, “Under Construction: Development, Democracy, And Difference As Determinants Of Systemic Liberal Peace,”</w:t>
      </w:r>
      <w:r w:rsidRPr="005F67F7">
        <w:rPr>
          <w:i/>
        </w:rPr>
        <w:t xml:space="preserve"> International Studies Quarterly, </w:t>
      </w:r>
      <w:r>
        <w:t>Vol.</w:t>
      </w:r>
      <w:r w:rsidRPr="005F67F7">
        <w:t>58, Iss.1, (March 2014): 130-145.</w:t>
      </w:r>
    </w:p>
  </w:footnote>
  <w:footnote w:id="25">
    <w:p w14:paraId="5642250E" w14:textId="77777777" w:rsidR="00D14100" w:rsidRPr="005F67F7" w:rsidRDefault="00D14100" w:rsidP="005F67F7">
      <w:pPr>
        <w:pStyle w:val="FootnoteText"/>
      </w:pPr>
      <w:r w:rsidRPr="005F67F7">
        <w:rPr>
          <w:rStyle w:val="FootnoteReference"/>
        </w:rPr>
        <w:footnoteRef/>
      </w:r>
      <w:r w:rsidRPr="005F67F7">
        <w:t xml:space="preserve"> Gartzke And Weisiger, “Under Construction”</w:t>
      </w:r>
    </w:p>
  </w:footnote>
  <w:footnote w:id="26">
    <w:p w14:paraId="42945D42" w14:textId="1E10C9F2" w:rsidR="00D14100" w:rsidRPr="005F67F7" w:rsidRDefault="00D14100" w:rsidP="005F67F7">
      <w:pPr>
        <w:widowControl w:val="0"/>
        <w:autoSpaceDE w:val="0"/>
        <w:autoSpaceDN w:val="0"/>
        <w:adjustRightInd w:val="0"/>
        <w:spacing w:line="240" w:lineRule="auto"/>
        <w:rPr>
          <w:sz w:val="20"/>
          <w:szCs w:val="20"/>
        </w:rPr>
      </w:pPr>
      <w:r w:rsidRPr="005F67F7">
        <w:rPr>
          <w:rStyle w:val="FootnoteReference"/>
          <w:sz w:val="20"/>
          <w:szCs w:val="20"/>
        </w:rPr>
        <w:footnoteRef/>
      </w:r>
      <w:r w:rsidRPr="005F67F7">
        <w:rPr>
          <w:sz w:val="20"/>
          <w:szCs w:val="20"/>
        </w:rPr>
        <w:t xml:space="preserve"> Alberto Abadie, And Javier Gardeazabal, “The Economic Costs Of Conflict,”</w:t>
      </w:r>
      <w:r w:rsidRPr="005F67F7">
        <w:rPr>
          <w:i/>
          <w:sz w:val="20"/>
          <w:szCs w:val="20"/>
        </w:rPr>
        <w:t xml:space="preserve"> American Economic Review, </w:t>
      </w:r>
      <w:r>
        <w:rPr>
          <w:sz w:val="20"/>
          <w:szCs w:val="20"/>
        </w:rPr>
        <w:t>Vol.93, No.</w:t>
      </w:r>
      <w:r w:rsidRPr="005F67F7">
        <w:rPr>
          <w:sz w:val="20"/>
          <w:szCs w:val="20"/>
        </w:rPr>
        <w:t>1, (2003): 113–132.</w:t>
      </w:r>
    </w:p>
  </w:footnote>
  <w:footnote w:id="27">
    <w:p w14:paraId="50CA7847" w14:textId="77777777" w:rsidR="00D14100" w:rsidRPr="005F67F7" w:rsidRDefault="00D14100" w:rsidP="005F67F7">
      <w:pPr>
        <w:widowControl w:val="0"/>
        <w:autoSpaceDE w:val="0"/>
        <w:autoSpaceDN w:val="0"/>
        <w:adjustRightInd w:val="0"/>
        <w:spacing w:line="240" w:lineRule="auto"/>
        <w:rPr>
          <w:i/>
          <w:sz w:val="20"/>
          <w:szCs w:val="20"/>
        </w:rPr>
      </w:pPr>
      <w:r w:rsidRPr="005F67F7">
        <w:rPr>
          <w:rStyle w:val="FootnoteReference"/>
          <w:sz w:val="20"/>
          <w:szCs w:val="20"/>
        </w:rPr>
        <w:footnoteRef/>
      </w:r>
      <w:r w:rsidRPr="005F67F7">
        <w:rPr>
          <w:sz w:val="20"/>
          <w:szCs w:val="20"/>
        </w:rPr>
        <w:t xml:space="preserve"> For an example of a study that starts with this assumption, see: Andreas Freytag, Jens J. Kruger, Daniel Meierrieks, And Friedrich Schneider, “The Origins Of Terrorism: Cross-Country Estimates Of Socio-Economic Determinants Of Terrorism</w:t>
      </w:r>
      <w:r w:rsidRPr="005F67F7">
        <w:rPr>
          <w:i/>
          <w:sz w:val="20"/>
          <w:szCs w:val="20"/>
        </w:rPr>
        <w:t>,” European Journal Of Political Economy</w:t>
      </w:r>
      <w:r w:rsidRPr="005F67F7">
        <w:rPr>
          <w:sz w:val="20"/>
          <w:szCs w:val="20"/>
        </w:rPr>
        <w:t>, Vol. 27, Sec.5–16, (2011).</w:t>
      </w:r>
    </w:p>
  </w:footnote>
  <w:footnote w:id="28">
    <w:p w14:paraId="02752AB1" w14:textId="56A088E7" w:rsidR="00D14100" w:rsidRPr="005F67F7" w:rsidRDefault="00D14100" w:rsidP="005F67F7">
      <w:pPr>
        <w:pStyle w:val="FootnoteText"/>
      </w:pPr>
      <w:r w:rsidRPr="005F67F7">
        <w:rPr>
          <w:rStyle w:val="FootnoteReference"/>
        </w:rPr>
        <w:footnoteRef/>
      </w:r>
      <w:r w:rsidRPr="005F67F7">
        <w:t xml:space="preserve"> S. Brock Blomberg, Gregory D. Hess, And Akila Weerapana, “Economic Conditions And Terrorism,” </w:t>
      </w:r>
      <w:r w:rsidRPr="005F67F7">
        <w:rPr>
          <w:i/>
        </w:rPr>
        <w:t xml:space="preserve">European Journal Of Political Economy, </w:t>
      </w:r>
      <w:r w:rsidRPr="005F67F7">
        <w:t xml:space="preserve">Vol. 20, No. 2, (2004): 463-478. Jose Tavares, “The Open Society Assesses Its Enemies: Shocks, Disasters And Terrorist Attacks,” </w:t>
      </w:r>
      <w:r w:rsidRPr="005F67F7">
        <w:rPr>
          <w:i/>
        </w:rPr>
        <w:t>Journal Of Monetary Economics</w:t>
      </w:r>
      <w:r>
        <w:t xml:space="preserve"> Vol.51, No.</w:t>
      </w:r>
      <w:r w:rsidRPr="005F67F7">
        <w:t>5, (2004): 1039–1070.</w:t>
      </w:r>
    </w:p>
  </w:footnote>
  <w:footnote w:id="29">
    <w:p w14:paraId="63F3752E" w14:textId="30988A5E" w:rsidR="00D14100" w:rsidRPr="005F67F7" w:rsidRDefault="00D14100" w:rsidP="005F67F7">
      <w:pPr>
        <w:widowControl w:val="0"/>
        <w:autoSpaceDE w:val="0"/>
        <w:autoSpaceDN w:val="0"/>
        <w:adjustRightInd w:val="0"/>
        <w:spacing w:line="240" w:lineRule="auto"/>
        <w:rPr>
          <w:sz w:val="20"/>
          <w:szCs w:val="20"/>
        </w:rPr>
      </w:pPr>
      <w:r w:rsidRPr="005F67F7">
        <w:rPr>
          <w:rStyle w:val="FootnoteReference"/>
          <w:sz w:val="20"/>
          <w:szCs w:val="20"/>
        </w:rPr>
        <w:footnoteRef/>
      </w:r>
      <w:r w:rsidRPr="005F67F7">
        <w:rPr>
          <w:sz w:val="20"/>
          <w:szCs w:val="20"/>
        </w:rPr>
        <w:t xml:space="preserve"> Alberto Abadie, ”Poverty, Political Freedom, And The Roots Of Terrorism</w:t>
      </w:r>
      <w:r w:rsidRPr="005F67F7">
        <w:rPr>
          <w:i/>
          <w:sz w:val="20"/>
          <w:szCs w:val="20"/>
        </w:rPr>
        <w:t>. American Economic Review</w:t>
      </w:r>
      <w:r>
        <w:rPr>
          <w:sz w:val="20"/>
          <w:szCs w:val="20"/>
        </w:rPr>
        <w:t xml:space="preserve"> Vol.96, No.</w:t>
      </w:r>
      <w:r w:rsidRPr="005F67F7">
        <w:rPr>
          <w:sz w:val="20"/>
          <w:szCs w:val="20"/>
        </w:rPr>
        <w:t xml:space="preserve">2, (2006): 50–56. Alan Krueger And David Laitin, “Kto Kogo? A Cross-Country Study Of The Origins And Targets Of Terrorism,” In: Philip Keefer And Norman Loayza (Eds.), </w:t>
      </w:r>
      <w:r w:rsidRPr="005F67F7">
        <w:rPr>
          <w:i/>
          <w:sz w:val="20"/>
          <w:szCs w:val="20"/>
        </w:rPr>
        <w:t xml:space="preserve">Terrorism, Economic Development, And Political Openness, </w:t>
      </w:r>
      <w:r w:rsidRPr="005F67F7">
        <w:rPr>
          <w:sz w:val="20"/>
          <w:szCs w:val="20"/>
        </w:rPr>
        <w:t>Cambridge University Press, New York, (2008), 148–173.</w:t>
      </w:r>
    </w:p>
  </w:footnote>
  <w:footnote w:id="30">
    <w:p w14:paraId="0DE35E5A" w14:textId="60547681" w:rsidR="00D14100" w:rsidRPr="005F67F7" w:rsidRDefault="00D14100" w:rsidP="005F67F7">
      <w:pPr>
        <w:widowControl w:val="0"/>
        <w:autoSpaceDE w:val="0"/>
        <w:autoSpaceDN w:val="0"/>
        <w:adjustRightInd w:val="0"/>
        <w:spacing w:line="240" w:lineRule="auto"/>
        <w:rPr>
          <w:sz w:val="20"/>
          <w:szCs w:val="20"/>
        </w:rPr>
      </w:pPr>
      <w:r w:rsidRPr="005F67F7">
        <w:rPr>
          <w:rStyle w:val="FootnoteReference"/>
          <w:sz w:val="20"/>
          <w:szCs w:val="20"/>
        </w:rPr>
        <w:footnoteRef/>
      </w:r>
      <w:r w:rsidRPr="005F67F7">
        <w:rPr>
          <w:sz w:val="20"/>
          <w:szCs w:val="20"/>
        </w:rPr>
        <w:t xml:space="preserve"> “Aid Under Fire: Development Projects And Civil Conflict,” </w:t>
      </w:r>
      <w:r w:rsidRPr="005F67F7">
        <w:rPr>
          <w:i/>
          <w:sz w:val="20"/>
          <w:szCs w:val="20"/>
        </w:rPr>
        <w:t>Belfer Center Discussion Paper,</w:t>
      </w:r>
      <w:r w:rsidRPr="005F67F7">
        <w:rPr>
          <w:sz w:val="20"/>
          <w:szCs w:val="20"/>
        </w:rPr>
        <w:t xml:space="preserve"> No. 2010-18, Harvard Kennedy School, (November 2010). Eli Berman, Michael Callen, Joseph H. Felter And Jacob N. Shapiro, “Do</w:t>
      </w:r>
      <w:r>
        <w:rPr>
          <w:sz w:val="20"/>
          <w:szCs w:val="20"/>
        </w:rPr>
        <w:t xml:space="preserve"> Working Men Rebel? Insurgency a</w:t>
      </w:r>
      <w:r w:rsidRPr="005F67F7">
        <w:rPr>
          <w:sz w:val="20"/>
          <w:szCs w:val="20"/>
        </w:rPr>
        <w:t>nd Unemployment In Afghanistan, Iraq, And The Philippines,”</w:t>
      </w:r>
      <w:r w:rsidRPr="005F67F7">
        <w:rPr>
          <w:i/>
          <w:sz w:val="20"/>
          <w:szCs w:val="20"/>
        </w:rPr>
        <w:t xml:space="preserve"> Journal Of</w:t>
      </w:r>
      <w:r w:rsidRPr="005F67F7">
        <w:rPr>
          <w:sz w:val="20"/>
          <w:szCs w:val="20"/>
        </w:rPr>
        <w:t xml:space="preserve"> </w:t>
      </w:r>
      <w:r w:rsidRPr="005F67F7">
        <w:rPr>
          <w:i/>
          <w:sz w:val="20"/>
          <w:szCs w:val="20"/>
        </w:rPr>
        <w:t xml:space="preserve">Conflict Resolution, </w:t>
      </w:r>
      <w:r w:rsidRPr="005F67F7">
        <w:rPr>
          <w:sz w:val="20"/>
          <w:szCs w:val="20"/>
        </w:rPr>
        <w:t>Vol.5</w:t>
      </w:r>
      <w:r>
        <w:rPr>
          <w:sz w:val="20"/>
          <w:szCs w:val="20"/>
        </w:rPr>
        <w:t>5, No.</w:t>
      </w:r>
      <w:r w:rsidRPr="005F67F7">
        <w:rPr>
          <w:sz w:val="20"/>
          <w:szCs w:val="20"/>
        </w:rPr>
        <w:t>4, (2011): 496–528.</w:t>
      </w:r>
    </w:p>
  </w:footnote>
  <w:footnote w:id="31">
    <w:p w14:paraId="69B6FB0B" w14:textId="6EB9B213" w:rsidR="00D14100" w:rsidRPr="004806EC" w:rsidRDefault="00D14100" w:rsidP="004806EC">
      <w:pPr>
        <w:widowControl w:val="0"/>
        <w:autoSpaceDE w:val="0"/>
        <w:autoSpaceDN w:val="0"/>
        <w:adjustRightInd w:val="0"/>
        <w:spacing w:line="240" w:lineRule="auto"/>
        <w:rPr>
          <w:sz w:val="20"/>
          <w:szCs w:val="20"/>
        </w:rPr>
      </w:pPr>
      <w:r w:rsidRPr="004806EC">
        <w:rPr>
          <w:rStyle w:val="FootnoteReference"/>
          <w:sz w:val="20"/>
          <w:szCs w:val="20"/>
        </w:rPr>
        <w:footnoteRef/>
      </w:r>
      <w:r w:rsidRPr="004806EC">
        <w:rPr>
          <w:sz w:val="20"/>
          <w:szCs w:val="20"/>
        </w:rPr>
        <w:t xml:space="preserve"> Edward Sayre, “Labor Market Conditions, Political Events, And Palestinian Suicide Bombings,” </w:t>
      </w:r>
      <w:r w:rsidRPr="004806EC">
        <w:rPr>
          <w:i/>
          <w:sz w:val="20"/>
          <w:szCs w:val="20"/>
        </w:rPr>
        <w:t>Peace Economics, Peace Science And Public Policy,</w:t>
      </w:r>
      <w:r w:rsidRPr="004806EC">
        <w:rPr>
          <w:sz w:val="20"/>
          <w:szCs w:val="20"/>
        </w:rPr>
        <w:t xml:space="preserve"> Vol. 15, No. 1, (2009): 1–26. Basel A. Saleh, “An Econometric Analysis Of Palestinian Attacks: An Examination Of Deprivation Theory And Choice Of Attacks,” </w:t>
      </w:r>
      <w:r w:rsidRPr="004806EC">
        <w:rPr>
          <w:i/>
          <w:sz w:val="20"/>
          <w:szCs w:val="20"/>
        </w:rPr>
        <w:t>European Journal Of Social Sciences,</w:t>
      </w:r>
      <w:r w:rsidRPr="004806EC">
        <w:rPr>
          <w:sz w:val="20"/>
          <w:szCs w:val="20"/>
        </w:rPr>
        <w:t xml:space="preserve"> Vol.7, No.4, (2009): 17–29.</w:t>
      </w:r>
      <w:r>
        <w:rPr>
          <w:sz w:val="20"/>
          <w:szCs w:val="20"/>
        </w:rPr>
        <w:t xml:space="preserve"> </w:t>
      </w:r>
      <w:r w:rsidRPr="004806EC">
        <w:rPr>
          <w:sz w:val="20"/>
          <w:szCs w:val="20"/>
        </w:rPr>
        <w:t xml:space="preserve">Basel A. Saleh, “Economic Conditions And Resistance To Occupation In The West Bank And Gaza Strip: There Is A Causal Connection.” </w:t>
      </w:r>
      <w:r w:rsidRPr="004806EC">
        <w:rPr>
          <w:i/>
          <w:sz w:val="20"/>
          <w:szCs w:val="20"/>
        </w:rPr>
        <w:t>Topics In Middle Eastern</w:t>
      </w:r>
      <w:r w:rsidRPr="004806EC">
        <w:rPr>
          <w:sz w:val="20"/>
          <w:szCs w:val="20"/>
        </w:rPr>
        <w:t xml:space="preserve"> </w:t>
      </w:r>
      <w:r w:rsidRPr="004806EC">
        <w:rPr>
          <w:i/>
          <w:sz w:val="20"/>
          <w:szCs w:val="20"/>
        </w:rPr>
        <w:t>And North African Economies</w:t>
      </w:r>
      <w:r w:rsidRPr="004806EC">
        <w:rPr>
          <w:sz w:val="20"/>
          <w:szCs w:val="20"/>
        </w:rPr>
        <w:t xml:space="preserve">, Vol.6, (2004). </w:t>
      </w:r>
    </w:p>
    <w:p w14:paraId="66A757BE" w14:textId="5DAAF9F6" w:rsidR="00D14100" w:rsidRPr="005F67F7" w:rsidRDefault="00D14100" w:rsidP="005F67F7">
      <w:pPr>
        <w:widowControl w:val="0"/>
        <w:autoSpaceDE w:val="0"/>
        <w:autoSpaceDN w:val="0"/>
        <w:adjustRightInd w:val="0"/>
        <w:spacing w:line="240" w:lineRule="auto"/>
        <w:rPr>
          <w:sz w:val="20"/>
          <w:szCs w:val="20"/>
        </w:rPr>
      </w:pPr>
    </w:p>
  </w:footnote>
  <w:footnote w:id="32">
    <w:p w14:paraId="3CDE04F1" w14:textId="77777777" w:rsidR="00D14100" w:rsidRPr="005F67F7" w:rsidRDefault="00D14100" w:rsidP="005F67F7">
      <w:pPr>
        <w:pStyle w:val="FootnoteText"/>
        <w:ind w:left="90" w:hanging="90"/>
      </w:pPr>
      <w:r w:rsidRPr="005F67F7">
        <w:rPr>
          <w:rStyle w:val="FootnoteReference"/>
        </w:rPr>
        <w:footnoteRef/>
      </w:r>
      <w:r w:rsidRPr="005F67F7">
        <w:t xml:space="preserve"> Arie Arnon, “Israeli Policy Towards The Occupied Palestinian Territories: The Economic Dimension 1967-2007,” </w:t>
      </w:r>
      <w:r w:rsidRPr="005F67F7">
        <w:rPr>
          <w:i/>
        </w:rPr>
        <w:t xml:space="preserve">The Middle East Journal, </w:t>
      </w:r>
      <w:r w:rsidRPr="005F67F7">
        <w:t>Vol. 67, (2007): 573-595, 573.</w:t>
      </w:r>
    </w:p>
  </w:footnote>
  <w:footnote w:id="33">
    <w:p w14:paraId="2C706120" w14:textId="77777777" w:rsidR="00D14100" w:rsidRPr="005F67F7" w:rsidRDefault="00D14100" w:rsidP="005F67F7">
      <w:pPr>
        <w:pStyle w:val="FootnoteText"/>
        <w:ind w:left="90" w:hanging="90"/>
      </w:pPr>
      <w:r w:rsidRPr="005F67F7">
        <w:rPr>
          <w:rStyle w:val="FootnoteReference"/>
        </w:rPr>
        <w:footnoteRef/>
      </w:r>
      <w:r w:rsidRPr="005F67F7">
        <w:t xml:space="preserve"> Ibid, 574</w:t>
      </w:r>
    </w:p>
  </w:footnote>
  <w:footnote w:id="34">
    <w:p w14:paraId="494F075E" w14:textId="6857396F" w:rsidR="00D14100" w:rsidRPr="00713252" w:rsidRDefault="00D14100" w:rsidP="00713252">
      <w:pPr>
        <w:pStyle w:val="FootnoteText"/>
        <w:ind w:left="90" w:hanging="90"/>
        <w:rPr>
          <w:color w:val="000000"/>
        </w:rPr>
      </w:pPr>
      <w:r w:rsidRPr="005F67F7">
        <w:rPr>
          <w:rStyle w:val="FootnoteReference"/>
        </w:rPr>
        <w:footnoteRef/>
      </w:r>
      <w:r w:rsidRPr="005F67F7">
        <w:t xml:space="preserve"> Michael Langer, </w:t>
      </w:r>
      <w:r w:rsidRPr="005F67F7">
        <w:rPr>
          <w:color w:val="000000"/>
        </w:rPr>
        <w:t xml:space="preserve">“Democracy, Religion, And The Zionist Future Of Israel,” </w:t>
      </w:r>
      <w:r w:rsidRPr="005F67F7">
        <w:rPr>
          <w:i/>
          <w:color w:val="000000"/>
        </w:rPr>
        <w:t xml:space="preserve">Judaism: A Quarterly Journal Of Jewish Life And Thought, </w:t>
      </w:r>
      <w:r w:rsidRPr="005F67F7">
        <w:rPr>
          <w:color w:val="000000"/>
        </w:rPr>
        <w:t>Vol. 36, No. 4, (1987): 400-415.</w:t>
      </w:r>
    </w:p>
  </w:footnote>
  <w:footnote w:id="35">
    <w:p w14:paraId="77DA88C5" w14:textId="77777777" w:rsidR="00D14100" w:rsidRPr="005F67F7" w:rsidRDefault="00D14100" w:rsidP="005F67F7">
      <w:pPr>
        <w:pStyle w:val="FootnoteText"/>
      </w:pPr>
      <w:r w:rsidRPr="005F67F7">
        <w:rPr>
          <w:rStyle w:val="FootnoteReference"/>
        </w:rPr>
        <w:footnoteRef/>
      </w:r>
      <w:r w:rsidRPr="005F67F7">
        <w:t xml:space="preserve"> Arie Arnon, Israel Luski, Avia Spivak, And Jimmy Weinblatt, </w:t>
      </w:r>
      <w:r w:rsidRPr="005F67F7">
        <w:rPr>
          <w:i/>
        </w:rPr>
        <w:t>The Palestinian Economy: Between Imposed Integration And Voluntary Separation,</w:t>
      </w:r>
      <w:r w:rsidRPr="005F67F7">
        <w:t xml:space="preserve"> Brill, Leiden, The Netherlands, (1997).</w:t>
      </w:r>
      <w:r w:rsidRPr="005F67F7">
        <w:rPr>
          <w:i/>
        </w:rPr>
        <w:t xml:space="preserve"> Developing The Occupied Territories: An Investment In Peace, </w:t>
      </w:r>
      <w:r w:rsidRPr="005F67F7">
        <w:t>The World Bank Group, Washington D.C. (1993).</w:t>
      </w:r>
    </w:p>
  </w:footnote>
  <w:footnote w:id="36">
    <w:p w14:paraId="15BDF5CA" w14:textId="77777777" w:rsidR="00D14100" w:rsidRPr="005F67F7" w:rsidRDefault="00D14100" w:rsidP="005F67F7">
      <w:pPr>
        <w:pStyle w:val="FootnoteText"/>
      </w:pPr>
      <w:r w:rsidRPr="005F67F7">
        <w:rPr>
          <w:rStyle w:val="FootnoteReference"/>
        </w:rPr>
        <w:footnoteRef/>
      </w:r>
      <w:r w:rsidRPr="005F67F7">
        <w:t xml:space="preserve"> </w:t>
      </w:r>
      <w:r w:rsidRPr="005F67F7">
        <w:rPr>
          <w:color w:val="000000"/>
        </w:rPr>
        <w:t xml:space="preserve">Manoucher Parvin, “Economic Determinants Of Political Unrest: An Econometric Approach,” </w:t>
      </w:r>
      <w:r w:rsidRPr="005F67F7">
        <w:rPr>
          <w:i/>
          <w:iCs/>
          <w:color w:val="000000"/>
        </w:rPr>
        <w:t>Journal Of Conflict Resolution</w:t>
      </w:r>
      <w:r w:rsidRPr="005F67F7">
        <w:rPr>
          <w:color w:val="000000"/>
        </w:rPr>
        <w:t>, Vol.17, No. 2, (1973): 271-296</w:t>
      </w:r>
    </w:p>
  </w:footnote>
  <w:footnote w:id="37">
    <w:p w14:paraId="76EDAF97" w14:textId="3868088E" w:rsidR="00D14100" w:rsidRPr="00680FDF" w:rsidRDefault="00D14100" w:rsidP="00680FDF">
      <w:pPr>
        <w:spacing w:line="240" w:lineRule="auto"/>
        <w:rPr>
          <w:sz w:val="20"/>
          <w:szCs w:val="20"/>
        </w:rPr>
      </w:pPr>
      <w:r w:rsidRPr="00680FDF">
        <w:rPr>
          <w:rStyle w:val="FootnoteReference"/>
          <w:sz w:val="20"/>
          <w:szCs w:val="20"/>
        </w:rPr>
        <w:footnoteRef/>
      </w:r>
      <w:r w:rsidRPr="00680FDF">
        <w:rPr>
          <w:sz w:val="20"/>
          <w:szCs w:val="20"/>
        </w:rPr>
        <w:t xml:space="preserve"> </w:t>
      </w:r>
      <w:r w:rsidRPr="00680FDF">
        <w:rPr>
          <w:color w:val="000000"/>
          <w:sz w:val="20"/>
          <w:szCs w:val="20"/>
        </w:rPr>
        <w:t xml:space="preserve">E.Wayne Nafziger And Juha Auvinen, “The Economic Causes Of Humanitarian Emergencies,” In E. Wayne Nafziger , Frances Stewart, </w:t>
      </w:r>
      <w:r w:rsidRPr="00680FDF">
        <w:rPr>
          <w:color w:val="222222"/>
          <w:sz w:val="20"/>
          <w:szCs w:val="20"/>
          <w:shd w:val="clear" w:color="auto" w:fill="FFFFFF"/>
        </w:rPr>
        <w:t xml:space="preserve">Raimo Väyrynen, Eds., </w:t>
      </w:r>
      <w:r w:rsidRPr="00680FDF">
        <w:rPr>
          <w:i/>
          <w:color w:val="000000"/>
          <w:sz w:val="20"/>
          <w:szCs w:val="20"/>
        </w:rPr>
        <w:t>War, Hunger, And Displacement: The Origins Of Humanitarian Emergencies,</w:t>
      </w:r>
      <w:r>
        <w:rPr>
          <w:color w:val="000000"/>
          <w:sz w:val="20"/>
          <w:szCs w:val="20"/>
        </w:rPr>
        <w:t xml:space="preserve"> Vol.</w:t>
      </w:r>
      <w:r w:rsidRPr="00680FDF">
        <w:rPr>
          <w:color w:val="000000"/>
          <w:sz w:val="20"/>
          <w:szCs w:val="20"/>
        </w:rPr>
        <w:t>1, (2001): 91-146.</w:t>
      </w:r>
    </w:p>
  </w:footnote>
  <w:footnote w:id="38">
    <w:p w14:paraId="177621EE" w14:textId="4E74E51A" w:rsidR="00D14100" w:rsidRPr="005F67F7" w:rsidRDefault="00D14100" w:rsidP="005F67F7">
      <w:pPr>
        <w:pStyle w:val="FootnoteText"/>
      </w:pPr>
      <w:r w:rsidRPr="005F67F7">
        <w:rPr>
          <w:rStyle w:val="FootnoteReference"/>
        </w:rPr>
        <w:footnoteRef/>
      </w:r>
      <w:r w:rsidRPr="005F67F7">
        <w:t xml:space="preserve"> James D</w:t>
      </w:r>
      <w:r>
        <w:t>.</w:t>
      </w:r>
      <w:r w:rsidRPr="005F67F7">
        <w:t xml:space="preserve"> Fearon And David D. Laitin, “Ethnicity, Insurgency, And Civil War,” </w:t>
      </w:r>
      <w:r w:rsidRPr="005F67F7">
        <w:rPr>
          <w:i/>
        </w:rPr>
        <w:t xml:space="preserve">American Political Science Review, </w:t>
      </w:r>
      <w:r>
        <w:t>Vol.97, No.</w:t>
      </w:r>
      <w:r w:rsidRPr="005F67F7">
        <w:t>1, (2003): 75-90.</w:t>
      </w:r>
    </w:p>
  </w:footnote>
  <w:footnote w:id="39">
    <w:p w14:paraId="2A00547F" w14:textId="67B0D950" w:rsidR="00D14100" w:rsidRPr="005F67F7" w:rsidRDefault="00D14100" w:rsidP="005F67F7">
      <w:pPr>
        <w:pStyle w:val="FootnoteText"/>
      </w:pPr>
      <w:r w:rsidRPr="005F67F7">
        <w:rPr>
          <w:rStyle w:val="FootnoteReference"/>
        </w:rPr>
        <w:footnoteRef/>
      </w:r>
      <w:r w:rsidRPr="005F67F7">
        <w:t xml:space="preserve"> Ibid</w:t>
      </w:r>
      <w:r>
        <w:t>.</w:t>
      </w:r>
    </w:p>
  </w:footnote>
  <w:footnote w:id="40">
    <w:p w14:paraId="69B645FB" w14:textId="39DBCD70" w:rsidR="00D14100" w:rsidRPr="005F67F7" w:rsidRDefault="00D14100" w:rsidP="005F67F7">
      <w:pPr>
        <w:widowControl w:val="0"/>
        <w:autoSpaceDE w:val="0"/>
        <w:autoSpaceDN w:val="0"/>
        <w:adjustRightInd w:val="0"/>
        <w:spacing w:line="240" w:lineRule="auto"/>
        <w:rPr>
          <w:sz w:val="20"/>
          <w:szCs w:val="20"/>
        </w:rPr>
      </w:pPr>
      <w:r w:rsidRPr="005F67F7">
        <w:rPr>
          <w:rStyle w:val="FootnoteReference"/>
          <w:sz w:val="20"/>
          <w:szCs w:val="20"/>
        </w:rPr>
        <w:footnoteRef/>
      </w:r>
      <w:r w:rsidRPr="005F67F7">
        <w:rPr>
          <w:sz w:val="20"/>
          <w:szCs w:val="20"/>
        </w:rPr>
        <w:t xml:space="preserve"> Hani Mansour, “The Effects Of Labor Supply Shocks On Labor Market Outcomes: Evidence From The Israeli-Palestinian Conflict,” </w:t>
      </w:r>
      <w:r w:rsidRPr="005F67F7">
        <w:rPr>
          <w:i/>
          <w:sz w:val="20"/>
          <w:szCs w:val="20"/>
        </w:rPr>
        <w:t xml:space="preserve">Labour Economics, </w:t>
      </w:r>
      <w:r>
        <w:rPr>
          <w:sz w:val="20"/>
          <w:szCs w:val="20"/>
        </w:rPr>
        <w:t>Vol.</w:t>
      </w:r>
      <w:r w:rsidRPr="005F67F7">
        <w:rPr>
          <w:sz w:val="20"/>
          <w:szCs w:val="20"/>
        </w:rPr>
        <w:t xml:space="preserve">17, (2010): 930-939. Sami </w:t>
      </w:r>
      <w:r>
        <w:rPr>
          <w:sz w:val="20"/>
          <w:szCs w:val="20"/>
        </w:rPr>
        <w:t xml:space="preserve">H. </w:t>
      </w:r>
      <w:r w:rsidRPr="005F67F7">
        <w:rPr>
          <w:sz w:val="20"/>
          <w:szCs w:val="20"/>
        </w:rPr>
        <w:t>Miaari And Robert Sauer, “The Labor Market Costs Of Confli</w:t>
      </w:r>
      <w:r>
        <w:rPr>
          <w:sz w:val="20"/>
          <w:szCs w:val="20"/>
        </w:rPr>
        <w:t>ct: Closures, Foreign Workers, a</w:t>
      </w:r>
      <w:r w:rsidRPr="005F67F7">
        <w:rPr>
          <w:sz w:val="20"/>
          <w:szCs w:val="20"/>
        </w:rPr>
        <w:t xml:space="preserve">nd Palestinian Employment And Earnings,” </w:t>
      </w:r>
      <w:r w:rsidRPr="005F67F7">
        <w:rPr>
          <w:i/>
          <w:sz w:val="20"/>
          <w:szCs w:val="20"/>
        </w:rPr>
        <w:t xml:space="preserve">IZA Discussion Paper No. 2282. </w:t>
      </w:r>
      <w:r w:rsidRPr="005F67F7">
        <w:rPr>
          <w:sz w:val="20"/>
          <w:szCs w:val="20"/>
        </w:rPr>
        <w:t>Basel A. Saleh, “Economic Conditions And Resistance</w:t>
      </w:r>
      <w:r>
        <w:rPr>
          <w:sz w:val="20"/>
          <w:szCs w:val="20"/>
        </w:rPr>
        <w:t xml:space="preserve">.” </w:t>
      </w:r>
      <w:r w:rsidRPr="005F67F7">
        <w:rPr>
          <w:sz w:val="20"/>
          <w:szCs w:val="20"/>
        </w:rPr>
        <w:t>Basel A. Saleh, “An Econometric Analysis Of Palestinian Attacks</w:t>
      </w:r>
      <w:r>
        <w:rPr>
          <w:sz w:val="20"/>
          <w:szCs w:val="20"/>
        </w:rPr>
        <w:t xml:space="preserve">.” </w:t>
      </w:r>
      <w:r w:rsidRPr="005F67F7">
        <w:rPr>
          <w:sz w:val="20"/>
          <w:szCs w:val="20"/>
        </w:rPr>
        <w:t xml:space="preserve">Sami </w:t>
      </w:r>
      <w:r>
        <w:rPr>
          <w:sz w:val="20"/>
          <w:szCs w:val="20"/>
        </w:rPr>
        <w:t xml:space="preserve">H. </w:t>
      </w:r>
      <w:r w:rsidRPr="005F67F7">
        <w:rPr>
          <w:sz w:val="20"/>
          <w:szCs w:val="20"/>
        </w:rPr>
        <w:t xml:space="preserve">Miaari, Asaf Zussman, And Noam Zussman, “Employment Restrictions And Political Conflict In The Israeli-Palestinian Conflict,” </w:t>
      </w:r>
      <w:r w:rsidRPr="005F67F7">
        <w:rPr>
          <w:i/>
          <w:sz w:val="20"/>
          <w:szCs w:val="20"/>
        </w:rPr>
        <w:t xml:space="preserve">Journal Of Economic Behavior And Organization, </w:t>
      </w:r>
      <w:r w:rsidRPr="005F67F7">
        <w:rPr>
          <w:sz w:val="20"/>
          <w:szCs w:val="20"/>
        </w:rPr>
        <w:t>Vol. 101, (2014): 24-44, Edward A. Sayre, “Labor Market Conditions, Political Events</w:t>
      </w:r>
      <w:r>
        <w:rPr>
          <w:sz w:val="20"/>
          <w:szCs w:val="20"/>
        </w:rPr>
        <w:t>.”</w:t>
      </w:r>
    </w:p>
  </w:footnote>
  <w:footnote w:id="41">
    <w:p w14:paraId="10A790B8" w14:textId="77777777" w:rsidR="00D14100" w:rsidRPr="005F67F7" w:rsidRDefault="00D14100" w:rsidP="005F67F7">
      <w:pPr>
        <w:spacing w:line="240" w:lineRule="auto"/>
        <w:rPr>
          <w:sz w:val="20"/>
          <w:szCs w:val="20"/>
        </w:rPr>
      </w:pPr>
      <w:r w:rsidRPr="005F67F7">
        <w:rPr>
          <w:rStyle w:val="FootnoteReference"/>
          <w:sz w:val="20"/>
          <w:szCs w:val="20"/>
        </w:rPr>
        <w:footnoteRef/>
      </w:r>
      <w:r w:rsidRPr="005F67F7">
        <w:rPr>
          <w:sz w:val="20"/>
          <w:szCs w:val="20"/>
        </w:rPr>
        <w:t xml:space="preserve"> Roxanne L. Euben And Muhammad Qasim Zaman, Eds. </w:t>
      </w:r>
      <w:r w:rsidRPr="005F67F7">
        <w:rPr>
          <w:i/>
          <w:sz w:val="20"/>
          <w:szCs w:val="20"/>
        </w:rPr>
        <w:t xml:space="preserve">Princeton Readings In Islamist Thought: Texts And Contexts From Al-Banna To Bin Laden, </w:t>
      </w:r>
      <w:r w:rsidRPr="005F67F7">
        <w:rPr>
          <w:sz w:val="20"/>
          <w:szCs w:val="20"/>
        </w:rPr>
        <w:t>Princeton University Press, (2009): 357</w:t>
      </w:r>
    </w:p>
  </w:footnote>
  <w:footnote w:id="42">
    <w:p w14:paraId="076790DA" w14:textId="16296E30" w:rsidR="00D14100" w:rsidRPr="005F67F7" w:rsidRDefault="00D14100" w:rsidP="005F67F7">
      <w:pPr>
        <w:pStyle w:val="FootnoteText"/>
      </w:pPr>
      <w:r w:rsidRPr="005F67F7">
        <w:rPr>
          <w:rStyle w:val="FootnoteReference"/>
        </w:rPr>
        <w:footnoteRef/>
      </w:r>
      <w:r w:rsidRPr="005F67F7">
        <w:t xml:space="preserve"> </w:t>
      </w:r>
      <w:r w:rsidRPr="005F67F7">
        <w:rPr>
          <w:color w:val="000000"/>
        </w:rPr>
        <w:t>Kenneth Stein, “The Intifada And The 1936-39 Uprising: A Comparison</w:t>
      </w:r>
      <w:r w:rsidRPr="005F67F7">
        <w:rPr>
          <w:i/>
          <w:iCs/>
          <w:color w:val="000000"/>
        </w:rPr>
        <w:t>,” Journal Of Palestine Studies</w:t>
      </w:r>
      <w:r>
        <w:rPr>
          <w:color w:val="000000"/>
        </w:rPr>
        <w:t>, Vol.19, No.</w:t>
      </w:r>
      <w:r w:rsidRPr="005F67F7">
        <w:rPr>
          <w:color w:val="000000"/>
        </w:rPr>
        <w:t>4, (1990): 64-85.</w:t>
      </w:r>
    </w:p>
  </w:footnote>
  <w:footnote w:id="43">
    <w:p w14:paraId="2B2CC2E7" w14:textId="77777777" w:rsidR="00D14100" w:rsidRPr="005F67F7" w:rsidRDefault="00D14100" w:rsidP="005F67F7">
      <w:pPr>
        <w:pStyle w:val="FootnoteText"/>
      </w:pPr>
      <w:r w:rsidRPr="005F67F7">
        <w:rPr>
          <w:rStyle w:val="FootnoteReference"/>
        </w:rPr>
        <w:footnoteRef/>
      </w:r>
      <w:r w:rsidRPr="005F67F7">
        <w:t xml:space="preserve"> Saleh, “An Econometric Analysis Of Palestinian Attacks”</w:t>
      </w:r>
    </w:p>
  </w:footnote>
  <w:footnote w:id="44">
    <w:p w14:paraId="6F3DEB3C" w14:textId="798477CA" w:rsidR="00D14100" w:rsidRPr="005F67F7" w:rsidRDefault="00D14100" w:rsidP="005F67F7">
      <w:pPr>
        <w:spacing w:line="240" w:lineRule="auto"/>
        <w:rPr>
          <w:sz w:val="20"/>
          <w:szCs w:val="20"/>
        </w:rPr>
      </w:pPr>
      <w:r w:rsidRPr="005F67F7">
        <w:rPr>
          <w:rStyle w:val="FootnoteReference"/>
          <w:sz w:val="20"/>
          <w:szCs w:val="20"/>
        </w:rPr>
        <w:footnoteRef/>
      </w:r>
      <w:r w:rsidRPr="005F67F7">
        <w:rPr>
          <w:sz w:val="20"/>
          <w:szCs w:val="20"/>
        </w:rPr>
        <w:t xml:space="preserve"> Arie Arnon And Jimmy Weinblatt, “Sovereignty And Economic Developm</w:t>
      </w:r>
      <w:r>
        <w:rPr>
          <w:sz w:val="20"/>
          <w:szCs w:val="20"/>
        </w:rPr>
        <w:t>ent: The Case Of Israel a</w:t>
      </w:r>
      <w:r w:rsidRPr="005F67F7">
        <w:rPr>
          <w:sz w:val="20"/>
          <w:szCs w:val="20"/>
        </w:rPr>
        <w:t xml:space="preserve">nd Palestine,” </w:t>
      </w:r>
      <w:r w:rsidRPr="005F67F7">
        <w:rPr>
          <w:i/>
          <w:sz w:val="20"/>
          <w:szCs w:val="20"/>
        </w:rPr>
        <w:t xml:space="preserve">The Economic Journal, </w:t>
      </w:r>
      <w:r>
        <w:rPr>
          <w:sz w:val="20"/>
          <w:szCs w:val="20"/>
        </w:rPr>
        <w:t>Vol.111, Iss.</w:t>
      </w:r>
      <w:r w:rsidRPr="005F67F7">
        <w:rPr>
          <w:sz w:val="20"/>
          <w:szCs w:val="20"/>
        </w:rPr>
        <w:t>472, (June 2001): 291-308, 292.</w:t>
      </w:r>
    </w:p>
  </w:footnote>
  <w:footnote w:id="45">
    <w:p w14:paraId="35765C67" w14:textId="313171BB" w:rsidR="00D14100" w:rsidRPr="005F67F7" w:rsidRDefault="00D14100" w:rsidP="005F67F7">
      <w:pPr>
        <w:pStyle w:val="FootnoteText"/>
      </w:pPr>
      <w:r w:rsidRPr="005F67F7">
        <w:rPr>
          <w:rStyle w:val="FootnoteReference"/>
        </w:rPr>
        <w:footnoteRef/>
      </w:r>
      <w:r w:rsidRPr="005F67F7">
        <w:t xml:space="preserve"> Ibid, 292</w:t>
      </w:r>
      <w:r>
        <w:t>.</w:t>
      </w:r>
    </w:p>
  </w:footnote>
  <w:footnote w:id="46">
    <w:p w14:paraId="18C39BC9" w14:textId="77777777" w:rsidR="00D14100" w:rsidRPr="005F67F7" w:rsidRDefault="00D14100" w:rsidP="005F67F7">
      <w:pPr>
        <w:pStyle w:val="FootnoteText"/>
      </w:pPr>
      <w:r w:rsidRPr="005F67F7">
        <w:rPr>
          <w:rStyle w:val="FootnoteReference"/>
        </w:rPr>
        <w:footnoteRef/>
      </w:r>
      <w:r w:rsidRPr="005F67F7">
        <w:t xml:space="preserve"> As’ad Abu Khalil, “Book Review: The Carrot And The Stick: Israel’s Policy In Judea And Samaria 1967-1968,” </w:t>
      </w:r>
      <w:r w:rsidRPr="005F67F7">
        <w:rPr>
          <w:i/>
        </w:rPr>
        <w:t xml:space="preserve">The Middle East Journal, </w:t>
      </w:r>
      <w:r w:rsidRPr="005F67F7">
        <w:t>(1996): 267-268.</w:t>
      </w:r>
    </w:p>
  </w:footnote>
  <w:footnote w:id="47">
    <w:p w14:paraId="233C229F" w14:textId="75860317" w:rsidR="00D14100" w:rsidRPr="005F67F7" w:rsidRDefault="00D14100" w:rsidP="005F67F7">
      <w:pPr>
        <w:pStyle w:val="FootnoteText"/>
      </w:pPr>
      <w:r w:rsidRPr="005F67F7">
        <w:rPr>
          <w:rStyle w:val="FootnoteReference"/>
        </w:rPr>
        <w:footnoteRef/>
      </w:r>
      <w:r w:rsidRPr="005F67F7">
        <w:t xml:space="preserve"> Arnon, “Israeli Policy Towards,” 574</w:t>
      </w:r>
      <w:r>
        <w:t>.</w:t>
      </w:r>
    </w:p>
  </w:footnote>
  <w:footnote w:id="48">
    <w:p w14:paraId="5508F4DE" w14:textId="2A3599B3" w:rsidR="00D14100" w:rsidRPr="005F67F7" w:rsidRDefault="00D14100" w:rsidP="005F67F7">
      <w:pPr>
        <w:pStyle w:val="FootnoteText"/>
      </w:pPr>
      <w:r w:rsidRPr="005F67F7">
        <w:rPr>
          <w:rStyle w:val="FootnoteReference"/>
        </w:rPr>
        <w:footnoteRef/>
      </w:r>
      <w:r w:rsidRPr="005F67F7">
        <w:t xml:space="preserve"> Ibid</w:t>
      </w:r>
      <w:r>
        <w:t>.</w:t>
      </w:r>
    </w:p>
  </w:footnote>
  <w:footnote w:id="49">
    <w:p w14:paraId="53A6D0F3" w14:textId="77777777" w:rsidR="00D14100" w:rsidRPr="005F67F7" w:rsidRDefault="00D14100" w:rsidP="005F67F7">
      <w:pPr>
        <w:pStyle w:val="FootnoteText"/>
      </w:pPr>
      <w:r w:rsidRPr="005F67F7">
        <w:rPr>
          <w:rStyle w:val="FootnoteReference"/>
        </w:rPr>
        <w:footnoteRef/>
      </w:r>
      <w:r w:rsidRPr="005F67F7">
        <w:t xml:space="preserve"> Ibid, Meron Rapaport, “Was 1967 A Victory Too Far For Israel?”</w:t>
      </w:r>
      <w:r w:rsidRPr="005F67F7">
        <w:rPr>
          <w:i/>
        </w:rPr>
        <w:t xml:space="preserve"> Le Monde Diplomatique, </w:t>
      </w:r>
      <w:r w:rsidRPr="005F67F7">
        <w:t xml:space="preserve">June 2007, Web, Retrieved 8 Dec 2015, </w:t>
      </w:r>
      <w:hyperlink r:id="rId5" w:history="1">
        <w:r w:rsidRPr="005F67F7">
          <w:rPr>
            <w:rStyle w:val="Hyperlink"/>
          </w:rPr>
          <w:t>Https://Mondediplo.Com/2007/06/11victory</w:t>
        </w:r>
      </w:hyperlink>
      <w:r w:rsidRPr="005F67F7">
        <w:t>.</w:t>
      </w:r>
    </w:p>
  </w:footnote>
  <w:footnote w:id="50">
    <w:p w14:paraId="41AACE1F" w14:textId="69F46CCD" w:rsidR="00D14100" w:rsidRPr="005F67F7" w:rsidRDefault="00D14100" w:rsidP="005F67F7">
      <w:pPr>
        <w:pStyle w:val="FootnoteText"/>
      </w:pPr>
      <w:r w:rsidRPr="005F67F7">
        <w:rPr>
          <w:rStyle w:val="FootnoteReference"/>
        </w:rPr>
        <w:footnoteRef/>
      </w:r>
      <w:r w:rsidRPr="005F67F7">
        <w:t xml:space="preserve"> Arnon, “Israeli Policy Towards,” 579</w:t>
      </w:r>
      <w:r>
        <w:t>.</w:t>
      </w:r>
    </w:p>
  </w:footnote>
  <w:footnote w:id="51">
    <w:p w14:paraId="50B25EEA" w14:textId="77777777" w:rsidR="00D14100" w:rsidRPr="005F67F7" w:rsidRDefault="00D14100" w:rsidP="005F67F7">
      <w:pPr>
        <w:pStyle w:val="FootnoteText"/>
      </w:pPr>
      <w:r w:rsidRPr="005F67F7">
        <w:rPr>
          <w:rStyle w:val="FootnoteReference"/>
        </w:rPr>
        <w:footnoteRef/>
      </w:r>
      <w:r w:rsidRPr="005F67F7">
        <w:t xml:space="preserve"> Ibid, 575, “The Customs Union And Israel’s No-State Solution,” </w:t>
      </w:r>
      <w:r w:rsidRPr="005F67F7">
        <w:rPr>
          <w:i/>
        </w:rPr>
        <w:t xml:space="preserve">The Jerusalem Fund, </w:t>
      </w:r>
      <w:r w:rsidRPr="005F67F7">
        <w:t xml:space="preserve">7 January 2015, Web, Retrieved 9 Dec 2015, </w:t>
      </w:r>
      <w:hyperlink r:id="rId6" w:history="1">
        <w:r w:rsidRPr="005F67F7">
          <w:rPr>
            <w:rStyle w:val="Hyperlink"/>
          </w:rPr>
          <w:t>Http://Www.Thejerusalemfund.Org/Ht/D/Contentdetails/I/50055</w:t>
        </w:r>
      </w:hyperlink>
      <w:r w:rsidRPr="005F67F7">
        <w:t>.</w:t>
      </w:r>
    </w:p>
  </w:footnote>
  <w:footnote w:id="52">
    <w:p w14:paraId="65F0272C" w14:textId="1BDBD9F3" w:rsidR="00D14100" w:rsidRPr="005F67F7" w:rsidRDefault="00D14100" w:rsidP="005F67F7">
      <w:pPr>
        <w:pStyle w:val="FootnoteText"/>
      </w:pPr>
      <w:r w:rsidRPr="005F67F7">
        <w:rPr>
          <w:rStyle w:val="FootnoteReference"/>
        </w:rPr>
        <w:footnoteRef/>
      </w:r>
      <w:r w:rsidRPr="005F67F7">
        <w:t xml:space="preserve"> </w:t>
      </w:r>
      <w:r w:rsidRPr="005F67F7">
        <w:rPr>
          <w:i/>
        </w:rPr>
        <w:t xml:space="preserve">Palestinian External Trade Under Israeli Occupation, </w:t>
      </w:r>
      <w:r w:rsidRPr="005F67F7">
        <w:t>Unit</w:t>
      </w:r>
      <w:r>
        <w:t>ed Nations Conference On Trade and Development (UNCTAD</w:t>
      </w:r>
      <w:r w:rsidRPr="005F67F7">
        <w:t>), Geneva, Switzerland, (1989).</w:t>
      </w:r>
    </w:p>
  </w:footnote>
  <w:footnote w:id="53">
    <w:p w14:paraId="491BBFF7" w14:textId="6297702A" w:rsidR="00D14100" w:rsidRPr="005F67F7" w:rsidRDefault="00D14100" w:rsidP="005F67F7">
      <w:pPr>
        <w:pStyle w:val="FootnoteText"/>
      </w:pPr>
      <w:r w:rsidRPr="005F67F7">
        <w:rPr>
          <w:rStyle w:val="FootnoteReference"/>
        </w:rPr>
        <w:footnoteRef/>
      </w:r>
      <w:r w:rsidRPr="005F67F7">
        <w:t xml:space="preserve"> Arnon And Weinblatt, “Sovereignty And Economic Development,” 293, Ibid, Viii</w:t>
      </w:r>
      <w:r>
        <w:t>.</w:t>
      </w:r>
    </w:p>
  </w:footnote>
  <w:footnote w:id="54">
    <w:p w14:paraId="48A03FAC" w14:textId="66B6E50E" w:rsidR="00D14100" w:rsidRPr="005F67F7" w:rsidRDefault="00D14100" w:rsidP="005F67F7">
      <w:pPr>
        <w:pStyle w:val="FootnoteText"/>
      </w:pPr>
      <w:r w:rsidRPr="005F67F7">
        <w:rPr>
          <w:rStyle w:val="FootnoteReference"/>
        </w:rPr>
        <w:footnoteRef/>
      </w:r>
      <w:r w:rsidRPr="005F67F7">
        <w:t xml:space="preserve"> </w:t>
      </w:r>
      <w:r w:rsidRPr="005F67F7">
        <w:rPr>
          <w:i/>
        </w:rPr>
        <w:t xml:space="preserve">Palestinian External Trade, </w:t>
      </w:r>
      <w:r w:rsidRPr="005F67F7">
        <w:t>UNCTAD, Viii</w:t>
      </w:r>
      <w:r>
        <w:t>.</w:t>
      </w:r>
    </w:p>
  </w:footnote>
  <w:footnote w:id="55">
    <w:p w14:paraId="46B77443" w14:textId="117E3636" w:rsidR="00D14100" w:rsidRPr="005F67F7" w:rsidRDefault="00D14100" w:rsidP="005F67F7">
      <w:pPr>
        <w:pStyle w:val="FootnoteText"/>
      </w:pPr>
      <w:r w:rsidRPr="005F67F7">
        <w:rPr>
          <w:rStyle w:val="FootnoteReference"/>
        </w:rPr>
        <w:footnoteRef/>
      </w:r>
      <w:r w:rsidRPr="005F67F7">
        <w:t xml:space="preserve"> Arnon And Weinblatt, “Sovereignty And Economic Development,” 293</w:t>
      </w:r>
      <w:r>
        <w:t>.</w:t>
      </w:r>
    </w:p>
  </w:footnote>
  <w:footnote w:id="56">
    <w:p w14:paraId="06F412D3" w14:textId="2F57712A" w:rsidR="00D14100" w:rsidRPr="005F67F7" w:rsidRDefault="00D14100" w:rsidP="005F67F7">
      <w:pPr>
        <w:pStyle w:val="FootnoteText"/>
      </w:pPr>
      <w:r w:rsidRPr="005F67F7">
        <w:rPr>
          <w:rStyle w:val="FootnoteReference"/>
        </w:rPr>
        <w:footnoteRef/>
      </w:r>
      <w:r>
        <w:t xml:space="preserve"> Ibid.</w:t>
      </w:r>
    </w:p>
  </w:footnote>
  <w:footnote w:id="57">
    <w:p w14:paraId="5C82CC04" w14:textId="77777777" w:rsidR="00D14100" w:rsidRPr="005F67F7" w:rsidRDefault="00D14100" w:rsidP="005F67F7">
      <w:pPr>
        <w:spacing w:line="240" w:lineRule="auto"/>
        <w:rPr>
          <w:sz w:val="20"/>
          <w:szCs w:val="20"/>
        </w:rPr>
      </w:pPr>
      <w:r w:rsidRPr="005F67F7">
        <w:rPr>
          <w:rStyle w:val="FootnoteReference"/>
          <w:sz w:val="20"/>
          <w:szCs w:val="20"/>
        </w:rPr>
        <w:footnoteRef/>
      </w:r>
      <w:r w:rsidRPr="005F67F7">
        <w:rPr>
          <w:sz w:val="20"/>
          <w:szCs w:val="20"/>
        </w:rPr>
        <w:t xml:space="preserve"> Shlomo Gazit: Israeli Major General, </w:t>
      </w:r>
      <w:r w:rsidRPr="005F67F7">
        <w:rPr>
          <w:i/>
          <w:sz w:val="20"/>
          <w:szCs w:val="20"/>
        </w:rPr>
        <w:t xml:space="preserve">The Carrot And The Stick: Israel’s Policy In Judea And Samaria, 1967-1968, </w:t>
      </w:r>
      <w:r w:rsidRPr="005F67F7">
        <w:rPr>
          <w:sz w:val="20"/>
          <w:szCs w:val="20"/>
        </w:rPr>
        <w:t>B’nai B’rith Books, Washington, D.C., (1995): 220-221.</w:t>
      </w:r>
    </w:p>
  </w:footnote>
  <w:footnote w:id="58">
    <w:p w14:paraId="20D9AB78" w14:textId="77777777" w:rsidR="00D14100" w:rsidRPr="005F67F7" w:rsidRDefault="00D14100" w:rsidP="005F67F7">
      <w:pPr>
        <w:pStyle w:val="FootnoteText"/>
      </w:pPr>
      <w:r w:rsidRPr="005F67F7">
        <w:rPr>
          <w:rStyle w:val="FootnoteReference"/>
        </w:rPr>
        <w:footnoteRef/>
      </w:r>
      <w:r w:rsidRPr="005F67F7">
        <w:t xml:space="preserve"> Arie Arnon And David Gottlieb, “An Econometric Analysis Of The Palestinian Economy: The West Bank And Gaza, 1968-1991,” </w:t>
      </w:r>
      <w:r w:rsidRPr="005F67F7">
        <w:rPr>
          <w:i/>
        </w:rPr>
        <w:t xml:space="preserve">The Bank Of Israel: Discussion Paper 93.07, </w:t>
      </w:r>
      <w:r w:rsidRPr="005F67F7">
        <w:t>(October 1993).</w:t>
      </w:r>
    </w:p>
  </w:footnote>
  <w:footnote w:id="59">
    <w:p w14:paraId="5993D14A" w14:textId="3C54A847" w:rsidR="00D14100" w:rsidRPr="005F67F7" w:rsidRDefault="00D14100" w:rsidP="005F67F7">
      <w:pPr>
        <w:pStyle w:val="FootnoteText"/>
      </w:pPr>
      <w:r w:rsidRPr="005F67F7">
        <w:rPr>
          <w:rStyle w:val="FootnoteReference"/>
        </w:rPr>
        <w:footnoteRef/>
      </w:r>
      <w:r w:rsidRPr="005F67F7">
        <w:t xml:space="preserve"> Arnon, “Israeli Policy Towards,” 581</w:t>
      </w:r>
      <w:r>
        <w:t>.</w:t>
      </w:r>
    </w:p>
  </w:footnote>
  <w:footnote w:id="60">
    <w:p w14:paraId="16D0F4A7" w14:textId="4F58D49E" w:rsidR="00D14100" w:rsidRPr="005F67F7" w:rsidRDefault="00D14100" w:rsidP="005F67F7">
      <w:pPr>
        <w:pStyle w:val="FootnoteText"/>
      </w:pPr>
      <w:r w:rsidRPr="005F67F7">
        <w:rPr>
          <w:rStyle w:val="FootnoteReference"/>
        </w:rPr>
        <w:footnoteRef/>
      </w:r>
      <w:r w:rsidRPr="005F67F7">
        <w:t xml:space="preserve"> Ibid, 576</w:t>
      </w:r>
      <w:r>
        <w:t>.</w:t>
      </w:r>
    </w:p>
  </w:footnote>
  <w:footnote w:id="61">
    <w:p w14:paraId="69466C4E" w14:textId="26314439" w:rsidR="00D14100" w:rsidRPr="005F67F7" w:rsidRDefault="00D14100" w:rsidP="005F67F7">
      <w:pPr>
        <w:pStyle w:val="FootnoteText"/>
      </w:pPr>
      <w:r w:rsidRPr="005F67F7">
        <w:rPr>
          <w:rStyle w:val="FootnoteReference"/>
        </w:rPr>
        <w:footnoteRef/>
      </w:r>
      <w:r w:rsidRPr="005F67F7">
        <w:t xml:space="preserve"> Ibid</w:t>
      </w:r>
      <w:r>
        <w:t>.</w:t>
      </w:r>
    </w:p>
  </w:footnote>
  <w:footnote w:id="62">
    <w:p w14:paraId="4DB5CAAC" w14:textId="4B130896" w:rsidR="00D14100" w:rsidRPr="005F67F7" w:rsidRDefault="00D14100" w:rsidP="005F67F7">
      <w:pPr>
        <w:pStyle w:val="FootnoteText"/>
      </w:pPr>
      <w:r w:rsidRPr="005F67F7">
        <w:rPr>
          <w:rStyle w:val="FootnoteReference"/>
        </w:rPr>
        <w:footnoteRef/>
      </w:r>
      <w:r w:rsidRPr="005F67F7">
        <w:t xml:space="preserve"> Arnon And Weinblatt, “Sovereignty And Economic Development,” 293</w:t>
      </w:r>
      <w:r>
        <w:t>.</w:t>
      </w:r>
    </w:p>
  </w:footnote>
  <w:footnote w:id="63">
    <w:p w14:paraId="522CF642" w14:textId="735F1588" w:rsidR="00D14100" w:rsidRPr="005F67F7" w:rsidRDefault="00D14100" w:rsidP="005F67F7">
      <w:pPr>
        <w:pStyle w:val="FootnoteText"/>
      </w:pPr>
      <w:r w:rsidRPr="005F67F7">
        <w:rPr>
          <w:rStyle w:val="FootnoteReference"/>
        </w:rPr>
        <w:footnoteRef/>
      </w:r>
      <w:r w:rsidRPr="005F67F7">
        <w:t xml:space="preserve"> Arnon, “Israeli Policy Towards,” 576</w:t>
      </w:r>
      <w:r>
        <w:t>.</w:t>
      </w:r>
    </w:p>
  </w:footnote>
  <w:footnote w:id="64">
    <w:p w14:paraId="21F030A6" w14:textId="2CD01416" w:rsidR="00D14100" w:rsidRPr="005F67F7" w:rsidRDefault="00D14100" w:rsidP="005F67F7">
      <w:pPr>
        <w:pStyle w:val="FootnoteText"/>
      </w:pPr>
      <w:r w:rsidRPr="005F67F7">
        <w:rPr>
          <w:rStyle w:val="FootnoteReference"/>
        </w:rPr>
        <w:footnoteRef/>
      </w:r>
      <w:r w:rsidRPr="005F67F7">
        <w:t xml:space="preserve"> Ibid</w:t>
      </w:r>
      <w:r>
        <w:t>.</w:t>
      </w:r>
    </w:p>
  </w:footnote>
  <w:footnote w:id="65">
    <w:p w14:paraId="16870EA6" w14:textId="5DC76CEF" w:rsidR="00D14100" w:rsidRPr="005F67F7" w:rsidRDefault="00D14100" w:rsidP="005F67F7">
      <w:pPr>
        <w:pStyle w:val="FootnoteText"/>
      </w:pPr>
      <w:r w:rsidRPr="005F67F7">
        <w:rPr>
          <w:rStyle w:val="FootnoteReference"/>
        </w:rPr>
        <w:footnoteRef/>
      </w:r>
      <w:r w:rsidRPr="005F67F7">
        <w:t xml:space="preserve"> Arnon And Weinblatt, “Sovereignty And Economic Development,” 293</w:t>
      </w:r>
      <w:r>
        <w:t>.</w:t>
      </w:r>
    </w:p>
  </w:footnote>
  <w:footnote w:id="66">
    <w:p w14:paraId="5649AE93" w14:textId="0E9CDCF3" w:rsidR="00D14100" w:rsidRPr="005F67F7" w:rsidRDefault="00D14100" w:rsidP="005F67F7">
      <w:pPr>
        <w:pStyle w:val="FootnoteText"/>
      </w:pPr>
      <w:r w:rsidRPr="005F67F7">
        <w:rPr>
          <w:rStyle w:val="FootnoteReference"/>
        </w:rPr>
        <w:footnoteRef/>
      </w:r>
      <w:r w:rsidRPr="005F67F7">
        <w:t xml:space="preserve"> Gazit, </w:t>
      </w:r>
      <w:r w:rsidRPr="005F67F7">
        <w:rPr>
          <w:i/>
        </w:rPr>
        <w:t xml:space="preserve">The Carrot And The Stick, </w:t>
      </w:r>
      <w:r w:rsidRPr="005F67F7">
        <w:t>235</w:t>
      </w:r>
      <w:r>
        <w:t>.</w:t>
      </w:r>
    </w:p>
  </w:footnote>
  <w:footnote w:id="67">
    <w:p w14:paraId="63BB270D" w14:textId="2AD72B07" w:rsidR="00D14100" w:rsidRPr="005F67F7" w:rsidRDefault="00D14100" w:rsidP="005F67F7">
      <w:pPr>
        <w:pStyle w:val="FootnoteText"/>
      </w:pPr>
      <w:r w:rsidRPr="005F67F7">
        <w:rPr>
          <w:rStyle w:val="FootnoteReference"/>
        </w:rPr>
        <w:footnoteRef/>
      </w:r>
      <w:r>
        <w:t xml:space="preserve"> C.R. Anthony et a</w:t>
      </w:r>
      <w:r w:rsidRPr="005F67F7">
        <w:t xml:space="preserve">l., </w:t>
      </w:r>
      <w:r w:rsidRPr="005F67F7">
        <w:rPr>
          <w:i/>
        </w:rPr>
        <w:t xml:space="preserve">The Costs Of The Israeli-Palestinian Conflict, </w:t>
      </w:r>
      <w:r w:rsidRPr="005F67F7">
        <w:t>RAND Corporation, Santa Monica, CA, (2015).</w:t>
      </w:r>
    </w:p>
  </w:footnote>
  <w:footnote w:id="68">
    <w:p w14:paraId="1DD5FBE9" w14:textId="32D518E4" w:rsidR="00D14100" w:rsidRPr="005F67F7" w:rsidRDefault="00D14100" w:rsidP="005F67F7">
      <w:pPr>
        <w:tabs>
          <w:tab w:val="left" w:pos="0"/>
        </w:tabs>
        <w:spacing w:line="240" w:lineRule="auto"/>
        <w:ind w:left="90" w:hanging="90"/>
        <w:rPr>
          <w:sz w:val="20"/>
          <w:szCs w:val="20"/>
        </w:rPr>
      </w:pPr>
      <w:r w:rsidRPr="005F67F7">
        <w:rPr>
          <w:rStyle w:val="FootnoteReference"/>
          <w:sz w:val="20"/>
          <w:szCs w:val="20"/>
        </w:rPr>
        <w:footnoteRef/>
      </w:r>
      <w:r w:rsidRPr="005F67F7">
        <w:rPr>
          <w:sz w:val="20"/>
          <w:szCs w:val="20"/>
        </w:rPr>
        <w:t xml:space="preserve"> Ibid</w:t>
      </w:r>
      <w:r>
        <w:rPr>
          <w:sz w:val="20"/>
          <w:szCs w:val="20"/>
        </w:rPr>
        <w:t>.</w:t>
      </w:r>
    </w:p>
  </w:footnote>
  <w:footnote w:id="69">
    <w:p w14:paraId="352DD97C" w14:textId="1829FE72" w:rsidR="00D14100" w:rsidRPr="005F67F7" w:rsidRDefault="00D14100" w:rsidP="005F67F7">
      <w:pPr>
        <w:pStyle w:val="FootnoteText"/>
      </w:pPr>
      <w:r w:rsidRPr="005F67F7">
        <w:rPr>
          <w:rStyle w:val="FootnoteReference"/>
        </w:rPr>
        <w:footnoteRef/>
      </w:r>
      <w:r w:rsidRPr="005F67F7">
        <w:t xml:space="preserve"> Alex Mintz and Michael D. Ward, “The Evolution Of Israel’s Security Expenditures: 1960-1983,” </w:t>
      </w:r>
      <w:r w:rsidRPr="005F67F7">
        <w:rPr>
          <w:i/>
        </w:rPr>
        <w:t xml:space="preserve">The Western Political Quarterly, </w:t>
      </w:r>
      <w:r>
        <w:t>Vol.41, No.</w:t>
      </w:r>
      <w:r w:rsidRPr="005F67F7">
        <w:t>3, (1988) 489-507.</w:t>
      </w:r>
    </w:p>
  </w:footnote>
  <w:footnote w:id="70">
    <w:p w14:paraId="3AFD3A98" w14:textId="28D251BA" w:rsidR="00D14100" w:rsidRPr="005F67F7" w:rsidRDefault="00D14100" w:rsidP="005F67F7">
      <w:pPr>
        <w:pStyle w:val="FootnoteText"/>
      </w:pPr>
      <w:r w:rsidRPr="005F67F7">
        <w:rPr>
          <w:rStyle w:val="FootnoteReference"/>
        </w:rPr>
        <w:footnoteRef/>
      </w:r>
      <w:r w:rsidRPr="005F67F7">
        <w:t xml:space="preserve"> Ibid, 491</w:t>
      </w:r>
      <w:r>
        <w:t>.</w:t>
      </w:r>
    </w:p>
  </w:footnote>
  <w:footnote w:id="71">
    <w:p w14:paraId="1FBDBD2D" w14:textId="25F3622B" w:rsidR="00D14100" w:rsidRPr="005F67F7" w:rsidRDefault="00D14100" w:rsidP="005F67F7">
      <w:pPr>
        <w:spacing w:line="240" w:lineRule="auto"/>
        <w:rPr>
          <w:sz w:val="20"/>
          <w:szCs w:val="20"/>
        </w:rPr>
      </w:pPr>
      <w:r w:rsidRPr="005F67F7">
        <w:rPr>
          <w:rStyle w:val="FootnoteReference"/>
          <w:sz w:val="20"/>
          <w:szCs w:val="20"/>
        </w:rPr>
        <w:footnoteRef/>
      </w:r>
      <w:r w:rsidRPr="005F67F7">
        <w:rPr>
          <w:sz w:val="20"/>
          <w:szCs w:val="20"/>
        </w:rPr>
        <w:t xml:space="preserve"> Shlomo Brom, “Is The Begin Doctrine Stil</w:t>
      </w:r>
      <w:r>
        <w:rPr>
          <w:sz w:val="20"/>
          <w:szCs w:val="20"/>
        </w:rPr>
        <w:t>l A Viable Option For Israel?”i</w:t>
      </w:r>
      <w:r w:rsidRPr="005F67F7">
        <w:rPr>
          <w:sz w:val="20"/>
          <w:szCs w:val="20"/>
        </w:rPr>
        <w:t xml:space="preserve">n </w:t>
      </w:r>
      <w:r w:rsidRPr="005F67F7">
        <w:rPr>
          <w:i/>
          <w:sz w:val="20"/>
          <w:szCs w:val="20"/>
        </w:rPr>
        <w:t xml:space="preserve">Getting Ready For A Nuclear Iran, </w:t>
      </w:r>
      <w:r>
        <w:rPr>
          <w:iCs/>
          <w:color w:val="222222"/>
          <w:sz w:val="20"/>
          <w:szCs w:val="20"/>
          <w:shd w:val="clear" w:color="auto" w:fill="FFFFFF"/>
        </w:rPr>
        <w:t>Sokolski And Clawson, e</w:t>
      </w:r>
      <w:r w:rsidRPr="005F67F7">
        <w:rPr>
          <w:iCs/>
          <w:color w:val="222222"/>
          <w:sz w:val="20"/>
          <w:szCs w:val="20"/>
          <w:shd w:val="clear" w:color="auto" w:fill="FFFFFF"/>
        </w:rPr>
        <w:t>ds.,</w:t>
      </w:r>
      <w:r w:rsidRPr="005F67F7">
        <w:rPr>
          <w:i/>
          <w:iCs/>
          <w:color w:val="222222"/>
          <w:sz w:val="20"/>
          <w:szCs w:val="20"/>
          <w:shd w:val="clear" w:color="auto" w:fill="FFFFFF"/>
        </w:rPr>
        <w:t xml:space="preserve"> </w:t>
      </w:r>
      <w:r w:rsidRPr="005F67F7">
        <w:rPr>
          <w:iCs/>
          <w:color w:val="222222"/>
          <w:sz w:val="20"/>
          <w:szCs w:val="20"/>
          <w:shd w:val="clear" w:color="auto" w:fill="FFFFFF"/>
        </w:rPr>
        <w:t>The Strategic Studies Institute, (</w:t>
      </w:r>
      <w:r w:rsidRPr="005F67F7">
        <w:rPr>
          <w:color w:val="222222"/>
          <w:sz w:val="20"/>
          <w:szCs w:val="20"/>
          <w:shd w:val="clear" w:color="auto" w:fill="FFFFFF"/>
        </w:rPr>
        <w:t>2005).</w:t>
      </w:r>
    </w:p>
  </w:footnote>
  <w:footnote w:id="72">
    <w:p w14:paraId="4D0F26A9" w14:textId="12F621C7" w:rsidR="00D14100" w:rsidRPr="00F01D42" w:rsidRDefault="00D14100" w:rsidP="005F67F7">
      <w:pPr>
        <w:spacing w:line="240" w:lineRule="auto"/>
        <w:rPr>
          <w:sz w:val="20"/>
          <w:szCs w:val="20"/>
        </w:rPr>
      </w:pPr>
      <w:r w:rsidRPr="005F67F7">
        <w:rPr>
          <w:rStyle w:val="FootnoteReference"/>
          <w:sz w:val="20"/>
          <w:szCs w:val="20"/>
        </w:rPr>
        <w:footnoteRef/>
      </w:r>
      <w:r>
        <w:rPr>
          <w:sz w:val="20"/>
          <w:szCs w:val="20"/>
        </w:rPr>
        <w:t xml:space="preserve"> Euben and Zaman, e</w:t>
      </w:r>
      <w:r w:rsidRPr="005F67F7">
        <w:rPr>
          <w:sz w:val="20"/>
          <w:szCs w:val="20"/>
        </w:rPr>
        <w:t>ds</w:t>
      </w:r>
      <w:r>
        <w:rPr>
          <w:sz w:val="20"/>
          <w:szCs w:val="20"/>
        </w:rPr>
        <w:t>.</w:t>
      </w:r>
      <w:r w:rsidRPr="005F67F7">
        <w:rPr>
          <w:sz w:val="20"/>
          <w:szCs w:val="20"/>
        </w:rPr>
        <w:t xml:space="preserve">, </w:t>
      </w:r>
      <w:r w:rsidRPr="005F67F7">
        <w:rPr>
          <w:i/>
          <w:sz w:val="20"/>
          <w:szCs w:val="20"/>
        </w:rPr>
        <w:t>Princet</w:t>
      </w:r>
      <w:r>
        <w:rPr>
          <w:i/>
          <w:sz w:val="20"/>
          <w:szCs w:val="20"/>
        </w:rPr>
        <w:t>on Readings On Islamist Thought, 3</w:t>
      </w:r>
      <w:r>
        <w:rPr>
          <w:sz w:val="20"/>
          <w:szCs w:val="20"/>
        </w:rPr>
        <w:t>57.</w:t>
      </w:r>
    </w:p>
  </w:footnote>
  <w:footnote w:id="73">
    <w:p w14:paraId="594B0DE4" w14:textId="077A9CEC" w:rsidR="00D14100" w:rsidRPr="005F67F7" w:rsidRDefault="00D14100" w:rsidP="005F67F7">
      <w:pPr>
        <w:pStyle w:val="FootnoteText"/>
      </w:pPr>
      <w:r w:rsidRPr="005F67F7">
        <w:rPr>
          <w:rStyle w:val="FootnoteReference"/>
        </w:rPr>
        <w:footnoteRef/>
      </w:r>
      <w:r w:rsidRPr="005F67F7">
        <w:t xml:space="preserve"> Ibid</w:t>
      </w:r>
      <w:r>
        <w:t>.</w:t>
      </w:r>
    </w:p>
  </w:footnote>
  <w:footnote w:id="74">
    <w:p w14:paraId="2F60BE45" w14:textId="465ABB2B" w:rsidR="00D14100" w:rsidRPr="005F67F7" w:rsidRDefault="00D14100" w:rsidP="005F67F7">
      <w:pPr>
        <w:pStyle w:val="FootnoteText"/>
      </w:pPr>
      <w:r w:rsidRPr="005F67F7">
        <w:rPr>
          <w:rStyle w:val="FootnoteReference"/>
        </w:rPr>
        <w:footnoteRef/>
      </w:r>
      <w:r>
        <w:t xml:space="preserve"> Ibid, </w:t>
      </w:r>
      <w:r w:rsidRPr="005F67F7">
        <w:t>358</w:t>
      </w:r>
      <w:r>
        <w:t>.</w:t>
      </w:r>
    </w:p>
  </w:footnote>
  <w:footnote w:id="75">
    <w:p w14:paraId="2D7019C3" w14:textId="05E2C41B" w:rsidR="00D14100" w:rsidRPr="005F67F7" w:rsidRDefault="00D14100" w:rsidP="005F67F7">
      <w:pPr>
        <w:pStyle w:val="FootnoteText"/>
      </w:pPr>
      <w:r w:rsidRPr="005F67F7">
        <w:rPr>
          <w:rStyle w:val="FootnoteReference"/>
        </w:rPr>
        <w:footnoteRef/>
      </w:r>
      <w:r w:rsidRPr="005F67F7">
        <w:t xml:space="preserve"> Ibid</w:t>
      </w:r>
      <w:r>
        <w:t>.</w:t>
      </w:r>
    </w:p>
  </w:footnote>
  <w:footnote w:id="76">
    <w:p w14:paraId="40990643" w14:textId="56221E44" w:rsidR="00D14100" w:rsidRPr="005F67F7" w:rsidRDefault="00D14100" w:rsidP="005F67F7">
      <w:pPr>
        <w:pStyle w:val="FootnoteText"/>
      </w:pPr>
      <w:r w:rsidRPr="005F67F7">
        <w:rPr>
          <w:rStyle w:val="FootnoteReference"/>
        </w:rPr>
        <w:footnoteRef/>
      </w:r>
      <w:r>
        <w:t xml:space="preserve"> Ibid.</w:t>
      </w:r>
    </w:p>
  </w:footnote>
  <w:footnote w:id="77">
    <w:p w14:paraId="49920990" w14:textId="13D0E287" w:rsidR="00D14100" w:rsidRPr="005F67F7" w:rsidRDefault="00D14100" w:rsidP="005F67F7">
      <w:pPr>
        <w:pStyle w:val="FootnoteText"/>
      </w:pPr>
      <w:r w:rsidRPr="005F67F7">
        <w:rPr>
          <w:rStyle w:val="FootnoteReference"/>
        </w:rPr>
        <w:footnoteRef/>
      </w:r>
      <w:r w:rsidRPr="005F67F7">
        <w:t xml:space="preserve"> Yvonne Haddad, “Islamists And The ‘Problem Of Israel’: The 1967 Awakening,” </w:t>
      </w:r>
      <w:r w:rsidRPr="005F67F7">
        <w:rPr>
          <w:i/>
        </w:rPr>
        <w:t xml:space="preserve">Middle East Journal, </w:t>
      </w:r>
      <w:r>
        <w:t>Vol.46, No.</w:t>
      </w:r>
      <w:r w:rsidRPr="005F67F7">
        <w:t>2, (1992) 266-285. J</w:t>
      </w:r>
      <w:r>
        <w:t>ulie Trottier, “A Wall, Water, a</w:t>
      </w:r>
      <w:r w:rsidRPr="005F67F7">
        <w:t xml:space="preserve">nd Power: The Israeli ‘Separation Fence,’” </w:t>
      </w:r>
      <w:r w:rsidRPr="005F67F7">
        <w:rPr>
          <w:i/>
        </w:rPr>
        <w:t xml:space="preserve">Review Of International Studies, </w:t>
      </w:r>
      <w:r>
        <w:t>Vol.33, No.</w:t>
      </w:r>
      <w:r w:rsidRPr="005F67F7">
        <w:t>1, (January 2007): 105-127.</w:t>
      </w:r>
    </w:p>
  </w:footnote>
  <w:footnote w:id="78">
    <w:p w14:paraId="0285AF42" w14:textId="2F0EAC02" w:rsidR="00D14100" w:rsidRPr="005F67F7" w:rsidRDefault="00D14100" w:rsidP="005F67F7">
      <w:pPr>
        <w:pStyle w:val="FootnoteText"/>
      </w:pPr>
      <w:r w:rsidRPr="005F67F7">
        <w:rPr>
          <w:rStyle w:val="FootnoteReference"/>
        </w:rPr>
        <w:footnoteRef/>
      </w:r>
      <w:r>
        <w:t xml:space="preserve"> Gary LaFr</w:t>
      </w:r>
      <w:r w:rsidRPr="005F67F7">
        <w:t xml:space="preserve">ee, “The Global Terrorism Database: Accomplishments And Challenges,” </w:t>
      </w:r>
      <w:r w:rsidRPr="005F67F7">
        <w:rPr>
          <w:i/>
        </w:rPr>
        <w:t xml:space="preserve">Perspectives On Terrorism, </w:t>
      </w:r>
      <w:r>
        <w:t>Vol.4, No.</w:t>
      </w:r>
      <w:r w:rsidRPr="005F67F7">
        <w:t>1, (2010).</w:t>
      </w:r>
    </w:p>
  </w:footnote>
  <w:footnote w:id="79">
    <w:p w14:paraId="5DA13790" w14:textId="77777777" w:rsidR="00D14100" w:rsidRPr="005F67F7" w:rsidRDefault="00D14100" w:rsidP="005F67F7">
      <w:pPr>
        <w:pStyle w:val="FootnoteText"/>
      </w:pPr>
      <w:r w:rsidRPr="005F67F7">
        <w:rPr>
          <w:rStyle w:val="FootnoteReference"/>
        </w:rPr>
        <w:footnoteRef/>
      </w:r>
      <w:r w:rsidRPr="005F67F7">
        <w:t xml:space="preserve"> John Calvert, </w:t>
      </w:r>
      <w:r w:rsidRPr="005F67F7">
        <w:rPr>
          <w:i/>
        </w:rPr>
        <w:t xml:space="preserve">Sayyid Qutb And The Origins Of Radical Islam, </w:t>
      </w:r>
      <w:r w:rsidRPr="005F67F7">
        <w:t>Columbia University Press, (2010).</w:t>
      </w:r>
    </w:p>
  </w:footnote>
  <w:footnote w:id="80">
    <w:p w14:paraId="0CDD7F30" w14:textId="77777777" w:rsidR="00D14100" w:rsidRPr="005F67F7" w:rsidRDefault="00D14100" w:rsidP="005F67F7">
      <w:pPr>
        <w:spacing w:line="240" w:lineRule="auto"/>
        <w:rPr>
          <w:sz w:val="20"/>
          <w:szCs w:val="20"/>
        </w:rPr>
      </w:pPr>
      <w:r w:rsidRPr="005F67F7">
        <w:rPr>
          <w:rStyle w:val="FootnoteReference"/>
          <w:sz w:val="20"/>
          <w:szCs w:val="20"/>
        </w:rPr>
        <w:footnoteRef/>
      </w:r>
      <w:r w:rsidRPr="005F67F7">
        <w:rPr>
          <w:sz w:val="20"/>
          <w:szCs w:val="20"/>
        </w:rPr>
        <w:t xml:space="preserve"> </w:t>
      </w:r>
      <w:r w:rsidRPr="005F67F7">
        <w:rPr>
          <w:color w:val="222222"/>
          <w:sz w:val="20"/>
          <w:szCs w:val="20"/>
          <w:shd w:val="clear" w:color="auto" w:fill="FFFFFF"/>
        </w:rPr>
        <w:t xml:space="preserve">Odd Arne Westad, </w:t>
      </w:r>
      <w:r w:rsidRPr="005F67F7">
        <w:rPr>
          <w:i/>
          <w:iCs/>
          <w:color w:val="222222"/>
          <w:sz w:val="20"/>
          <w:szCs w:val="20"/>
          <w:shd w:val="clear" w:color="auto" w:fill="FFFFFF"/>
        </w:rPr>
        <w:t>The Global Cold War: Third World Interventions And The Making Of Our Times</w:t>
      </w:r>
      <w:r w:rsidRPr="005F67F7">
        <w:rPr>
          <w:color w:val="222222"/>
          <w:sz w:val="20"/>
          <w:szCs w:val="20"/>
          <w:shd w:val="clear" w:color="auto" w:fill="FFFFFF"/>
        </w:rPr>
        <w:t>. Cambridge University Press, London, UK, (2005).</w:t>
      </w:r>
    </w:p>
  </w:footnote>
  <w:footnote w:id="81">
    <w:p w14:paraId="2864FFD3" w14:textId="6CF2A6C6" w:rsidR="00D14100" w:rsidRPr="005F67F7" w:rsidRDefault="00D14100" w:rsidP="005F67F7">
      <w:pPr>
        <w:pStyle w:val="FootnoteText"/>
      </w:pPr>
      <w:r w:rsidRPr="005F67F7">
        <w:rPr>
          <w:rStyle w:val="FootnoteReference"/>
        </w:rPr>
        <w:footnoteRef/>
      </w:r>
      <w:r w:rsidRPr="005F67F7">
        <w:t xml:space="preserve"> </w:t>
      </w:r>
      <w:r w:rsidRPr="005F67F7">
        <w:rPr>
          <w:i/>
        </w:rPr>
        <w:t xml:space="preserve">World Military Expenditures And Arms Transfers: 1972-1982, </w:t>
      </w:r>
      <w:r w:rsidRPr="005F67F7">
        <w:t>U.S. Arms Control And Disarmament Agency</w:t>
      </w:r>
      <w:r w:rsidRPr="005F67F7">
        <w:rPr>
          <w:i/>
        </w:rPr>
        <w:t xml:space="preserve">, </w:t>
      </w:r>
      <w:r>
        <w:t>Washington, DC</w:t>
      </w:r>
      <w:r w:rsidRPr="005F67F7">
        <w:t>, (1984).</w:t>
      </w:r>
    </w:p>
  </w:footnote>
  <w:footnote w:id="82">
    <w:p w14:paraId="45B6FBA6" w14:textId="5B75AD5C" w:rsidR="00D14100" w:rsidRPr="005F67F7" w:rsidRDefault="00D14100" w:rsidP="005F67F7">
      <w:pPr>
        <w:pStyle w:val="FootnoteText"/>
      </w:pPr>
      <w:r w:rsidRPr="005F67F7">
        <w:rPr>
          <w:rStyle w:val="FootnoteReference"/>
        </w:rPr>
        <w:footnoteRef/>
      </w:r>
      <w:r w:rsidRPr="005F67F7">
        <w:t xml:space="preserve"> Alex Mintz and Michael D. Ward, “The Political Economy Of Military Spending In Israel,” </w:t>
      </w:r>
      <w:r w:rsidRPr="005F67F7">
        <w:rPr>
          <w:i/>
        </w:rPr>
        <w:t xml:space="preserve">The American Political Science Review, </w:t>
      </w:r>
      <w:r>
        <w:t>Vol.83, No.</w:t>
      </w:r>
      <w:r w:rsidRPr="005F67F7">
        <w:t>2, (1989): 521-533.</w:t>
      </w:r>
    </w:p>
  </w:footnote>
  <w:footnote w:id="83">
    <w:p w14:paraId="17E0D969" w14:textId="2C9236D0" w:rsidR="00D14100" w:rsidRPr="005F67F7" w:rsidRDefault="00D14100" w:rsidP="005F67F7">
      <w:pPr>
        <w:spacing w:line="240" w:lineRule="auto"/>
        <w:rPr>
          <w:sz w:val="20"/>
          <w:szCs w:val="20"/>
        </w:rPr>
      </w:pPr>
      <w:r w:rsidRPr="005F67F7">
        <w:rPr>
          <w:rStyle w:val="FootnoteReference"/>
          <w:sz w:val="20"/>
          <w:szCs w:val="20"/>
        </w:rPr>
        <w:footnoteRef/>
      </w:r>
      <w:r w:rsidRPr="005F67F7">
        <w:rPr>
          <w:sz w:val="20"/>
          <w:szCs w:val="20"/>
        </w:rPr>
        <w:t xml:space="preserve"> Osama Bin Laden, “Declaration Of War Against The Americans Occupying The Land Of The Two Holy Places,” In Roxanne Euben and Muhammad </w:t>
      </w:r>
      <w:r>
        <w:rPr>
          <w:sz w:val="20"/>
          <w:szCs w:val="20"/>
        </w:rPr>
        <w:t xml:space="preserve">Qasim </w:t>
      </w:r>
      <w:r w:rsidRPr="005F67F7">
        <w:rPr>
          <w:sz w:val="20"/>
          <w:szCs w:val="20"/>
        </w:rPr>
        <w:t xml:space="preserve">Zaman, Eds., </w:t>
      </w:r>
      <w:r w:rsidRPr="005F67F7">
        <w:rPr>
          <w:i/>
          <w:sz w:val="20"/>
          <w:szCs w:val="20"/>
        </w:rPr>
        <w:t>Princeton Readi</w:t>
      </w:r>
      <w:r>
        <w:rPr>
          <w:i/>
          <w:sz w:val="20"/>
          <w:szCs w:val="20"/>
        </w:rPr>
        <w:t>ngs On Islamist Thought: Texts a</w:t>
      </w:r>
      <w:r w:rsidRPr="005F67F7">
        <w:rPr>
          <w:i/>
          <w:sz w:val="20"/>
          <w:szCs w:val="20"/>
        </w:rPr>
        <w:t xml:space="preserve">nd Contexts From Al-Banna To Bin Laden, </w:t>
      </w:r>
      <w:r w:rsidRPr="005F67F7">
        <w:rPr>
          <w:sz w:val="20"/>
          <w:szCs w:val="20"/>
        </w:rPr>
        <w:t>Princeton University Press</w:t>
      </w:r>
      <w:r w:rsidRPr="005F67F7">
        <w:rPr>
          <w:i/>
          <w:sz w:val="20"/>
          <w:szCs w:val="20"/>
        </w:rPr>
        <w:t xml:space="preserve">, </w:t>
      </w:r>
      <w:r w:rsidRPr="005F67F7">
        <w:rPr>
          <w:sz w:val="20"/>
          <w:szCs w:val="20"/>
        </w:rPr>
        <w:t>Princeton, NJ,</w:t>
      </w:r>
      <w:r w:rsidRPr="005F67F7">
        <w:rPr>
          <w:i/>
          <w:sz w:val="20"/>
          <w:szCs w:val="20"/>
        </w:rPr>
        <w:t xml:space="preserve"> </w:t>
      </w:r>
      <w:r w:rsidRPr="005F67F7">
        <w:rPr>
          <w:sz w:val="20"/>
          <w:szCs w:val="20"/>
        </w:rPr>
        <w:t>(2009).</w:t>
      </w:r>
    </w:p>
  </w:footnote>
  <w:footnote w:id="84">
    <w:p w14:paraId="4B9F348C" w14:textId="35AFA9B7" w:rsidR="00D14100" w:rsidRPr="005F67F7" w:rsidRDefault="00D14100" w:rsidP="00F01D42">
      <w:pPr>
        <w:spacing w:after="280" w:line="240" w:lineRule="auto"/>
        <w:contextualSpacing/>
        <w:rPr>
          <w:sz w:val="20"/>
          <w:szCs w:val="20"/>
        </w:rPr>
      </w:pPr>
      <w:r w:rsidRPr="005F67F7">
        <w:rPr>
          <w:rStyle w:val="FootnoteReference"/>
          <w:sz w:val="20"/>
          <w:szCs w:val="20"/>
        </w:rPr>
        <w:footnoteRef/>
      </w:r>
      <w:r>
        <w:rPr>
          <w:sz w:val="20"/>
          <w:szCs w:val="20"/>
        </w:rPr>
        <w:t xml:space="preserve"> </w:t>
      </w:r>
      <w:r w:rsidRPr="005F67F7">
        <w:rPr>
          <w:sz w:val="20"/>
          <w:szCs w:val="20"/>
        </w:rPr>
        <w:t>Touval, “Mediation In The Arab-Israeli Conflict</w:t>
      </w:r>
      <w:r>
        <w:rPr>
          <w:sz w:val="20"/>
          <w:szCs w:val="20"/>
        </w:rPr>
        <w:t>.”</w:t>
      </w:r>
    </w:p>
  </w:footnote>
  <w:footnote w:id="85">
    <w:p w14:paraId="57640EE2" w14:textId="75EFEEBE" w:rsidR="00D14100" w:rsidRPr="005F67F7" w:rsidRDefault="00D14100" w:rsidP="00F01D42">
      <w:pPr>
        <w:pStyle w:val="FootnoteText"/>
        <w:contextualSpacing/>
      </w:pPr>
      <w:r w:rsidRPr="005F67F7">
        <w:rPr>
          <w:rStyle w:val="FootnoteReference"/>
        </w:rPr>
        <w:footnoteRef/>
      </w:r>
      <w:r w:rsidRPr="005F67F7">
        <w:t xml:space="preserve"> Ibid</w:t>
      </w:r>
      <w:r>
        <w:t>.</w:t>
      </w:r>
    </w:p>
  </w:footnote>
  <w:footnote w:id="86">
    <w:p w14:paraId="349BE6BE" w14:textId="08A303FB" w:rsidR="00D14100" w:rsidRPr="005F67F7" w:rsidRDefault="00D14100" w:rsidP="00F01D42">
      <w:pPr>
        <w:pStyle w:val="FootnoteText"/>
      </w:pPr>
      <w:r w:rsidRPr="005F67F7">
        <w:rPr>
          <w:rStyle w:val="FootnoteReference"/>
        </w:rPr>
        <w:footnoteRef/>
      </w:r>
      <w:r w:rsidRPr="005F67F7">
        <w:t xml:space="preserve"> John Mearsheimer and Stephen Walt, “The Israel Lobby And U.S. Foreign Policy,” </w:t>
      </w:r>
      <w:r w:rsidRPr="005F67F7">
        <w:rPr>
          <w:i/>
        </w:rPr>
        <w:t xml:space="preserve">Middle East Policy, </w:t>
      </w:r>
      <w:r>
        <w:t>Vol.13, No.</w:t>
      </w:r>
      <w:r w:rsidRPr="005F67F7">
        <w:t>3, (2006): 29-87.</w:t>
      </w:r>
    </w:p>
  </w:footnote>
  <w:footnote w:id="87">
    <w:p w14:paraId="5BEFDD6A" w14:textId="10A6D946" w:rsidR="00D14100" w:rsidRPr="005F67F7" w:rsidRDefault="00D14100" w:rsidP="00F01D42">
      <w:pPr>
        <w:pStyle w:val="FootnoteText"/>
      </w:pPr>
      <w:r w:rsidRPr="005F67F7">
        <w:rPr>
          <w:rStyle w:val="FootnoteReference"/>
        </w:rPr>
        <w:footnoteRef/>
      </w:r>
      <w:r w:rsidRPr="005F67F7">
        <w:t xml:space="preserve"> Ibid, 31</w:t>
      </w:r>
      <w:r>
        <w:t>.</w:t>
      </w:r>
    </w:p>
  </w:footnote>
  <w:footnote w:id="88">
    <w:p w14:paraId="1C0E15E9" w14:textId="77777777" w:rsidR="00D14100" w:rsidRPr="005F67F7" w:rsidRDefault="00D14100" w:rsidP="005F67F7">
      <w:pPr>
        <w:pStyle w:val="FootnoteText"/>
      </w:pPr>
      <w:r w:rsidRPr="005F67F7">
        <w:rPr>
          <w:rStyle w:val="FootnoteReference"/>
        </w:rPr>
        <w:footnoteRef/>
      </w:r>
      <w:r w:rsidRPr="005F67F7">
        <w:t xml:space="preserve"> Jeremy M. Sharp, “U.S. Foreign Aid To Israel,” </w:t>
      </w:r>
      <w:r w:rsidRPr="005F67F7">
        <w:rPr>
          <w:i/>
        </w:rPr>
        <w:t xml:space="preserve">Congressional Research Service, </w:t>
      </w:r>
      <w:r w:rsidRPr="005F67F7">
        <w:t xml:space="preserve">10 Jun 2015, Web, Retrieved 20 Mar 2016, </w:t>
      </w:r>
      <w:hyperlink r:id="rId7" w:history="1">
        <w:r w:rsidRPr="005F67F7">
          <w:rPr>
            <w:rStyle w:val="Hyperlink"/>
          </w:rPr>
          <w:t>Https://Www.Fas.Org/Sgp/Crs/Mideast/Rl33222.Pdf</w:t>
        </w:r>
      </w:hyperlink>
      <w:r w:rsidRPr="005F67F7">
        <w:rPr>
          <w:rStyle w:val="Hyperlink"/>
        </w:rPr>
        <w:t>.</w:t>
      </w:r>
    </w:p>
  </w:footnote>
  <w:footnote w:id="89">
    <w:p w14:paraId="636B3C6C" w14:textId="6BEA1BC8" w:rsidR="00D14100" w:rsidRPr="005F67F7" w:rsidRDefault="00D14100" w:rsidP="005F67F7">
      <w:pPr>
        <w:pStyle w:val="FootnoteText"/>
      </w:pPr>
      <w:r w:rsidRPr="005F67F7">
        <w:rPr>
          <w:rStyle w:val="FootnoteReference"/>
        </w:rPr>
        <w:footnoteRef/>
      </w:r>
      <w:r w:rsidRPr="005F67F7">
        <w:t xml:space="preserve"> Ibid</w:t>
      </w:r>
      <w:r>
        <w:t>.</w:t>
      </w:r>
    </w:p>
  </w:footnote>
  <w:footnote w:id="90">
    <w:p w14:paraId="23F9DE97" w14:textId="77777777" w:rsidR="00D14100" w:rsidRPr="005F67F7" w:rsidRDefault="00D14100" w:rsidP="005F67F7">
      <w:pPr>
        <w:pStyle w:val="FootnoteText"/>
      </w:pPr>
      <w:r w:rsidRPr="005F67F7">
        <w:rPr>
          <w:rStyle w:val="FootnoteReference"/>
        </w:rPr>
        <w:footnoteRef/>
      </w:r>
      <w:r w:rsidRPr="005F67F7">
        <w:t xml:space="preserve"> David Makovsky, “U.S. Military Aid To Israel: Debating An Increase,” </w:t>
      </w:r>
      <w:r w:rsidRPr="005F67F7">
        <w:rPr>
          <w:i/>
        </w:rPr>
        <w:t xml:space="preserve">The Washington Institute, </w:t>
      </w:r>
      <w:r w:rsidRPr="005F67F7">
        <w:t>14 Mar 2016, Web, Retrieved 20 Mar 2016, Http://Www.Washingtoninstitute.Org/Policy-Analysis/View/U.S.-Military-Aid-To-Israel-Debating-An-Increase</w:t>
      </w:r>
    </w:p>
  </w:footnote>
  <w:footnote w:id="91">
    <w:p w14:paraId="43DD1B26" w14:textId="5ABA08E8" w:rsidR="00D14100" w:rsidRPr="005F67F7" w:rsidRDefault="00D14100" w:rsidP="005F67F7">
      <w:pPr>
        <w:pStyle w:val="FootnoteText"/>
      </w:pPr>
      <w:r w:rsidRPr="005F67F7">
        <w:rPr>
          <w:rStyle w:val="FootnoteReference"/>
        </w:rPr>
        <w:footnoteRef/>
      </w:r>
      <w:r w:rsidRPr="005F67F7">
        <w:t xml:space="preserve"> Paul Collier and Anke Hoeffler, “Milit</w:t>
      </w:r>
      <w:r>
        <w:t>ary Expenditure: Threats, Aid, a</w:t>
      </w:r>
      <w:r w:rsidRPr="005F67F7">
        <w:t xml:space="preserve">nd Arms Races,” </w:t>
      </w:r>
      <w:r w:rsidRPr="005F67F7">
        <w:rPr>
          <w:i/>
        </w:rPr>
        <w:t xml:space="preserve">The World Bank: Policy Research Working Paper No. 2927, </w:t>
      </w:r>
      <w:r w:rsidRPr="005F67F7">
        <w:t>(November 2002)</w:t>
      </w:r>
      <w:r w:rsidRPr="005F67F7">
        <w:rPr>
          <w:i/>
        </w:rPr>
        <w:t xml:space="preserve"> </w:t>
      </w:r>
      <w:r w:rsidRPr="005F67F7">
        <w:t xml:space="preserve">Web, Retrieved 20 Mar 2016, </w:t>
      </w:r>
      <w:hyperlink r:id="rId8" w:history="1">
        <w:r w:rsidRPr="005F67F7">
          <w:rPr>
            <w:rStyle w:val="Hyperlink"/>
          </w:rPr>
          <w:t>Http://213.154.74.164/Invenio/Record/13296/Files/Wps2927.Pdf</w:t>
        </w:r>
      </w:hyperlink>
      <w:r>
        <w:rPr>
          <w:rStyle w:val="Hyperlink"/>
        </w:rPr>
        <w:t>.</w:t>
      </w:r>
      <w:r w:rsidRPr="005F67F7">
        <w:t xml:space="preserve"> </w:t>
      </w:r>
    </w:p>
  </w:footnote>
  <w:footnote w:id="92">
    <w:p w14:paraId="146767E9" w14:textId="7ED49AA2" w:rsidR="00D14100" w:rsidRPr="005F67F7" w:rsidRDefault="00D14100" w:rsidP="005F67F7">
      <w:pPr>
        <w:pStyle w:val="FootnoteText"/>
      </w:pPr>
      <w:r w:rsidRPr="005F67F7">
        <w:rPr>
          <w:rStyle w:val="FootnoteReference"/>
        </w:rPr>
        <w:footnoteRef/>
      </w:r>
      <w:r w:rsidRPr="005F67F7">
        <w:t xml:space="preserve"> Shmuel Even “Israel’s Defense Expenditure,” </w:t>
      </w:r>
      <w:r w:rsidRPr="005F67F7">
        <w:rPr>
          <w:i/>
        </w:rPr>
        <w:t xml:space="preserve">Strategic Assessment, </w:t>
      </w:r>
      <w:r>
        <w:t>Vol.12, No.</w:t>
      </w:r>
      <w:r w:rsidRPr="005F67F7">
        <w:t>4, (2010)</w:t>
      </w:r>
      <w:r>
        <w:t>.</w:t>
      </w:r>
    </w:p>
  </w:footnote>
  <w:footnote w:id="93">
    <w:p w14:paraId="5E0A06B9" w14:textId="2DF48FCA" w:rsidR="00D14100" w:rsidRPr="005F67F7" w:rsidRDefault="00D14100" w:rsidP="005F67F7">
      <w:pPr>
        <w:pStyle w:val="FootnoteText"/>
      </w:pPr>
      <w:r w:rsidRPr="005F67F7">
        <w:rPr>
          <w:rStyle w:val="FootnoteReference"/>
        </w:rPr>
        <w:footnoteRef/>
      </w:r>
      <w:r w:rsidRPr="005F67F7">
        <w:t xml:space="preserve"> Even, “Israel’s Defense Expenditure,” 47</w:t>
      </w:r>
      <w:r>
        <w:t>.</w:t>
      </w:r>
    </w:p>
  </w:footnote>
  <w:footnote w:id="94">
    <w:p w14:paraId="41B0C012" w14:textId="4E99D195" w:rsidR="00D14100" w:rsidRPr="005F67F7" w:rsidRDefault="00D14100" w:rsidP="005F67F7">
      <w:pPr>
        <w:pStyle w:val="FootnoteText"/>
      </w:pPr>
      <w:r w:rsidRPr="005F67F7">
        <w:rPr>
          <w:rStyle w:val="FootnoteReference"/>
        </w:rPr>
        <w:footnoteRef/>
      </w:r>
      <w:r w:rsidRPr="005F67F7">
        <w:t xml:space="preserve"> Metzer, Jacob, “Some Perspectives On The Israeli Economy: Stocktakng And Looking Ahead,” </w:t>
      </w:r>
      <w:r w:rsidRPr="005F67F7">
        <w:rPr>
          <w:i/>
        </w:rPr>
        <w:t xml:space="preserve">Israel Studies, </w:t>
      </w:r>
      <w:r>
        <w:t>2014, Vol.</w:t>
      </w:r>
      <w:r w:rsidRPr="005F67F7">
        <w:t>19, No.2, 133-161</w:t>
      </w:r>
      <w:r>
        <w:t>.</w:t>
      </w:r>
    </w:p>
  </w:footnote>
  <w:footnote w:id="95">
    <w:p w14:paraId="34C55CB7" w14:textId="0F38C131" w:rsidR="00D14100" w:rsidRPr="005F67F7" w:rsidRDefault="00D14100" w:rsidP="005F67F7">
      <w:pPr>
        <w:pStyle w:val="FootnoteText"/>
      </w:pPr>
      <w:r w:rsidRPr="005F67F7">
        <w:rPr>
          <w:rStyle w:val="FootnoteReference"/>
        </w:rPr>
        <w:footnoteRef/>
      </w:r>
      <w:r w:rsidRPr="005F67F7">
        <w:t xml:space="preserve"> Ibid</w:t>
      </w:r>
      <w:r>
        <w:t>.</w:t>
      </w:r>
    </w:p>
  </w:footnote>
  <w:footnote w:id="96">
    <w:p w14:paraId="12829AB8" w14:textId="77777777" w:rsidR="00D14100" w:rsidRPr="005F67F7" w:rsidRDefault="00D14100" w:rsidP="005F67F7">
      <w:pPr>
        <w:pStyle w:val="FootnoteText"/>
      </w:pPr>
      <w:r w:rsidRPr="005F67F7">
        <w:rPr>
          <w:rStyle w:val="FootnoteReference"/>
        </w:rPr>
        <w:footnoteRef/>
      </w:r>
      <w:r w:rsidRPr="005F67F7">
        <w:t xml:space="preserve"> Jonathan Nitzan and Shimshon Bichler, </w:t>
      </w:r>
      <w:r w:rsidRPr="005F67F7">
        <w:rPr>
          <w:i/>
        </w:rPr>
        <w:t xml:space="preserve">The Global Political Economy Of Israel, </w:t>
      </w:r>
      <w:r w:rsidRPr="005F67F7">
        <w:t>Pluto Press, London, UK, (2002): 198-272.</w:t>
      </w:r>
    </w:p>
  </w:footnote>
  <w:footnote w:id="97">
    <w:p w14:paraId="37764E33" w14:textId="54B4518F" w:rsidR="00D14100" w:rsidRPr="005F67F7" w:rsidRDefault="00D14100" w:rsidP="005F67F7">
      <w:pPr>
        <w:pStyle w:val="FootnoteText"/>
      </w:pPr>
      <w:r w:rsidRPr="005F67F7">
        <w:rPr>
          <w:rStyle w:val="FootnoteReference"/>
        </w:rPr>
        <w:footnoteRef/>
      </w:r>
      <w:r w:rsidRPr="005F67F7">
        <w:t xml:space="preserve"> </w:t>
      </w:r>
      <w:r w:rsidRPr="005F67F7">
        <w:rPr>
          <w:i/>
        </w:rPr>
        <w:t xml:space="preserve">The System Of National Accounts, 2008, </w:t>
      </w:r>
      <w:r w:rsidRPr="005F67F7">
        <w:t>UN,</w:t>
      </w:r>
      <w:r w:rsidRPr="005F67F7">
        <w:rPr>
          <w:i/>
        </w:rPr>
        <w:t xml:space="preserve"> </w:t>
      </w:r>
      <w:r w:rsidRPr="005F67F7">
        <w:t>IMF, OECD, World Bank, European Commission, New York, NY, (200</w:t>
      </w:r>
      <w:r>
        <w:t xml:space="preserve">9), Web, Retrieved 22 Mar 2016, </w:t>
      </w:r>
      <w:hyperlink r:id="rId9" w:history="1">
        <w:r w:rsidRPr="005F67F7">
          <w:rPr>
            <w:rStyle w:val="Hyperlink"/>
          </w:rPr>
          <w:t>Http://Unstats.Un.Org/Unsd/Nationalaccount/Docs/Sna2008.Pdf</w:t>
        </w:r>
      </w:hyperlink>
      <w:r>
        <w:rPr>
          <w:rStyle w:val="Hyperlink"/>
        </w:rPr>
        <w:t>.</w:t>
      </w:r>
      <w:r w:rsidRPr="005F67F7">
        <w:t xml:space="preserve"> </w:t>
      </w:r>
    </w:p>
  </w:footnote>
  <w:footnote w:id="98">
    <w:p w14:paraId="50A2CDB2" w14:textId="1F7FA46D" w:rsidR="00D14100" w:rsidRPr="005F67F7" w:rsidRDefault="00D14100" w:rsidP="005F67F7">
      <w:pPr>
        <w:spacing w:line="240" w:lineRule="auto"/>
        <w:rPr>
          <w:color w:val="000000"/>
          <w:sz w:val="20"/>
          <w:szCs w:val="20"/>
        </w:rPr>
      </w:pPr>
      <w:r w:rsidRPr="005F67F7">
        <w:rPr>
          <w:rStyle w:val="FootnoteReference"/>
          <w:sz w:val="20"/>
          <w:szCs w:val="20"/>
        </w:rPr>
        <w:footnoteRef/>
      </w:r>
      <w:r w:rsidRPr="005F67F7">
        <w:rPr>
          <w:sz w:val="20"/>
          <w:szCs w:val="20"/>
        </w:rPr>
        <w:t xml:space="preserve"> </w:t>
      </w:r>
      <w:r w:rsidRPr="005F67F7">
        <w:rPr>
          <w:color w:val="000000"/>
          <w:sz w:val="20"/>
          <w:szCs w:val="20"/>
        </w:rPr>
        <w:t xml:space="preserve">Israeli Central Bureau Of Statistics, </w:t>
      </w:r>
      <w:r w:rsidRPr="005F67F7">
        <w:rPr>
          <w:i/>
          <w:iCs/>
          <w:color w:val="000000"/>
          <w:sz w:val="20"/>
          <w:szCs w:val="20"/>
        </w:rPr>
        <w:t xml:space="preserve">Defence Expenditure In Israel: 1950-2013, </w:t>
      </w:r>
      <w:r w:rsidRPr="005F67F7">
        <w:rPr>
          <w:color w:val="000000"/>
          <w:sz w:val="20"/>
          <w:szCs w:val="20"/>
        </w:rPr>
        <w:t xml:space="preserve">Nov 2015, Web, Retrieved 21 Mar 2016, </w:t>
      </w:r>
      <w:hyperlink r:id="rId10" w:history="1">
        <w:r w:rsidRPr="00322BED">
          <w:rPr>
            <w:rStyle w:val="Hyperlink"/>
            <w:sz w:val="20"/>
            <w:szCs w:val="20"/>
          </w:rPr>
          <w:t>Http://Www.Cbs.Gov.Il/Webpub/Pub/Text_Page_Eng.Html?Publ=7&amp;Cyear=2013&amp;Cmonth=1</w:t>
        </w:r>
      </w:hyperlink>
      <w:r>
        <w:rPr>
          <w:color w:val="000000"/>
          <w:sz w:val="20"/>
          <w:szCs w:val="20"/>
        </w:rPr>
        <w:t xml:space="preserve">. </w:t>
      </w:r>
      <w:r w:rsidRPr="005F67F7">
        <w:rPr>
          <w:color w:val="000000"/>
          <w:sz w:val="20"/>
          <w:szCs w:val="20"/>
        </w:rPr>
        <w:t xml:space="preserve">  </w:t>
      </w:r>
    </w:p>
  </w:footnote>
  <w:footnote w:id="99">
    <w:p w14:paraId="10BA1755" w14:textId="7ED3A77C" w:rsidR="00D14100" w:rsidRPr="005F67F7" w:rsidRDefault="00D14100" w:rsidP="005F67F7">
      <w:pPr>
        <w:pStyle w:val="FootnoteText"/>
      </w:pPr>
      <w:r w:rsidRPr="005F67F7">
        <w:rPr>
          <w:rStyle w:val="FootnoteReference"/>
        </w:rPr>
        <w:footnoteRef/>
      </w:r>
      <w:r w:rsidRPr="005F67F7">
        <w:t xml:space="preserve"> Shmuel, “Israel’s Defense Expenditure,” 47</w:t>
      </w:r>
      <w:r>
        <w:t>.</w:t>
      </w:r>
    </w:p>
  </w:footnote>
  <w:footnote w:id="100">
    <w:p w14:paraId="4E1DE069" w14:textId="18CD419A" w:rsidR="00D14100" w:rsidRPr="005F67F7" w:rsidRDefault="00D14100" w:rsidP="005F67F7">
      <w:pPr>
        <w:pStyle w:val="FootnoteText"/>
      </w:pPr>
      <w:r w:rsidRPr="005F67F7">
        <w:rPr>
          <w:rStyle w:val="FootnoteReference"/>
        </w:rPr>
        <w:footnoteRef/>
      </w:r>
      <w:r w:rsidRPr="005F67F7">
        <w:t xml:space="preserve"> Mearscheimer And Walt, “The Israel Lobby,” 31</w:t>
      </w:r>
      <w:r>
        <w:t>.</w:t>
      </w:r>
    </w:p>
  </w:footnote>
  <w:footnote w:id="101">
    <w:p w14:paraId="6B36EF63" w14:textId="0F584042" w:rsidR="00D14100" w:rsidRPr="005F67F7" w:rsidRDefault="00D14100" w:rsidP="005F67F7">
      <w:pPr>
        <w:pStyle w:val="FootnoteText"/>
      </w:pPr>
      <w:r w:rsidRPr="005F67F7">
        <w:rPr>
          <w:rStyle w:val="FootnoteReference"/>
        </w:rPr>
        <w:footnoteRef/>
      </w:r>
      <w:r w:rsidRPr="005F67F7">
        <w:t xml:space="preserve"> Ibid, 47</w:t>
      </w:r>
      <w:r>
        <w:t>.</w:t>
      </w:r>
    </w:p>
  </w:footnote>
  <w:footnote w:id="102">
    <w:p w14:paraId="358AA19A" w14:textId="47A5D415" w:rsidR="00D14100" w:rsidRPr="005F67F7" w:rsidRDefault="00D14100" w:rsidP="005F67F7">
      <w:pPr>
        <w:pStyle w:val="FootnoteText"/>
      </w:pPr>
      <w:r w:rsidRPr="005F67F7">
        <w:rPr>
          <w:rStyle w:val="FootnoteReference"/>
        </w:rPr>
        <w:footnoteRef/>
      </w:r>
      <w:r w:rsidRPr="005F67F7">
        <w:t xml:space="preserve"> Ibid, 1</w:t>
      </w:r>
      <w:r>
        <w:t>.</w:t>
      </w:r>
    </w:p>
  </w:footnote>
  <w:footnote w:id="103">
    <w:p w14:paraId="22665582" w14:textId="74A40757" w:rsidR="00D14100" w:rsidRPr="005F67F7" w:rsidRDefault="00D14100" w:rsidP="005F67F7">
      <w:pPr>
        <w:pStyle w:val="FootnoteText"/>
      </w:pPr>
      <w:r w:rsidRPr="005F67F7">
        <w:rPr>
          <w:rStyle w:val="FootnoteReference"/>
        </w:rPr>
        <w:footnoteRef/>
      </w:r>
      <w:r w:rsidRPr="005F67F7">
        <w:t xml:space="preserve"> Michael Porter, Scott Stern, And Michael Green, </w:t>
      </w:r>
      <w:r w:rsidRPr="005F67F7">
        <w:rPr>
          <w:i/>
        </w:rPr>
        <w:t xml:space="preserve">Social Progress Index 2015, </w:t>
      </w:r>
      <w:r w:rsidRPr="005F67F7">
        <w:t xml:space="preserve">Social Progress Imperative, 2015, Web, Retrieved 30 Mar 2016, </w:t>
      </w:r>
      <w:hyperlink r:id="rId11" w:history="1">
        <w:r w:rsidRPr="005F67F7">
          <w:rPr>
            <w:rStyle w:val="Hyperlink"/>
          </w:rPr>
          <w:t>http://www.socialprogressimperative.org/system/resources/w1siziisijiwmtuvmduvmdcvmtcvmjkvmzevmzi4lziwmtvfu09dsufmx1bst0dsrvntx0lorevyx0zjtkfmlnbkzijdxq/2015%20social%20progress%20index_final.pdf</w:t>
        </w:r>
      </w:hyperlink>
      <w:r w:rsidRPr="005F67F7">
        <w:t>.</w:t>
      </w:r>
    </w:p>
  </w:footnote>
  <w:footnote w:id="104">
    <w:p w14:paraId="4AEB176B" w14:textId="4F2524E3" w:rsidR="00D14100" w:rsidRPr="005F67F7" w:rsidRDefault="00D14100" w:rsidP="005F67F7">
      <w:pPr>
        <w:pStyle w:val="FootnoteText"/>
      </w:pPr>
      <w:r w:rsidRPr="005F67F7">
        <w:rPr>
          <w:rStyle w:val="FootnoteReference"/>
        </w:rPr>
        <w:footnoteRef/>
      </w:r>
      <w:r w:rsidRPr="005F67F7">
        <w:t xml:space="preserve"> OECD, Income Inequality Indicator, and Poverty Rate Indicator, Web, Accessed 30 March 2016, </w:t>
      </w:r>
      <w:hyperlink r:id="rId12" w:history="1">
        <w:r w:rsidRPr="005F67F7">
          <w:rPr>
            <w:rStyle w:val="Hyperlink"/>
          </w:rPr>
          <w:t>https://data.oecd.org/</w:t>
        </w:r>
      </w:hyperlink>
      <w:r>
        <w:rPr>
          <w:rStyle w:val="Hyperlink"/>
        </w:rPr>
        <w:t>.</w:t>
      </w:r>
      <w:r w:rsidRPr="005F67F7">
        <w:t xml:space="preserve"> </w:t>
      </w:r>
    </w:p>
  </w:footnote>
  <w:footnote w:id="105">
    <w:p w14:paraId="37EE50BE" w14:textId="77777777" w:rsidR="00D14100" w:rsidRPr="005F67F7" w:rsidRDefault="00D14100" w:rsidP="005F67F7">
      <w:pPr>
        <w:pStyle w:val="FootnoteText"/>
      </w:pPr>
      <w:r w:rsidRPr="005F67F7">
        <w:rPr>
          <w:rStyle w:val="FootnoteReference"/>
        </w:rPr>
        <w:footnoteRef/>
      </w:r>
      <w:r w:rsidRPr="005F67F7">
        <w:t xml:space="preserve"> Bernard Bailyn, </w:t>
      </w:r>
      <w:r w:rsidRPr="005F67F7">
        <w:rPr>
          <w:i/>
        </w:rPr>
        <w:t xml:space="preserve">The Ideological Origins Of The American Revolution, </w:t>
      </w:r>
      <w:r w:rsidRPr="005F67F7">
        <w:t>Belknap Press, Cambridge, MA, (1967).</w:t>
      </w:r>
    </w:p>
  </w:footnote>
  <w:footnote w:id="106">
    <w:p w14:paraId="4C9C5FF1" w14:textId="5E76CD7C" w:rsidR="00D14100" w:rsidRPr="005F67F7" w:rsidRDefault="00D14100" w:rsidP="005F67F7">
      <w:pPr>
        <w:pStyle w:val="FootnoteText"/>
      </w:pPr>
      <w:r w:rsidRPr="005F67F7">
        <w:rPr>
          <w:rStyle w:val="FootnoteReference"/>
        </w:rPr>
        <w:footnoteRef/>
      </w:r>
      <w:r w:rsidRPr="005F67F7">
        <w:t xml:space="preserve"> Thomas Paine, “Prospects On The Rubicon,” In</w:t>
      </w:r>
      <w:r w:rsidRPr="005F67F7">
        <w:rPr>
          <w:i/>
        </w:rPr>
        <w:t xml:space="preserve"> Political Writings Of Thomas Paine: Secretary To The Committee Of Foreign Affairs In The American Revolution, Vol. Ii, </w:t>
      </w:r>
      <w:r w:rsidRPr="005F67F7">
        <w:t>Solomon King, New York, NY, (1830)</w:t>
      </w:r>
      <w:r w:rsidRPr="005F67F7">
        <w:rPr>
          <w:i/>
        </w:rPr>
        <w:t xml:space="preserve">, </w:t>
      </w:r>
      <w:r>
        <w:t>v</w:t>
      </w:r>
      <w:r w:rsidRPr="005F67F7">
        <w:t>ii.</w:t>
      </w:r>
    </w:p>
  </w:footnote>
  <w:footnote w:id="107">
    <w:p w14:paraId="26196F01" w14:textId="3FC5F4A2" w:rsidR="00D14100" w:rsidRPr="005F67F7" w:rsidRDefault="00D14100" w:rsidP="005F67F7">
      <w:pPr>
        <w:pStyle w:val="FootnoteText"/>
      </w:pPr>
      <w:r w:rsidRPr="005F67F7">
        <w:rPr>
          <w:rStyle w:val="FootnoteReference"/>
        </w:rPr>
        <w:footnoteRef/>
      </w:r>
      <w:r w:rsidRPr="005F67F7">
        <w:t xml:space="preserve"> Ibid</w:t>
      </w:r>
      <w:r>
        <w:t>.</w:t>
      </w:r>
    </w:p>
  </w:footnote>
  <w:footnote w:id="108">
    <w:p w14:paraId="38C433A9" w14:textId="175AF7CC" w:rsidR="00D14100" w:rsidRPr="005F67F7" w:rsidRDefault="00D14100" w:rsidP="005F67F7">
      <w:pPr>
        <w:tabs>
          <w:tab w:val="left" w:pos="0"/>
        </w:tabs>
        <w:spacing w:line="240" w:lineRule="auto"/>
        <w:ind w:left="90" w:hanging="90"/>
        <w:rPr>
          <w:sz w:val="20"/>
          <w:szCs w:val="20"/>
        </w:rPr>
      </w:pPr>
      <w:r w:rsidRPr="005F67F7">
        <w:rPr>
          <w:rStyle w:val="FootnoteReference"/>
          <w:sz w:val="20"/>
          <w:szCs w:val="20"/>
        </w:rPr>
        <w:footnoteRef/>
      </w:r>
      <w:r w:rsidRPr="005F67F7">
        <w:rPr>
          <w:sz w:val="20"/>
          <w:szCs w:val="20"/>
        </w:rPr>
        <w:t xml:space="preserve"> Charles Enderlin, </w:t>
      </w:r>
      <w:r w:rsidRPr="005F67F7">
        <w:rPr>
          <w:i/>
          <w:iCs/>
          <w:sz w:val="20"/>
          <w:szCs w:val="20"/>
        </w:rPr>
        <w:t>Shattered Dreams: The Failure of the Peace Process in the Middle East, 1995-2002</w:t>
      </w:r>
      <w:r w:rsidRPr="005F67F7">
        <w:rPr>
          <w:sz w:val="20"/>
          <w:szCs w:val="20"/>
        </w:rPr>
        <w:t>, Other Press, New York, NY, 2003</w:t>
      </w:r>
      <w:r>
        <w:rPr>
          <w:sz w:val="20"/>
          <w:szCs w:val="20"/>
        </w:rPr>
        <w:t>.</w:t>
      </w:r>
    </w:p>
  </w:footnote>
  <w:footnote w:id="109">
    <w:p w14:paraId="59FE9A02" w14:textId="77777777" w:rsidR="00D14100" w:rsidRPr="005F67F7" w:rsidRDefault="00D14100" w:rsidP="005F67F7">
      <w:pPr>
        <w:pStyle w:val="FootnoteText"/>
      </w:pPr>
      <w:r w:rsidRPr="005F67F7">
        <w:rPr>
          <w:rStyle w:val="FootnoteReference"/>
        </w:rPr>
        <w:footnoteRef/>
      </w:r>
      <w:r w:rsidRPr="005F67F7">
        <w:t xml:space="preserve"> </w:t>
      </w:r>
      <w:r w:rsidRPr="005F67F7">
        <w:rPr>
          <w:i/>
        </w:rPr>
        <w:t xml:space="preserve">The Legacy of Camp David: 1979-2009, </w:t>
      </w:r>
      <w:r w:rsidRPr="005F67F7">
        <w:t>The Middle East Institute, Washington D.C., (2010): 7.</w:t>
      </w:r>
    </w:p>
  </w:footnote>
  <w:footnote w:id="110">
    <w:p w14:paraId="176720BC" w14:textId="77777777" w:rsidR="00D14100" w:rsidRPr="005F67F7" w:rsidRDefault="00D14100" w:rsidP="005F67F7">
      <w:pPr>
        <w:pStyle w:val="FootnoteText"/>
      </w:pPr>
      <w:r w:rsidRPr="005F67F7">
        <w:rPr>
          <w:rStyle w:val="FootnoteReference"/>
        </w:rPr>
        <w:footnoteRef/>
      </w:r>
      <w:r w:rsidRPr="005F67F7">
        <w:t xml:space="preserve"> Eric Black, </w:t>
      </w:r>
      <w:r w:rsidRPr="005F67F7">
        <w:rPr>
          <w:i/>
        </w:rPr>
        <w:t>Parallel Realities: A Jewish/Arab History of Israel</w:t>
      </w:r>
      <w:r w:rsidRPr="005F67F7">
        <w:t>/Palestine, Paradigm Press, Cambridge England, (1992).</w:t>
      </w:r>
    </w:p>
  </w:footnote>
  <w:footnote w:id="111">
    <w:p w14:paraId="6A5F9640" w14:textId="77777777" w:rsidR="00D14100" w:rsidRPr="005F67F7" w:rsidRDefault="00D14100" w:rsidP="005F67F7">
      <w:pPr>
        <w:pStyle w:val="FootnoteText"/>
      </w:pPr>
      <w:r w:rsidRPr="005F67F7">
        <w:rPr>
          <w:rStyle w:val="FootnoteReference"/>
        </w:rPr>
        <w:footnoteRef/>
      </w:r>
      <w:r w:rsidRPr="005F67F7">
        <w:t xml:space="preserve"> </w:t>
      </w:r>
      <w:r w:rsidRPr="005F67F7">
        <w:rPr>
          <w:i/>
        </w:rPr>
        <w:t xml:space="preserve">The Legacy of Camp David, </w:t>
      </w:r>
      <w:r w:rsidRPr="005F67F7">
        <w:t>19.</w:t>
      </w:r>
    </w:p>
  </w:footnote>
  <w:footnote w:id="112">
    <w:p w14:paraId="7013F9CD" w14:textId="77777777" w:rsidR="00D14100" w:rsidRPr="005F67F7" w:rsidRDefault="00D14100" w:rsidP="005F67F7">
      <w:pPr>
        <w:pStyle w:val="FootnoteText"/>
        <w:tabs>
          <w:tab w:val="left" w:pos="180"/>
        </w:tabs>
      </w:pPr>
      <w:r w:rsidRPr="005F67F7">
        <w:rPr>
          <w:rStyle w:val="FootnoteReference"/>
        </w:rPr>
        <w:footnoteRef/>
      </w:r>
      <w:r w:rsidRPr="005F67F7">
        <w:t xml:space="preserve"> For more on the military aid that followed the Camp David Accords, see Chapter 1, Section 4- “The Determinants of Extraordinary Defense Spending in Israel.” Also, see: Daniel C. Kurtzer, and Scott B. Lasensky, </w:t>
      </w:r>
      <w:r w:rsidRPr="005F67F7">
        <w:rPr>
          <w:i/>
          <w:iCs/>
        </w:rPr>
        <w:t>Negotiating Arab-Israeli Peace: American Leadership in the Middle East</w:t>
      </w:r>
      <w:r w:rsidRPr="005F67F7">
        <w:t>, USIP, Washington, DC, (2008).</w:t>
      </w:r>
    </w:p>
  </w:footnote>
  <w:footnote w:id="113">
    <w:p w14:paraId="49632489" w14:textId="77777777" w:rsidR="00D14100" w:rsidRPr="005F67F7" w:rsidRDefault="00D14100" w:rsidP="005F67F7">
      <w:pPr>
        <w:pStyle w:val="FootnoteText"/>
      </w:pPr>
      <w:r w:rsidRPr="005F67F7">
        <w:rPr>
          <w:rStyle w:val="FootnoteReference"/>
        </w:rPr>
        <w:footnoteRef/>
      </w:r>
      <w:r w:rsidRPr="005F67F7">
        <w:t xml:space="preserve"> </w:t>
      </w:r>
      <w:r w:rsidRPr="005F67F7">
        <w:rPr>
          <w:i/>
        </w:rPr>
        <w:t xml:space="preserve">The Legacy of Camp David, </w:t>
      </w:r>
      <w:r w:rsidRPr="005F67F7">
        <w:t>19.</w:t>
      </w:r>
    </w:p>
  </w:footnote>
  <w:footnote w:id="114">
    <w:p w14:paraId="7B7D675E" w14:textId="2846BDE0" w:rsidR="00D14100" w:rsidRPr="005F67F7" w:rsidRDefault="00D14100" w:rsidP="005F67F7">
      <w:pPr>
        <w:pStyle w:val="FootnoteText"/>
      </w:pPr>
      <w:r w:rsidRPr="005F67F7">
        <w:rPr>
          <w:rStyle w:val="FootnoteReference"/>
        </w:rPr>
        <w:footnoteRef/>
      </w:r>
      <w:r w:rsidRPr="005F67F7">
        <w:t xml:space="preserve"> Ibid</w:t>
      </w:r>
      <w:r>
        <w:t>.</w:t>
      </w:r>
    </w:p>
  </w:footnote>
  <w:footnote w:id="115">
    <w:p w14:paraId="14F38BEB" w14:textId="77777777" w:rsidR="00D14100" w:rsidRPr="005F67F7" w:rsidRDefault="00D14100" w:rsidP="005F67F7">
      <w:pPr>
        <w:pStyle w:val="FootnoteText"/>
      </w:pPr>
      <w:r w:rsidRPr="005F67F7">
        <w:rPr>
          <w:rStyle w:val="FootnoteReference"/>
        </w:rPr>
        <w:footnoteRef/>
      </w:r>
      <w:r w:rsidRPr="005F67F7">
        <w:t xml:space="preserve"> Ibid,15.  </w:t>
      </w:r>
    </w:p>
  </w:footnote>
  <w:footnote w:id="116">
    <w:p w14:paraId="5E4B7921" w14:textId="3CEEF7BE" w:rsidR="00D14100" w:rsidRPr="005F67F7" w:rsidRDefault="00D14100" w:rsidP="005F67F7">
      <w:pPr>
        <w:pStyle w:val="FootnoteText"/>
      </w:pPr>
      <w:r w:rsidRPr="005F67F7">
        <w:rPr>
          <w:rStyle w:val="FootnoteReference"/>
        </w:rPr>
        <w:footnoteRef/>
      </w:r>
      <w:r w:rsidRPr="005F67F7">
        <w:t xml:space="preserve"> Ibid</w:t>
      </w:r>
      <w:r>
        <w:t>.</w:t>
      </w:r>
    </w:p>
  </w:footnote>
  <w:footnote w:id="117">
    <w:p w14:paraId="1072E120" w14:textId="17E0FBF1" w:rsidR="00D14100" w:rsidRPr="005F67F7" w:rsidRDefault="00D14100" w:rsidP="005F67F7">
      <w:pPr>
        <w:pStyle w:val="FootnoteText"/>
      </w:pPr>
      <w:r w:rsidRPr="005F67F7">
        <w:rPr>
          <w:rStyle w:val="FootnoteReference"/>
        </w:rPr>
        <w:footnoteRef/>
      </w:r>
      <w:r w:rsidRPr="005F67F7">
        <w:t xml:space="preserve"> Yezid Sayigh and Saeb Erekat, “Who Killed the Oslo Accords?” </w:t>
      </w:r>
      <w:r w:rsidRPr="005F67F7">
        <w:rPr>
          <w:i/>
        </w:rPr>
        <w:t xml:space="preserve">Al Jazeera, </w:t>
      </w:r>
      <w:r w:rsidRPr="005F67F7">
        <w:t xml:space="preserve">15 Oct 2015, Web, Retrieved 24 Nov 2015, </w:t>
      </w:r>
      <w:hyperlink r:id="rId13" w:history="1">
        <w:r w:rsidRPr="005F67F7">
          <w:rPr>
            <w:rStyle w:val="Hyperlink"/>
          </w:rPr>
          <w:t>http://www.aljazeera.com/indepth/opinion/2015/10/killed-oslo-accords-151001072411049.html</w:t>
        </w:r>
      </w:hyperlink>
      <w:r>
        <w:rPr>
          <w:rStyle w:val="Hyperlink"/>
        </w:rPr>
        <w:t>.</w:t>
      </w:r>
      <w:r w:rsidRPr="005F67F7">
        <w:t xml:space="preserve"> </w:t>
      </w:r>
    </w:p>
  </w:footnote>
  <w:footnote w:id="118">
    <w:p w14:paraId="22333EF3" w14:textId="77777777" w:rsidR="00D14100" w:rsidRPr="005F67F7" w:rsidRDefault="00D14100" w:rsidP="005F67F7">
      <w:pPr>
        <w:pStyle w:val="FootnoteText"/>
      </w:pPr>
      <w:r w:rsidRPr="005F67F7">
        <w:rPr>
          <w:rStyle w:val="FootnoteReference"/>
        </w:rPr>
        <w:footnoteRef/>
      </w:r>
      <w:r w:rsidRPr="005F67F7">
        <w:t xml:space="preserve"> Sanjiv Gupta et al., “The Elusive Peace Dividend,” </w:t>
      </w:r>
      <w:r w:rsidRPr="005F67F7">
        <w:rPr>
          <w:i/>
        </w:rPr>
        <w:t xml:space="preserve">Finance and Development, </w:t>
      </w:r>
      <w:r w:rsidRPr="005F67F7">
        <w:t>Vol. 39, No.4, (2002).</w:t>
      </w:r>
    </w:p>
  </w:footnote>
  <w:footnote w:id="119">
    <w:p w14:paraId="2302BE34" w14:textId="5BC91B6D" w:rsidR="00D14100" w:rsidRPr="005F67F7" w:rsidRDefault="00D14100" w:rsidP="005F67F7">
      <w:pPr>
        <w:pStyle w:val="FootnoteText"/>
      </w:pPr>
      <w:r w:rsidRPr="005F67F7">
        <w:rPr>
          <w:rStyle w:val="FootnoteReference"/>
        </w:rPr>
        <w:footnoteRef/>
      </w:r>
      <w:r w:rsidRPr="005F67F7">
        <w:t xml:space="preserve"> Abdelmagid Mazen, “When Settlement and Resolution are in Conflict: Searching for a Mideast Peace Dividend,” </w:t>
      </w:r>
      <w:r w:rsidRPr="005F67F7">
        <w:rPr>
          <w:i/>
        </w:rPr>
        <w:t xml:space="preserve">Negotiation Journal, </w:t>
      </w:r>
      <w:r>
        <w:t>Vol.</w:t>
      </w:r>
      <w:r w:rsidRPr="005F67F7">
        <w:t>14, Iss.4, (Oct 1998): 357-367.</w:t>
      </w:r>
    </w:p>
  </w:footnote>
  <w:footnote w:id="120">
    <w:p w14:paraId="3B47A722" w14:textId="37E7E83D" w:rsidR="00D14100" w:rsidRPr="005F67F7" w:rsidRDefault="00D14100" w:rsidP="005F67F7">
      <w:pPr>
        <w:pStyle w:val="FootnoteText"/>
      </w:pPr>
      <w:r w:rsidRPr="005F67F7">
        <w:rPr>
          <w:rStyle w:val="FootnoteReference"/>
        </w:rPr>
        <w:footnoteRef/>
      </w:r>
      <w:r w:rsidRPr="005F67F7">
        <w:t xml:space="preserve"> C.R. Anthony</w:t>
      </w:r>
      <w:r>
        <w:t xml:space="preserve"> et al., </w:t>
      </w:r>
      <w:r w:rsidRPr="004806EC">
        <w:rPr>
          <w:i/>
        </w:rPr>
        <w:t xml:space="preserve">The Costs of the Israeli-Palestinian Conflict. </w:t>
      </w:r>
    </w:p>
  </w:footnote>
  <w:footnote w:id="121">
    <w:p w14:paraId="46E39FD0" w14:textId="790DFA47" w:rsidR="00D14100" w:rsidRPr="005F67F7" w:rsidRDefault="00D14100" w:rsidP="005F67F7">
      <w:pPr>
        <w:pStyle w:val="FootnoteText"/>
      </w:pPr>
      <w:r w:rsidRPr="005F67F7">
        <w:rPr>
          <w:rStyle w:val="FootnoteReference"/>
        </w:rPr>
        <w:footnoteRef/>
      </w:r>
      <w:r w:rsidRPr="005F67F7">
        <w:t xml:space="preserve"> Padraig O’Malley, </w:t>
      </w:r>
      <w:r w:rsidRPr="005F67F7">
        <w:rPr>
          <w:i/>
        </w:rPr>
        <w:t xml:space="preserve">The Two-State </w:t>
      </w:r>
      <w:r>
        <w:rPr>
          <w:i/>
        </w:rPr>
        <w:t>Delusion: Israel and Palestine-</w:t>
      </w:r>
      <w:r w:rsidRPr="005F67F7">
        <w:rPr>
          <w:i/>
        </w:rPr>
        <w:t xml:space="preserve"> a Tale of Two Narratives, </w:t>
      </w:r>
      <w:r w:rsidRPr="005F67F7">
        <w:t>The Penguin Group, New York, NY, (2015).</w:t>
      </w:r>
    </w:p>
  </w:footnote>
  <w:footnote w:id="122">
    <w:p w14:paraId="2576CDF3" w14:textId="582D6D51" w:rsidR="00D14100" w:rsidRPr="005F67F7" w:rsidRDefault="00D14100" w:rsidP="005F67F7">
      <w:pPr>
        <w:pStyle w:val="FootnoteText"/>
      </w:pPr>
      <w:r w:rsidRPr="005F67F7">
        <w:rPr>
          <w:rStyle w:val="FootnoteReference"/>
        </w:rPr>
        <w:footnoteRef/>
      </w:r>
      <w:r w:rsidRPr="005F67F7">
        <w:t xml:space="preserve"> Arie Arnon and Jimmy Weinblatt, “Sovereignty and Economic Development: The Case of Israel and Palestine,” </w:t>
      </w:r>
      <w:r w:rsidRPr="005F67F7">
        <w:rPr>
          <w:i/>
        </w:rPr>
        <w:t xml:space="preserve">The Economic Journal, </w:t>
      </w:r>
      <w:r>
        <w:t>Vol.</w:t>
      </w:r>
      <w:r w:rsidRPr="005F67F7">
        <w:t>111, (2001).</w:t>
      </w:r>
    </w:p>
  </w:footnote>
  <w:footnote w:id="123">
    <w:p w14:paraId="59C79F85" w14:textId="36A304CC" w:rsidR="00D14100" w:rsidRPr="005F67F7" w:rsidRDefault="00D14100" w:rsidP="005F67F7">
      <w:pPr>
        <w:pStyle w:val="FootnoteText"/>
      </w:pPr>
      <w:r w:rsidRPr="005F67F7">
        <w:rPr>
          <w:rStyle w:val="FootnoteReference"/>
        </w:rPr>
        <w:footnoteRef/>
      </w:r>
      <w:r w:rsidRPr="005F67F7">
        <w:t xml:space="preserve"> Ibid, 294</w:t>
      </w:r>
      <w:r>
        <w:t>.</w:t>
      </w:r>
    </w:p>
  </w:footnote>
  <w:footnote w:id="124">
    <w:p w14:paraId="5A3F8CA7" w14:textId="61C7A27A" w:rsidR="00D14100" w:rsidRPr="005F67F7" w:rsidRDefault="00D14100" w:rsidP="005F67F7">
      <w:pPr>
        <w:pStyle w:val="FootnoteText"/>
      </w:pPr>
      <w:r w:rsidRPr="005F67F7">
        <w:rPr>
          <w:rStyle w:val="FootnoteReference"/>
        </w:rPr>
        <w:footnoteRef/>
      </w:r>
      <w:r w:rsidRPr="005F67F7">
        <w:t xml:space="preserve"> </w:t>
      </w:r>
      <w:r w:rsidRPr="005F67F7">
        <w:rPr>
          <w:i/>
        </w:rPr>
        <w:t xml:space="preserve">The Protocol On Economic Relations Between The Government Of The State Of Israel And The PLO, Representing The Palestinian People, </w:t>
      </w:r>
      <w:r w:rsidRPr="005F67F7">
        <w:t>Paris,</w:t>
      </w:r>
      <w:r>
        <w:t xml:space="preserve"> France</w:t>
      </w:r>
      <w:r w:rsidRPr="005F67F7">
        <w:t xml:space="preserve"> (1994).</w:t>
      </w:r>
    </w:p>
  </w:footnote>
  <w:footnote w:id="125">
    <w:p w14:paraId="5303CC9E" w14:textId="77777777" w:rsidR="00D14100" w:rsidRPr="005F67F7" w:rsidRDefault="00D14100" w:rsidP="005F67F7">
      <w:pPr>
        <w:pStyle w:val="FootnoteText"/>
      </w:pPr>
      <w:r w:rsidRPr="005F67F7">
        <w:rPr>
          <w:rStyle w:val="FootnoteReference"/>
        </w:rPr>
        <w:footnoteRef/>
      </w:r>
      <w:r w:rsidRPr="005F67F7">
        <w:t xml:space="preserve"> Arnon And Weinblatt, “Sovereignty And Economic Development,” 297</w:t>
      </w:r>
    </w:p>
  </w:footnote>
  <w:footnote w:id="126">
    <w:p w14:paraId="53CD9D18" w14:textId="74D09BB4" w:rsidR="00D14100" w:rsidRPr="005F67F7" w:rsidRDefault="00D14100" w:rsidP="005F67F7">
      <w:pPr>
        <w:pStyle w:val="FootnoteText"/>
      </w:pPr>
      <w:r w:rsidRPr="005F67F7">
        <w:rPr>
          <w:rStyle w:val="FootnoteReference"/>
        </w:rPr>
        <w:footnoteRef/>
      </w:r>
      <w:r w:rsidRPr="005F67F7">
        <w:t xml:space="preserve"> See </w:t>
      </w:r>
      <w:r>
        <w:t>Figure 5</w:t>
      </w:r>
    </w:p>
  </w:footnote>
  <w:footnote w:id="127">
    <w:p w14:paraId="12107771" w14:textId="42B10B4C" w:rsidR="00D14100" w:rsidRPr="005F67F7" w:rsidRDefault="00D14100" w:rsidP="005F67F7">
      <w:pPr>
        <w:pStyle w:val="FootnoteText"/>
      </w:pPr>
      <w:r w:rsidRPr="005F67F7">
        <w:rPr>
          <w:rStyle w:val="FootnoteReference"/>
        </w:rPr>
        <w:footnoteRef/>
      </w:r>
      <w:r w:rsidRPr="005F67F7">
        <w:t xml:space="preserve"> Arnon And Weinblatt, “Sovereignty And Economic Development,” 297</w:t>
      </w:r>
      <w:r>
        <w:t>.</w:t>
      </w:r>
    </w:p>
  </w:footnote>
  <w:footnote w:id="128">
    <w:p w14:paraId="1CC2D5BD" w14:textId="77777777" w:rsidR="00D14100" w:rsidRPr="005F67F7" w:rsidRDefault="00D14100" w:rsidP="005F67F7">
      <w:pPr>
        <w:pStyle w:val="FootnoteText"/>
      </w:pPr>
      <w:r w:rsidRPr="005F67F7">
        <w:rPr>
          <w:rStyle w:val="FootnoteReference"/>
        </w:rPr>
        <w:footnoteRef/>
      </w:r>
      <w:r w:rsidRPr="005F67F7">
        <w:t xml:space="preserve"> Leila Farsarkh, “Palestinian Labor Migration to Israel Since Oslo and Beyond,” </w:t>
      </w:r>
      <w:r w:rsidRPr="005F67F7">
        <w:rPr>
          <w:i/>
        </w:rPr>
        <w:t xml:space="preserve">Topics in Middle Eastern and North African Economies, </w:t>
      </w:r>
      <w:r w:rsidRPr="005F67F7">
        <w:t>Vol. 4, (2002).</w:t>
      </w:r>
    </w:p>
  </w:footnote>
  <w:footnote w:id="129">
    <w:p w14:paraId="798E6329" w14:textId="26FBD89B" w:rsidR="00D14100" w:rsidRPr="005F67F7" w:rsidRDefault="00D14100" w:rsidP="005F67F7">
      <w:pPr>
        <w:pStyle w:val="FootnoteText"/>
      </w:pPr>
      <w:r w:rsidRPr="005F67F7">
        <w:rPr>
          <w:rStyle w:val="FootnoteReference"/>
        </w:rPr>
        <w:footnoteRef/>
      </w:r>
      <w:r w:rsidRPr="005F67F7">
        <w:t xml:space="preserve"> Ibid</w:t>
      </w:r>
      <w:r>
        <w:t>.</w:t>
      </w:r>
    </w:p>
  </w:footnote>
  <w:footnote w:id="130">
    <w:p w14:paraId="667F223D" w14:textId="77777777" w:rsidR="00D14100" w:rsidRPr="005F67F7" w:rsidRDefault="00D14100" w:rsidP="005F67F7">
      <w:pPr>
        <w:pStyle w:val="FootnoteText"/>
        <w:tabs>
          <w:tab w:val="left" w:pos="900"/>
        </w:tabs>
        <w:ind w:firstLine="4"/>
        <w:rPr>
          <w:b/>
          <w:bCs/>
        </w:rPr>
      </w:pPr>
      <w:r w:rsidRPr="005F67F7">
        <w:rPr>
          <w:rStyle w:val="FootnoteReference"/>
        </w:rPr>
        <w:footnoteRef/>
      </w:r>
      <w:r w:rsidRPr="005F67F7">
        <w:t xml:space="preserve"> </w:t>
      </w:r>
      <w:r w:rsidRPr="005F67F7">
        <w:rPr>
          <w:bCs/>
        </w:rPr>
        <w:t>UNSCO.</w:t>
      </w:r>
      <w:r w:rsidRPr="005F67F7">
        <w:t xml:space="preserve"> </w:t>
      </w:r>
      <w:r w:rsidRPr="005F67F7">
        <w:rPr>
          <w:i/>
        </w:rPr>
        <w:t xml:space="preserve">The Impact on the Palestinian Economy of the Recent Confrontations, Mobility Restriction and Border Closures, 1 October 2000-31 January 2001, </w:t>
      </w:r>
      <w:r w:rsidRPr="005F67F7">
        <w:t xml:space="preserve">Jerusalem, (2001). </w:t>
      </w:r>
    </w:p>
  </w:footnote>
  <w:footnote w:id="131">
    <w:p w14:paraId="3651723A" w14:textId="77777777" w:rsidR="00D14100" w:rsidRPr="005F67F7" w:rsidRDefault="00D14100" w:rsidP="005F67F7">
      <w:pPr>
        <w:pStyle w:val="FootnoteText"/>
      </w:pPr>
      <w:r w:rsidRPr="005F67F7">
        <w:rPr>
          <w:rStyle w:val="FootnoteReference"/>
        </w:rPr>
        <w:footnoteRef/>
      </w:r>
      <w:r w:rsidRPr="005F67F7">
        <w:t xml:space="preserve"> Arnon And Weinblatt, “Sovereignty And Economic Development,” 297</w:t>
      </w:r>
    </w:p>
  </w:footnote>
  <w:footnote w:id="132">
    <w:p w14:paraId="6D97DC68" w14:textId="77777777" w:rsidR="00D14100" w:rsidRPr="005F67F7" w:rsidRDefault="00D14100" w:rsidP="005F67F7">
      <w:pPr>
        <w:pStyle w:val="FootnoteText"/>
      </w:pPr>
      <w:r w:rsidRPr="005F67F7">
        <w:rPr>
          <w:rStyle w:val="FootnoteReference"/>
        </w:rPr>
        <w:footnoteRef/>
      </w:r>
      <w:r w:rsidRPr="005F67F7">
        <w:t xml:space="preserve"> Israel Drori, </w:t>
      </w:r>
      <w:r w:rsidRPr="005F67F7">
        <w:rPr>
          <w:i/>
        </w:rPr>
        <w:t xml:space="preserve">Foreign Workers in Israel: Global Perspectives, </w:t>
      </w:r>
      <w:r w:rsidRPr="005F67F7">
        <w:t xml:space="preserve">State University of New York Press, Albany, NY, (2009): 8. </w:t>
      </w:r>
    </w:p>
  </w:footnote>
  <w:footnote w:id="133">
    <w:p w14:paraId="75EF6A9A" w14:textId="709368A1" w:rsidR="00D14100" w:rsidRPr="005F67F7" w:rsidRDefault="00D14100" w:rsidP="005F67F7">
      <w:pPr>
        <w:pStyle w:val="FootnoteText"/>
      </w:pPr>
      <w:r w:rsidRPr="005F67F7">
        <w:rPr>
          <w:rStyle w:val="FootnoteReference"/>
        </w:rPr>
        <w:footnoteRef/>
      </w:r>
      <w:r>
        <w:t xml:space="preserve"> </w:t>
      </w:r>
      <w:r w:rsidRPr="005F67F7">
        <w:t xml:space="preserve">Miaari </w:t>
      </w:r>
      <w:r>
        <w:t xml:space="preserve">and </w:t>
      </w:r>
      <w:r w:rsidRPr="005F67F7">
        <w:t>Sauer, “The Labor Market Costs of Conflict</w:t>
      </w:r>
      <w:r>
        <w:t>.”</w:t>
      </w:r>
      <w:r w:rsidRPr="005F67F7">
        <w:t xml:space="preserve"> </w:t>
      </w:r>
    </w:p>
  </w:footnote>
  <w:footnote w:id="134">
    <w:p w14:paraId="7CD99AA4" w14:textId="77777777" w:rsidR="00D14100" w:rsidRPr="005F67F7" w:rsidRDefault="00D14100" w:rsidP="005F67F7">
      <w:pPr>
        <w:pStyle w:val="FootnoteText"/>
      </w:pPr>
      <w:r w:rsidRPr="005F67F7">
        <w:rPr>
          <w:rStyle w:val="FootnoteReference"/>
        </w:rPr>
        <w:footnoteRef/>
      </w:r>
      <w:r w:rsidRPr="005F67F7">
        <w:t xml:space="preserve"> David Jaeger and Marco D. Paserman, “The Cycle of Violence? An Empirical Analysis of Fatalities in the Israeli-Palestinian Conflict,” </w:t>
      </w:r>
      <w:r w:rsidRPr="005F67F7">
        <w:rPr>
          <w:i/>
        </w:rPr>
        <w:t xml:space="preserve">IZA Discussion Papers No. 1808, </w:t>
      </w:r>
      <w:r w:rsidRPr="005F67F7">
        <w:t xml:space="preserve">(October 2005): 4. </w:t>
      </w:r>
      <w:r w:rsidRPr="005F67F7">
        <w:rPr>
          <w:i/>
        </w:rPr>
        <w:t xml:space="preserve"> </w:t>
      </w:r>
    </w:p>
  </w:footnote>
  <w:footnote w:id="135">
    <w:p w14:paraId="430E79CB" w14:textId="26B18BA0" w:rsidR="00D14100" w:rsidRPr="005F67F7" w:rsidRDefault="00D14100" w:rsidP="005F67F7">
      <w:pPr>
        <w:pStyle w:val="FootnoteText"/>
      </w:pPr>
      <w:r w:rsidRPr="005F67F7">
        <w:rPr>
          <w:rStyle w:val="FootnoteReference"/>
        </w:rPr>
        <w:footnoteRef/>
      </w:r>
      <w:r w:rsidRPr="005F67F7">
        <w:t xml:space="preserve"> Ibid</w:t>
      </w:r>
      <w:r>
        <w:t>.</w:t>
      </w:r>
    </w:p>
  </w:footnote>
  <w:footnote w:id="136">
    <w:p w14:paraId="1D633019" w14:textId="77777777" w:rsidR="00D14100" w:rsidRPr="005F67F7" w:rsidRDefault="00D14100" w:rsidP="005F67F7">
      <w:pPr>
        <w:pStyle w:val="FootnoteText"/>
      </w:pPr>
      <w:r w:rsidRPr="005F67F7">
        <w:rPr>
          <w:rStyle w:val="FootnoteReference"/>
        </w:rPr>
        <w:footnoteRef/>
      </w:r>
      <w:r w:rsidRPr="005F67F7">
        <w:t xml:space="preserve"> George. J Mitchell, Suleyman Demiral, Warren B. Rudman, Thorbjeorn Jagland, and Javier Solana, </w:t>
      </w:r>
      <w:r w:rsidRPr="005F67F7">
        <w:rPr>
          <w:i/>
        </w:rPr>
        <w:t xml:space="preserve">Report of the Sharm-el-Sheikh Fact-Finding Committee, </w:t>
      </w:r>
      <w:r w:rsidRPr="005F67F7">
        <w:t>United States Government, (April 2001).</w:t>
      </w:r>
    </w:p>
  </w:footnote>
  <w:footnote w:id="137">
    <w:p w14:paraId="0138F046" w14:textId="77777777" w:rsidR="00D14100" w:rsidRPr="005F67F7" w:rsidRDefault="00D14100" w:rsidP="005F67F7">
      <w:pPr>
        <w:pStyle w:val="FootnoteText"/>
      </w:pPr>
      <w:r w:rsidRPr="005F67F7">
        <w:rPr>
          <w:rStyle w:val="FootnoteReference"/>
        </w:rPr>
        <w:footnoteRef/>
      </w:r>
      <w:r w:rsidRPr="005F67F7">
        <w:t xml:space="preserve"> U.S. Department of State, </w:t>
      </w:r>
      <w:r w:rsidRPr="005F67F7">
        <w:rPr>
          <w:i/>
        </w:rPr>
        <w:t xml:space="preserve">Country Reports on Human Rights Practices—2000 (Israel), </w:t>
      </w:r>
      <w:r w:rsidRPr="005F67F7">
        <w:t>Bureau of Democracy, Human Rights, and Labor, (February 2001).</w:t>
      </w:r>
    </w:p>
  </w:footnote>
  <w:footnote w:id="138">
    <w:p w14:paraId="006661F5" w14:textId="77777777" w:rsidR="00D14100" w:rsidRPr="005F67F7" w:rsidRDefault="00D14100" w:rsidP="005F67F7">
      <w:pPr>
        <w:pStyle w:val="FootnoteText"/>
        <w:rPr>
          <w:i/>
        </w:rPr>
      </w:pPr>
      <w:r w:rsidRPr="005F67F7">
        <w:rPr>
          <w:rStyle w:val="FootnoteReference"/>
        </w:rPr>
        <w:footnoteRef/>
      </w:r>
      <w:r w:rsidRPr="005F67F7">
        <w:t xml:space="preserve"> Mitchell, </w:t>
      </w:r>
      <w:r w:rsidRPr="005F67F7">
        <w:rPr>
          <w:i/>
        </w:rPr>
        <w:t>Report of the Sharm-el-Sheikh Fact-Finding Committee</w:t>
      </w:r>
    </w:p>
  </w:footnote>
  <w:footnote w:id="139">
    <w:p w14:paraId="72C8B424" w14:textId="77777777" w:rsidR="00D14100" w:rsidRPr="005F67F7" w:rsidRDefault="00D14100" w:rsidP="005F67F7">
      <w:pPr>
        <w:pStyle w:val="FootnoteText"/>
      </w:pPr>
      <w:r w:rsidRPr="005F67F7">
        <w:rPr>
          <w:rStyle w:val="FootnoteReference"/>
        </w:rPr>
        <w:footnoteRef/>
      </w:r>
      <w:r w:rsidRPr="005F67F7">
        <w:t xml:space="preserve"> Jaeger and Paserman, “The Cycle of Violence?” 28</w:t>
      </w:r>
    </w:p>
  </w:footnote>
  <w:footnote w:id="140">
    <w:p w14:paraId="18B3C100" w14:textId="1620BF7A" w:rsidR="00D14100" w:rsidRPr="005F67F7" w:rsidRDefault="00D14100" w:rsidP="005F67F7">
      <w:pPr>
        <w:pStyle w:val="FootnoteText"/>
      </w:pPr>
      <w:r w:rsidRPr="005F67F7">
        <w:rPr>
          <w:rStyle w:val="FootnoteReference"/>
        </w:rPr>
        <w:footnoteRef/>
      </w:r>
      <w:r w:rsidRPr="005F67F7">
        <w:t xml:space="preserve"> Ibid, 6</w:t>
      </w:r>
      <w:r>
        <w:t>.</w:t>
      </w:r>
    </w:p>
  </w:footnote>
  <w:footnote w:id="141">
    <w:p w14:paraId="42FFEB00" w14:textId="04464063" w:rsidR="00D14100" w:rsidRPr="005F67F7" w:rsidRDefault="00D14100" w:rsidP="005F67F7">
      <w:pPr>
        <w:pStyle w:val="FootnoteText"/>
      </w:pPr>
      <w:r w:rsidRPr="005F67F7">
        <w:rPr>
          <w:rStyle w:val="FootnoteReference"/>
        </w:rPr>
        <w:footnoteRef/>
      </w:r>
      <w:r w:rsidRPr="005F67F7">
        <w:t xml:space="preserve"> Ibid</w:t>
      </w:r>
      <w:r>
        <w:t>.</w:t>
      </w:r>
    </w:p>
  </w:footnote>
  <w:footnote w:id="142">
    <w:p w14:paraId="6EE73C35" w14:textId="77777777" w:rsidR="00D14100" w:rsidRPr="005F67F7" w:rsidRDefault="00D14100" w:rsidP="005F67F7">
      <w:pPr>
        <w:pStyle w:val="FootnoteText"/>
      </w:pPr>
      <w:r w:rsidRPr="005F67F7">
        <w:rPr>
          <w:rStyle w:val="FootnoteReference"/>
        </w:rPr>
        <w:footnoteRef/>
      </w:r>
      <w:r w:rsidRPr="005F67F7">
        <w:t xml:space="preserve"> Shaul E. Cohen, “Israel’s West Bank Barrier: An Impediment To Peace?” </w:t>
      </w:r>
      <w:r w:rsidRPr="005F67F7">
        <w:rPr>
          <w:i/>
        </w:rPr>
        <w:t xml:space="preserve">The Geographical Review, </w:t>
      </w:r>
      <w:r w:rsidRPr="005F67F7">
        <w:t>Vol. 96, No. 4, (October 2006): 682-695, 689.</w:t>
      </w:r>
    </w:p>
  </w:footnote>
  <w:footnote w:id="143">
    <w:p w14:paraId="37FDBBF5" w14:textId="77777777" w:rsidR="00D14100" w:rsidRPr="005F67F7" w:rsidRDefault="00D14100" w:rsidP="005F67F7">
      <w:pPr>
        <w:pStyle w:val="FootnoteText"/>
      </w:pPr>
      <w:r w:rsidRPr="005F67F7">
        <w:rPr>
          <w:rStyle w:val="FootnoteReference"/>
        </w:rPr>
        <w:footnoteRef/>
      </w:r>
      <w:r w:rsidRPr="005F67F7">
        <w:t xml:space="preserve"> Peter Lagerquist, “Fencing The Last Sky: Excavating Palestine After Israel’s “Separation Wall,” </w:t>
      </w:r>
      <w:r w:rsidRPr="005F67F7">
        <w:rPr>
          <w:i/>
        </w:rPr>
        <w:t xml:space="preserve">Journal Of Palestine Studies, </w:t>
      </w:r>
      <w:r w:rsidRPr="005F67F7">
        <w:t>Vol 33. No 2., (Winter 2004): 5-35.</w:t>
      </w:r>
    </w:p>
  </w:footnote>
  <w:footnote w:id="144">
    <w:p w14:paraId="1C2085D7" w14:textId="015E76ED" w:rsidR="00D14100" w:rsidRPr="005F67F7" w:rsidRDefault="00D14100" w:rsidP="005F67F7">
      <w:pPr>
        <w:pStyle w:val="FootnoteText"/>
      </w:pPr>
      <w:r w:rsidRPr="005F67F7">
        <w:rPr>
          <w:rStyle w:val="FootnoteReference"/>
        </w:rPr>
        <w:footnoteRef/>
      </w:r>
      <w:r w:rsidRPr="005F67F7">
        <w:t xml:space="preserve"> Ibid</w:t>
      </w:r>
      <w:r>
        <w:t>.</w:t>
      </w:r>
    </w:p>
  </w:footnote>
  <w:footnote w:id="145">
    <w:p w14:paraId="26BB48CC" w14:textId="77777777" w:rsidR="00D14100" w:rsidRPr="005F67F7" w:rsidRDefault="00D14100" w:rsidP="005F67F7">
      <w:pPr>
        <w:pStyle w:val="FootnoteText"/>
      </w:pPr>
      <w:r w:rsidRPr="005F67F7">
        <w:rPr>
          <w:rStyle w:val="FootnoteReference"/>
        </w:rPr>
        <w:footnoteRef/>
      </w:r>
      <w:r w:rsidRPr="005F67F7">
        <w:t xml:space="preserve"> Dima Qato Et Al, “West Bank Barrier Decreases Access To Schools And Health Services,” </w:t>
      </w:r>
      <w:r w:rsidRPr="005F67F7">
        <w:rPr>
          <w:i/>
        </w:rPr>
        <w:t xml:space="preserve">Prehospital And Disaster Medicine, </w:t>
      </w:r>
      <w:r w:rsidRPr="005F67F7">
        <w:t>Vol. 22, No. 4, (2007): 263-266, 263.</w:t>
      </w:r>
    </w:p>
  </w:footnote>
  <w:footnote w:id="146">
    <w:p w14:paraId="79E47CB8" w14:textId="77777777" w:rsidR="00D14100" w:rsidRPr="005F67F7" w:rsidRDefault="00D14100" w:rsidP="005F67F7">
      <w:pPr>
        <w:pStyle w:val="FootnoteText"/>
      </w:pPr>
      <w:r w:rsidRPr="005F67F7">
        <w:rPr>
          <w:rStyle w:val="FootnoteReference"/>
        </w:rPr>
        <w:footnoteRef/>
      </w:r>
      <w:r w:rsidRPr="005F67F7">
        <w:t xml:space="preserve"> Julie Trottier, “A Wall, Water, And Power: The Israeli ‘Separation Fence,’” </w:t>
      </w:r>
      <w:r w:rsidRPr="005F67F7">
        <w:rPr>
          <w:i/>
        </w:rPr>
        <w:t xml:space="preserve">Review Of International Studies, </w:t>
      </w:r>
      <w:r w:rsidRPr="005F67F7">
        <w:t>Vol. 33, No. 1, (January 2007): 105-127.</w:t>
      </w:r>
    </w:p>
  </w:footnote>
  <w:footnote w:id="147">
    <w:p w14:paraId="4D918B0A" w14:textId="77777777" w:rsidR="00D14100" w:rsidRPr="005F67F7" w:rsidRDefault="00D14100" w:rsidP="005F67F7">
      <w:pPr>
        <w:pStyle w:val="FootnoteText"/>
      </w:pPr>
      <w:r w:rsidRPr="005F67F7">
        <w:rPr>
          <w:rStyle w:val="FootnoteReference"/>
        </w:rPr>
        <w:footnoteRef/>
      </w:r>
      <w:r w:rsidRPr="005F67F7">
        <w:t xml:space="preserve"> Miaari and Sauer, “The Labor Market Costs of Conflict,” 136</w:t>
      </w:r>
    </w:p>
  </w:footnote>
  <w:footnote w:id="148">
    <w:p w14:paraId="638FE38F" w14:textId="47A99773" w:rsidR="00D14100" w:rsidRPr="005F67F7" w:rsidRDefault="00D14100" w:rsidP="005F67F7">
      <w:pPr>
        <w:pStyle w:val="FootnoteText"/>
      </w:pPr>
      <w:r w:rsidRPr="005F67F7">
        <w:rPr>
          <w:rStyle w:val="FootnoteReference"/>
        </w:rPr>
        <w:footnoteRef/>
      </w:r>
      <w:r>
        <w:t xml:space="preserve"> See Figure 5</w:t>
      </w:r>
    </w:p>
  </w:footnote>
  <w:footnote w:id="149">
    <w:p w14:paraId="2219D87E" w14:textId="77777777" w:rsidR="00D14100" w:rsidRPr="005F67F7" w:rsidRDefault="00D14100" w:rsidP="005F67F7">
      <w:pPr>
        <w:pStyle w:val="FootnoteText"/>
      </w:pPr>
      <w:r w:rsidRPr="005F67F7">
        <w:rPr>
          <w:rStyle w:val="FootnoteReference"/>
        </w:rPr>
        <w:footnoteRef/>
      </w:r>
      <w:r w:rsidRPr="005F67F7">
        <w:t xml:space="preserve"> Miaari and Sauer, “The Labor Market Costs of Conflict,” 136</w:t>
      </w:r>
    </w:p>
  </w:footnote>
  <w:footnote w:id="150">
    <w:p w14:paraId="549310B2" w14:textId="20052024" w:rsidR="00D14100" w:rsidRPr="005F67F7" w:rsidRDefault="00D14100" w:rsidP="005F67F7">
      <w:pPr>
        <w:pStyle w:val="FootnoteText"/>
      </w:pPr>
      <w:r w:rsidRPr="005F67F7">
        <w:rPr>
          <w:rStyle w:val="FootnoteReference"/>
        </w:rPr>
        <w:footnoteRef/>
      </w:r>
      <w:r w:rsidRPr="005F67F7">
        <w:t xml:space="preserve"> Ibid</w:t>
      </w:r>
      <w:r>
        <w:t>.</w:t>
      </w:r>
      <w:r w:rsidRPr="005F67F7">
        <w:t xml:space="preserve"> </w:t>
      </w:r>
    </w:p>
  </w:footnote>
  <w:footnote w:id="151">
    <w:p w14:paraId="28F45BF9" w14:textId="77777777" w:rsidR="00D14100" w:rsidRPr="005F67F7" w:rsidRDefault="00D14100" w:rsidP="005F67F7">
      <w:pPr>
        <w:tabs>
          <w:tab w:val="left" w:pos="900"/>
        </w:tabs>
        <w:spacing w:line="240" w:lineRule="auto"/>
        <w:rPr>
          <w:sz w:val="20"/>
          <w:szCs w:val="20"/>
        </w:rPr>
      </w:pPr>
      <w:r w:rsidRPr="005F67F7">
        <w:rPr>
          <w:rStyle w:val="FootnoteReference"/>
          <w:sz w:val="20"/>
          <w:szCs w:val="20"/>
        </w:rPr>
        <w:footnoteRef/>
      </w:r>
      <w:r w:rsidRPr="005F67F7">
        <w:rPr>
          <w:sz w:val="20"/>
          <w:szCs w:val="20"/>
        </w:rPr>
        <w:t xml:space="preserve"> Leila </w:t>
      </w:r>
      <w:r w:rsidRPr="005F67F7">
        <w:rPr>
          <w:bCs/>
          <w:sz w:val="20"/>
          <w:szCs w:val="20"/>
        </w:rPr>
        <w:t>Farsakh</w:t>
      </w:r>
      <w:r w:rsidRPr="005F67F7">
        <w:rPr>
          <w:sz w:val="20"/>
          <w:szCs w:val="20"/>
        </w:rPr>
        <w:t xml:space="preserve">, </w:t>
      </w:r>
      <w:r w:rsidRPr="005F67F7">
        <w:rPr>
          <w:i/>
          <w:sz w:val="20"/>
          <w:szCs w:val="20"/>
        </w:rPr>
        <w:t>Palestinian Employment In Israel 1967-1997: A Review,</w:t>
      </w:r>
      <w:r w:rsidRPr="005F67F7">
        <w:rPr>
          <w:sz w:val="20"/>
          <w:szCs w:val="20"/>
        </w:rPr>
        <w:t xml:space="preserve"> MAS Ramallah, West Bank, (1998).</w:t>
      </w:r>
    </w:p>
  </w:footnote>
  <w:footnote w:id="152">
    <w:p w14:paraId="41793B18" w14:textId="77777777" w:rsidR="00D14100" w:rsidRPr="005F67F7" w:rsidRDefault="00D14100" w:rsidP="005F67F7">
      <w:pPr>
        <w:pStyle w:val="FootnoteText"/>
      </w:pPr>
      <w:r w:rsidRPr="005F67F7">
        <w:rPr>
          <w:rStyle w:val="FootnoteReference"/>
        </w:rPr>
        <w:footnoteRef/>
      </w:r>
      <w:r w:rsidRPr="005F67F7">
        <w:t xml:space="preserve"> Massimiliano Cali and Sami Miaari, “The Labour Market Impacts of Mobility Restrictions: Evidence from the West Bank,” </w:t>
      </w:r>
      <w:r w:rsidRPr="005F67F7">
        <w:rPr>
          <w:i/>
        </w:rPr>
        <w:t>Conference Paper: 53</w:t>
      </w:r>
      <w:r w:rsidRPr="005F67F7">
        <w:rPr>
          <w:i/>
          <w:vertAlign w:val="superscript"/>
        </w:rPr>
        <w:t>rd</w:t>
      </w:r>
      <w:r w:rsidRPr="005F67F7">
        <w:rPr>
          <w:i/>
        </w:rPr>
        <w:t xml:space="preserve"> Congress of the European Regional Science Association</w:t>
      </w:r>
      <w:r w:rsidRPr="005F67F7">
        <w:t>, (2013).</w:t>
      </w:r>
    </w:p>
  </w:footnote>
  <w:footnote w:id="153">
    <w:p w14:paraId="62DCE72D" w14:textId="7FAEC7D6" w:rsidR="00D14100" w:rsidRPr="005F67F7" w:rsidRDefault="00D14100" w:rsidP="005F67F7">
      <w:pPr>
        <w:pStyle w:val="FootnoteText"/>
      </w:pPr>
      <w:r w:rsidRPr="005F67F7">
        <w:rPr>
          <w:rStyle w:val="FootnoteReference"/>
        </w:rPr>
        <w:footnoteRef/>
      </w:r>
      <w:r w:rsidRPr="005F67F7">
        <w:t xml:space="preserve"> Ibid, 6</w:t>
      </w:r>
      <w:r>
        <w:t>.</w:t>
      </w:r>
    </w:p>
  </w:footnote>
  <w:footnote w:id="154">
    <w:p w14:paraId="4F9D92EC" w14:textId="77777777" w:rsidR="00D14100" w:rsidRPr="005F67F7" w:rsidRDefault="00D14100" w:rsidP="005F67F7">
      <w:pPr>
        <w:pStyle w:val="FootnoteText"/>
      </w:pPr>
      <w:r w:rsidRPr="005F67F7">
        <w:rPr>
          <w:rStyle w:val="FootnoteReference"/>
        </w:rPr>
        <w:footnoteRef/>
      </w:r>
      <w:r w:rsidRPr="005F67F7">
        <w:t xml:space="preserve"> Wifag Adnan, “Who Gets to Cross the Border? The Impact of Mobility Restrictions on Labor Flows in the West Bank,” </w:t>
      </w:r>
      <w:r w:rsidRPr="005F67F7">
        <w:rPr>
          <w:i/>
        </w:rPr>
        <w:t xml:space="preserve">Labour Economics, </w:t>
      </w:r>
      <w:r w:rsidRPr="005F67F7">
        <w:t xml:space="preserve">Vol. 34, (2015): 86-99. </w:t>
      </w:r>
    </w:p>
  </w:footnote>
  <w:footnote w:id="155">
    <w:p w14:paraId="6B1A3EF3" w14:textId="77777777" w:rsidR="00D14100" w:rsidRPr="005F67F7" w:rsidRDefault="00D14100" w:rsidP="005F67F7">
      <w:pPr>
        <w:spacing w:line="240" w:lineRule="auto"/>
        <w:rPr>
          <w:sz w:val="20"/>
          <w:szCs w:val="20"/>
        </w:rPr>
      </w:pPr>
      <w:r w:rsidRPr="005F67F7">
        <w:rPr>
          <w:rStyle w:val="FootnoteReference"/>
          <w:sz w:val="20"/>
          <w:szCs w:val="20"/>
        </w:rPr>
        <w:footnoteRef/>
      </w:r>
      <w:r w:rsidRPr="005F67F7">
        <w:rPr>
          <w:sz w:val="20"/>
          <w:szCs w:val="20"/>
        </w:rPr>
        <w:t xml:space="preserve"> Ethan Bueno de Mesquita, ‘‘The Quality of Terror,’’ </w:t>
      </w:r>
      <w:r w:rsidRPr="005F67F7">
        <w:rPr>
          <w:i/>
          <w:sz w:val="20"/>
          <w:szCs w:val="20"/>
        </w:rPr>
        <w:t xml:space="preserve">American Journal of Political Science, </w:t>
      </w:r>
      <w:r w:rsidRPr="005F67F7">
        <w:rPr>
          <w:sz w:val="20"/>
          <w:szCs w:val="20"/>
        </w:rPr>
        <w:t>Vol. 49 No.3, (2005): 515–30.</w:t>
      </w:r>
    </w:p>
    <w:p w14:paraId="68EDDA99" w14:textId="77777777" w:rsidR="00D14100" w:rsidRPr="005F67F7" w:rsidRDefault="00D14100" w:rsidP="005F67F7">
      <w:pPr>
        <w:pStyle w:val="FootnoteText"/>
      </w:pPr>
    </w:p>
  </w:footnote>
  <w:footnote w:id="156">
    <w:p w14:paraId="07E81632" w14:textId="77777777" w:rsidR="00D14100" w:rsidRPr="005F67F7" w:rsidRDefault="00D14100" w:rsidP="005F67F7">
      <w:pPr>
        <w:spacing w:line="240" w:lineRule="auto"/>
        <w:rPr>
          <w:sz w:val="20"/>
          <w:szCs w:val="20"/>
        </w:rPr>
      </w:pPr>
      <w:r w:rsidRPr="005F67F7">
        <w:rPr>
          <w:rStyle w:val="FootnoteReference"/>
          <w:sz w:val="20"/>
          <w:szCs w:val="20"/>
        </w:rPr>
        <w:footnoteRef/>
      </w:r>
      <w:r w:rsidRPr="005F67F7">
        <w:rPr>
          <w:sz w:val="20"/>
          <w:szCs w:val="20"/>
        </w:rPr>
        <w:t xml:space="preserve"> Efraim Benmelech and Claude Berrebi, “Human Capital and the Productivity of Suicide Bombers,” </w:t>
      </w:r>
      <w:r w:rsidRPr="005F67F7">
        <w:rPr>
          <w:i/>
          <w:sz w:val="20"/>
          <w:szCs w:val="20"/>
        </w:rPr>
        <w:t>Journal of Economic Perspectives</w:t>
      </w:r>
      <w:r w:rsidRPr="005F67F7">
        <w:rPr>
          <w:sz w:val="20"/>
          <w:szCs w:val="20"/>
        </w:rPr>
        <w:t>, Vol.21 No.3, (2007): 223–38.</w:t>
      </w:r>
    </w:p>
  </w:footnote>
  <w:footnote w:id="157">
    <w:p w14:paraId="6DA8443E" w14:textId="77777777" w:rsidR="00D14100" w:rsidRPr="005F67F7" w:rsidRDefault="00D14100" w:rsidP="005F67F7">
      <w:pPr>
        <w:spacing w:line="240" w:lineRule="auto"/>
        <w:rPr>
          <w:sz w:val="20"/>
          <w:szCs w:val="20"/>
        </w:rPr>
      </w:pPr>
      <w:r w:rsidRPr="005F67F7">
        <w:rPr>
          <w:rStyle w:val="FootnoteReference"/>
          <w:sz w:val="20"/>
          <w:szCs w:val="20"/>
        </w:rPr>
        <w:footnoteRef/>
      </w:r>
      <w:r w:rsidRPr="005F67F7">
        <w:rPr>
          <w:sz w:val="20"/>
          <w:szCs w:val="20"/>
        </w:rPr>
        <w:t xml:space="preserve"> Stéphane Pallage et al., “The Potential of Foreign Aid as Insurance,” </w:t>
      </w:r>
      <w:r w:rsidRPr="005F67F7">
        <w:rPr>
          <w:i/>
          <w:sz w:val="20"/>
          <w:szCs w:val="20"/>
        </w:rPr>
        <w:t xml:space="preserve">IMF Staff Papers, </w:t>
      </w:r>
      <w:r w:rsidRPr="005F67F7">
        <w:rPr>
          <w:sz w:val="20"/>
          <w:szCs w:val="20"/>
        </w:rPr>
        <w:t xml:space="preserve">Vol. 53, No. 3, (2006): 453-475. Jim Zanotti, “U.S. Foreign Aid to the Palestinians, </w:t>
      </w:r>
      <w:r w:rsidRPr="005F67F7">
        <w:rPr>
          <w:i/>
          <w:sz w:val="20"/>
          <w:szCs w:val="20"/>
        </w:rPr>
        <w:t xml:space="preserve">Congressional Research Services, </w:t>
      </w:r>
      <w:r w:rsidRPr="005F67F7">
        <w:rPr>
          <w:sz w:val="20"/>
          <w:szCs w:val="20"/>
        </w:rPr>
        <w:t xml:space="preserve">3 Jul 2014, Web, </w:t>
      </w:r>
      <w:hyperlink r:id="rId14" w:history="1">
        <w:r w:rsidRPr="005F67F7">
          <w:rPr>
            <w:rStyle w:val="Hyperlink"/>
            <w:sz w:val="20"/>
            <w:szCs w:val="20"/>
          </w:rPr>
          <w:t>https://www.fas.org/sgp/crs/mideast/RS22967.pdf</w:t>
        </w:r>
      </w:hyperlink>
      <w:r w:rsidRPr="005F67F7">
        <w:rPr>
          <w:sz w:val="20"/>
          <w:szCs w:val="20"/>
        </w:rPr>
        <w:t>.</w:t>
      </w:r>
    </w:p>
  </w:footnote>
  <w:footnote w:id="158">
    <w:p w14:paraId="6B4EF4AF" w14:textId="77777777" w:rsidR="00D14100" w:rsidRPr="005F67F7" w:rsidRDefault="00D14100" w:rsidP="005F67F7">
      <w:pPr>
        <w:pStyle w:val="FootnoteText"/>
      </w:pPr>
      <w:r w:rsidRPr="005F67F7">
        <w:rPr>
          <w:rStyle w:val="FootnoteReference"/>
        </w:rPr>
        <w:footnoteRef/>
      </w:r>
      <w:r w:rsidRPr="005F67F7">
        <w:t xml:space="preserve"> Anne Le More, “Killing with Kindness: Funding the Demise of a Palestinian State, </w:t>
      </w:r>
      <w:r w:rsidRPr="005F67F7">
        <w:rPr>
          <w:i/>
        </w:rPr>
        <w:t xml:space="preserve">International Affairs, </w:t>
      </w:r>
      <w:r w:rsidRPr="005F67F7">
        <w:t>Vol. 81, No. 5, (2005): 981-999.</w:t>
      </w:r>
    </w:p>
  </w:footnote>
  <w:footnote w:id="159">
    <w:p w14:paraId="4F0DC8A5" w14:textId="77777777" w:rsidR="00D14100" w:rsidRPr="005F67F7" w:rsidRDefault="00D14100" w:rsidP="005F67F7">
      <w:pPr>
        <w:tabs>
          <w:tab w:val="left" w:pos="900"/>
        </w:tabs>
        <w:spacing w:line="240" w:lineRule="auto"/>
        <w:jc w:val="both"/>
        <w:rPr>
          <w:sz w:val="20"/>
          <w:szCs w:val="20"/>
        </w:rPr>
      </w:pPr>
      <w:r w:rsidRPr="005F67F7">
        <w:rPr>
          <w:rStyle w:val="FootnoteReference"/>
          <w:sz w:val="20"/>
          <w:szCs w:val="20"/>
        </w:rPr>
        <w:footnoteRef/>
      </w:r>
      <w:r w:rsidRPr="005F67F7">
        <w:rPr>
          <w:bCs/>
          <w:sz w:val="20"/>
          <w:szCs w:val="20"/>
        </w:rPr>
        <w:t xml:space="preserve"> Ishac Diwan And Radwan Shaban, </w:t>
      </w:r>
      <w:r w:rsidRPr="005F67F7">
        <w:rPr>
          <w:i/>
          <w:sz w:val="20"/>
          <w:szCs w:val="20"/>
        </w:rPr>
        <w:t>Development Under Adversity: The Palestinian Economy In Transition.</w:t>
      </w:r>
      <w:r w:rsidRPr="005F67F7">
        <w:rPr>
          <w:sz w:val="20"/>
          <w:szCs w:val="20"/>
        </w:rPr>
        <w:t xml:space="preserve"> MAS-World Bank Joint Report, Washington, DC, (1999). </w:t>
      </w:r>
    </w:p>
  </w:footnote>
  <w:footnote w:id="160">
    <w:p w14:paraId="5ED75182" w14:textId="77777777" w:rsidR="00D14100" w:rsidRPr="005F67F7" w:rsidRDefault="00D14100" w:rsidP="005F67F7">
      <w:pPr>
        <w:pStyle w:val="FootnoteText"/>
      </w:pPr>
      <w:r w:rsidRPr="005F67F7">
        <w:rPr>
          <w:rStyle w:val="FootnoteReference"/>
        </w:rPr>
        <w:footnoteRef/>
      </w:r>
      <w:r w:rsidRPr="005F67F7">
        <w:t xml:space="preserve"> Le More, “Killing with Kindness,” 984</w:t>
      </w:r>
    </w:p>
  </w:footnote>
  <w:footnote w:id="161">
    <w:p w14:paraId="055ED3D4" w14:textId="77777777" w:rsidR="00D14100" w:rsidRPr="005F67F7" w:rsidRDefault="00D14100" w:rsidP="005F67F7">
      <w:pPr>
        <w:pStyle w:val="FootnoteText"/>
      </w:pPr>
      <w:r w:rsidRPr="005F67F7">
        <w:rPr>
          <w:rStyle w:val="FootnoteReference"/>
        </w:rPr>
        <w:footnoteRef/>
      </w:r>
      <w:r w:rsidRPr="005F67F7">
        <w:t xml:space="preserve"> Arnon and Weinblatt, “Sovereignty and Economic Development,” 293</w:t>
      </w:r>
    </w:p>
  </w:footnote>
  <w:footnote w:id="162">
    <w:p w14:paraId="180037BE" w14:textId="77777777" w:rsidR="00D14100" w:rsidRPr="005F67F7" w:rsidRDefault="00D14100" w:rsidP="005F67F7">
      <w:pPr>
        <w:pStyle w:val="FootnoteText"/>
      </w:pPr>
      <w:r w:rsidRPr="005F67F7">
        <w:rPr>
          <w:rStyle w:val="FootnoteReference"/>
        </w:rPr>
        <w:footnoteRef/>
      </w:r>
      <w:r w:rsidRPr="005F67F7">
        <w:t xml:space="preserve"> “Palestinian Labor Force Survey: Q3 2015,” </w:t>
      </w:r>
      <w:r w:rsidRPr="005F67F7">
        <w:rPr>
          <w:i/>
        </w:rPr>
        <w:t xml:space="preserve">Palestinian Central Bureau of Statistics, </w:t>
      </w:r>
      <w:r w:rsidRPr="005F67F7">
        <w:t>Ramallah, West Bank, (2015).</w:t>
      </w:r>
    </w:p>
  </w:footnote>
  <w:footnote w:id="163">
    <w:p w14:paraId="5B672433" w14:textId="77777777" w:rsidR="00D14100" w:rsidRPr="005F67F7" w:rsidRDefault="00D14100" w:rsidP="005F67F7">
      <w:pPr>
        <w:pStyle w:val="FootnoteText"/>
      </w:pPr>
      <w:r w:rsidRPr="005F67F7">
        <w:rPr>
          <w:rStyle w:val="FootnoteReference"/>
        </w:rPr>
        <w:footnoteRef/>
      </w:r>
      <w:r w:rsidRPr="005F67F7">
        <w:t xml:space="preserve"> Lahav Harkov, “Higher Penalty for Hiring Illegal Palestinian workers Passes Final Vote,” </w:t>
      </w:r>
      <w:r w:rsidRPr="005F67F7">
        <w:rPr>
          <w:i/>
        </w:rPr>
        <w:t xml:space="preserve">The Jerusalem Post, </w:t>
      </w:r>
      <w:r w:rsidRPr="005F67F7">
        <w:t xml:space="preserve">15 Mar 2016, Web, Retrieved 3 Apr 2016, </w:t>
      </w:r>
    </w:p>
    <w:p w14:paraId="1EE4B0DD" w14:textId="77777777" w:rsidR="00D14100" w:rsidRPr="005F67F7" w:rsidRDefault="00500133" w:rsidP="005F67F7">
      <w:pPr>
        <w:pStyle w:val="FootnoteText"/>
      </w:pPr>
      <w:hyperlink r:id="rId15" w:history="1">
        <w:r w:rsidR="00D14100" w:rsidRPr="005F67F7">
          <w:rPr>
            <w:rStyle w:val="Hyperlink"/>
          </w:rPr>
          <w:t>http://www.jpost.com/Israel-News/Politics-And-Diplomacy/Higher-penalty-for-hiring-illegal-Palestinian-workers-heads-to-final-vote-447943</w:t>
        </w:r>
      </w:hyperlink>
      <w:r w:rsidR="00D14100" w:rsidRPr="005F67F7">
        <w:t xml:space="preserve"> </w:t>
      </w:r>
    </w:p>
  </w:footnote>
  <w:footnote w:id="164">
    <w:p w14:paraId="4661DD2F" w14:textId="6E9DDAAD" w:rsidR="00D14100" w:rsidRPr="005F67F7" w:rsidRDefault="00D14100" w:rsidP="005F67F7">
      <w:pPr>
        <w:pStyle w:val="FootnoteText"/>
      </w:pPr>
      <w:r w:rsidRPr="005F67F7">
        <w:rPr>
          <w:rStyle w:val="FootnoteReference"/>
        </w:rPr>
        <w:footnoteRef/>
      </w:r>
      <w:r>
        <w:t xml:space="preserve"> Harel</w:t>
      </w:r>
      <w:r w:rsidRPr="005F67F7">
        <w:t>, “Military</w:t>
      </w:r>
      <w:r>
        <w:t xml:space="preserve"> Wants 30,000 More Palestinians.”</w:t>
      </w:r>
    </w:p>
  </w:footnote>
  <w:footnote w:id="165">
    <w:p w14:paraId="336F382E" w14:textId="77777777" w:rsidR="00D14100" w:rsidRPr="005F67F7" w:rsidRDefault="00D14100" w:rsidP="005F67F7">
      <w:pPr>
        <w:pStyle w:val="FootnoteText"/>
      </w:pPr>
      <w:r w:rsidRPr="005F67F7">
        <w:rPr>
          <w:rStyle w:val="FootnoteReference"/>
        </w:rPr>
        <w:footnoteRef/>
      </w:r>
      <w:r w:rsidRPr="005F67F7">
        <w:t xml:space="preserve"> These Conditions Were Outlined In Detail In Chapter 1, Section 3- “A Long Term Impasse: The One-State Or Two-State Dilemma In The Economic Relationship Between Israel And The Palestinian Territories”</w:t>
      </w:r>
    </w:p>
  </w:footnote>
  <w:footnote w:id="166">
    <w:p w14:paraId="4CCB09F6" w14:textId="7BA752AC" w:rsidR="00D14100" w:rsidRPr="005F67F7" w:rsidRDefault="00D14100" w:rsidP="005F67F7">
      <w:pPr>
        <w:pStyle w:val="FootnoteText"/>
        <w:ind w:left="720" w:hanging="720"/>
      </w:pPr>
      <w:r w:rsidRPr="005F67F7">
        <w:rPr>
          <w:rStyle w:val="FootnoteReference"/>
        </w:rPr>
        <w:footnoteRef/>
      </w:r>
      <w:r w:rsidRPr="005F67F7">
        <w:t xml:space="preserve"> Everett S. Lee, “A Theory Of Migration” </w:t>
      </w:r>
      <w:r w:rsidRPr="005F67F7">
        <w:rPr>
          <w:i/>
        </w:rPr>
        <w:t>Demography</w:t>
      </w:r>
      <w:r>
        <w:t>, Vol.</w:t>
      </w:r>
      <w:r w:rsidRPr="005F67F7">
        <w:t>3, No.1, (1966), 47-57.</w:t>
      </w:r>
    </w:p>
  </w:footnote>
  <w:footnote w:id="167">
    <w:p w14:paraId="244A06A0" w14:textId="06597860" w:rsidR="00D14100" w:rsidRPr="005F67F7" w:rsidRDefault="00D14100" w:rsidP="005F67F7">
      <w:pPr>
        <w:pStyle w:val="FootnoteText"/>
      </w:pPr>
      <w:r w:rsidRPr="005F67F7">
        <w:rPr>
          <w:rStyle w:val="FootnoteReference"/>
        </w:rPr>
        <w:footnoteRef/>
      </w:r>
      <w:r w:rsidRPr="005F67F7">
        <w:t xml:space="preserve"> E. G. Ravenstein, “The Laws Of Migration,” </w:t>
      </w:r>
      <w:r w:rsidRPr="005F67F7">
        <w:rPr>
          <w:i/>
        </w:rPr>
        <w:t xml:space="preserve">Journal Of The Royal Statistical Society, </w:t>
      </w:r>
      <w:r>
        <w:t>Vol.</w:t>
      </w:r>
      <w:r w:rsidRPr="005F67F7">
        <w:t>52, (1889): 241-290.</w:t>
      </w:r>
    </w:p>
  </w:footnote>
  <w:footnote w:id="168">
    <w:p w14:paraId="46ECDCF3" w14:textId="4366D0B8" w:rsidR="00D14100" w:rsidRPr="005F67F7" w:rsidRDefault="00D14100" w:rsidP="005F67F7">
      <w:pPr>
        <w:pStyle w:val="FootnoteText"/>
      </w:pPr>
      <w:r w:rsidRPr="005F67F7">
        <w:rPr>
          <w:rStyle w:val="FootnoteReference"/>
        </w:rPr>
        <w:footnoteRef/>
      </w:r>
      <w:r>
        <w:t xml:space="preserve"> Massey et a</w:t>
      </w:r>
      <w:r w:rsidRPr="005F67F7">
        <w:t>l., “Theories Of Int</w:t>
      </w:r>
      <w:r>
        <w:t>ernational Migration: A Review a</w:t>
      </w:r>
      <w:r w:rsidRPr="005F67F7">
        <w:t xml:space="preserve">nd Appraisal” </w:t>
      </w:r>
      <w:r w:rsidRPr="005F67F7">
        <w:rPr>
          <w:i/>
        </w:rPr>
        <w:t xml:space="preserve">Population And Development Review, </w:t>
      </w:r>
      <w:r>
        <w:t>Vol.19, No.</w:t>
      </w:r>
      <w:r w:rsidRPr="005F67F7">
        <w:t>3, (1993): 431-466.</w:t>
      </w:r>
    </w:p>
  </w:footnote>
  <w:footnote w:id="169">
    <w:p w14:paraId="07E5324B" w14:textId="4A596057" w:rsidR="00D14100" w:rsidRPr="005F67F7" w:rsidRDefault="00D14100" w:rsidP="005F67F7">
      <w:pPr>
        <w:pStyle w:val="FootnoteText"/>
        <w:tabs>
          <w:tab w:val="left" w:pos="180"/>
        </w:tabs>
      </w:pPr>
      <w:r w:rsidRPr="005F67F7">
        <w:rPr>
          <w:rStyle w:val="FootnoteReference"/>
        </w:rPr>
        <w:footnoteRef/>
      </w:r>
      <w:r>
        <w:t xml:space="preserve"> </w:t>
      </w:r>
      <w:r w:rsidRPr="005F67F7">
        <w:t>Lee, “A Theory Of Migration</w:t>
      </w:r>
      <w:r>
        <w:t>.</w:t>
      </w:r>
      <w:r w:rsidRPr="005F67F7">
        <w:t xml:space="preserve">” Gustav Ranis and J.C.H. Fei, “A Theory Of Economic Development" </w:t>
      </w:r>
      <w:r w:rsidRPr="005F67F7">
        <w:rPr>
          <w:i/>
        </w:rPr>
        <w:t>American Economic Review</w:t>
      </w:r>
      <w:r>
        <w:t>, Vol.</w:t>
      </w:r>
      <w:r w:rsidRPr="005F67F7">
        <w:t>51,</w:t>
      </w:r>
      <w:r>
        <w:t xml:space="preserve"> (1961): 533-565. J. R. Harris a</w:t>
      </w:r>
      <w:r w:rsidRPr="005F67F7">
        <w:t xml:space="preserve">nd Michael P. Todaro, "Migration, Unemployment, And Development: A Two-Sector Analysis." </w:t>
      </w:r>
      <w:r w:rsidRPr="005F67F7">
        <w:rPr>
          <w:i/>
        </w:rPr>
        <w:t>American Economic Review</w:t>
      </w:r>
      <w:r>
        <w:t>, Vol.</w:t>
      </w:r>
      <w:r w:rsidRPr="005F67F7">
        <w:t>60, (1970): 126-142.</w:t>
      </w:r>
    </w:p>
  </w:footnote>
  <w:footnote w:id="170">
    <w:p w14:paraId="7EC71CD1" w14:textId="77777777" w:rsidR="00D14100" w:rsidRPr="005F67F7" w:rsidRDefault="00D14100" w:rsidP="005F67F7">
      <w:pPr>
        <w:pStyle w:val="FootnoteText"/>
      </w:pPr>
      <w:r w:rsidRPr="005F67F7">
        <w:rPr>
          <w:rStyle w:val="FootnoteReference"/>
        </w:rPr>
        <w:footnoteRef/>
      </w:r>
      <w:r w:rsidRPr="005F67F7">
        <w:t xml:space="preserve"> Douglas S. Massey, “The Political Economy Of Migration In An Era Of Globalization,” </w:t>
      </w:r>
      <w:r w:rsidRPr="005F67F7">
        <w:rPr>
          <w:i/>
        </w:rPr>
        <w:t xml:space="preserve">International Migration And Human Rights: The Repercussions Of US Policy, </w:t>
      </w:r>
      <w:r w:rsidRPr="005F67F7">
        <w:t>(2009): 25-43.</w:t>
      </w:r>
    </w:p>
  </w:footnote>
  <w:footnote w:id="171">
    <w:p w14:paraId="37A97942" w14:textId="4A4A6B45" w:rsidR="00D14100" w:rsidRPr="005F67F7" w:rsidRDefault="00D14100" w:rsidP="005F67F7">
      <w:pPr>
        <w:pStyle w:val="FootnoteText"/>
      </w:pPr>
      <w:r w:rsidRPr="005F67F7">
        <w:rPr>
          <w:rStyle w:val="FootnoteReference"/>
        </w:rPr>
        <w:footnoteRef/>
      </w:r>
      <w:r w:rsidRPr="005F67F7">
        <w:t xml:space="preserve"> Lant</w:t>
      </w:r>
      <w:r>
        <w:t xml:space="preserve"> Pritchett, Clifford G. Gaddy, a</w:t>
      </w:r>
      <w:r w:rsidRPr="005F67F7">
        <w:t xml:space="preserve">nd Simon Johnson, “Boom Towns And Ghost Countries: Geography, Agglomeration, And Population Mobility,” </w:t>
      </w:r>
      <w:r w:rsidRPr="005F67F7">
        <w:rPr>
          <w:i/>
        </w:rPr>
        <w:t>Brookings Trade Forum: Global Labor Markets?</w:t>
      </w:r>
      <w:r w:rsidRPr="005F67F7">
        <w:t xml:space="preserve"> (2006): 1-56.</w:t>
      </w:r>
    </w:p>
  </w:footnote>
  <w:footnote w:id="172">
    <w:p w14:paraId="7B9DB236" w14:textId="4A506AC4" w:rsidR="00D14100" w:rsidRPr="005F67F7" w:rsidRDefault="00D14100" w:rsidP="005F67F7">
      <w:pPr>
        <w:spacing w:line="240" w:lineRule="auto"/>
        <w:rPr>
          <w:sz w:val="20"/>
          <w:szCs w:val="20"/>
        </w:rPr>
      </w:pPr>
      <w:r w:rsidRPr="005F67F7">
        <w:rPr>
          <w:rStyle w:val="FootnoteReference"/>
          <w:sz w:val="20"/>
          <w:szCs w:val="20"/>
        </w:rPr>
        <w:footnoteRef/>
      </w:r>
      <w:r>
        <w:rPr>
          <w:sz w:val="20"/>
          <w:szCs w:val="20"/>
        </w:rPr>
        <w:t xml:space="preserve"> Larry A. Sjaastad, "The Costs a</w:t>
      </w:r>
      <w:r w:rsidRPr="005F67F7">
        <w:rPr>
          <w:sz w:val="20"/>
          <w:szCs w:val="20"/>
        </w:rPr>
        <w:t>nd Returns Of Human Migration,"</w:t>
      </w:r>
      <w:r w:rsidRPr="005F67F7">
        <w:rPr>
          <w:i/>
          <w:sz w:val="20"/>
          <w:szCs w:val="20"/>
        </w:rPr>
        <w:t xml:space="preserve"> Journal Of Political Economy, </w:t>
      </w:r>
      <w:r>
        <w:rPr>
          <w:sz w:val="20"/>
          <w:szCs w:val="20"/>
        </w:rPr>
        <w:t>Vol.</w:t>
      </w:r>
      <w:r w:rsidRPr="005F67F7">
        <w:rPr>
          <w:sz w:val="20"/>
          <w:szCs w:val="20"/>
        </w:rPr>
        <w:t xml:space="preserve">70S, (1976): 80-93. Michael P. Todaro, "A Model Of Labor Migration And Urban Unemployment In Less Developed Countries." </w:t>
      </w:r>
      <w:r w:rsidRPr="005F67F7">
        <w:rPr>
          <w:i/>
          <w:sz w:val="20"/>
          <w:szCs w:val="20"/>
        </w:rPr>
        <w:t>The American Economic Review,</w:t>
      </w:r>
      <w:r>
        <w:rPr>
          <w:sz w:val="20"/>
          <w:szCs w:val="20"/>
        </w:rPr>
        <w:t xml:space="preserve"> Vol.</w:t>
      </w:r>
      <w:r w:rsidRPr="005F67F7">
        <w:rPr>
          <w:sz w:val="20"/>
          <w:szCs w:val="20"/>
        </w:rPr>
        <w:t xml:space="preserve">59, (1969): 138-48. Michael P. Todaro And Lydia Maruszko,"Illegal Migration And US Immigration Reform: A Conceptual Framework." </w:t>
      </w:r>
      <w:r w:rsidRPr="005F67F7">
        <w:rPr>
          <w:i/>
          <w:sz w:val="20"/>
          <w:szCs w:val="20"/>
        </w:rPr>
        <w:t>Population And Development Review</w:t>
      </w:r>
      <w:r>
        <w:rPr>
          <w:sz w:val="20"/>
          <w:szCs w:val="20"/>
        </w:rPr>
        <w:t>, Vol.</w:t>
      </w:r>
      <w:r w:rsidRPr="005F67F7">
        <w:rPr>
          <w:sz w:val="20"/>
          <w:szCs w:val="20"/>
        </w:rPr>
        <w:t xml:space="preserve">13, (1987): 101-114. Michael P. Todaro, </w:t>
      </w:r>
      <w:r w:rsidRPr="005F67F7">
        <w:rPr>
          <w:i/>
          <w:sz w:val="20"/>
          <w:szCs w:val="20"/>
        </w:rPr>
        <w:t>Internal Migration In Developing Countries</w:t>
      </w:r>
      <w:r w:rsidRPr="005F67F7">
        <w:rPr>
          <w:sz w:val="20"/>
          <w:szCs w:val="20"/>
        </w:rPr>
        <w:t>, Geneva: International Labor Office, (1976).</w:t>
      </w:r>
    </w:p>
  </w:footnote>
  <w:footnote w:id="173">
    <w:p w14:paraId="6BCACEA1" w14:textId="244E92E5" w:rsidR="00D14100" w:rsidRPr="005F67F7" w:rsidRDefault="00D14100" w:rsidP="005F67F7">
      <w:pPr>
        <w:spacing w:line="240" w:lineRule="auto"/>
        <w:rPr>
          <w:sz w:val="20"/>
          <w:szCs w:val="20"/>
        </w:rPr>
      </w:pPr>
      <w:r w:rsidRPr="005F67F7">
        <w:rPr>
          <w:rStyle w:val="FootnoteReference"/>
          <w:sz w:val="20"/>
          <w:szCs w:val="20"/>
        </w:rPr>
        <w:footnoteRef/>
      </w:r>
      <w:r w:rsidRPr="005F67F7">
        <w:rPr>
          <w:sz w:val="20"/>
          <w:szCs w:val="20"/>
        </w:rPr>
        <w:t xml:space="preserve"> </w:t>
      </w:r>
      <w:r w:rsidRPr="005F67F7">
        <w:rPr>
          <w:color w:val="222222"/>
          <w:sz w:val="20"/>
          <w:szCs w:val="20"/>
          <w:shd w:val="clear" w:color="auto" w:fill="FFFFFF"/>
        </w:rPr>
        <w:t>Allan Borowski and Uri Yanay. "Temporary And Illegal Labour Migration: The Israeli Experience." </w:t>
      </w:r>
      <w:r w:rsidRPr="005F67F7">
        <w:rPr>
          <w:i/>
          <w:iCs/>
          <w:color w:val="222222"/>
          <w:sz w:val="20"/>
          <w:szCs w:val="20"/>
          <w:shd w:val="clear" w:color="auto" w:fill="FFFFFF"/>
        </w:rPr>
        <w:t>International Migration</w:t>
      </w:r>
      <w:r>
        <w:rPr>
          <w:color w:val="222222"/>
          <w:sz w:val="20"/>
          <w:szCs w:val="20"/>
          <w:shd w:val="clear" w:color="auto" w:fill="FFFFFF"/>
        </w:rPr>
        <w:t> Vol.35, No.</w:t>
      </w:r>
      <w:r w:rsidRPr="005F67F7">
        <w:rPr>
          <w:color w:val="222222"/>
          <w:sz w:val="20"/>
          <w:szCs w:val="20"/>
          <w:shd w:val="clear" w:color="auto" w:fill="FFFFFF"/>
        </w:rPr>
        <w:t>4 (1997): 495-511.</w:t>
      </w:r>
    </w:p>
  </w:footnote>
  <w:footnote w:id="174">
    <w:p w14:paraId="5E65F0FF" w14:textId="1C4A7981" w:rsidR="00D14100" w:rsidRPr="005F67F7" w:rsidRDefault="00D14100" w:rsidP="005F67F7">
      <w:pPr>
        <w:widowControl w:val="0"/>
        <w:autoSpaceDE w:val="0"/>
        <w:autoSpaceDN w:val="0"/>
        <w:adjustRightInd w:val="0"/>
        <w:spacing w:line="240" w:lineRule="auto"/>
        <w:rPr>
          <w:sz w:val="20"/>
          <w:szCs w:val="20"/>
        </w:rPr>
      </w:pPr>
      <w:r w:rsidRPr="005F67F7">
        <w:rPr>
          <w:rStyle w:val="FootnoteReference"/>
          <w:sz w:val="20"/>
          <w:szCs w:val="20"/>
        </w:rPr>
        <w:footnoteRef/>
      </w:r>
      <w:r w:rsidRPr="005F67F7">
        <w:rPr>
          <w:sz w:val="20"/>
          <w:szCs w:val="20"/>
        </w:rPr>
        <w:t xml:space="preserve"> George J. Borjas, “The Labor Demand Curve Is Downward Sloping: Reexamining The Impact Of Immigration On The Labor Market,” </w:t>
      </w:r>
      <w:r w:rsidRPr="005F67F7">
        <w:rPr>
          <w:i/>
          <w:sz w:val="20"/>
          <w:szCs w:val="20"/>
        </w:rPr>
        <w:t>The Quarterly Journal Of Economics</w:t>
      </w:r>
      <w:r>
        <w:rPr>
          <w:sz w:val="20"/>
          <w:szCs w:val="20"/>
        </w:rPr>
        <w:t>, Vol.118, No.</w:t>
      </w:r>
      <w:r w:rsidRPr="005F67F7">
        <w:rPr>
          <w:sz w:val="20"/>
          <w:szCs w:val="20"/>
        </w:rPr>
        <w:t xml:space="preserve">4, (2003): 1335–1374. David Card, “Is The New Immigration Really So Bad?,” </w:t>
      </w:r>
      <w:r w:rsidRPr="005F67F7">
        <w:rPr>
          <w:i/>
          <w:sz w:val="20"/>
          <w:szCs w:val="20"/>
        </w:rPr>
        <w:t>Economic Journal,</w:t>
      </w:r>
      <w:r w:rsidRPr="005F67F7">
        <w:rPr>
          <w:sz w:val="20"/>
          <w:szCs w:val="20"/>
        </w:rPr>
        <w:t xml:space="preserve"> Vol.115, No. 507, (2005): </w:t>
      </w:r>
      <w:r>
        <w:rPr>
          <w:sz w:val="20"/>
          <w:szCs w:val="20"/>
        </w:rPr>
        <w:t>F300–F323. Gianmarco Ottaviano a</w:t>
      </w:r>
      <w:r w:rsidRPr="005F67F7">
        <w:rPr>
          <w:sz w:val="20"/>
          <w:szCs w:val="20"/>
        </w:rPr>
        <w:t xml:space="preserve">nd Giovanni Peri, “Rethinking The Effect Of Immigration On Wages,” </w:t>
      </w:r>
      <w:r w:rsidRPr="005F67F7">
        <w:rPr>
          <w:i/>
          <w:sz w:val="20"/>
          <w:szCs w:val="20"/>
        </w:rPr>
        <w:t>Journal Of The European Economic Association,</w:t>
      </w:r>
      <w:r>
        <w:rPr>
          <w:sz w:val="20"/>
          <w:szCs w:val="20"/>
        </w:rPr>
        <w:t xml:space="preserve"> Vol.10, No.</w:t>
      </w:r>
      <w:r w:rsidRPr="005F67F7">
        <w:rPr>
          <w:sz w:val="20"/>
          <w:szCs w:val="20"/>
        </w:rPr>
        <w:t>1, (2012): 152–197.</w:t>
      </w:r>
    </w:p>
  </w:footnote>
  <w:footnote w:id="175">
    <w:p w14:paraId="07DB3FE1" w14:textId="347D8D72" w:rsidR="00D14100" w:rsidRPr="005F67F7" w:rsidRDefault="00D14100" w:rsidP="005F67F7">
      <w:pPr>
        <w:widowControl w:val="0"/>
        <w:autoSpaceDE w:val="0"/>
        <w:autoSpaceDN w:val="0"/>
        <w:adjustRightInd w:val="0"/>
        <w:spacing w:line="240" w:lineRule="auto"/>
        <w:rPr>
          <w:sz w:val="20"/>
          <w:szCs w:val="20"/>
        </w:rPr>
      </w:pPr>
      <w:r w:rsidRPr="005F67F7">
        <w:rPr>
          <w:rStyle w:val="FootnoteReference"/>
          <w:sz w:val="20"/>
          <w:szCs w:val="20"/>
        </w:rPr>
        <w:footnoteRef/>
      </w:r>
      <w:r w:rsidRPr="005F67F7">
        <w:rPr>
          <w:sz w:val="20"/>
          <w:szCs w:val="20"/>
        </w:rPr>
        <w:t xml:space="preserve"> Daniel Chiquiar and Gordon H. Hanson, “International Migration, Self-Selection, And The Distribution Of Wages: Evidence From Mexico And The United States,” </w:t>
      </w:r>
      <w:r w:rsidRPr="005F67F7">
        <w:rPr>
          <w:i/>
          <w:sz w:val="20"/>
          <w:szCs w:val="20"/>
        </w:rPr>
        <w:t>Journal Of Political Economy,</w:t>
      </w:r>
      <w:r>
        <w:rPr>
          <w:sz w:val="20"/>
          <w:szCs w:val="20"/>
        </w:rPr>
        <w:t xml:space="preserve"> Vol.</w:t>
      </w:r>
      <w:r w:rsidRPr="005F67F7">
        <w:rPr>
          <w:sz w:val="20"/>
          <w:szCs w:val="20"/>
        </w:rPr>
        <w:t>113, No.2, (2005): 239–280.</w:t>
      </w:r>
    </w:p>
  </w:footnote>
  <w:footnote w:id="176">
    <w:p w14:paraId="012E5B08" w14:textId="304654D2" w:rsidR="00D14100" w:rsidRPr="005F67F7" w:rsidRDefault="00D14100" w:rsidP="005F67F7">
      <w:pPr>
        <w:widowControl w:val="0"/>
        <w:autoSpaceDE w:val="0"/>
        <w:autoSpaceDN w:val="0"/>
        <w:adjustRightInd w:val="0"/>
        <w:spacing w:line="240" w:lineRule="auto"/>
        <w:rPr>
          <w:sz w:val="20"/>
          <w:szCs w:val="20"/>
        </w:rPr>
      </w:pPr>
      <w:r w:rsidRPr="005F67F7">
        <w:rPr>
          <w:rStyle w:val="FootnoteReference"/>
          <w:sz w:val="20"/>
          <w:szCs w:val="20"/>
        </w:rPr>
        <w:footnoteRef/>
      </w:r>
      <w:r>
        <w:rPr>
          <w:sz w:val="20"/>
          <w:szCs w:val="20"/>
        </w:rPr>
        <w:t xml:space="preserve"> C. Dustmann, A. Glitz, a</w:t>
      </w:r>
      <w:r w:rsidRPr="005F67F7">
        <w:rPr>
          <w:sz w:val="20"/>
          <w:szCs w:val="20"/>
        </w:rPr>
        <w:t xml:space="preserve">nd T. Frattini, “The Labour Market Impact Of Immigration," </w:t>
      </w:r>
      <w:r w:rsidRPr="005F67F7">
        <w:rPr>
          <w:i/>
          <w:sz w:val="20"/>
          <w:szCs w:val="20"/>
        </w:rPr>
        <w:t>Oxford Review Of Economic Policy,</w:t>
      </w:r>
      <w:r>
        <w:rPr>
          <w:sz w:val="20"/>
          <w:szCs w:val="20"/>
        </w:rPr>
        <w:t xml:space="preserve"> Vol.24, No.</w:t>
      </w:r>
      <w:r w:rsidRPr="005F67F7">
        <w:rPr>
          <w:sz w:val="20"/>
          <w:szCs w:val="20"/>
        </w:rPr>
        <w:t>3, (2008): 477-494.</w:t>
      </w:r>
    </w:p>
  </w:footnote>
  <w:footnote w:id="177">
    <w:p w14:paraId="6A66EF89" w14:textId="3703F04A" w:rsidR="00D14100" w:rsidRPr="005F67F7" w:rsidRDefault="00D14100" w:rsidP="005F67F7">
      <w:pPr>
        <w:pStyle w:val="FootnoteText"/>
      </w:pPr>
      <w:r w:rsidRPr="005F67F7">
        <w:rPr>
          <w:rStyle w:val="FootnoteReference"/>
        </w:rPr>
        <w:footnoteRef/>
      </w:r>
      <w:r w:rsidRPr="005F67F7">
        <w:t xml:space="preserve"> </w:t>
      </w:r>
      <w:r w:rsidRPr="005F67F7">
        <w:rPr>
          <w:i/>
        </w:rPr>
        <w:t>Employment Of Palestinians In Israel And The Set</w:t>
      </w:r>
      <w:r>
        <w:rPr>
          <w:i/>
        </w:rPr>
        <w:t>tlements: Restrictive Policies a</w:t>
      </w:r>
      <w:r w:rsidRPr="005F67F7">
        <w:rPr>
          <w:i/>
        </w:rPr>
        <w:t xml:space="preserve">nd Abuse Of Rights, </w:t>
      </w:r>
      <w:r w:rsidRPr="005F67F7">
        <w:t>Kav Laoved, (August 2012). Wifag Adnan,</w:t>
      </w:r>
      <w:r>
        <w:t xml:space="preserve"> “Who Gets To Cross The Border?” </w:t>
      </w:r>
      <w:r w:rsidRPr="005F67F7">
        <w:t>Dorothee Flaig, Khalid Siddig, Harol</w:t>
      </w:r>
      <w:r>
        <w:t>d Grethe, Jonas Luckmann, a</w:t>
      </w:r>
      <w:r w:rsidRPr="005F67F7">
        <w:t xml:space="preserve">nd Scott Mcdonald, “Relaxing Israeli Restrictions On Palestinian Labor: Who Benefits?” </w:t>
      </w:r>
      <w:r w:rsidRPr="005F67F7">
        <w:rPr>
          <w:i/>
        </w:rPr>
        <w:t xml:space="preserve">Economic Modeling, </w:t>
      </w:r>
      <w:r>
        <w:t>Vol.</w:t>
      </w:r>
      <w:r w:rsidRPr="005F67F7">
        <w:t xml:space="preserve">31, (2013): 143-150. </w:t>
      </w:r>
    </w:p>
  </w:footnote>
  <w:footnote w:id="178">
    <w:p w14:paraId="0A004C5E" w14:textId="78FB3160" w:rsidR="00D14100" w:rsidRPr="005F67F7" w:rsidRDefault="00D14100" w:rsidP="005F67F7">
      <w:pPr>
        <w:tabs>
          <w:tab w:val="left" w:pos="0"/>
        </w:tabs>
        <w:spacing w:line="240" w:lineRule="auto"/>
        <w:rPr>
          <w:color w:val="000000"/>
          <w:sz w:val="20"/>
          <w:szCs w:val="20"/>
          <w:shd w:val="clear" w:color="auto" w:fill="FFFFFF"/>
        </w:rPr>
      </w:pPr>
      <w:r w:rsidRPr="005F67F7">
        <w:rPr>
          <w:rStyle w:val="FootnoteReference"/>
          <w:sz w:val="20"/>
          <w:szCs w:val="20"/>
        </w:rPr>
        <w:footnoteRef/>
      </w:r>
      <w:r w:rsidRPr="005F67F7">
        <w:rPr>
          <w:sz w:val="20"/>
          <w:szCs w:val="20"/>
        </w:rPr>
        <w:t xml:space="preserve"> </w:t>
      </w:r>
      <w:r w:rsidRPr="005F67F7">
        <w:rPr>
          <w:color w:val="000000"/>
          <w:sz w:val="20"/>
          <w:szCs w:val="20"/>
          <w:shd w:val="clear" w:color="auto" w:fill="FFFFFF"/>
        </w:rPr>
        <w:t xml:space="preserve">Michael A. Clemens, "Economics And Emigration: Trillion-Dollar Bills On The Sidewalk?" </w:t>
      </w:r>
      <w:r w:rsidRPr="005F67F7">
        <w:rPr>
          <w:i/>
          <w:iCs/>
          <w:color w:val="000000"/>
          <w:sz w:val="20"/>
          <w:szCs w:val="20"/>
          <w:shd w:val="clear" w:color="auto" w:fill="FFFFFF"/>
        </w:rPr>
        <w:t>Journal Of Economic Perspectives</w:t>
      </w:r>
      <w:r>
        <w:rPr>
          <w:color w:val="000000"/>
          <w:sz w:val="20"/>
          <w:szCs w:val="20"/>
          <w:shd w:val="clear" w:color="auto" w:fill="FFFFFF"/>
        </w:rPr>
        <w:t>, Vol.25, No.</w:t>
      </w:r>
      <w:r w:rsidRPr="005F67F7">
        <w:rPr>
          <w:color w:val="000000"/>
          <w:sz w:val="20"/>
          <w:szCs w:val="20"/>
          <w:shd w:val="clear" w:color="auto" w:fill="FFFFFF"/>
        </w:rPr>
        <w:t>3, (2011): 83-106. Michael A</w:t>
      </w:r>
      <w:r>
        <w:rPr>
          <w:color w:val="000000"/>
          <w:sz w:val="20"/>
          <w:szCs w:val="20"/>
          <w:shd w:val="clear" w:color="auto" w:fill="FFFFFF"/>
        </w:rPr>
        <w:t>. Clemens, Claudio Montenegro, a</w:t>
      </w:r>
      <w:r w:rsidRPr="005F67F7">
        <w:rPr>
          <w:color w:val="000000"/>
          <w:sz w:val="20"/>
          <w:szCs w:val="20"/>
          <w:shd w:val="clear" w:color="auto" w:fill="FFFFFF"/>
        </w:rPr>
        <w:t xml:space="preserve">nd Lant Pritchett, “The Place Premium: Wage Differences For Identical Workers Across The US Border,” </w:t>
      </w:r>
      <w:r w:rsidRPr="005F67F7">
        <w:rPr>
          <w:i/>
          <w:color w:val="000000"/>
          <w:sz w:val="20"/>
          <w:szCs w:val="20"/>
          <w:shd w:val="clear" w:color="auto" w:fill="FFFFFF"/>
        </w:rPr>
        <w:t xml:space="preserve">Harvard Kennedy School, Faculty Research Working Papers Series, </w:t>
      </w:r>
      <w:r w:rsidRPr="005F67F7">
        <w:rPr>
          <w:color w:val="000000"/>
          <w:sz w:val="20"/>
          <w:szCs w:val="20"/>
          <w:shd w:val="clear" w:color="auto" w:fill="FFFFFF"/>
        </w:rPr>
        <w:t>(2009).</w:t>
      </w:r>
    </w:p>
  </w:footnote>
  <w:footnote w:id="179">
    <w:p w14:paraId="487E58D0" w14:textId="77777777" w:rsidR="00D14100" w:rsidRPr="005F67F7" w:rsidRDefault="00D14100" w:rsidP="005F67F7">
      <w:pPr>
        <w:pStyle w:val="FootnoteText"/>
      </w:pPr>
      <w:r w:rsidRPr="005F67F7">
        <w:rPr>
          <w:rStyle w:val="FootnoteReference"/>
        </w:rPr>
        <w:footnoteRef/>
      </w:r>
      <w:r w:rsidRPr="005F67F7">
        <w:t xml:space="preserve"> Clemens, “Economics and Emigration”</w:t>
      </w:r>
    </w:p>
  </w:footnote>
  <w:footnote w:id="180">
    <w:p w14:paraId="3221F2EA" w14:textId="77777777" w:rsidR="00D14100" w:rsidRPr="005F67F7" w:rsidRDefault="00D14100" w:rsidP="005F67F7">
      <w:pPr>
        <w:widowControl w:val="0"/>
        <w:autoSpaceDE w:val="0"/>
        <w:autoSpaceDN w:val="0"/>
        <w:adjustRightInd w:val="0"/>
        <w:spacing w:line="240" w:lineRule="auto"/>
        <w:rPr>
          <w:sz w:val="20"/>
          <w:szCs w:val="20"/>
        </w:rPr>
      </w:pPr>
      <w:r w:rsidRPr="005F67F7">
        <w:rPr>
          <w:rStyle w:val="FootnoteReference"/>
          <w:sz w:val="20"/>
          <w:szCs w:val="20"/>
        </w:rPr>
        <w:footnoteRef/>
      </w:r>
      <w:r w:rsidRPr="005F67F7">
        <w:rPr>
          <w:sz w:val="20"/>
          <w:szCs w:val="20"/>
        </w:rPr>
        <w:t xml:space="preserve"> Julius Isaac, </w:t>
      </w:r>
      <w:r w:rsidRPr="005F67F7">
        <w:rPr>
          <w:i/>
          <w:sz w:val="20"/>
          <w:szCs w:val="20"/>
        </w:rPr>
        <w:t>Economics Of Migration,</w:t>
      </w:r>
      <w:r w:rsidRPr="005F67F7">
        <w:rPr>
          <w:sz w:val="20"/>
          <w:szCs w:val="20"/>
        </w:rPr>
        <w:t xml:space="preserve"> Routledge, Trench, Trubner &amp; Co. Ltd., London, UK, (1947): 110-140. Martin Wolf, “The Benefits Of Migration Are Questionable: Cosmopolitanism Is Incompatible With Our Organization Into Territorial Jurisdictions,” </w:t>
      </w:r>
      <w:r w:rsidRPr="005F67F7">
        <w:rPr>
          <w:i/>
          <w:sz w:val="20"/>
          <w:szCs w:val="20"/>
        </w:rPr>
        <w:t xml:space="preserve">Financial Times, </w:t>
      </w:r>
      <w:r w:rsidRPr="005F67F7">
        <w:rPr>
          <w:sz w:val="20"/>
          <w:szCs w:val="20"/>
        </w:rPr>
        <w:t>2015, September 29.</w:t>
      </w:r>
    </w:p>
  </w:footnote>
  <w:footnote w:id="181">
    <w:p w14:paraId="5B70BC32" w14:textId="01947E31" w:rsidR="00D14100" w:rsidRPr="005F67F7" w:rsidRDefault="00D14100" w:rsidP="005F67F7">
      <w:pPr>
        <w:pStyle w:val="FootnoteText"/>
      </w:pPr>
      <w:r w:rsidRPr="005F67F7">
        <w:rPr>
          <w:rStyle w:val="FootnoteReference"/>
        </w:rPr>
        <w:footnoteRef/>
      </w:r>
      <w:r>
        <w:t xml:space="preserve"> Michael A. Clemens a</w:t>
      </w:r>
      <w:r w:rsidRPr="005F67F7">
        <w:t xml:space="preserve">nd Lant Pritchett, “The New Economic Case For Migration Restrictions: An Assessment,” </w:t>
      </w:r>
      <w:r w:rsidRPr="005F67F7">
        <w:rPr>
          <w:i/>
        </w:rPr>
        <w:t xml:space="preserve">NYU Development Research Institute: Working Paper No. 100, </w:t>
      </w:r>
      <w:r w:rsidRPr="005F67F7">
        <w:t>(January 2016).</w:t>
      </w:r>
    </w:p>
  </w:footnote>
  <w:footnote w:id="182">
    <w:p w14:paraId="0EF0A50E" w14:textId="77777777" w:rsidR="00D14100" w:rsidRPr="005F67F7" w:rsidRDefault="00D14100" w:rsidP="005F67F7">
      <w:pPr>
        <w:widowControl w:val="0"/>
        <w:autoSpaceDE w:val="0"/>
        <w:autoSpaceDN w:val="0"/>
        <w:adjustRightInd w:val="0"/>
        <w:spacing w:line="240" w:lineRule="auto"/>
        <w:rPr>
          <w:sz w:val="20"/>
          <w:szCs w:val="20"/>
        </w:rPr>
      </w:pPr>
      <w:r w:rsidRPr="005F67F7">
        <w:rPr>
          <w:rStyle w:val="FootnoteReference"/>
          <w:sz w:val="20"/>
          <w:szCs w:val="20"/>
        </w:rPr>
        <w:footnoteRef/>
      </w:r>
      <w:r w:rsidRPr="005F67F7">
        <w:rPr>
          <w:sz w:val="20"/>
          <w:szCs w:val="20"/>
        </w:rPr>
        <w:t xml:space="preserve"> Lewis Coser, </w:t>
      </w:r>
      <w:r w:rsidRPr="005F67F7">
        <w:rPr>
          <w:i/>
          <w:sz w:val="20"/>
          <w:szCs w:val="20"/>
        </w:rPr>
        <w:t>The Functions Of Social Conflict,</w:t>
      </w:r>
      <w:r w:rsidRPr="005F67F7">
        <w:rPr>
          <w:sz w:val="20"/>
          <w:szCs w:val="20"/>
        </w:rPr>
        <w:t xml:space="preserve"> Free Press, New York, NY, (1956)</w:t>
      </w:r>
    </w:p>
    <w:p w14:paraId="40F8CA3A" w14:textId="77777777" w:rsidR="00D14100" w:rsidRPr="005F67F7" w:rsidRDefault="00D14100" w:rsidP="005F67F7">
      <w:pPr>
        <w:spacing w:line="240" w:lineRule="auto"/>
        <w:rPr>
          <w:sz w:val="20"/>
          <w:szCs w:val="20"/>
        </w:rPr>
      </w:pPr>
      <w:r w:rsidRPr="005F67F7">
        <w:rPr>
          <w:sz w:val="20"/>
          <w:szCs w:val="20"/>
        </w:rPr>
        <w:t xml:space="preserve">Martha Cottam, </w:t>
      </w:r>
      <w:r w:rsidRPr="005F67F7">
        <w:rPr>
          <w:i/>
          <w:sz w:val="20"/>
          <w:szCs w:val="20"/>
        </w:rPr>
        <w:t xml:space="preserve">Images And Intervention: U.S. Policies In Latin America, </w:t>
      </w:r>
      <w:r w:rsidRPr="005F67F7">
        <w:rPr>
          <w:sz w:val="20"/>
          <w:szCs w:val="20"/>
        </w:rPr>
        <w:t xml:space="preserve">University Of Pittsburgh Press, Pittsburgh, PA, (1994). James L. Gibson, “A Sober Second Thought: An Experiment In Persuading Russians To Tolerate,” </w:t>
      </w:r>
      <w:r w:rsidRPr="005F67F7">
        <w:rPr>
          <w:i/>
          <w:sz w:val="20"/>
          <w:szCs w:val="20"/>
        </w:rPr>
        <w:t xml:space="preserve">American Journal Of Political Science, </w:t>
      </w:r>
      <w:r w:rsidRPr="005F67F7">
        <w:rPr>
          <w:sz w:val="20"/>
          <w:szCs w:val="20"/>
        </w:rPr>
        <w:t>Vol. 42, (1998): 819-850.</w:t>
      </w:r>
      <w:r w:rsidRPr="005F67F7">
        <w:rPr>
          <w:color w:val="222222"/>
          <w:sz w:val="20"/>
          <w:szCs w:val="20"/>
          <w:shd w:val="clear" w:color="auto" w:fill="FFFFFF"/>
        </w:rPr>
        <w:t xml:space="preserve"> Stephen M. Sales And Kenneth E. Friend. "Success And Failure As Determinants Of Level Of Authoritarianism." </w:t>
      </w:r>
      <w:r w:rsidRPr="005F67F7">
        <w:rPr>
          <w:i/>
          <w:iCs/>
          <w:color w:val="222222"/>
          <w:sz w:val="20"/>
          <w:szCs w:val="20"/>
          <w:shd w:val="clear" w:color="auto" w:fill="FFFFFF"/>
        </w:rPr>
        <w:t>Behavioral Science</w:t>
      </w:r>
      <w:r w:rsidRPr="005F67F7">
        <w:rPr>
          <w:color w:val="222222"/>
          <w:sz w:val="20"/>
          <w:szCs w:val="20"/>
          <w:shd w:val="clear" w:color="auto" w:fill="FFFFFF"/>
        </w:rPr>
        <w:t>, Vol.18, No. 3 (1973): 163-172.</w:t>
      </w:r>
    </w:p>
  </w:footnote>
  <w:footnote w:id="183">
    <w:p w14:paraId="2372D921" w14:textId="77777777" w:rsidR="00D14100" w:rsidRPr="005F67F7" w:rsidRDefault="00D14100" w:rsidP="005F67F7">
      <w:pPr>
        <w:widowControl w:val="0"/>
        <w:autoSpaceDE w:val="0"/>
        <w:autoSpaceDN w:val="0"/>
        <w:adjustRightInd w:val="0"/>
        <w:spacing w:line="240" w:lineRule="auto"/>
        <w:rPr>
          <w:sz w:val="20"/>
          <w:szCs w:val="20"/>
        </w:rPr>
      </w:pPr>
      <w:r w:rsidRPr="005F67F7">
        <w:rPr>
          <w:rStyle w:val="FootnoteReference"/>
          <w:sz w:val="20"/>
          <w:szCs w:val="20"/>
        </w:rPr>
        <w:footnoteRef/>
      </w:r>
      <w:r w:rsidRPr="005F67F7">
        <w:rPr>
          <w:sz w:val="20"/>
          <w:szCs w:val="20"/>
        </w:rPr>
        <w:t xml:space="preserve"> Thomas Faist, “The Migration-Security Nexus: International Migration And Security Before And After 9/11,” </w:t>
      </w:r>
      <w:r w:rsidRPr="005F67F7">
        <w:rPr>
          <w:i/>
          <w:sz w:val="20"/>
          <w:szCs w:val="20"/>
        </w:rPr>
        <w:t xml:space="preserve">Working Paper No. 9, Center On Migration, Citizenship And Development, </w:t>
      </w:r>
      <w:r w:rsidRPr="005F67F7">
        <w:rPr>
          <w:sz w:val="20"/>
          <w:szCs w:val="20"/>
        </w:rPr>
        <w:t xml:space="preserve">(2005). Judith Butler, </w:t>
      </w:r>
      <w:r w:rsidRPr="005F67F7">
        <w:rPr>
          <w:i/>
          <w:sz w:val="20"/>
          <w:szCs w:val="20"/>
        </w:rPr>
        <w:t xml:space="preserve">Precarious Life: The Powers Of Mourning And Violence, </w:t>
      </w:r>
      <w:r w:rsidRPr="005F67F7">
        <w:rPr>
          <w:sz w:val="20"/>
          <w:szCs w:val="20"/>
        </w:rPr>
        <w:t>Verso, London, UK, (2004).</w:t>
      </w:r>
    </w:p>
  </w:footnote>
  <w:footnote w:id="184">
    <w:p w14:paraId="08009A76" w14:textId="48DE2227" w:rsidR="00D14100" w:rsidRPr="005F67F7" w:rsidRDefault="00D14100" w:rsidP="005F67F7">
      <w:pPr>
        <w:pStyle w:val="FootnoteText"/>
      </w:pPr>
      <w:r w:rsidRPr="005F67F7">
        <w:rPr>
          <w:rStyle w:val="FootnoteReference"/>
        </w:rPr>
        <w:footnoteRef/>
      </w:r>
      <w:r w:rsidRPr="005F67F7">
        <w:t xml:space="preserve"> Leigh Tesfatsion, “Agent-Based Computational Economics: Modeling Economics As Complex Adaptive Systems,” </w:t>
      </w:r>
      <w:r w:rsidRPr="005F67F7">
        <w:rPr>
          <w:i/>
        </w:rPr>
        <w:t xml:space="preserve">Information Sciences, </w:t>
      </w:r>
      <w:r>
        <w:t>Vol.</w:t>
      </w:r>
      <w:r w:rsidRPr="005F67F7">
        <w:t xml:space="preserve">149, (2003): 263-269. </w:t>
      </w:r>
    </w:p>
  </w:footnote>
  <w:footnote w:id="185">
    <w:p w14:paraId="1A3261AF" w14:textId="4881D486" w:rsidR="00D14100" w:rsidRPr="005F67F7" w:rsidRDefault="00D14100" w:rsidP="005F67F7">
      <w:pPr>
        <w:pStyle w:val="FootnoteText"/>
      </w:pPr>
      <w:r w:rsidRPr="005F67F7">
        <w:rPr>
          <w:rStyle w:val="FootnoteReference"/>
        </w:rPr>
        <w:footnoteRef/>
      </w:r>
      <w:r w:rsidRPr="005F67F7">
        <w:t xml:space="preserve"> Robert Axelrod, And Leigh Tesfatsion, “A Guide For Newcomers To Agent-Based Modeling In The Social Sciences,” In </w:t>
      </w:r>
      <w:r w:rsidRPr="005F67F7">
        <w:rPr>
          <w:i/>
        </w:rPr>
        <w:t>Handbook O</w:t>
      </w:r>
      <w:r>
        <w:rPr>
          <w:i/>
        </w:rPr>
        <w:t>f Computational Economics, Vol.</w:t>
      </w:r>
      <w:r w:rsidRPr="005F67F7">
        <w:rPr>
          <w:i/>
        </w:rPr>
        <w:t xml:space="preserve">2: Agent-Based Computational Economics, </w:t>
      </w:r>
      <w:r w:rsidRPr="005F67F7">
        <w:t>Edited By Leigh Tesfatsion And Kenneth L. Judd, Elsevier, Amsterdam, The Netherlands, (2006): 1647-1659.</w:t>
      </w:r>
    </w:p>
  </w:footnote>
  <w:footnote w:id="186">
    <w:p w14:paraId="19DA2EA0" w14:textId="2B91F344" w:rsidR="00D14100" w:rsidRPr="005F67F7" w:rsidRDefault="00D14100" w:rsidP="005F67F7">
      <w:pPr>
        <w:pStyle w:val="FootnoteText"/>
      </w:pPr>
      <w:r w:rsidRPr="005F67F7">
        <w:rPr>
          <w:rStyle w:val="FootnoteReference"/>
        </w:rPr>
        <w:footnoteRef/>
      </w:r>
      <w:r w:rsidRPr="005F67F7">
        <w:t xml:space="preserve"> Clemens and Pritchett, “The New Economic</w:t>
      </w:r>
      <w:r>
        <w:t xml:space="preserve"> Case</w:t>
      </w:r>
      <w:r w:rsidRPr="005F67F7">
        <w:t>”</w:t>
      </w:r>
    </w:p>
  </w:footnote>
  <w:footnote w:id="187">
    <w:p w14:paraId="56305239" w14:textId="026C551B" w:rsidR="00D14100" w:rsidRPr="00695F41" w:rsidRDefault="00D14100" w:rsidP="00695F41">
      <w:pPr>
        <w:spacing w:line="240" w:lineRule="auto"/>
        <w:rPr>
          <w:sz w:val="20"/>
          <w:szCs w:val="20"/>
        </w:rPr>
      </w:pPr>
      <w:r w:rsidRPr="005F67F7">
        <w:rPr>
          <w:rStyle w:val="FootnoteReference"/>
          <w:sz w:val="20"/>
          <w:szCs w:val="20"/>
        </w:rPr>
        <w:footnoteRef/>
      </w:r>
      <w:r w:rsidRPr="005F67F7">
        <w:rPr>
          <w:sz w:val="20"/>
          <w:szCs w:val="20"/>
        </w:rPr>
        <w:t xml:space="preserve"> </w:t>
      </w:r>
      <w:r w:rsidRPr="005F67F7">
        <w:rPr>
          <w:color w:val="222222"/>
          <w:sz w:val="20"/>
          <w:szCs w:val="20"/>
          <w:shd w:val="clear" w:color="auto" w:fill="FFFFFF"/>
        </w:rPr>
        <w:t>Lesley Williams Reid, Haral</w:t>
      </w:r>
      <w:r>
        <w:rPr>
          <w:color w:val="222222"/>
          <w:sz w:val="20"/>
          <w:szCs w:val="20"/>
          <w:shd w:val="clear" w:color="auto" w:fill="FFFFFF"/>
        </w:rPr>
        <w:t>d E. Weiss, Robert M. Adelman, a</w:t>
      </w:r>
      <w:r w:rsidRPr="005F67F7">
        <w:rPr>
          <w:color w:val="222222"/>
          <w:sz w:val="20"/>
          <w:szCs w:val="20"/>
          <w:shd w:val="clear" w:color="auto" w:fill="FFFFFF"/>
        </w:rPr>
        <w:t>nd Charles Jaret, "The Immigration–Crime Relationship: Evidence Across Us Metropolitan Areas." </w:t>
      </w:r>
      <w:r w:rsidRPr="005F67F7">
        <w:rPr>
          <w:i/>
          <w:iCs/>
          <w:color w:val="222222"/>
          <w:sz w:val="20"/>
          <w:szCs w:val="20"/>
          <w:shd w:val="clear" w:color="auto" w:fill="FFFFFF"/>
        </w:rPr>
        <w:t>Social Science Research</w:t>
      </w:r>
      <w:r>
        <w:rPr>
          <w:color w:val="222222"/>
          <w:sz w:val="20"/>
          <w:szCs w:val="20"/>
          <w:shd w:val="clear" w:color="auto" w:fill="FFFFFF"/>
        </w:rPr>
        <w:t> Vol.34, No.</w:t>
      </w:r>
      <w:r w:rsidRPr="005F67F7">
        <w:rPr>
          <w:color w:val="222222"/>
          <w:sz w:val="20"/>
          <w:szCs w:val="20"/>
          <w:shd w:val="clear" w:color="auto" w:fill="FFFFFF"/>
        </w:rPr>
        <w:t>4 (2005): 757-780.</w:t>
      </w:r>
    </w:p>
  </w:footnote>
  <w:footnote w:id="188">
    <w:p w14:paraId="16CF2FD3" w14:textId="5FD70C89" w:rsidR="00D14100" w:rsidRPr="005F67F7" w:rsidRDefault="00D14100" w:rsidP="005F67F7">
      <w:pPr>
        <w:pStyle w:val="FootnoteText"/>
      </w:pPr>
      <w:r w:rsidRPr="005F67F7">
        <w:rPr>
          <w:rStyle w:val="FootnoteReference"/>
        </w:rPr>
        <w:footnoteRef/>
      </w:r>
      <w:r w:rsidRPr="005F67F7">
        <w:t xml:space="preserve"> Macartan Humphreys, “Economics And Violent Conflict,” </w:t>
      </w:r>
      <w:r w:rsidRPr="005F67F7">
        <w:rPr>
          <w:i/>
        </w:rPr>
        <w:t xml:space="preserve">UNICEF Program On Humanitarian Policy And Conflict, </w:t>
      </w:r>
      <w:r w:rsidRPr="005F67F7">
        <w:t>(2003). Anthony</w:t>
      </w:r>
      <w:r>
        <w:t xml:space="preserve"> et al.</w:t>
      </w:r>
      <w:r w:rsidRPr="005F67F7">
        <w:t xml:space="preserve">, </w:t>
      </w:r>
      <w:r w:rsidRPr="005F67F7">
        <w:rPr>
          <w:i/>
        </w:rPr>
        <w:t>The Costs Of The Israeli-Palestinian Conflict</w:t>
      </w:r>
    </w:p>
  </w:footnote>
  <w:footnote w:id="189">
    <w:p w14:paraId="256A6056" w14:textId="35700441" w:rsidR="00D14100" w:rsidRPr="005F67F7" w:rsidRDefault="00D14100" w:rsidP="005F67F7">
      <w:pPr>
        <w:widowControl w:val="0"/>
        <w:autoSpaceDE w:val="0"/>
        <w:autoSpaceDN w:val="0"/>
        <w:adjustRightInd w:val="0"/>
        <w:spacing w:line="240" w:lineRule="auto"/>
        <w:rPr>
          <w:sz w:val="20"/>
          <w:szCs w:val="20"/>
        </w:rPr>
      </w:pPr>
      <w:r w:rsidRPr="005F67F7">
        <w:rPr>
          <w:rStyle w:val="FootnoteReference"/>
          <w:sz w:val="20"/>
          <w:szCs w:val="20"/>
        </w:rPr>
        <w:footnoteRef/>
      </w:r>
      <w:r w:rsidRPr="005F67F7">
        <w:rPr>
          <w:sz w:val="20"/>
          <w:szCs w:val="20"/>
        </w:rPr>
        <w:t xml:space="preserve"> Basel A. Saleh, “An Econometric Analysis Of Palestinian Attacks</w:t>
      </w:r>
      <w:r>
        <w:rPr>
          <w:sz w:val="20"/>
          <w:szCs w:val="20"/>
        </w:rPr>
        <w:t xml:space="preserve">.” </w:t>
      </w:r>
      <w:r w:rsidRPr="005F67F7">
        <w:rPr>
          <w:sz w:val="20"/>
          <w:szCs w:val="20"/>
        </w:rPr>
        <w:t xml:space="preserve">Solveig Hillesund, “A Dangerous Discepency: Testing The Micro-Dynamics Of Horizontal Inequality On Palestinian Support For Armed Resistance,” </w:t>
      </w:r>
      <w:r w:rsidRPr="005F67F7">
        <w:rPr>
          <w:i/>
          <w:sz w:val="20"/>
          <w:szCs w:val="20"/>
        </w:rPr>
        <w:t xml:space="preserve">Journal Of Peace Research, </w:t>
      </w:r>
      <w:r>
        <w:rPr>
          <w:sz w:val="20"/>
          <w:szCs w:val="20"/>
        </w:rPr>
        <w:t>Vol.52, No.</w:t>
      </w:r>
      <w:r w:rsidRPr="005F67F7">
        <w:rPr>
          <w:sz w:val="20"/>
          <w:szCs w:val="20"/>
        </w:rPr>
        <w:t>1, (2015), 76-90.</w:t>
      </w:r>
    </w:p>
  </w:footnote>
  <w:footnote w:id="190">
    <w:p w14:paraId="7CFE7CEF" w14:textId="1C6E1CDF" w:rsidR="00D14100" w:rsidRPr="005F67F7" w:rsidRDefault="00D14100" w:rsidP="005F67F7">
      <w:pPr>
        <w:pStyle w:val="FootnoteText"/>
      </w:pPr>
      <w:r w:rsidRPr="005F67F7">
        <w:rPr>
          <w:rStyle w:val="FootnoteReference"/>
        </w:rPr>
        <w:footnoteRef/>
      </w:r>
      <w:r w:rsidRPr="005F67F7">
        <w:t xml:space="preserve"> Edward A. Sayre,</w:t>
      </w:r>
      <w:r>
        <w:t xml:space="preserve"> </w:t>
      </w:r>
      <w:r w:rsidRPr="005F67F7">
        <w:t>“Labor Market Conditions, Political Events</w:t>
      </w:r>
      <w:r>
        <w:t>.”</w:t>
      </w:r>
    </w:p>
  </w:footnote>
  <w:footnote w:id="191">
    <w:p w14:paraId="4A0BD7C8" w14:textId="77777777" w:rsidR="00D14100" w:rsidRPr="005F67F7" w:rsidRDefault="00D14100" w:rsidP="005F67F7">
      <w:pPr>
        <w:spacing w:line="240" w:lineRule="auto"/>
        <w:rPr>
          <w:sz w:val="20"/>
          <w:szCs w:val="20"/>
        </w:rPr>
      </w:pPr>
      <w:r w:rsidRPr="005F67F7">
        <w:rPr>
          <w:rStyle w:val="FootnoteReference"/>
          <w:sz w:val="20"/>
          <w:szCs w:val="20"/>
        </w:rPr>
        <w:footnoteRef/>
      </w:r>
      <w:r w:rsidRPr="005F67F7">
        <w:rPr>
          <w:sz w:val="20"/>
          <w:szCs w:val="20"/>
        </w:rPr>
        <w:t xml:space="preserve"> </w:t>
      </w:r>
      <w:r w:rsidRPr="005F67F7">
        <w:rPr>
          <w:color w:val="222222"/>
          <w:sz w:val="20"/>
          <w:szCs w:val="20"/>
          <w:shd w:val="clear" w:color="auto" w:fill="FFFFFF"/>
        </w:rPr>
        <w:t>Siddig, Khalid, Dorothee Flaig, Jonas Luckmann, And Harald Grethe, "A 2004 Social Accounting Matrix For Israel: Documentation Of An Economy-Wide Database With A Focus On Agriculture, The Labour Market, And Income Distribution," (2011).</w:t>
      </w:r>
    </w:p>
  </w:footnote>
  <w:footnote w:id="192">
    <w:p w14:paraId="4361F058" w14:textId="2C14C7E9" w:rsidR="00D14100" w:rsidRPr="005F67F7" w:rsidRDefault="00D14100" w:rsidP="005F67F7">
      <w:pPr>
        <w:pStyle w:val="FootnoteText"/>
      </w:pPr>
      <w:r w:rsidRPr="005F67F7">
        <w:rPr>
          <w:rStyle w:val="FootnoteReference"/>
        </w:rPr>
        <w:footnoteRef/>
      </w:r>
      <w:r w:rsidRPr="005F67F7">
        <w:t xml:space="preserve"> Daphna Canetti, And Nancy Hite, “A Checkpoint Effect? Evidence From A Natural Experiment On Travel Restrictions In The West Bank,” </w:t>
      </w:r>
      <w:r w:rsidRPr="005F67F7">
        <w:rPr>
          <w:i/>
        </w:rPr>
        <w:t xml:space="preserve">American Journal Of Political Science, </w:t>
      </w:r>
      <w:r>
        <w:t>Vol.58, No.</w:t>
      </w:r>
      <w:r w:rsidRPr="005F67F7">
        <w:t xml:space="preserve">4, (2014): 1006-1023. </w:t>
      </w:r>
    </w:p>
  </w:footnote>
  <w:footnote w:id="193">
    <w:p w14:paraId="1F4E2DE6" w14:textId="763C3537" w:rsidR="00D14100" w:rsidRPr="005F67F7" w:rsidRDefault="00D14100" w:rsidP="005F67F7">
      <w:pPr>
        <w:pStyle w:val="FootnoteText"/>
      </w:pPr>
      <w:r w:rsidRPr="005F67F7">
        <w:rPr>
          <w:rStyle w:val="FootnoteReference"/>
        </w:rPr>
        <w:footnoteRef/>
      </w:r>
      <w:r>
        <w:t xml:space="preserve"> </w:t>
      </w:r>
      <w:r w:rsidRPr="005F67F7">
        <w:t>Harel, “Military</w:t>
      </w:r>
      <w:r>
        <w:t xml:space="preserve"> Wants 30,000 More Palestinians.”</w:t>
      </w:r>
    </w:p>
  </w:footnote>
  <w:footnote w:id="194">
    <w:p w14:paraId="15438070" w14:textId="35FCC1BA" w:rsidR="00D14100" w:rsidRPr="005F67F7" w:rsidRDefault="00D14100" w:rsidP="005F67F7">
      <w:pPr>
        <w:spacing w:line="240" w:lineRule="auto"/>
        <w:rPr>
          <w:sz w:val="20"/>
          <w:szCs w:val="20"/>
        </w:rPr>
      </w:pPr>
      <w:r w:rsidRPr="005F67F7">
        <w:rPr>
          <w:rStyle w:val="FootnoteReference"/>
          <w:sz w:val="20"/>
          <w:szCs w:val="20"/>
        </w:rPr>
        <w:footnoteRef/>
      </w:r>
      <w:r>
        <w:rPr>
          <w:sz w:val="20"/>
          <w:szCs w:val="20"/>
        </w:rPr>
        <w:t xml:space="preserve"> Abadie and </w:t>
      </w:r>
      <w:r w:rsidRPr="005F67F7">
        <w:rPr>
          <w:sz w:val="20"/>
          <w:szCs w:val="20"/>
        </w:rPr>
        <w:t xml:space="preserve">Gardeazabal, </w:t>
      </w:r>
      <w:r>
        <w:rPr>
          <w:sz w:val="20"/>
          <w:szCs w:val="20"/>
        </w:rPr>
        <w:t>“The Economic Costs Of Conflict.</w:t>
      </w:r>
      <w:r w:rsidRPr="005F67F7">
        <w:rPr>
          <w:sz w:val="20"/>
          <w:szCs w:val="20"/>
        </w:rPr>
        <w:t>”</w:t>
      </w:r>
      <w:r w:rsidRPr="005F67F7">
        <w:rPr>
          <w:i/>
          <w:sz w:val="20"/>
          <w:szCs w:val="20"/>
        </w:rPr>
        <w:t xml:space="preserve"> </w:t>
      </w:r>
      <w:r>
        <w:rPr>
          <w:sz w:val="20"/>
          <w:szCs w:val="20"/>
        </w:rPr>
        <w:t>Saumitra Jha a</w:t>
      </w:r>
      <w:r w:rsidRPr="005F67F7">
        <w:rPr>
          <w:sz w:val="20"/>
          <w:szCs w:val="20"/>
        </w:rPr>
        <w:t>nd Moses Shayo, “Valuing Peace: The Effects Of Fina</w:t>
      </w:r>
      <w:r>
        <w:rPr>
          <w:sz w:val="20"/>
          <w:szCs w:val="20"/>
        </w:rPr>
        <w:t>ncial Market Exposure On Votes a</w:t>
      </w:r>
      <w:r w:rsidRPr="005F67F7">
        <w:rPr>
          <w:sz w:val="20"/>
          <w:szCs w:val="20"/>
        </w:rPr>
        <w:t xml:space="preserve">nd Political Attitudes,” </w:t>
      </w:r>
      <w:r w:rsidRPr="005F67F7">
        <w:rPr>
          <w:i/>
          <w:sz w:val="20"/>
          <w:szCs w:val="20"/>
        </w:rPr>
        <w:t>Stanford University Graduate School O</w:t>
      </w:r>
      <w:r>
        <w:rPr>
          <w:i/>
          <w:sz w:val="20"/>
          <w:szCs w:val="20"/>
        </w:rPr>
        <w:t>f Business: Research Paper No.3</w:t>
      </w:r>
      <w:r w:rsidRPr="005F67F7">
        <w:rPr>
          <w:i/>
          <w:sz w:val="20"/>
          <w:szCs w:val="20"/>
        </w:rPr>
        <w:t>389,</w:t>
      </w:r>
      <w:r w:rsidRPr="005F67F7">
        <w:rPr>
          <w:sz w:val="20"/>
          <w:szCs w:val="20"/>
        </w:rPr>
        <w:t xml:space="preserve"> (Jan 2016). </w:t>
      </w:r>
      <w:r w:rsidRPr="005F67F7">
        <w:rPr>
          <w:color w:val="222222"/>
          <w:sz w:val="20"/>
          <w:szCs w:val="20"/>
          <w:shd w:val="clear" w:color="auto" w:fill="FFFFFF"/>
        </w:rPr>
        <w:t>Asaf Zussman, Noam Zussman, And Morten Ørregaard Nielsen, "Asset Market Perspectives On The Israeli–Palestinian Conflict." </w:t>
      </w:r>
      <w:r w:rsidRPr="005F67F7">
        <w:rPr>
          <w:i/>
          <w:iCs/>
          <w:color w:val="222222"/>
          <w:sz w:val="20"/>
          <w:szCs w:val="20"/>
          <w:shd w:val="clear" w:color="auto" w:fill="FFFFFF"/>
        </w:rPr>
        <w:t>Economica</w:t>
      </w:r>
      <w:r>
        <w:rPr>
          <w:color w:val="222222"/>
          <w:sz w:val="20"/>
          <w:szCs w:val="20"/>
          <w:shd w:val="clear" w:color="auto" w:fill="FFFFFF"/>
        </w:rPr>
        <w:t> 75, No.</w:t>
      </w:r>
      <w:r w:rsidRPr="005F67F7">
        <w:rPr>
          <w:color w:val="222222"/>
          <w:sz w:val="20"/>
          <w:szCs w:val="20"/>
          <w:shd w:val="clear" w:color="auto" w:fill="FFFFFF"/>
        </w:rPr>
        <w:t>297, (2008): 84-115.</w:t>
      </w:r>
    </w:p>
  </w:footnote>
  <w:footnote w:id="195">
    <w:p w14:paraId="59A2FEC9" w14:textId="27093CDC" w:rsidR="00D14100" w:rsidRPr="005F67F7" w:rsidRDefault="00D14100" w:rsidP="005F67F7">
      <w:pPr>
        <w:spacing w:line="240" w:lineRule="auto"/>
        <w:rPr>
          <w:sz w:val="20"/>
          <w:szCs w:val="20"/>
        </w:rPr>
      </w:pPr>
      <w:r w:rsidRPr="005F67F7">
        <w:rPr>
          <w:rStyle w:val="FootnoteReference"/>
          <w:sz w:val="20"/>
          <w:szCs w:val="20"/>
        </w:rPr>
        <w:footnoteRef/>
      </w:r>
      <w:r w:rsidRPr="005F67F7">
        <w:rPr>
          <w:sz w:val="20"/>
          <w:szCs w:val="20"/>
        </w:rPr>
        <w:t xml:space="preserve"> </w:t>
      </w:r>
      <w:r w:rsidRPr="005F67F7">
        <w:rPr>
          <w:color w:val="222222"/>
          <w:sz w:val="20"/>
          <w:szCs w:val="20"/>
          <w:shd w:val="clear" w:color="auto" w:fill="FFFFFF"/>
        </w:rPr>
        <w:t>Justin T. Pickett, Thomas Baker,</w:t>
      </w:r>
      <w:r>
        <w:rPr>
          <w:color w:val="222222"/>
          <w:sz w:val="20"/>
          <w:szCs w:val="20"/>
          <w:shd w:val="clear" w:color="auto" w:fill="FFFFFF"/>
        </w:rPr>
        <w:t xml:space="preserve"> Christi Metcalfe, Marc Gertz, a</w:t>
      </w:r>
      <w:r w:rsidRPr="005F67F7">
        <w:rPr>
          <w:color w:val="222222"/>
          <w:sz w:val="20"/>
          <w:szCs w:val="20"/>
          <w:shd w:val="clear" w:color="auto" w:fill="FFFFFF"/>
        </w:rPr>
        <w:t>nd Rose Bellandi, "Contact And Compromise Explaining Support For Conciliatory Measures In The Context Of Violent Intergroup Conflict." </w:t>
      </w:r>
      <w:r w:rsidRPr="005F67F7">
        <w:rPr>
          <w:i/>
          <w:iCs/>
          <w:color w:val="222222"/>
          <w:sz w:val="20"/>
          <w:szCs w:val="20"/>
          <w:shd w:val="clear" w:color="auto" w:fill="FFFFFF"/>
        </w:rPr>
        <w:t>Journal Of Research In Crime And Delinquency</w:t>
      </w:r>
      <w:r>
        <w:rPr>
          <w:color w:val="222222"/>
          <w:sz w:val="20"/>
          <w:szCs w:val="20"/>
          <w:shd w:val="clear" w:color="auto" w:fill="FFFFFF"/>
        </w:rPr>
        <w:t xml:space="preserve">, </w:t>
      </w:r>
      <w:r w:rsidRPr="005F67F7">
        <w:rPr>
          <w:color w:val="222222"/>
          <w:sz w:val="20"/>
          <w:szCs w:val="20"/>
          <w:shd w:val="clear" w:color="auto" w:fill="FFFFFF"/>
        </w:rPr>
        <w:t>(2014).</w:t>
      </w:r>
    </w:p>
    <w:p w14:paraId="5D154467" w14:textId="77777777" w:rsidR="00D14100" w:rsidRPr="005F67F7" w:rsidRDefault="00D14100" w:rsidP="005F67F7">
      <w:pPr>
        <w:pStyle w:val="FootnoteText"/>
      </w:pPr>
    </w:p>
  </w:footnote>
  <w:footnote w:id="196">
    <w:p w14:paraId="13EE0607" w14:textId="307B5208" w:rsidR="00D14100" w:rsidRPr="005F67F7" w:rsidRDefault="00D14100" w:rsidP="005F67F7">
      <w:pPr>
        <w:pStyle w:val="FootnoteText"/>
      </w:pPr>
      <w:r w:rsidRPr="005F67F7">
        <w:rPr>
          <w:rStyle w:val="FootnoteReference"/>
        </w:rPr>
        <w:footnoteRef/>
      </w:r>
      <w:r w:rsidRPr="005F67F7">
        <w:t xml:space="preserve"> Craig A. Anderson, William Deuser, And Kristina Deneve, “Hot Temperatures, Hostile Affects, Hostile Cognition, And Arousal: Tests Of A General Model Of Affective Aggression,” </w:t>
      </w:r>
      <w:r>
        <w:rPr>
          <w:i/>
        </w:rPr>
        <w:t>Personality a</w:t>
      </w:r>
      <w:r w:rsidRPr="005F67F7">
        <w:rPr>
          <w:i/>
        </w:rPr>
        <w:t xml:space="preserve">nd Social Psychology Bulletin, </w:t>
      </w:r>
      <w:r>
        <w:t>Vol.21, Iss.</w:t>
      </w:r>
      <w:r w:rsidRPr="005F67F7">
        <w:t xml:space="preserve">5, (1995): 434-448. </w:t>
      </w:r>
    </w:p>
  </w:footnote>
  <w:footnote w:id="197">
    <w:p w14:paraId="2D69EF85" w14:textId="378F9C7A" w:rsidR="00D14100" w:rsidRPr="005F67F7" w:rsidRDefault="00D14100" w:rsidP="005F67F7">
      <w:pPr>
        <w:pStyle w:val="FootnoteText"/>
      </w:pPr>
      <w:r w:rsidRPr="005F67F7">
        <w:rPr>
          <w:rStyle w:val="FootnoteReference"/>
        </w:rPr>
        <w:footnoteRef/>
      </w:r>
      <w:r w:rsidRPr="005F67F7">
        <w:t xml:space="preserve"> Craig A</w:t>
      </w:r>
      <w:r>
        <w:t>. Anderson a</w:t>
      </w:r>
      <w:r w:rsidRPr="005F67F7">
        <w:t xml:space="preserve">nd Brad J. Bushman, “Human Aggression,” </w:t>
      </w:r>
      <w:r w:rsidRPr="005F67F7">
        <w:rPr>
          <w:i/>
        </w:rPr>
        <w:t xml:space="preserve">Annual Review Of Psychology, </w:t>
      </w:r>
      <w:r>
        <w:t>Vol.</w:t>
      </w:r>
      <w:r w:rsidRPr="005F67F7">
        <w:t>53, Iss.1, (2</w:t>
      </w:r>
      <w:r>
        <w:t>002): 27-51. Craig A. Anderson a</w:t>
      </w:r>
      <w:r w:rsidRPr="005F67F7">
        <w:t>nd Brad J. Bushman, “Effects Of Violent Video Games On Aggressive Behavior, Aggressive Cognition, Aggressive Affect, Psychological Di</w:t>
      </w:r>
      <w:r>
        <w:t>strust, Physiological Arousal, a</w:t>
      </w:r>
      <w:r w:rsidRPr="005F67F7">
        <w:t xml:space="preserve">nd Prosocial Behavior: A Meta-Analytic Review Of The Scientific Literature,” </w:t>
      </w:r>
      <w:r w:rsidRPr="005F67F7">
        <w:rPr>
          <w:i/>
        </w:rPr>
        <w:t xml:space="preserve">Psychological Science, </w:t>
      </w:r>
      <w:r>
        <w:t>Vol.12, Iss.</w:t>
      </w:r>
      <w:r w:rsidRPr="005F67F7">
        <w:t>5, (2001): 353-359.</w:t>
      </w:r>
    </w:p>
  </w:footnote>
  <w:footnote w:id="198">
    <w:p w14:paraId="541684E7" w14:textId="1F1F43C6" w:rsidR="00D14100" w:rsidRPr="005F67F7" w:rsidRDefault="00D14100" w:rsidP="005F67F7">
      <w:pPr>
        <w:pStyle w:val="FootnoteText"/>
      </w:pPr>
      <w:r w:rsidRPr="005F67F7">
        <w:rPr>
          <w:rStyle w:val="FootnoteReference"/>
        </w:rPr>
        <w:footnoteRef/>
      </w:r>
      <w:r w:rsidRPr="005F67F7">
        <w:t xml:space="preserve"> Natha</w:t>
      </w:r>
      <w:r>
        <w:t>n C Dewall, Craig A. Anderson, a</w:t>
      </w:r>
      <w:r w:rsidRPr="005F67F7">
        <w:t xml:space="preserve">nd Brad Bushman, “The General Aggression Model: Theoretical Extensions To Violence,” </w:t>
      </w:r>
      <w:r w:rsidRPr="005F67F7">
        <w:rPr>
          <w:i/>
        </w:rPr>
        <w:t xml:space="preserve">Psychology Of Violence, </w:t>
      </w:r>
      <w:r w:rsidRPr="005F67F7">
        <w:t>Vol. 1, No. 3, (2011): 245-258.</w:t>
      </w:r>
    </w:p>
  </w:footnote>
  <w:footnote w:id="199">
    <w:p w14:paraId="7EF5659C" w14:textId="77777777" w:rsidR="00D14100" w:rsidRPr="005F67F7" w:rsidRDefault="00D14100" w:rsidP="005F67F7">
      <w:pPr>
        <w:pStyle w:val="FootnoteText"/>
      </w:pPr>
      <w:r w:rsidRPr="005F67F7">
        <w:rPr>
          <w:rStyle w:val="FootnoteReference"/>
        </w:rPr>
        <w:footnoteRef/>
      </w:r>
      <w:r w:rsidRPr="005F67F7">
        <w:t xml:space="preserve"> Ibid, 246</w:t>
      </w:r>
    </w:p>
  </w:footnote>
  <w:footnote w:id="200">
    <w:p w14:paraId="27480DC1" w14:textId="77777777" w:rsidR="00D14100" w:rsidRPr="005F67F7" w:rsidRDefault="00D14100" w:rsidP="005F67F7">
      <w:pPr>
        <w:spacing w:line="240" w:lineRule="auto"/>
        <w:rPr>
          <w:sz w:val="20"/>
          <w:szCs w:val="20"/>
        </w:rPr>
      </w:pPr>
      <w:r w:rsidRPr="005F67F7">
        <w:rPr>
          <w:rStyle w:val="FootnoteReference"/>
          <w:sz w:val="20"/>
          <w:szCs w:val="20"/>
        </w:rPr>
        <w:footnoteRef/>
      </w:r>
      <w:r w:rsidRPr="005F67F7">
        <w:rPr>
          <w:sz w:val="20"/>
          <w:szCs w:val="20"/>
        </w:rPr>
        <w:t xml:space="preserve"> The Various Reasons That </w:t>
      </w:r>
      <m:oMath>
        <m:bar>
          <m:barPr>
            <m:pos m:val="top"/>
            <m:ctrlPr>
              <w:rPr>
                <w:rFonts w:ascii="Cambria Math" w:hAnsi="Cambria Math"/>
                <w:i/>
                <w:sz w:val="20"/>
                <w:szCs w:val="20"/>
              </w:rPr>
            </m:ctrlPr>
          </m:barPr>
          <m:e>
            <m:r>
              <w:rPr>
                <w:rFonts w:ascii="Cambria Math" w:hAnsi="Cambria Math"/>
                <w:sz w:val="20"/>
                <w:szCs w:val="20"/>
              </w:rPr>
              <m:t>A</m:t>
            </m:r>
          </m:e>
        </m:bar>
      </m:oMath>
      <w:r w:rsidRPr="005F67F7">
        <w:rPr>
          <w:sz w:val="20"/>
          <w:szCs w:val="20"/>
        </w:rPr>
        <w:t xml:space="preserve"> </w:t>
      </w:r>
      <m:oMath>
        <m:r>
          <w:rPr>
            <w:rFonts w:ascii="Cambria Math" w:hAnsi="Cambria Math"/>
            <w:sz w:val="20"/>
            <w:szCs w:val="20"/>
          </w:rPr>
          <m:t>≫</m:t>
        </m:r>
      </m:oMath>
      <w:r w:rsidRPr="005F67F7">
        <w:rPr>
          <w:sz w:val="20"/>
          <w:szCs w:val="20"/>
        </w:rPr>
        <w:t xml:space="preserve"> </w:t>
      </w:r>
      <m:oMath>
        <m:bar>
          <m:barPr>
            <m:ctrlPr>
              <w:rPr>
                <w:rFonts w:ascii="Cambria Math" w:hAnsi="Cambria Math"/>
                <w:i/>
                <w:sz w:val="20"/>
                <w:szCs w:val="20"/>
              </w:rPr>
            </m:ctrlPr>
          </m:barPr>
          <m:e>
            <m:r>
              <w:rPr>
                <w:rFonts w:ascii="Cambria Math" w:hAnsi="Cambria Math"/>
                <w:sz w:val="20"/>
                <w:szCs w:val="20"/>
              </w:rPr>
              <m:t>A</m:t>
            </m:r>
          </m:e>
        </m:bar>
      </m:oMath>
      <w:r w:rsidRPr="005F67F7">
        <w:rPr>
          <w:sz w:val="20"/>
          <w:szCs w:val="20"/>
        </w:rPr>
        <w:t xml:space="preserve"> Was Discussed In Depth In Chapter 1, Section 2 (A Long Term Impasse: The One-State Or Two-State Dilemma In The Economic Relationship Between Israel And The Palestinian Territories)</w:t>
      </w:r>
    </w:p>
  </w:footnote>
  <w:footnote w:id="201">
    <w:p w14:paraId="1244772A" w14:textId="39666912" w:rsidR="00D14100" w:rsidRPr="005F67F7" w:rsidRDefault="00D14100" w:rsidP="005F67F7">
      <w:pPr>
        <w:pStyle w:val="FootnoteText"/>
      </w:pPr>
      <w:r w:rsidRPr="005F67F7">
        <w:rPr>
          <w:rStyle w:val="FootnoteReference"/>
        </w:rPr>
        <w:footnoteRef/>
      </w:r>
      <w:r w:rsidRPr="005F67F7">
        <w:t xml:space="preserve"> Sammy Smooha, “Minority Status In An Ethnic Democracy: The Status Of The Arab Minority In Israel,” </w:t>
      </w:r>
      <w:r w:rsidRPr="005F67F7">
        <w:rPr>
          <w:i/>
        </w:rPr>
        <w:t xml:space="preserve">Ethnic And Racial Studies, </w:t>
      </w:r>
      <w:r>
        <w:t>Vol.13, No.3, (1990). Mtanes Shehadeh a</w:t>
      </w:r>
      <w:r w:rsidRPr="005F67F7">
        <w:t xml:space="preserve">nd Raja Khalid, “Impeded Development: The Political Economy Of The Palestinian Arabs Inside Israel,” In </w:t>
      </w:r>
      <w:r w:rsidRPr="005F67F7">
        <w:rPr>
          <w:i/>
        </w:rPr>
        <w:t xml:space="preserve">Decolonizing Palestinian Political Economy: De-Development And Beyond, </w:t>
      </w:r>
      <w:r>
        <w:t>Palgrave Macmillan, London, UK</w:t>
      </w:r>
      <w:r w:rsidRPr="005F67F7">
        <w:t>, (2014)</w:t>
      </w:r>
      <w:r>
        <w:t>.</w:t>
      </w:r>
    </w:p>
  </w:footnote>
  <w:footnote w:id="202">
    <w:p w14:paraId="679C35C3" w14:textId="28D9B3DA" w:rsidR="00D14100" w:rsidRPr="005F67F7" w:rsidRDefault="00D14100" w:rsidP="005F67F7">
      <w:pPr>
        <w:pStyle w:val="FootnoteText"/>
      </w:pPr>
      <w:r w:rsidRPr="005F67F7">
        <w:rPr>
          <w:rStyle w:val="FootnoteReference"/>
        </w:rPr>
        <w:footnoteRef/>
      </w:r>
      <w:r w:rsidRPr="005F67F7">
        <w:t xml:space="preserve"> “Fatalities After Operation Cast Lead,” </w:t>
      </w:r>
      <w:r w:rsidRPr="005F67F7">
        <w:rPr>
          <w:i/>
        </w:rPr>
        <w:t xml:space="preserve">B’tselem- The Israeli Information Center For Human Rights In The Occupied Territories, </w:t>
      </w:r>
      <w:r w:rsidRPr="005F67F7">
        <w:t xml:space="preserve">Web, Retrieved 1 Mar 2016, </w:t>
      </w:r>
      <w:hyperlink r:id="rId16" w:history="1">
        <w:r w:rsidRPr="005F67F7">
          <w:rPr>
            <w:rStyle w:val="Hyperlink"/>
          </w:rPr>
          <w:t>Http://Www.Btselem.Org/Statistics/Fatalities/After-Cast-Lead/By-Date-Of-Event</w:t>
        </w:r>
      </w:hyperlink>
      <w:r>
        <w:rPr>
          <w:rStyle w:val="Hyperlink"/>
        </w:rPr>
        <w:t>.</w:t>
      </w:r>
      <w:r w:rsidRPr="005F67F7">
        <w:t xml:space="preserve"> </w:t>
      </w:r>
    </w:p>
  </w:footnote>
  <w:footnote w:id="203">
    <w:p w14:paraId="6EC759D2" w14:textId="77777777" w:rsidR="00D14100" w:rsidRPr="005F67F7" w:rsidRDefault="00D14100" w:rsidP="005F67F7">
      <w:pPr>
        <w:pStyle w:val="FootnoteText"/>
      </w:pPr>
    </w:p>
  </w:footnote>
  <w:footnote w:id="204">
    <w:p w14:paraId="70CDC147" w14:textId="77777777" w:rsidR="00D14100" w:rsidRPr="005F67F7" w:rsidRDefault="00D14100" w:rsidP="005F67F7">
      <w:pPr>
        <w:pStyle w:val="FootnoteText"/>
      </w:pPr>
      <w:r w:rsidRPr="005F67F7">
        <w:rPr>
          <w:rStyle w:val="FootnoteReference"/>
        </w:rPr>
        <w:footnoteRef/>
      </w:r>
      <w:r w:rsidRPr="005F67F7">
        <w:t xml:space="preserve"> 113,200 Palestinians working in Israel breaks down as follows: 65,100 with a permit, 35,900 without a permit, and 12,200 with Israeli ID or a foreign passport. Number of WBPL working in Israel found in: “Palestinian Labor Force Survey: Q3 2015,” </w:t>
      </w:r>
      <w:r w:rsidRPr="005F67F7">
        <w:rPr>
          <w:i/>
        </w:rPr>
        <w:t xml:space="preserve">Palestinian Central Bureau of Statistics, </w:t>
      </w:r>
      <w:r w:rsidRPr="005F67F7">
        <w:t xml:space="preserve">Ramallah, West Bank, (2015). Israeli labor force numbers found in: “Labor Force Survey Data, February 2016,” </w:t>
      </w:r>
      <w:r w:rsidRPr="005F67F7">
        <w:rPr>
          <w:i/>
        </w:rPr>
        <w:t xml:space="preserve">Israeli Central Bureau of Statistics, </w:t>
      </w:r>
      <w:r w:rsidRPr="005F67F7">
        <w:t xml:space="preserve">Jerusalem, Israel (2016). </w:t>
      </w:r>
    </w:p>
  </w:footnote>
  <w:footnote w:id="205">
    <w:p w14:paraId="207CA187" w14:textId="680754D7" w:rsidR="00D14100" w:rsidRPr="005F67F7" w:rsidRDefault="00D14100" w:rsidP="005F67F7">
      <w:pPr>
        <w:widowControl w:val="0"/>
        <w:autoSpaceDE w:val="0"/>
        <w:autoSpaceDN w:val="0"/>
        <w:adjustRightInd w:val="0"/>
        <w:spacing w:line="240" w:lineRule="auto"/>
        <w:rPr>
          <w:sz w:val="20"/>
          <w:szCs w:val="20"/>
        </w:rPr>
      </w:pPr>
      <w:r w:rsidRPr="005F67F7">
        <w:rPr>
          <w:rStyle w:val="FootnoteReference"/>
          <w:sz w:val="20"/>
          <w:szCs w:val="20"/>
        </w:rPr>
        <w:footnoteRef/>
      </w:r>
      <w:r>
        <w:rPr>
          <w:sz w:val="20"/>
          <w:szCs w:val="20"/>
        </w:rPr>
        <w:t xml:space="preserve"> Robert E. Hall, a</w:t>
      </w:r>
      <w:r w:rsidRPr="005F67F7">
        <w:rPr>
          <w:sz w:val="20"/>
          <w:szCs w:val="20"/>
        </w:rPr>
        <w:t xml:space="preserve">nd Charles I. Jones, “Why Do Some Countries Produce So Much More Output Per Worker Than Others?” </w:t>
      </w:r>
      <w:r w:rsidRPr="005F67F7">
        <w:rPr>
          <w:i/>
          <w:sz w:val="20"/>
          <w:szCs w:val="20"/>
        </w:rPr>
        <w:t>Quarterly Journal Of Economics,</w:t>
      </w:r>
      <w:r>
        <w:rPr>
          <w:sz w:val="20"/>
          <w:szCs w:val="20"/>
        </w:rPr>
        <w:t xml:space="preserve"> Vol.114, No.</w:t>
      </w:r>
      <w:r w:rsidRPr="005F67F7">
        <w:rPr>
          <w:sz w:val="20"/>
          <w:szCs w:val="20"/>
        </w:rPr>
        <w:t>1, (1999): 83–116.</w:t>
      </w:r>
    </w:p>
  </w:footnote>
  <w:footnote w:id="206">
    <w:p w14:paraId="684D7EB3" w14:textId="77777777" w:rsidR="00D14100" w:rsidRPr="005F67F7" w:rsidRDefault="00D14100" w:rsidP="005F67F7">
      <w:pPr>
        <w:pStyle w:val="FootnoteText"/>
      </w:pPr>
      <w:r w:rsidRPr="005F67F7">
        <w:rPr>
          <w:rStyle w:val="FootnoteReference"/>
        </w:rPr>
        <w:footnoteRef/>
      </w:r>
      <w:r w:rsidRPr="005F67F7">
        <w:t xml:space="preserve"> Chapter 1 discusses the economic policies that Israel has enacted in the Palestinian Territories, which partially explain this production gap.</w:t>
      </w:r>
    </w:p>
  </w:footnote>
  <w:footnote w:id="207">
    <w:p w14:paraId="00027DE3" w14:textId="5E74AABE" w:rsidR="00D14100" w:rsidRPr="005F67F7" w:rsidRDefault="00D14100" w:rsidP="005F67F7">
      <w:pPr>
        <w:pStyle w:val="FootnoteText"/>
      </w:pPr>
      <w:r w:rsidRPr="005F67F7">
        <w:rPr>
          <w:rStyle w:val="FootnoteReference"/>
        </w:rPr>
        <w:footnoteRef/>
      </w:r>
      <w:r w:rsidRPr="005F67F7">
        <w:t xml:space="preserve"> As explained prior to equation </w:t>
      </w:r>
      <w:r w:rsidRPr="005F67F7">
        <w:rPr>
          <w:b/>
        </w:rPr>
        <w:t>(5),</w:t>
      </w:r>
      <w:r w:rsidRPr="005F67F7">
        <w:t xml:space="preserve"> </w:t>
      </w:r>
      <m:oMath>
        <m:r>
          <m:rPr>
            <m:sty m:val="b"/>
          </m:rPr>
          <w:rPr>
            <w:rFonts w:ascii="Cambria Math" w:hAnsi="Cambria Math"/>
          </w:rPr>
          <m:t>β</m:t>
        </m:r>
      </m:oMath>
      <w:r w:rsidRPr="005F67F7">
        <w:rPr>
          <w:b/>
        </w:rPr>
        <w:t xml:space="preserve"> </w:t>
      </w:r>
      <w:r w:rsidRPr="005F67F7">
        <w:t xml:space="preserve">= [Total Labor Force of Israel and the West Bank (5,184,900) / Current Labor Force of the West Bank (1,303,900)] -1 &gt; 1. Labor Force figures obtained from the Israeli Central Bureau of Statistics and the Palestinian Central Bureau of Statistics. </w:t>
      </w:r>
    </w:p>
  </w:footnote>
  <w:footnote w:id="208">
    <w:p w14:paraId="72D26EA4" w14:textId="0832EB1F" w:rsidR="00D14100" w:rsidRDefault="00D14100">
      <w:pPr>
        <w:pStyle w:val="FootnoteText"/>
      </w:pPr>
      <w:r>
        <w:rPr>
          <w:rStyle w:val="FootnoteReference"/>
        </w:rPr>
        <w:footnoteRef/>
      </w:r>
      <w:r>
        <w:t xml:space="preserve"> The modified productivity gap is implicit in Equation 8 and is as follows: </w:t>
      </w:r>
      <m:oMath>
        <m:acc>
          <m:accPr>
            <m:chr m:val="̃"/>
            <m:ctrlPr>
              <w:rPr>
                <w:rFonts w:ascii="Cambria Math" w:hAnsi="Cambria Math"/>
                <w:b/>
                <w:i/>
              </w:rPr>
            </m:ctrlPr>
          </m:accPr>
          <m:e>
            <m:r>
              <m:rPr>
                <m:sty m:val="bi"/>
              </m:rPr>
              <w:rPr>
                <w:rFonts w:ascii="Cambria Math" w:hAnsi="Cambria Math"/>
              </w:rPr>
              <m:t>γ</m:t>
            </m:r>
          </m:e>
        </m:acc>
        <m:r>
          <m:rPr>
            <m:sty m:val="bi"/>
          </m:rPr>
          <w:rPr>
            <w:rFonts w:ascii="Cambria Math" w:hAnsi="Cambria Math"/>
          </w:rPr>
          <m:t>=</m:t>
        </m:r>
        <m:f>
          <m:fPr>
            <m:ctrlPr>
              <w:rPr>
                <w:rFonts w:ascii="Cambria Math" w:hAnsi="Cambria Math"/>
                <w:b/>
                <w:i/>
              </w:rPr>
            </m:ctrlPr>
          </m:fPr>
          <m:num>
            <m:r>
              <m:rPr>
                <m:sty m:val="bi"/>
              </m:rPr>
              <w:rPr>
                <w:rFonts w:ascii="Cambria Math" w:hAnsi="Cambria Math"/>
              </w:rPr>
              <m:t>1-</m:t>
            </m:r>
            <m:bar>
              <m:barPr>
                <m:ctrlPr>
                  <w:rPr>
                    <w:rFonts w:ascii="Cambria Math" w:hAnsi="Cambria Math"/>
                    <w:b/>
                    <w:i/>
                  </w:rPr>
                </m:ctrlPr>
              </m:barPr>
              <m:e>
                <m:r>
                  <m:rPr>
                    <m:sty m:val="bi"/>
                  </m:rPr>
                  <w:rPr>
                    <w:rFonts w:ascii="Cambria Math" w:hAnsi="Cambria Math"/>
                  </w:rPr>
                  <m:t>A</m:t>
                </m:r>
              </m:e>
            </m:bar>
          </m:num>
          <m:den>
            <m:r>
              <m:rPr>
                <m:sty m:val="bi"/>
              </m:rPr>
              <w:rPr>
                <w:rFonts w:ascii="Cambria Math" w:hAnsi="Cambria Math"/>
              </w:rPr>
              <m:t>1-</m:t>
            </m:r>
            <m:bar>
              <m:barPr>
                <m:ctrlPr>
                  <w:rPr>
                    <w:rFonts w:ascii="Cambria Math" w:hAnsi="Cambria Math"/>
                    <w:b/>
                    <w:i/>
                  </w:rPr>
                </m:ctrlPr>
              </m:barPr>
              <m:e>
                <m:r>
                  <m:rPr>
                    <m:sty m:val="bi"/>
                  </m:rPr>
                  <w:rPr>
                    <w:rFonts w:ascii="Cambria Math" w:hAnsi="Cambria Math"/>
                  </w:rPr>
                  <m:t>A</m:t>
                </m:r>
              </m:e>
            </m:bar>
            <m:sSup>
              <m:sSupPr>
                <m:ctrlPr>
                  <w:rPr>
                    <w:rFonts w:ascii="Cambria Math" w:hAnsi="Cambria Math"/>
                    <w:b/>
                    <w:i/>
                  </w:rPr>
                </m:ctrlPr>
              </m:sSupPr>
              <m:e>
                <m:r>
                  <m:rPr>
                    <m:sty m:val="bi"/>
                  </m:rPr>
                  <w:rPr>
                    <w:rFonts w:ascii="Cambria Math" w:hAnsi="Cambria Math"/>
                  </w:rPr>
                  <m:t>β</m:t>
                </m:r>
              </m:e>
              <m:sup>
                <m:r>
                  <w:rPr>
                    <w:rFonts w:ascii="Cambria Math" w:hAnsi="Cambria Math"/>
                    <w:sz w:val="28"/>
                  </w:rPr>
                  <m:t>α</m:t>
                </m:r>
                <m:r>
                  <m:rPr>
                    <m:sty m:val="bi"/>
                  </m:rPr>
                  <w:rPr>
                    <w:rFonts w:ascii="Cambria Math" w:hAnsi="Cambria Math"/>
                  </w:rPr>
                  <m:t>-1</m:t>
                </m:r>
              </m:sup>
            </m:sSup>
          </m:den>
        </m:f>
      </m:oMath>
    </w:p>
  </w:footnote>
  <w:footnote w:id="209">
    <w:p w14:paraId="7AA40D4E" w14:textId="4BB1FD90" w:rsidR="00D14100" w:rsidRPr="00695F41" w:rsidRDefault="00D14100" w:rsidP="00E5392D">
      <w:pPr>
        <w:spacing w:line="240" w:lineRule="auto"/>
        <w:rPr>
          <w:i/>
          <w:sz w:val="20"/>
          <w:szCs w:val="20"/>
        </w:rPr>
      </w:pPr>
      <w:r w:rsidRPr="00E5392D">
        <w:rPr>
          <w:rStyle w:val="FootnoteReference"/>
          <w:b/>
          <w:sz w:val="20"/>
          <w:szCs w:val="20"/>
        </w:rPr>
        <w:footnoteRef/>
      </w:r>
      <w:r w:rsidRPr="00E5392D">
        <w:rPr>
          <w:sz w:val="20"/>
          <w:szCs w:val="20"/>
        </w:rPr>
        <w:t xml:space="preserve"> Shlomo Swirsky, Etty Ko</w:t>
      </w:r>
      <w:r>
        <w:rPr>
          <w:sz w:val="20"/>
          <w:szCs w:val="20"/>
        </w:rPr>
        <w:t>nor-Atias, Noga Dagan-Buzaglo, a</w:t>
      </w:r>
      <w:r w:rsidRPr="00E5392D">
        <w:rPr>
          <w:sz w:val="20"/>
          <w:szCs w:val="20"/>
        </w:rPr>
        <w:t>nd Tzipi Lazar Shoef, “</w:t>
      </w:r>
      <w:r w:rsidRPr="00E5392D">
        <w:rPr>
          <w:color w:val="252525"/>
          <w:sz w:val="20"/>
          <w:szCs w:val="20"/>
        </w:rPr>
        <w:t xml:space="preserve">Workers, Employers And The Distribution Of Israel’s National Income – Labor Report 2014: </w:t>
      </w:r>
      <w:r w:rsidRPr="00E5392D">
        <w:rPr>
          <w:sz w:val="20"/>
          <w:szCs w:val="20"/>
        </w:rPr>
        <w:t xml:space="preserve">The Report Reveals The Worsening Of The Share Of </w:t>
      </w:r>
      <w:r>
        <w:rPr>
          <w:sz w:val="20"/>
          <w:szCs w:val="20"/>
        </w:rPr>
        <w:t>Workers In Israel Between 2004 a</w:t>
      </w:r>
      <w:r w:rsidRPr="00E5392D">
        <w:rPr>
          <w:sz w:val="20"/>
          <w:szCs w:val="20"/>
        </w:rPr>
        <w:t xml:space="preserve">nd 2014,” </w:t>
      </w:r>
      <w:r w:rsidRPr="00E5392D">
        <w:rPr>
          <w:i/>
          <w:sz w:val="20"/>
          <w:szCs w:val="20"/>
        </w:rPr>
        <w:t>Ad</w:t>
      </w:r>
      <w:r>
        <w:rPr>
          <w:i/>
          <w:sz w:val="20"/>
          <w:szCs w:val="20"/>
        </w:rPr>
        <w:t>va Center: Information</w:t>
      </w:r>
      <w:r w:rsidRPr="00E5392D">
        <w:rPr>
          <w:i/>
          <w:sz w:val="20"/>
          <w:szCs w:val="20"/>
        </w:rPr>
        <w:t xml:space="preserve"> </w:t>
      </w:r>
      <w:r w:rsidRPr="00695F41">
        <w:rPr>
          <w:i/>
          <w:sz w:val="20"/>
          <w:szCs w:val="20"/>
        </w:rPr>
        <w:t xml:space="preserve">On Equality And Social Justice In Israel, </w:t>
      </w:r>
      <w:r w:rsidRPr="00695F41">
        <w:rPr>
          <w:sz w:val="20"/>
          <w:szCs w:val="20"/>
        </w:rPr>
        <w:t xml:space="preserve">1 May 2015, Web, Retrieved 1 Mar 2016, </w:t>
      </w:r>
      <w:hyperlink r:id="rId17" w:history="1">
        <w:r w:rsidRPr="00167622">
          <w:rPr>
            <w:rStyle w:val="Hyperlink"/>
            <w:sz w:val="20"/>
            <w:szCs w:val="20"/>
          </w:rPr>
          <w:t>Http://Adva.Org/En/Workers-Employers2014/</w:t>
        </w:r>
      </w:hyperlink>
      <w:r w:rsidRPr="00167622">
        <w:rPr>
          <w:rStyle w:val="Hyperlink"/>
          <w:sz w:val="20"/>
          <w:szCs w:val="20"/>
        </w:rPr>
        <w:t>.</w:t>
      </w:r>
      <w:r w:rsidRPr="00E5392D">
        <w:rPr>
          <w:sz w:val="20"/>
          <w:szCs w:val="20"/>
        </w:rPr>
        <w:t xml:space="preserve"> </w:t>
      </w:r>
    </w:p>
  </w:footnote>
  <w:footnote w:id="210">
    <w:p w14:paraId="029F711D" w14:textId="065959C7" w:rsidR="00D14100" w:rsidRPr="005F67F7" w:rsidRDefault="00D14100" w:rsidP="005F67F7">
      <w:pPr>
        <w:pStyle w:val="FootnoteText"/>
      </w:pPr>
      <w:r w:rsidRPr="005F67F7">
        <w:rPr>
          <w:rStyle w:val="FootnoteReference"/>
        </w:rPr>
        <w:footnoteRef/>
      </w:r>
      <w:r w:rsidRPr="005F67F7">
        <w:t xml:space="preserve"> “Israel Economy Profile 2014,” </w:t>
      </w:r>
      <w:r w:rsidRPr="005F67F7">
        <w:rPr>
          <w:i/>
        </w:rPr>
        <w:t xml:space="preserve">Index Mundi, </w:t>
      </w:r>
      <w:r w:rsidRPr="005F67F7">
        <w:t xml:space="preserve">Web, Retrieved 1 Mar 2016, </w:t>
      </w:r>
      <w:hyperlink r:id="rId18" w:history="1">
        <w:r w:rsidRPr="005F67F7">
          <w:rPr>
            <w:rStyle w:val="Hyperlink"/>
          </w:rPr>
          <w:t>Http://Www.Indexmundi.Com/Israel/Economy_Profile.Html</w:t>
        </w:r>
      </w:hyperlink>
      <w:r>
        <w:rPr>
          <w:rStyle w:val="Hyperlink"/>
        </w:rPr>
        <w:t>.</w:t>
      </w:r>
      <w:r w:rsidRPr="005F67F7">
        <w:t xml:space="preserve"> </w:t>
      </w:r>
    </w:p>
  </w:footnote>
  <w:footnote w:id="211">
    <w:p w14:paraId="39C305AE" w14:textId="240B3FAC" w:rsidR="00D14100" w:rsidRPr="005F67F7" w:rsidRDefault="00D14100" w:rsidP="005F67F7">
      <w:pPr>
        <w:pStyle w:val="FootnoteText"/>
      </w:pPr>
      <w:r w:rsidRPr="005F67F7">
        <w:rPr>
          <w:rStyle w:val="FootnoteReference"/>
        </w:rPr>
        <w:footnoteRef/>
      </w:r>
      <w:r w:rsidRPr="005F67F7">
        <w:t xml:space="preserve"> </w:t>
      </w:r>
      <w:r w:rsidRPr="005F67F7">
        <w:rPr>
          <w:i/>
        </w:rPr>
        <w:t xml:space="preserve">Building A Successful Palestinian State, </w:t>
      </w:r>
      <w:r w:rsidRPr="005F67F7">
        <w:t>The RAND Corporation, Santa Monica, CA, (2007): 193.</w:t>
      </w:r>
    </w:p>
  </w:footnote>
  <w:footnote w:id="212">
    <w:p w14:paraId="09BDBB22" w14:textId="77777777" w:rsidR="00D14100" w:rsidRPr="005F67F7" w:rsidRDefault="00D14100" w:rsidP="005F67F7">
      <w:pPr>
        <w:pStyle w:val="FootnoteText"/>
      </w:pPr>
      <w:r w:rsidRPr="005F67F7">
        <w:rPr>
          <w:rStyle w:val="FootnoteReference"/>
        </w:rPr>
        <w:footnoteRef/>
      </w:r>
      <w:r w:rsidRPr="005F67F7">
        <w:t xml:space="preserve"> Mark Harrison, “Valuing The Future: The Social Discount Rate In Cost-Benefit Analysis,” </w:t>
      </w:r>
      <w:r w:rsidRPr="005F67F7">
        <w:rPr>
          <w:i/>
        </w:rPr>
        <w:t xml:space="preserve">Visiting Research Paper, Productivity Commission, Canberra, </w:t>
      </w:r>
      <w:r w:rsidRPr="005F67F7">
        <w:t xml:space="preserve">Web, Apr 2010, Retrieved Mar 20 2016, </w:t>
      </w:r>
      <w:hyperlink r:id="rId19" w:history="1">
        <w:r w:rsidRPr="005F67F7">
          <w:rPr>
            <w:rStyle w:val="Hyperlink"/>
          </w:rPr>
          <w:t>Http://Www.Pc.Gov.Au/Research/Supporting/Cost-Benefit-Discount/Cost-Benefit-Discount.Pdf</w:t>
        </w:r>
      </w:hyperlink>
      <w:r w:rsidRPr="005F67F7">
        <w:rPr>
          <w:rStyle w:val="Hyperlink"/>
        </w:rPr>
        <w:t>.</w:t>
      </w:r>
      <w:r w:rsidRPr="005F67F7">
        <w:t xml:space="preserve"> </w:t>
      </w:r>
    </w:p>
  </w:footnote>
  <w:footnote w:id="213">
    <w:p w14:paraId="3781ACC1" w14:textId="5E965E75" w:rsidR="00D14100" w:rsidRPr="005F67F7" w:rsidRDefault="00D14100" w:rsidP="005F67F7">
      <w:pPr>
        <w:pStyle w:val="FootnoteText"/>
      </w:pPr>
      <w:r w:rsidRPr="005F67F7">
        <w:rPr>
          <w:rStyle w:val="FootnoteReference"/>
        </w:rPr>
        <w:footnoteRef/>
      </w:r>
      <w:r w:rsidRPr="005F67F7">
        <w:t xml:space="preserve"> Geneva Declaration Secretariat,</w:t>
      </w:r>
      <w:r w:rsidRPr="005F67F7">
        <w:rPr>
          <w:i/>
        </w:rPr>
        <w:t xml:space="preserve"> Global Burden of Armed Violence</w:t>
      </w:r>
      <w:r w:rsidRPr="005F67F7">
        <w:t>, 2008, Geneva, Switzerland</w:t>
      </w:r>
      <w:r>
        <w:t>.</w:t>
      </w:r>
    </w:p>
  </w:footnote>
  <w:footnote w:id="214">
    <w:p w14:paraId="04CD39DD" w14:textId="49B29874" w:rsidR="00D14100" w:rsidRPr="005F67F7" w:rsidRDefault="00D14100" w:rsidP="005F67F7">
      <w:pPr>
        <w:widowControl w:val="0"/>
        <w:autoSpaceDE w:val="0"/>
        <w:autoSpaceDN w:val="0"/>
        <w:adjustRightInd w:val="0"/>
        <w:spacing w:line="240" w:lineRule="auto"/>
        <w:rPr>
          <w:sz w:val="20"/>
          <w:szCs w:val="20"/>
        </w:rPr>
      </w:pPr>
      <w:r w:rsidRPr="005F67F7">
        <w:rPr>
          <w:rStyle w:val="FootnoteReference"/>
          <w:sz w:val="20"/>
          <w:szCs w:val="20"/>
        </w:rPr>
        <w:footnoteRef/>
      </w:r>
      <w:r w:rsidRPr="005F67F7">
        <w:rPr>
          <w:sz w:val="20"/>
          <w:szCs w:val="20"/>
        </w:rPr>
        <w:t xml:space="preserve"> The Small Arms Survey, </w:t>
      </w:r>
      <w:r w:rsidRPr="005F67F7">
        <w:rPr>
          <w:i/>
          <w:sz w:val="20"/>
          <w:szCs w:val="20"/>
        </w:rPr>
        <w:t>Conflict,</w:t>
      </w:r>
      <w:r w:rsidRPr="005F67F7">
        <w:rPr>
          <w:sz w:val="20"/>
          <w:szCs w:val="20"/>
        </w:rPr>
        <w:t xml:space="preserve"> </w:t>
      </w:r>
      <w:r w:rsidRPr="005F67F7">
        <w:rPr>
          <w:i/>
          <w:sz w:val="20"/>
          <w:szCs w:val="20"/>
        </w:rPr>
        <w:t>Crime And Violence And Development: A Compendium Of Tools For Measurement, Monitoring And Evaluation</w:t>
      </w:r>
      <w:r w:rsidRPr="005F67F7">
        <w:rPr>
          <w:sz w:val="20"/>
          <w:szCs w:val="20"/>
        </w:rPr>
        <w:t>:</w:t>
      </w:r>
      <w:r w:rsidRPr="005F67F7">
        <w:rPr>
          <w:i/>
          <w:sz w:val="20"/>
          <w:szCs w:val="20"/>
        </w:rPr>
        <w:t xml:space="preserve"> Sources Of Conflict, Crime And Violence Data, </w:t>
      </w:r>
      <w:r w:rsidRPr="005F67F7">
        <w:rPr>
          <w:sz w:val="20"/>
          <w:szCs w:val="20"/>
        </w:rPr>
        <w:t xml:space="preserve">Feb 2013, Web, </w:t>
      </w:r>
      <w:hyperlink r:id="rId20" w:history="1">
        <w:r w:rsidRPr="005F67F7">
          <w:rPr>
            <w:rStyle w:val="Hyperlink"/>
            <w:sz w:val="20"/>
            <w:szCs w:val="20"/>
          </w:rPr>
          <w:t>http://www.smallarmssurvey.org/fileadmin/docs/M-files/CCRVI/CCVRI-Practice-Product-Sources-of-Data.pdf</w:t>
        </w:r>
      </w:hyperlink>
      <w:r>
        <w:rPr>
          <w:rStyle w:val="Hyperlink"/>
          <w:sz w:val="20"/>
          <w:szCs w:val="20"/>
        </w:rPr>
        <w:t>.</w:t>
      </w:r>
      <w:r w:rsidRPr="005F67F7">
        <w:rPr>
          <w:sz w:val="20"/>
          <w:szCs w:val="20"/>
        </w:rPr>
        <w:t xml:space="preserve"> </w:t>
      </w:r>
    </w:p>
  </w:footnote>
  <w:footnote w:id="215">
    <w:p w14:paraId="50318D47" w14:textId="77777777" w:rsidR="00D14100" w:rsidRPr="005F67F7" w:rsidRDefault="00D14100" w:rsidP="005F67F7">
      <w:pPr>
        <w:pStyle w:val="FootnoteText"/>
      </w:pPr>
      <w:r w:rsidRPr="005F67F7">
        <w:rPr>
          <w:rStyle w:val="FootnoteReference"/>
        </w:rPr>
        <w:footnoteRef/>
      </w:r>
      <w:r w:rsidRPr="005F67F7">
        <w:t xml:space="preserve"> David A Jaeger, Esteban Klor, Sami H. Miaari, and Marco D. Paserman, “The Struggle for Palestinian Hearts and Minds: Violence and Public Opinion in the Second Intifada,” </w:t>
      </w:r>
      <w:r w:rsidRPr="005F67F7">
        <w:rPr>
          <w:i/>
        </w:rPr>
        <w:t xml:space="preserve">IZA Discussion Papers No. 3439, </w:t>
      </w:r>
      <w:r w:rsidRPr="005F67F7">
        <w:t>(2008).</w:t>
      </w:r>
    </w:p>
  </w:footnote>
  <w:footnote w:id="216">
    <w:p w14:paraId="13D12F75" w14:textId="59D99DF7" w:rsidR="00D14100" w:rsidRPr="005F67F7" w:rsidRDefault="00D14100" w:rsidP="008679AD">
      <w:pPr>
        <w:pStyle w:val="FootnoteText"/>
      </w:pPr>
      <w:r w:rsidRPr="005F67F7">
        <w:rPr>
          <w:rStyle w:val="FootnoteReference"/>
        </w:rPr>
        <w:footnoteRef/>
      </w:r>
      <w:r w:rsidRPr="005F67F7">
        <w:t xml:space="preserve"> Ibid, 12</w:t>
      </w:r>
      <w:r>
        <w:t>.</w:t>
      </w:r>
    </w:p>
  </w:footnote>
  <w:footnote w:id="217">
    <w:p w14:paraId="5B1645FD" w14:textId="0C8DE7EC" w:rsidR="00D14100" w:rsidRPr="005F67F7" w:rsidRDefault="00D14100" w:rsidP="008679AD">
      <w:pPr>
        <w:pStyle w:val="FootnoteText"/>
      </w:pPr>
      <w:r w:rsidRPr="005F67F7">
        <w:rPr>
          <w:rStyle w:val="FootnoteReference"/>
        </w:rPr>
        <w:footnoteRef/>
      </w:r>
      <w:r w:rsidRPr="005F67F7">
        <w:t xml:space="preserve"> Ibid, 12</w:t>
      </w:r>
      <w:r>
        <w:t>.</w:t>
      </w:r>
    </w:p>
  </w:footnote>
  <w:footnote w:id="218">
    <w:p w14:paraId="1805CD43" w14:textId="56A87F53" w:rsidR="00D14100" w:rsidRPr="005F67F7" w:rsidRDefault="00D14100" w:rsidP="005F67F7">
      <w:pPr>
        <w:pStyle w:val="FootnoteText"/>
      </w:pPr>
      <w:r w:rsidRPr="005F67F7">
        <w:rPr>
          <w:rStyle w:val="FootnoteReference"/>
        </w:rPr>
        <w:footnoteRef/>
      </w:r>
      <w:r w:rsidRPr="005F67F7">
        <w:t xml:space="preserve"> </w:t>
      </w:r>
      <w:r>
        <w:t xml:space="preserve">Kav LaOved, </w:t>
      </w:r>
      <w:r w:rsidRPr="005F67F7">
        <w:rPr>
          <w:i/>
        </w:rPr>
        <w:t>Employment of Palestinians in Israel</w:t>
      </w:r>
      <w:r>
        <w:rPr>
          <w:i/>
        </w:rPr>
        <w:t>.</w:t>
      </w:r>
    </w:p>
  </w:footnote>
  <w:footnote w:id="219">
    <w:p w14:paraId="5539A095" w14:textId="3B06FE62" w:rsidR="00D14100" w:rsidRDefault="00D14100">
      <w:pPr>
        <w:pStyle w:val="FootnoteText"/>
      </w:pPr>
      <w:r>
        <w:rPr>
          <w:rStyle w:val="FootnoteReference"/>
        </w:rPr>
        <w:footnoteRef/>
      </w:r>
      <w:r>
        <w:t xml:space="preserve"> Ibid.</w:t>
      </w:r>
    </w:p>
  </w:footnote>
  <w:footnote w:id="220">
    <w:p w14:paraId="4884FA00" w14:textId="77777777" w:rsidR="00D14100" w:rsidRPr="005F67F7" w:rsidRDefault="00D14100" w:rsidP="005F67F7">
      <w:pPr>
        <w:pStyle w:val="FootnoteText"/>
      </w:pPr>
      <w:r w:rsidRPr="005F67F7">
        <w:rPr>
          <w:rStyle w:val="FootnoteReference"/>
        </w:rPr>
        <w:footnoteRef/>
      </w:r>
      <w:r w:rsidRPr="005F67F7">
        <w:t xml:space="preserve"> Jaeger et al, “The Struggle for Palestinian” </w:t>
      </w:r>
    </w:p>
  </w:footnote>
  <w:footnote w:id="221">
    <w:p w14:paraId="3077A88B" w14:textId="77777777" w:rsidR="00D14100" w:rsidRPr="005F67F7" w:rsidRDefault="00D14100" w:rsidP="005F67F7">
      <w:pPr>
        <w:pStyle w:val="FootnoteText"/>
      </w:pPr>
      <w:r w:rsidRPr="005F67F7">
        <w:rPr>
          <w:rStyle w:val="FootnoteReference"/>
        </w:rPr>
        <w:footnoteRef/>
      </w:r>
      <w:r w:rsidRPr="005F67F7">
        <w:t xml:space="preserve"> Robert Mackey, “Israeli Rights Group Releases Video of Army Medic Executing Wounded Palestinian Suspect,” </w:t>
      </w:r>
      <w:r w:rsidRPr="005F67F7">
        <w:rPr>
          <w:i/>
        </w:rPr>
        <w:t xml:space="preserve">The Intercept, </w:t>
      </w:r>
      <w:r w:rsidRPr="005F67F7">
        <w:t xml:space="preserve">24 March, 2016, Web, Retrieved 20 April, 2016, </w:t>
      </w:r>
      <w:hyperlink r:id="rId21" w:history="1">
        <w:r w:rsidRPr="005F67F7">
          <w:rPr>
            <w:rStyle w:val="Hyperlink"/>
          </w:rPr>
          <w:t>https://theintercept.com/2016/03/24/israeli-rights-group-releases-video-soldier-executing-wounded-palestinian-suspect/</w:t>
        </w:r>
      </w:hyperlink>
      <w:r w:rsidRPr="005F67F7">
        <w:t xml:space="preserve"> </w:t>
      </w:r>
    </w:p>
  </w:footnote>
  <w:footnote w:id="222">
    <w:p w14:paraId="7989AE77" w14:textId="77777777" w:rsidR="00D14100" w:rsidRPr="005F67F7" w:rsidRDefault="00D14100" w:rsidP="005F67F7">
      <w:pPr>
        <w:pStyle w:val="FootnoteText"/>
      </w:pPr>
      <w:r w:rsidRPr="005F67F7">
        <w:rPr>
          <w:rStyle w:val="FootnoteReference"/>
        </w:rPr>
        <w:footnoteRef/>
      </w:r>
      <w:r w:rsidRPr="005F67F7">
        <w:t xml:space="preserve"> Jaeger et al, “The Struggle for Palestinian”</w:t>
      </w:r>
    </w:p>
  </w:footnote>
  <w:footnote w:id="223">
    <w:p w14:paraId="272DFAE1" w14:textId="77777777" w:rsidR="00D14100" w:rsidRPr="005F67F7" w:rsidRDefault="00D14100" w:rsidP="00D42BAD">
      <w:pPr>
        <w:pStyle w:val="FootnoteText"/>
      </w:pPr>
      <w:r w:rsidRPr="005F67F7">
        <w:rPr>
          <w:rStyle w:val="FootnoteReference"/>
        </w:rPr>
        <w:footnoteRef/>
      </w:r>
      <w:r w:rsidRPr="005F67F7">
        <w:t xml:space="preserve"> Jack Khoury, “Hundreds of Palestinian Laborers Discover Their Permits to Work In Israel Have Been Revoked,” </w:t>
      </w:r>
      <w:r w:rsidRPr="005F67F7">
        <w:rPr>
          <w:i/>
        </w:rPr>
        <w:t xml:space="preserve">Haaretz, </w:t>
      </w:r>
      <w:r w:rsidRPr="005F67F7">
        <w:t xml:space="preserve">15 Apr 2016, Web, Retrieved 23 Apr 2016, </w:t>
      </w:r>
      <w:hyperlink r:id="rId22" w:history="1">
        <w:r w:rsidRPr="005F67F7">
          <w:rPr>
            <w:rStyle w:val="Hyperlink"/>
          </w:rPr>
          <w:t>http://www.haaretz.com/israel-news/.premium-1.714544</w:t>
        </w:r>
      </w:hyperlink>
      <w:r w:rsidRPr="005F67F7">
        <w:t xml:space="preserve"> </w:t>
      </w:r>
    </w:p>
  </w:footnote>
  <w:footnote w:id="224">
    <w:p w14:paraId="6BDAC5F3" w14:textId="77777777" w:rsidR="00D14100" w:rsidRPr="005F67F7" w:rsidRDefault="00D14100" w:rsidP="005F67F7">
      <w:pPr>
        <w:pStyle w:val="FootnoteText"/>
      </w:pPr>
      <w:r w:rsidRPr="005F67F7">
        <w:rPr>
          <w:rStyle w:val="FootnoteReference"/>
        </w:rPr>
        <w:footnoteRef/>
      </w:r>
      <w:r w:rsidRPr="005F67F7">
        <w:t xml:space="preserve"> George J. Borjas, “Immigration and Globalization: A Review Essay,” </w:t>
      </w:r>
      <w:r w:rsidRPr="005F67F7">
        <w:rPr>
          <w:i/>
        </w:rPr>
        <w:t xml:space="preserve">Journal of Economic Literature, </w:t>
      </w:r>
      <w:r w:rsidRPr="005F67F7">
        <w:t xml:space="preserve">Vol. 53, No. 4, (2015): 961-974. </w:t>
      </w:r>
    </w:p>
  </w:footnote>
  <w:footnote w:id="225">
    <w:p w14:paraId="42E8F5DC" w14:textId="77777777" w:rsidR="00D14100" w:rsidRPr="00240523" w:rsidRDefault="00D14100" w:rsidP="005F67F7">
      <w:pPr>
        <w:pStyle w:val="FootnoteText"/>
      </w:pPr>
      <w:r w:rsidRPr="005F67F7">
        <w:rPr>
          <w:rStyle w:val="FootnoteReference"/>
        </w:rPr>
        <w:footnoteRef/>
      </w:r>
      <w:r w:rsidRPr="005F67F7">
        <w:t xml:space="preserve"> Clemens and Pritchett, “The New Economic Case,” 31.</w:t>
      </w:r>
    </w:p>
  </w:footnote>
  <w:footnote w:id="226">
    <w:p w14:paraId="513E7566" w14:textId="77777777" w:rsidR="00D14100" w:rsidRPr="00091E54" w:rsidRDefault="00D14100" w:rsidP="005D28B0">
      <w:pPr>
        <w:pStyle w:val="FootnoteText"/>
      </w:pPr>
      <w:r>
        <w:rPr>
          <w:rStyle w:val="FootnoteReference"/>
        </w:rPr>
        <w:footnoteRef/>
      </w:r>
      <w:r>
        <w:t xml:space="preserve"> Elliot R Wolfson, “Assaulting the Border: Kabbalistic Traces in the Margins of Derrida,” </w:t>
      </w:r>
      <w:r>
        <w:rPr>
          <w:i/>
        </w:rPr>
        <w:t xml:space="preserve">Journal of the American Academy of Religion, </w:t>
      </w:r>
      <w:r>
        <w:t>Vol.70, No.3, (September 2002): 475-514.</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F79E6"/>
    <w:multiLevelType w:val="hybridMultilevel"/>
    <w:tmpl w:val="7EFCF8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F05CEB"/>
    <w:multiLevelType w:val="hybridMultilevel"/>
    <w:tmpl w:val="E92E42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506417"/>
    <w:multiLevelType w:val="hybridMultilevel"/>
    <w:tmpl w:val="17068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A987186"/>
    <w:multiLevelType w:val="hybridMultilevel"/>
    <w:tmpl w:val="E7D8CA4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767A01F4"/>
    <w:multiLevelType w:val="hybridMultilevel"/>
    <w:tmpl w:val="20909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75A6"/>
    <w:rsid w:val="00003146"/>
    <w:rsid w:val="00034D0F"/>
    <w:rsid w:val="00046274"/>
    <w:rsid w:val="00091E54"/>
    <w:rsid w:val="00096423"/>
    <w:rsid w:val="000A4C1B"/>
    <w:rsid w:val="000D276F"/>
    <w:rsid w:val="000D7AFE"/>
    <w:rsid w:val="0013164E"/>
    <w:rsid w:val="00167622"/>
    <w:rsid w:val="0017197D"/>
    <w:rsid w:val="0017550F"/>
    <w:rsid w:val="001846BB"/>
    <w:rsid w:val="001A5EB6"/>
    <w:rsid w:val="001B4110"/>
    <w:rsid w:val="001E14FE"/>
    <w:rsid w:val="001F7501"/>
    <w:rsid w:val="002146AD"/>
    <w:rsid w:val="00250197"/>
    <w:rsid w:val="00283B69"/>
    <w:rsid w:val="002C2531"/>
    <w:rsid w:val="002E23AF"/>
    <w:rsid w:val="002F4D3B"/>
    <w:rsid w:val="00361712"/>
    <w:rsid w:val="00362D90"/>
    <w:rsid w:val="0036514B"/>
    <w:rsid w:val="003B1DCB"/>
    <w:rsid w:val="003C37DC"/>
    <w:rsid w:val="003D240B"/>
    <w:rsid w:val="0040657F"/>
    <w:rsid w:val="00410D17"/>
    <w:rsid w:val="004239C1"/>
    <w:rsid w:val="00450CCE"/>
    <w:rsid w:val="0046022B"/>
    <w:rsid w:val="004806EC"/>
    <w:rsid w:val="00485BD5"/>
    <w:rsid w:val="00495EB2"/>
    <w:rsid w:val="004C7B3A"/>
    <w:rsid w:val="004F1A94"/>
    <w:rsid w:val="00500133"/>
    <w:rsid w:val="00506527"/>
    <w:rsid w:val="005709ED"/>
    <w:rsid w:val="005A707C"/>
    <w:rsid w:val="005B4AD8"/>
    <w:rsid w:val="005D28B0"/>
    <w:rsid w:val="005E4910"/>
    <w:rsid w:val="005F67F7"/>
    <w:rsid w:val="00631C89"/>
    <w:rsid w:val="006372A8"/>
    <w:rsid w:val="00665E43"/>
    <w:rsid w:val="006666BE"/>
    <w:rsid w:val="00677FA7"/>
    <w:rsid w:val="00680FDF"/>
    <w:rsid w:val="00695F41"/>
    <w:rsid w:val="006A2643"/>
    <w:rsid w:val="006B4E99"/>
    <w:rsid w:val="00707E1F"/>
    <w:rsid w:val="00713252"/>
    <w:rsid w:val="0074355D"/>
    <w:rsid w:val="007B6988"/>
    <w:rsid w:val="007B6D67"/>
    <w:rsid w:val="007C1EF5"/>
    <w:rsid w:val="007D4B97"/>
    <w:rsid w:val="007F1DC3"/>
    <w:rsid w:val="00807BCE"/>
    <w:rsid w:val="00813F3F"/>
    <w:rsid w:val="008212A4"/>
    <w:rsid w:val="0086788C"/>
    <w:rsid w:val="008679AD"/>
    <w:rsid w:val="00882E52"/>
    <w:rsid w:val="008950D6"/>
    <w:rsid w:val="008A2827"/>
    <w:rsid w:val="008A4516"/>
    <w:rsid w:val="008D12B1"/>
    <w:rsid w:val="008F0A2B"/>
    <w:rsid w:val="009007A7"/>
    <w:rsid w:val="009A78FD"/>
    <w:rsid w:val="009D168E"/>
    <w:rsid w:val="009F031A"/>
    <w:rsid w:val="00A25C35"/>
    <w:rsid w:val="00A428EC"/>
    <w:rsid w:val="00A530BD"/>
    <w:rsid w:val="00A60D0D"/>
    <w:rsid w:val="00A71A84"/>
    <w:rsid w:val="00A94ACE"/>
    <w:rsid w:val="00AA0BB7"/>
    <w:rsid w:val="00AA56ED"/>
    <w:rsid w:val="00AB0C2E"/>
    <w:rsid w:val="00AB15D7"/>
    <w:rsid w:val="00AB7F02"/>
    <w:rsid w:val="00AE48D7"/>
    <w:rsid w:val="00AE53F7"/>
    <w:rsid w:val="00AF73C6"/>
    <w:rsid w:val="00B3233E"/>
    <w:rsid w:val="00B3600F"/>
    <w:rsid w:val="00B6155E"/>
    <w:rsid w:val="00B91A59"/>
    <w:rsid w:val="00BB605D"/>
    <w:rsid w:val="00C2482A"/>
    <w:rsid w:val="00C52375"/>
    <w:rsid w:val="00C54F68"/>
    <w:rsid w:val="00C6532B"/>
    <w:rsid w:val="00C65D27"/>
    <w:rsid w:val="00C75BC0"/>
    <w:rsid w:val="00C82F6F"/>
    <w:rsid w:val="00C954EF"/>
    <w:rsid w:val="00CA1B7D"/>
    <w:rsid w:val="00CB1BA6"/>
    <w:rsid w:val="00CB2FC5"/>
    <w:rsid w:val="00CC6ED3"/>
    <w:rsid w:val="00D13E18"/>
    <w:rsid w:val="00D14100"/>
    <w:rsid w:val="00D26EF8"/>
    <w:rsid w:val="00D37523"/>
    <w:rsid w:val="00D42BAD"/>
    <w:rsid w:val="00D5245D"/>
    <w:rsid w:val="00DA18DD"/>
    <w:rsid w:val="00DA1C04"/>
    <w:rsid w:val="00DA1C1B"/>
    <w:rsid w:val="00DA59DE"/>
    <w:rsid w:val="00DC2F86"/>
    <w:rsid w:val="00DE2DEF"/>
    <w:rsid w:val="00E171D3"/>
    <w:rsid w:val="00E41610"/>
    <w:rsid w:val="00E5392D"/>
    <w:rsid w:val="00E73D47"/>
    <w:rsid w:val="00E73FAF"/>
    <w:rsid w:val="00E83B03"/>
    <w:rsid w:val="00E975A6"/>
    <w:rsid w:val="00EB26DA"/>
    <w:rsid w:val="00F01D42"/>
    <w:rsid w:val="00F02782"/>
    <w:rsid w:val="00F14AB5"/>
    <w:rsid w:val="00F2492D"/>
    <w:rsid w:val="00F533F3"/>
    <w:rsid w:val="00F87A6C"/>
    <w:rsid w:val="00FA53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F47547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531"/>
    <w:pPr>
      <w:spacing w:line="480" w:lineRule="auto"/>
    </w:pPr>
    <w:rPr>
      <w:rFonts w:ascii="Times New Roman" w:hAnsi="Times New Roman" w:cs="Times New Roman"/>
    </w:rPr>
  </w:style>
  <w:style w:type="paragraph" w:styleId="Heading1">
    <w:name w:val="heading 1"/>
    <w:basedOn w:val="Normal"/>
    <w:next w:val="Normal"/>
    <w:link w:val="Heading1Char"/>
    <w:autoRedefine/>
    <w:uiPriority w:val="9"/>
    <w:qFormat/>
    <w:rsid w:val="00E73FAF"/>
    <w:pPr>
      <w:spacing w:line="240" w:lineRule="auto"/>
      <w:jc w:val="center"/>
      <w:outlineLvl w:val="0"/>
    </w:pPr>
    <w:rPr>
      <w:rFonts w:eastAsia="Times New Roman"/>
      <w:b/>
      <w:bCs/>
      <w:sz w:val="28"/>
      <w:lang w:bidi="en-US"/>
    </w:rPr>
  </w:style>
  <w:style w:type="paragraph" w:styleId="Heading2">
    <w:name w:val="heading 2"/>
    <w:basedOn w:val="Normal"/>
    <w:next w:val="Normal"/>
    <w:link w:val="Heading2Char"/>
    <w:autoRedefine/>
    <w:uiPriority w:val="9"/>
    <w:unhideWhenUsed/>
    <w:qFormat/>
    <w:rsid w:val="00882E52"/>
    <w:pPr>
      <w:keepNext/>
      <w:tabs>
        <w:tab w:val="left" w:pos="90"/>
        <w:tab w:val="left" w:pos="8460"/>
      </w:tabs>
      <w:spacing w:line="240" w:lineRule="auto"/>
      <w:ind w:right="36"/>
      <w:jc w:val="center"/>
      <w:outlineLvl w:val="1"/>
    </w:pPr>
    <w:rPr>
      <w:rFonts w:eastAsia="Times New Roman"/>
      <w:b/>
      <w:bCs/>
      <w:iCs/>
      <w:szCs w:val="28"/>
      <w:lang w:bidi="en-US"/>
    </w:rPr>
  </w:style>
  <w:style w:type="paragraph" w:styleId="Heading3">
    <w:name w:val="heading 3"/>
    <w:basedOn w:val="Normal"/>
    <w:next w:val="Normal"/>
    <w:link w:val="Heading3Char"/>
    <w:uiPriority w:val="9"/>
    <w:unhideWhenUsed/>
    <w:qFormat/>
    <w:rsid w:val="007B6988"/>
    <w:pPr>
      <w:keepNext/>
      <w:keepLines/>
      <w:spacing w:before="200"/>
      <w:outlineLvl w:val="2"/>
    </w:pPr>
    <w:rPr>
      <w:rFonts w:asciiTheme="majorHAnsi" w:eastAsiaTheme="majorEastAsia" w:hAnsiTheme="majorHAnsi" w:cstheme="majorBidi"/>
      <w:b/>
      <w:bCs/>
      <w:color w:val="4F81BD" w:themeColor="accent1"/>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3FAF"/>
    <w:rPr>
      <w:rFonts w:ascii="Times New Roman" w:eastAsia="Times New Roman" w:hAnsi="Times New Roman" w:cs="Times New Roman"/>
      <w:b/>
      <w:bCs/>
      <w:sz w:val="28"/>
      <w:lang w:bidi="en-US"/>
    </w:rPr>
  </w:style>
  <w:style w:type="character" w:customStyle="1" w:styleId="Heading2Char">
    <w:name w:val="Heading 2 Char"/>
    <w:basedOn w:val="DefaultParagraphFont"/>
    <w:link w:val="Heading2"/>
    <w:uiPriority w:val="9"/>
    <w:rsid w:val="00882E52"/>
    <w:rPr>
      <w:rFonts w:ascii="Times New Roman" w:eastAsia="Times New Roman" w:hAnsi="Times New Roman" w:cs="Times New Roman"/>
      <w:b/>
      <w:bCs/>
      <w:iCs/>
      <w:szCs w:val="28"/>
      <w:lang w:bidi="en-US"/>
    </w:rPr>
  </w:style>
  <w:style w:type="paragraph" w:styleId="FootnoteText">
    <w:name w:val="footnote text"/>
    <w:basedOn w:val="Normal"/>
    <w:link w:val="FootnoteTextChar"/>
    <w:uiPriority w:val="99"/>
    <w:unhideWhenUsed/>
    <w:rsid w:val="00E975A6"/>
    <w:pPr>
      <w:spacing w:line="240" w:lineRule="auto"/>
    </w:pPr>
    <w:rPr>
      <w:rFonts w:eastAsia="Times New Roman"/>
      <w:sz w:val="20"/>
      <w:szCs w:val="20"/>
      <w:lang w:bidi="en-US"/>
    </w:rPr>
  </w:style>
  <w:style w:type="character" w:customStyle="1" w:styleId="FootnoteTextChar">
    <w:name w:val="Footnote Text Char"/>
    <w:basedOn w:val="DefaultParagraphFont"/>
    <w:link w:val="FootnoteText"/>
    <w:uiPriority w:val="99"/>
    <w:rsid w:val="00E975A6"/>
    <w:rPr>
      <w:rFonts w:ascii="Times New Roman" w:eastAsia="Times New Roman" w:hAnsi="Times New Roman" w:cs="Times New Roman"/>
      <w:sz w:val="20"/>
      <w:szCs w:val="20"/>
      <w:lang w:bidi="en-US"/>
    </w:rPr>
  </w:style>
  <w:style w:type="paragraph" w:styleId="Footer">
    <w:name w:val="footer"/>
    <w:basedOn w:val="Normal"/>
    <w:link w:val="FooterChar"/>
    <w:uiPriority w:val="99"/>
    <w:unhideWhenUsed/>
    <w:rsid w:val="00E975A6"/>
    <w:pPr>
      <w:tabs>
        <w:tab w:val="center" w:pos="4680"/>
        <w:tab w:val="right" w:pos="9360"/>
      </w:tabs>
    </w:pPr>
    <w:rPr>
      <w:rFonts w:eastAsia="Times New Roman"/>
      <w:lang w:bidi="en-US"/>
    </w:rPr>
  </w:style>
  <w:style w:type="character" w:customStyle="1" w:styleId="FooterChar">
    <w:name w:val="Footer Char"/>
    <w:basedOn w:val="DefaultParagraphFont"/>
    <w:link w:val="Footer"/>
    <w:uiPriority w:val="99"/>
    <w:rsid w:val="00E975A6"/>
    <w:rPr>
      <w:rFonts w:ascii="Times New Roman" w:eastAsia="Times New Roman" w:hAnsi="Times New Roman" w:cs="Times New Roman"/>
      <w:lang w:bidi="en-US"/>
    </w:rPr>
  </w:style>
  <w:style w:type="character" w:styleId="Hyperlink">
    <w:name w:val="Hyperlink"/>
    <w:uiPriority w:val="99"/>
    <w:unhideWhenUsed/>
    <w:rsid w:val="00E975A6"/>
    <w:rPr>
      <w:color w:val="0000FF"/>
      <w:u w:val="single"/>
    </w:rPr>
  </w:style>
  <w:style w:type="character" w:styleId="FootnoteReference">
    <w:name w:val="footnote reference"/>
    <w:uiPriority w:val="99"/>
    <w:unhideWhenUsed/>
    <w:rsid w:val="00E975A6"/>
    <w:rPr>
      <w:vertAlign w:val="superscript"/>
    </w:rPr>
  </w:style>
  <w:style w:type="character" w:styleId="PageNumber">
    <w:name w:val="page number"/>
    <w:uiPriority w:val="99"/>
    <w:semiHidden/>
    <w:unhideWhenUsed/>
    <w:rsid w:val="00E975A6"/>
  </w:style>
  <w:style w:type="paragraph" w:styleId="BalloonText">
    <w:name w:val="Balloon Text"/>
    <w:basedOn w:val="Normal"/>
    <w:link w:val="BalloonTextChar"/>
    <w:uiPriority w:val="99"/>
    <w:semiHidden/>
    <w:unhideWhenUsed/>
    <w:rsid w:val="00E975A6"/>
    <w:pPr>
      <w:spacing w:line="240" w:lineRule="auto"/>
    </w:pPr>
    <w:rPr>
      <w:rFonts w:ascii="Lucida Grande" w:eastAsia="Times New Roman" w:hAnsi="Lucida Grande" w:cs="Lucida Grande"/>
      <w:sz w:val="18"/>
      <w:szCs w:val="18"/>
      <w:lang w:bidi="en-US"/>
    </w:rPr>
  </w:style>
  <w:style w:type="character" w:customStyle="1" w:styleId="BalloonTextChar">
    <w:name w:val="Balloon Text Char"/>
    <w:basedOn w:val="DefaultParagraphFont"/>
    <w:link w:val="BalloonText"/>
    <w:uiPriority w:val="99"/>
    <w:semiHidden/>
    <w:rsid w:val="00E975A6"/>
    <w:rPr>
      <w:rFonts w:ascii="Lucida Grande" w:eastAsia="Times New Roman" w:hAnsi="Lucida Grande" w:cs="Lucida Grande"/>
      <w:sz w:val="18"/>
      <w:szCs w:val="18"/>
      <w:lang w:bidi="en-US"/>
    </w:rPr>
  </w:style>
  <w:style w:type="table" w:styleId="LightGrid">
    <w:name w:val="Light Grid"/>
    <w:basedOn w:val="TableNormal"/>
    <w:uiPriority w:val="62"/>
    <w:rsid w:val="00C65D27"/>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ListParagraph">
    <w:name w:val="List Paragraph"/>
    <w:basedOn w:val="Normal"/>
    <w:uiPriority w:val="34"/>
    <w:qFormat/>
    <w:rsid w:val="00F14AB5"/>
    <w:pPr>
      <w:spacing w:line="240" w:lineRule="auto"/>
      <w:ind w:left="720"/>
      <w:contextualSpacing/>
    </w:pPr>
    <w:rPr>
      <w:rFonts w:asciiTheme="minorHAnsi" w:hAnsiTheme="minorHAnsi" w:cstheme="minorBidi"/>
    </w:rPr>
  </w:style>
  <w:style w:type="paragraph" w:styleId="Header">
    <w:name w:val="header"/>
    <w:basedOn w:val="Normal"/>
    <w:link w:val="HeaderChar"/>
    <w:uiPriority w:val="99"/>
    <w:unhideWhenUsed/>
    <w:rsid w:val="00F14AB5"/>
    <w:pPr>
      <w:tabs>
        <w:tab w:val="center" w:pos="4320"/>
        <w:tab w:val="right" w:pos="8640"/>
      </w:tabs>
      <w:spacing w:line="240" w:lineRule="auto"/>
    </w:pPr>
    <w:rPr>
      <w:rFonts w:asciiTheme="minorHAnsi" w:hAnsiTheme="minorHAnsi" w:cstheme="minorBidi"/>
    </w:rPr>
  </w:style>
  <w:style w:type="character" w:customStyle="1" w:styleId="HeaderChar">
    <w:name w:val="Header Char"/>
    <w:basedOn w:val="DefaultParagraphFont"/>
    <w:link w:val="Header"/>
    <w:uiPriority w:val="99"/>
    <w:rsid w:val="00F14AB5"/>
  </w:style>
  <w:style w:type="character" w:customStyle="1" w:styleId="apple-converted-space">
    <w:name w:val="apple-converted-space"/>
    <w:basedOn w:val="DefaultParagraphFont"/>
    <w:rsid w:val="00F14AB5"/>
  </w:style>
  <w:style w:type="table" w:styleId="TableGrid">
    <w:name w:val="Table Grid"/>
    <w:basedOn w:val="TableNormal"/>
    <w:uiPriority w:val="59"/>
    <w:rsid w:val="00F14A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F14AB5"/>
    <w:pPr>
      <w:keepNext/>
      <w:keepLines/>
      <w:spacing w:before="480" w:line="276" w:lineRule="auto"/>
      <w:outlineLvl w:val="9"/>
    </w:pPr>
    <w:rPr>
      <w:rFonts w:asciiTheme="majorHAnsi" w:eastAsiaTheme="majorEastAsia" w:hAnsiTheme="majorHAnsi" w:cstheme="majorBidi"/>
      <w:b w:val="0"/>
      <w:color w:val="365F91" w:themeColor="accent1" w:themeShade="BF"/>
      <w:szCs w:val="28"/>
      <w:lang w:bidi="ar-SA"/>
    </w:rPr>
  </w:style>
  <w:style w:type="table" w:styleId="LightShading">
    <w:name w:val="Light Shading"/>
    <w:basedOn w:val="TableNormal"/>
    <w:uiPriority w:val="60"/>
    <w:rsid w:val="005F67F7"/>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FollowedHyperlink">
    <w:name w:val="FollowedHyperlink"/>
    <w:basedOn w:val="DefaultParagraphFont"/>
    <w:uiPriority w:val="99"/>
    <w:semiHidden/>
    <w:unhideWhenUsed/>
    <w:rsid w:val="0046022B"/>
    <w:rPr>
      <w:color w:val="800080" w:themeColor="followedHyperlink"/>
      <w:u w:val="single"/>
    </w:rPr>
  </w:style>
  <w:style w:type="paragraph" w:styleId="DocumentMap">
    <w:name w:val="Document Map"/>
    <w:basedOn w:val="Normal"/>
    <w:link w:val="DocumentMapChar"/>
    <w:uiPriority w:val="99"/>
    <w:semiHidden/>
    <w:unhideWhenUsed/>
    <w:rsid w:val="00DA18DD"/>
    <w:pPr>
      <w:spacing w:line="240" w:lineRule="auto"/>
    </w:pPr>
    <w:rPr>
      <w:rFonts w:ascii="Lucida Grande" w:hAnsi="Lucida Grande" w:cs="Lucida Grande"/>
    </w:rPr>
  </w:style>
  <w:style w:type="character" w:customStyle="1" w:styleId="DocumentMapChar">
    <w:name w:val="Document Map Char"/>
    <w:basedOn w:val="DefaultParagraphFont"/>
    <w:link w:val="DocumentMap"/>
    <w:uiPriority w:val="99"/>
    <w:semiHidden/>
    <w:rsid w:val="00DA18DD"/>
    <w:rPr>
      <w:rFonts w:ascii="Lucida Grande" w:eastAsia="Times New Roman" w:hAnsi="Lucida Grande" w:cs="Lucida Grande"/>
      <w:lang w:bidi="en-US"/>
    </w:rPr>
  </w:style>
  <w:style w:type="paragraph" w:styleId="Revision">
    <w:name w:val="Revision"/>
    <w:hidden/>
    <w:uiPriority w:val="99"/>
    <w:semiHidden/>
    <w:rsid w:val="00DA18DD"/>
    <w:rPr>
      <w:rFonts w:ascii="Times New Roman" w:eastAsia="Times New Roman" w:hAnsi="Times New Roman" w:cs="Times New Roman"/>
      <w:lang w:bidi="en-US"/>
    </w:rPr>
  </w:style>
  <w:style w:type="paragraph" w:styleId="NoSpacing">
    <w:name w:val="No Spacing"/>
    <w:basedOn w:val="Normal"/>
    <w:link w:val="NoSpacingChar"/>
    <w:uiPriority w:val="1"/>
    <w:qFormat/>
    <w:rsid w:val="00DA59DE"/>
    <w:pPr>
      <w:spacing w:line="240" w:lineRule="auto"/>
    </w:pPr>
    <w:rPr>
      <w:rFonts w:asciiTheme="minorHAnsi" w:eastAsia="Times New Roman" w:hAnsiTheme="minorHAnsi"/>
      <w:szCs w:val="32"/>
      <w:lang w:bidi="en-US"/>
    </w:rPr>
  </w:style>
  <w:style w:type="character" w:customStyle="1" w:styleId="NoSpacingChar">
    <w:name w:val="No Spacing Char"/>
    <w:basedOn w:val="DefaultParagraphFont"/>
    <w:link w:val="NoSpacing"/>
    <w:uiPriority w:val="1"/>
    <w:rsid w:val="00DA59DE"/>
    <w:rPr>
      <w:rFonts w:eastAsia="Times New Roman" w:cs="Times New Roman"/>
      <w:szCs w:val="32"/>
      <w:lang w:bidi="en-US"/>
    </w:rPr>
  </w:style>
  <w:style w:type="character" w:styleId="PlaceholderText">
    <w:name w:val="Placeholder Text"/>
    <w:basedOn w:val="DefaultParagraphFont"/>
    <w:uiPriority w:val="99"/>
    <w:semiHidden/>
    <w:rsid w:val="00DA59DE"/>
    <w:rPr>
      <w:color w:val="808080"/>
    </w:rPr>
  </w:style>
  <w:style w:type="paragraph" w:styleId="Subtitle">
    <w:name w:val="Subtitle"/>
    <w:basedOn w:val="Normal"/>
    <w:next w:val="Normal"/>
    <w:link w:val="SubtitleChar"/>
    <w:uiPriority w:val="11"/>
    <w:qFormat/>
    <w:rsid w:val="007B6988"/>
    <w:pPr>
      <w:numPr>
        <w:ilvl w:val="1"/>
      </w:numPr>
    </w:pPr>
    <w:rPr>
      <w:rFonts w:asciiTheme="majorHAnsi" w:eastAsiaTheme="majorEastAsia" w:hAnsiTheme="majorHAnsi" w:cstheme="majorBidi"/>
      <w:i/>
      <w:iCs/>
      <w:color w:val="4F81BD" w:themeColor="accent1"/>
      <w:spacing w:val="15"/>
      <w:lang w:bidi="en-US"/>
    </w:rPr>
  </w:style>
  <w:style w:type="character" w:customStyle="1" w:styleId="SubtitleChar">
    <w:name w:val="Subtitle Char"/>
    <w:basedOn w:val="DefaultParagraphFont"/>
    <w:link w:val="Subtitle"/>
    <w:uiPriority w:val="11"/>
    <w:rsid w:val="007B6988"/>
    <w:rPr>
      <w:rFonts w:asciiTheme="majorHAnsi" w:eastAsiaTheme="majorEastAsia" w:hAnsiTheme="majorHAnsi" w:cstheme="majorBidi"/>
      <w:i/>
      <w:iCs/>
      <w:color w:val="4F81BD" w:themeColor="accent1"/>
      <w:spacing w:val="15"/>
      <w:lang w:bidi="en-US"/>
    </w:rPr>
  </w:style>
  <w:style w:type="paragraph" w:styleId="TOC1">
    <w:name w:val="toc 1"/>
    <w:basedOn w:val="Normal"/>
    <w:next w:val="Normal"/>
    <w:autoRedefine/>
    <w:uiPriority w:val="39"/>
    <w:unhideWhenUsed/>
    <w:rsid w:val="00AB7F02"/>
    <w:pPr>
      <w:spacing w:before="120"/>
    </w:pPr>
    <w:rPr>
      <w:rFonts w:asciiTheme="minorHAnsi" w:hAnsiTheme="minorHAnsi"/>
      <w:b/>
    </w:rPr>
  </w:style>
  <w:style w:type="paragraph" w:styleId="TOC2">
    <w:name w:val="toc 2"/>
    <w:basedOn w:val="Normal"/>
    <w:next w:val="Normal"/>
    <w:autoRedefine/>
    <w:uiPriority w:val="39"/>
    <w:unhideWhenUsed/>
    <w:rsid w:val="007B6988"/>
    <w:pPr>
      <w:ind w:left="240"/>
    </w:pPr>
    <w:rPr>
      <w:rFonts w:asciiTheme="minorHAnsi" w:hAnsiTheme="minorHAnsi"/>
      <w:b/>
      <w:sz w:val="22"/>
      <w:szCs w:val="22"/>
    </w:rPr>
  </w:style>
  <w:style w:type="paragraph" w:styleId="TOC3">
    <w:name w:val="toc 3"/>
    <w:basedOn w:val="Normal"/>
    <w:next w:val="Normal"/>
    <w:autoRedefine/>
    <w:uiPriority w:val="39"/>
    <w:unhideWhenUsed/>
    <w:rsid w:val="007B6988"/>
    <w:pPr>
      <w:ind w:left="480"/>
    </w:pPr>
    <w:rPr>
      <w:rFonts w:asciiTheme="minorHAnsi" w:hAnsiTheme="minorHAnsi"/>
      <w:sz w:val="22"/>
      <w:szCs w:val="22"/>
    </w:rPr>
  </w:style>
  <w:style w:type="paragraph" w:styleId="TOC4">
    <w:name w:val="toc 4"/>
    <w:basedOn w:val="Normal"/>
    <w:next w:val="Normal"/>
    <w:autoRedefine/>
    <w:uiPriority w:val="39"/>
    <w:semiHidden/>
    <w:unhideWhenUsed/>
    <w:rsid w:val="007B6988"/>
    <w:pPr>
      <w:ind w:left="720"/>
    </w:pPr>
    <w:rPr>
      <w:rFonts w:asciiTheme="minorHAnsi" w:hAnsiTheme="minorHAnsi"/>
      <w:sz w:val="20"/>
      <w:szCs w:val="20"/>
    </w:rPr>
  </w:style>
  <w:style w:type="paragraph" w:styleId="TOC5">
    <w:name w:val="toc 5"/>
    <w:basedOn w:val="Normal"/>
    <w:next w:val="Normal"/>
    <w:autoRedefine/>
    <w:uiPriority w:val="39"/>
    <w:semiHidden/>
    <w:unhideWhenUsed/>
    <w:rsid w:val="007B6988"/>
    <w:pPr>
      <w:ind w:left="960"/>
    </w:pPr>
    <w:rPr>
      <w:rFonts w:asciiTheme="minorHAnsi" w:hAnsiTheme="minorHAnsi"/>
      <w:sz w:val="20"/>
      <w:szCs w:val="20"/>
    </w:rPr>
  </w:style>
  <w:style w:type="paragraph" w:styleId="TOC6">
    <w:name w:val="toc 6"/>
    <w:basedOn w:val="Normal"/>
    <w:next w:val="Normal"/>
    <w:autoRedefine/>
    <w:uiPriority w:val="39"/>
    <w:semiHidden/>
    <w:unhideWhenUsed/>
    <w:rsid w:val="007B6988"/>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7B6988"/>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7B6988"/>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7B6988"/>
    <w:pPr>
      <w:ind w:left="1920"/>
    </w:pPr>
    <w:rPr>
      <w:rFonts w:asciiTheme="minorHAnsi" w:hAnsiTheme="minorHAnsi"/>
      <w:sz w:val="20"/>
      <w:szCs w:val="20"/>
    </w:rPr>
  </w:style>
  <w:style w:type="character" w:customStyle="1" w:styleId="Heading3Char">
    <w:name w:val="Heading 3 Char"/>
    <w:basedOn w:val="DefaultParagraphFont"/>
    <w:link w:val="Heading3"/>
    <w:uiPriority w:val="9"/>
    <w:rsid w:val="007B6988"/>
    <w:rPr>
      <w:rFonts w:asciiTheme="majorHAnsi" w:eastAsiaTheme="majorEastAsia" w:hAnsiTheme="majorHAnsi" w:cstheme="majorBidi"/>
      <w:b/>
      <w:bCs/>
      <w:color w:val="4F81BD" w:themeColor="accent1"/>
      <w:lang w:bidi="en-US"/>
    </w:rPr>
  </w:style>
  <w:style w:type="paragraph" w:styleId="TableofFigures">
    <w:name w:val="table of figures"/>
    <w:basedOn w:val="Normal"/>
    <w:next w:val="Normal"/>
    <w:uiPriority w:val="99"/>
    <w:unhideWhenUsed/>
    <w:rsid w:val="009D168E"/>
    <w:pPr>
      <w:ind w:left="480" w:hanging="480"/>
    </w:pPr>
    <w:rPr>
      <w:rFonts w:asciiTheme="minorHAnsi" w:hAnsiTheme="minorHAnsi"/>
      <w:smallCaps/>
      <w:sz w:val="20"/>
      <w:szCs w:val="20"/>
    </w:rPr>
  </w:style>
  <w:style w:type="paragraph" w:styleId="Caption">
    <w:name w:val="caption"/>
    <w:basedOn w:val="Normal"/>
    <w:next w:val="Normal"/>
    <w:uiPriority w:val="35"/>
    <w:unhideWhenUsed/>
    <w:qFormat/>
    <w:rsid w:val="002C2531"/>
    <w:pPr>
      <w:spacing w:after="200" w:line="240" w:lineRule="auto"/>
    </w:pPr>
    <w:rPr>
      <w:rFonts w:eastAsia="Times New Roman"/>
      <w:b/>
      <w:bCs/>
      <w:color w:val="4F81BD" w:themeColor="accent1"/>
      <w:sz w:val="18"/>
      <w:szCs w:val="18"/>
      <w:lang w:bidi="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531"/>
    <w:pPr>
      <w:spacing w:line="480" w:lineRule="auto"/>
    </w:pPr>
    <w:rPr>
      <w:rFonts w:ascii="Times New Roman" w:hAnsi="Times New Roman" w:cs="Times New Roman"/>
    </w:rPr>
  </w:style>
  <w:style w:type="paragraph" w:styleId="Heading1">
    <w:name w:val="heading 1"/>
    <w:basedOn w:val="Normal"/>
    <w:next w:val="Normal"/>
    <w:link w:val="Heading1Char"/>
    <w:autoRedefine/>
    <w:uiPriority w:val="9"/>
    <w:qFormat/>
    <w:rsid w:val="00E73FAF"/>
    <w:pPr>
      <w:spacing w:line="240" w:lineRule="auto"/>
      <w:jc w:val="center"/>
      <w:outlineLvl w:val="0"/>
    </w:pPr>
    <w:rPr>
      <w:rFonts w:eastAsia="Times New Roman"/>
      <w:b/>
      <w:bCs/>
      <w:sz w:val="28"/>
      <w:lang w:bidi="en-US"/>
    </w:rPr>
  </w:style>
  <w:style w:type="paragraph" w:styleId="Heading2">
    <w:name w:val="heading 2"/>
    <w:basedOn w:val="Normal"/>
    <w:next w:val="Normal"/>
    <w:link w:val="Heading2Char"/>
    <w:autoRedefine/>
    <w:uiPriority w:val="9"/>
    <w:unhideWhenUsed/>
    <w:qFormat/>
    <w:rsid w:val="00882E52"/>
    <w:pPr>
      <w:keepNext/>
      <w:tabs>
        <w:tab w:val="left" w:pos="90"/>
        <w:tab w:val="left" w:pos="8460"/>
      </w:tabs>
      <w:spacing w:line="240" w:lineRule="auto"/>
      <w:ind w:right="36"/>
      <w:jc w:val="center"/>
      <w:outlineLvl w:val="1"/>
    </w:pPr>
    <w:rPr>
      <w:rFonts w:eastAsia="Times New Roman"/>
      <w:b/>
      <w:bCs/>
      <w:iCs/>
      <w:szCs w:val="28"/>
      <w:lang w:bidi="en-US"/>
    </w:rPr>
  </w:style>
  <w:style w:type="paragraph" w:styleId="Heading3">
    <w:name w:val="heading 3"/>
    <w:basedOn w:val="Normal"/>
    <w:next w:val="Normal"/>
    <w:link w:val="Heading3Char"/>
    <w:uiPriority w:val="9"/>
    <w:unhideWhenUsed/>
    <w:qFormat/>
    <w:rsid w:val="007B6988"/>
    <w:pPr>
      <w:keepNext/>
      <w:keepLines/>
      <w:spacing w:before="200"/>
      <w:outlineLvl w:val="2"/>
    </w:pPr>
    <w:rPr>
      <w:rFonts w:asciiTheme="majorHAnsi" w:eastAsiaTheme="majorEastAsia" w:hAnsiTheme="majorHAnsi" w:cstheme="majorBidi"/>
      <w:b/>
      <w:bCs/>
      <w:color w:val="4F81BD" w:themeColor="accent1"/>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3FAF"/>
    <w:rPr>
      <w:rFonts w:ascii="Times New Roman" w:eastAsia="Times New Roman" w:hAnsi="Times New Roman" w:cs="Times New Roman"/>
      <w:b/>
      <w:bCs/>
      <w:sz w:val="28"/>
      <w:lang w:bidi="en-US"/>
    </w:rPr>
  </w:style>
  <w:style w:type="character" w:customStyle="1" w:styleId="Heading2Char">
    <w:name w:val="Heading 2 Char"/>
    <w:basedOn w:val="DefaultParagraphFont"/>
    <w:link w:val="Heading2"/>
    <w:uiPriority w:val="9"/>
    <w:rsid w:val="00882E52"/>
    <w:rPr>
      <w:rFonts w:ascii="Times New Roman" w:eastAsia="Times New Roman" w:hAnsi="Times New Roman" w:cs="Times New Roman"/>
      <w:b/>
      <w:bCs/>
      <w:iCs/>
      <w:szCs w:val="28"/>
      <w:lang w:bidi="en-US"/>
    </w:rPr>
  </w:style>
  <w:style w:type="paragraph" w:styleId="FootnoteText">
    <w:name w:val="footnote text"/>
    <w:basedOn w:val="Normal"/>
    <w:link w:val="FootnoteTextChar"/>
    <w:uiPriority w:val="99"/>
    <w:unhideWhenUsed/>
    <w:rsid w:val="00E975A6"/>
    <w:pPr>
      <w:spacing w:line="240" w:lineRule="auto"/>
    </w:pPr>
    <w:rPr>
      <w:rFonts w:eastAsia="Times New Roman"/>
      <w:sz w:val="20"/>
      <w:szCs w:val="20"/>
      <w:lang w:bidi="en-US"/>
    </w:rPr>
  </w:style>
  <w:style w:type="character" w:customStyle="1" w:styleId="FootnoteTextChar">
    <w:name w:val="Footnote Text Char"/>
    <w:basedOn w:val="DefaultParagraphFont"/>
    <w:link w:val="FootnoteText"/>
    <w:uiPriority w:val="99"/>
    <w:rsid w:val="00E975A6"/>
    <w:rPr>
      <w:rFonts w:ascii="Times New Roman" w:eastAsia="Times New Roman" w:hAnsi="Times New Roman" w:cs="Times New Roman"/>
      <w:sz w:val="20"/>
      <w:szCs w:val="20"/>
      <w:lang w:bidi="en-US"/>
    </w:rPr>
  </w:style>
  <w:style w:type="paragraph" w:styleId="Footer">
    <w:name w:val="footer"/>
    <w:basedOn w:val="Normal"/>
    <w:link w:val="FooterChar"/>
    <w:uiPriority w:val="99"/>
    <w:unhideWhenUsed/>
    <w:rsid w:val="00E975A6"/>
    <w:pPr>
      <w:tabs>
        <w:tab w:val="center" w:pos="4680"/>
        <w:tab w:val="right" w:pos="9360"/>
      </w:tabs>
    </w:pPr>
    <w:rPr>
      <w:rFonts w:eastAsia="Times New Roman"/>
      <w:lang w:bidi="en-US"/>
    </w:rPr>
  </w:style>
  <w:style w:type="character" w:customStyle="1" w:styleId="FooterChar">
    <w:name w:val="Footer Char"/>
    <w:basedOn w:val="DefaultParagraphFont"/>
    <w:link w:val="Footer"/>
    <w:uiPriority w:val="99"/>
    <w:rsid w:val="00E975A6"/>
    <w:rPr>
      <w:rFonts w:ascii="Times New Roman" w:eastAsia="Times New Roman" w:hAnsi="Times New Roman" w:cs="Times New Roman"/>
      <w:lang w:bidi="en-US"/>
    </w:rPr>
  </w:style>
  <w:style w:type="character" w:styleId="Hyperlink">
    <w:name w:val="Hyperlink"/>
    <w:uiPriority w:val="99"/>
    <w:unhideWhenUsed/>
    <w:rsid w:val="00E975A6"/>
    <w:rPr>
      <w:color w:val="0000FF"/>
      <w:u w:val="single"/>
    </w:rPr>
  </w:style>
  <w:style w:type="character" w:styleId="FootnoteReference">
    <w:name w:val="footnote reference"/>
    <w:uiPriority w:val="99"/>
    <w:unhideWhenUsed/>
    <w:rsid w:val="00E975A6"/>
    <w:rPr>
      <w:vertAlign w:val="superscript"/>
    </w:rPr>
  </w:style>
  <w:style w:type="character" w:styleId="PageNumber">
    <w:name w:val="page number"/>
    <w:uiPriority w:val="99"/>
    <w:semiHidden/>
    <w:unhideWhenUsed/>
    <w:rsid w:val="00E975A6"/>
  </w:style>
  <w:style w:type="paragraph" w:styleId="BalloonText">
    <w:name w:val="Balloon Text"/>
    <w:basedOn w:val="Normal"/>
    <w:link w:val="BalloonTextChar"/>
    <w:uiPriority w:val="99"/>
    <w:semiHidden/>
    <w:unhideWhenUsed/>
    <w:rsid w:val="00E975A6"/>
    <w:pPr>
      <w:spacing w:line="240" w:lineRule="auto"/>
    </w:pPr>
    <w:rPr>
      <w:rFonts w:ascii="Lucida Grande" w:eastAsia="Times New Roman" w:hAnsi="Lucida Grande" w:cs="Lucida Grande"/>
      <w:sz w:val="18"/>
      <w:szCs w:val="18"/>
      <w:lang w:bidi="en-US"/>
    </w:rPr>
  </w:style>
  <w:style w:type="character" w:customStyle="1" w:styleId="BalloonTextChar">
    <w:name w:val="Balloon Text Char"/>
    <w:basedOn w:val="DefaultParagraphFont"/>
    <w:link w:val="BalloonText"/>
    <w:uiPriority w:val="99"/>
    <w:semiHidden/>
    <w:rsid w:val="00E975A6"/>
    <w:rPr>
      <w:rFonts w:ascii="Lucida Grande" w:eastAsia="Times New Roman" w:hAnsi="Lucida Grande" w:cs="Lucida Grande"/>
      <w:sz w:val="18"/>
      <w:szCs w:val="18"/>
      <w:lang w:bidi="en-US"/>
    </w:rPr>
  </w:style>
  <w:style w:type="table" w:styleId="LightGrid">
    <w:name w:val="Light Grid"/>
    <w:basedOn w:val="TableNormal"/>
    <w:uiPriority w:val="62"/>
    <w:rsid w:val="00C65D27"/>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ListParagraph">
    <w:name w:val="List Paragraph"/>
    <w:basedOn w:val="Normal"/>
    <w:uiPriority w:val="34"/>
    <w:qFormat/>
    <w:rsid w:val="00F14AB5"/>
    <w:pPr>
      <w:spacing w:line="240" w:lineRule="auto"/>
      <w:ind w:left="720"/>
      <w:contextualSpacing/>
    </w:pPr>
    <w:rPr>
      <w:rFonts w:asciiTheme="minorHAnsi" w:hAnsiTheme="minorHAnsi" w:cstheme="minorBidi"/>
    </w:rPr>
  </w:style>
  <w:style w:type="paragraph" w:styleId="Header">
    <w:name w:val="header"/>
    <w:basedOn w:val="Normal"/>
    <w:link w:val="HeaderChar"/>
    <w:uiPriority w:val="99"/>
    <w:unhideWhenUsed/>
    <w:rsid w:val="00F14AB5"/>
    <w:pPr>
      <w:tabs>
        <w:tab w:val="center" w:pos="4320"/>
        <w:tab w:val="right" w:pos="8640"/>
      </w:tabs>
      <w:spacing w:line="240" w:lineRule="auto"/>
    </w:pPr>
    <w:rPr>
      <w:rFonts w:asciiTheme="minorHAnsi" w:hAnsiTheme="minorHAnsi" w:cstheme="minorBidi"/>
    </w:rPr>
  </w:style>
  <w:style w:type="character" w:customStyle="1" w:styleId="HeaderChar">
    <w:name w:val="Header Char"/>
    <w:basedOn w:val="DefaultParagraphFont"/>
    <w:link w:val="Header"/>
    <w:uiPriority w:val="99"/>
    <w:rsid w:val="00F14AB5"/>
  </w:style>
  <w:style w:type="character" w:customStyle="1" w:styleId="apple-converted-space">
    <w:name w:val="apple-converted-space"/>
    <w:basedOn w:val="DefaultParagraphFont"/>
    <w:rsid w:val="00F14AB5"/>
  </w:style>
  <w:style w:type="table" w:styleId="TableGrid">
    <w:name w:val="Table Grid"/>
    <w:basedOn w:val="TableNormal"/>
    <w:uiPriority w:val="59"/>
    <w:rsid w:val="00F14A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F14AB5"/>
    <w:pPr>
      <w:keepNext/>
      <w:keepLines/>
      <w:spacing w:before="480" w:line="276" w:lineRule="auto"/>
      <w:outlineLvl w:val="9"/>
    </w:pPr>
    <w:rPr>
      <w:rFonts w:asciiTheme="majorHAnsi" w:eastAsiaTheme="majorEastAsia" w:hAnsiTheme="majorHAnsi" w:cstheme="majorBidi"/>
      <w:b w:val="0"/>
      <w:color w:val="365F91" w:themeColor="accent1" w:themeShade="BF"/>
      <w:szCs w:val="28"/>
      <w:lang w:bidi="ar-SA"/>
    </w:rPr>
  </w:style>
  <w:style w:type="table" w:styleId="LightShading">
    <w:name w:val="Light Shading"/>
    <w:basedOn w:val="TableNormal"/>
    <w:uiPriority w:val="60"/>
    <w:rsid w:val="005F67F7"/>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FollowedHyperlink">
    <w:name w:val="FollowedHyperlink"/>
    <w:basedOn w:val="DefaultParagraphFont"/>
    <w:uiPriority w:val="99"/>
    <w:semiHidden/>
    <w:unhideWhenUsed/>
    <w:rsid w:val="0046022B"/>
    <w:rPr>
      <w:color w:val="800080" w:themeColor="followedHyperlink"/>
      <w:u w:val="single"/>
    </w:rPr>
  </w:style>
  <w:style w:type="paragraph" w:styleId="DocumentMap">
    <w:name w:val="Document Map"/>
    <w:basedOn w:val="Normal"/>
    <w:link w:val="DocumentMapChar"/>
    <w:uiPriority w:val="99"/>
    <w:semiHidden/>
    <w:unhideWhenUsed/>
    <w:rsid w:val="00DA18DD"/>
    <w:pPr>
      <w:spacing w:line="240" w:lineRule="auto"/>
    </w:pPr>
    <w:rPr>
      <w:rFonts w:ascii="Lucida Grande" w:hAnsi="Lucida Grande" w:cs="Lucida Grande"/>
    </w:rPr>
  </w:style>
  <w:style w:type="character" w:customStyle="1" w:styleId="DocumentMapChar">
    <w:name w:val="Document Map Char"/>
    <w:basedOn w:val="DefaultParagraphFont"/>
    <w:link w:val="DocumentMap"/>
    <w:uiPriority w:val="99"/>
    <w:semiHidden/>
    <w:rsid w:val="00DA18DD"/>
    <w:rPr>
      <w:rFonts w:ascii="Lucida Grande" w:eastAsia="Times New Roman" w:hAnsi="Lucida Grande" w:cs="Lucida Grande"/>
      <w:lang w:bidi="en-US"/>
    </w:rPr>
  </w:style>
  <w:style w:type="paragraph" w:styleId="Revision">
    <w:name w:val="Revision"/>
    <w:hidden/>
    <w:uiPriority w:val="99"/>
    <w:semiHidden/>
    <w:rsid w:val="00DA18DD"/>
    <w:rPr>
      <w:rFonts w:ascii="Times New Roman" w:eastAsia="Times New Roman" w:hAnsi="Times New Roman" w:cs="Times New Roman"/>
      <w:lang w:bidi="en-US"/>
    </w:rPr>
  </w:style>
  <w:style w:type="paragraph" w:styleId="NoSpacing">
    <w:name w:val="No Spacing"/>
    <w:basedOn w:val="Normal"/>
    <w:link w:val="NoSpacingChar"/>
    <w:uiPriority w:val="1"/>
    <w:qFormat/>
    <w:rsid w:val="00DA59DE"/>
    <w:pPr>
      <w:spacing w:line="240" w:lineRule="auto"/>
    </w:pPr>
    <w:rPr>
      <w:rFonts w:asciiTheme="minorHAnsi" w:eastAsia="Times New Roman" w:hAnsiTheme="minorHAnsi"/>
      <w:szCs w:val="32"/>
      <w:lang w:bidi="en-US"/>
    </w:rPr>
  </w:style>
  <w:style w:type="character" w:customStyle="1" w:styleId="NoSpacingChar">
    <w:name w:val="No Spacing Char"/>
    <w:basedOn w:val="DefaultParagraphFont"/>
    <w:link w:val="NoSpacing"/>
    <w:uiPriority w:val="1"/>
    <w:rsid w:val="00DA59DE"/>
    <w:rPr>
      <w:rFonts w:eastAsia="Times New Roman" w:cs="Times New Roman"/>
      <w:szCs w:val="32"/>
      <w:lang w:bidi="en-US"/>
    </w:rPr>
  </w:style>
  <w:style w:type="character" w:styleId="PlaceholderText">
    <w:name w:val="Placeholder Text"/>
    <w:basedOn w:val="DefaultParagraphFont"/>
    <w:uiPriority w:val="99"/>
    <w:semiHidden/>
    <w:rsid w:val="00DA59DE"/>
    <w:rPr>
      <w:color w:val="808080"/>
    </w:rPr>
  </w:style>
  <w:style w:type="paragraph" w:styleId="Subtitle">
    <w:name w:val="Subtitle"/>
    <w:basedOn w:val="Normal"/>
    <w:next w:val="Normal"/>
    <w:link w:val="SubtitleChar"/>
    <w:uiPriority w:val="11"/>
    <w:qFormat/>
    <w:rsid w:val="007B6988"/>
    <w:pPr>
      <w:numPr>
        <w:ilvl w:val="1"/>
      </w:numPr>
    </w:pPr>
    <w:rPr>
      <w:rFonts w:asciiTheme="majorHAnsi" w:eastAsiaTheme="majorEastAsia" w:hAnsiTheme="majorHAnsi" w:cstheme="majorBidi"/>
      <w:i/>
      <w:iCs/>
      <w:color w:val="4F81BD" w:themeColor="accent1"/>
      <w:spacing w:val="15"/>
      <w:lang w:bidi="en-US"/>
    </w:rPr>
  </w:style>
  <w:style w:type="character" w:customStyle="1" w:styleId="SubtitleChar">
    <w:name w:val="Subtitle Char"/>
    <w:basedOn w:val="DefaultParagraphFont"/>
    <w:link w:val="Subtitle"/>
    <w:uiPriority w:val="11"/>
    <w:rsid w:val="007B6988"/>
    <w:rPr>
      <w:rFonts w:asciiTheme="majorHAnsi" w:eastAsiaTheme="majorEastAsia" w:hAnsiTheme="majorHAnsi" w:cstheme="majorBidi"/>
      <w:i/>
      <w:iCs/>
      <w:color w:val="4F81BD" w:themeColor="accent1"/>
      <w:spacing w:val="15"/>
      <w:lang w:bidi="en-US"/>
    </w:rPr>
  </w:style>
  <w:style w:type="paragraph" w:styleId="TOC1">
    <w:name w:val="toc 1"/>
    <w:basedOn w:val="Normal"/>
    <w:next w:val="Normal"/>
    <w:autoRedefine/>
    <w:uiPriority w:val="39"/>
    <w:unhideWhenUsed/>
    <w:rsid w:val="00AB7F02"/>
    <w:pPr>
      <w:spacing w:before="120"/>
    </w:pPr>
    <w:rPr>
      <w:rFonts w:asciiTheme="minorHAnsi" w:hAnsiTheme="minorHAnsi"/>
      <w:b/>
    </w:rPr>
  </w:style>
  <w:style w:type="paragraph" w:styleId="TOC2">
    <w:name w:val="toc 2"/>
    <w:basedOn w:val="Normal"/>
    <w:next w:val="Normal"/>
    <w:autoRedefine/>
    <w:uiPriority w:val="39"/>
    <w:unhideWhenUsed/>
    <w:rsid w:val="007B6988"/>
    <w:pPr>
      <w:ind w:left="240"/>
    </w:pPr>
    <w:rPr>
      <w:rFonts w:asciiTheme="minorHAnsi" w:hAnsiTheme="minorHAnsi"/>
      <w:b/>
      <w:sz w:val="22"/>
      <w:szCs w:val="22"/>
    </w:rPr>
  </w:style>
  <w:style w:type="paragraph" w:styleId="TOC3">
    <w:name w:val="toc 3"/>
    <w:basedOn w:val="Normal"/>
    <w:next w:val="Normal"/>
    <w:autoRedefine/>
    <w:uiPriority w:val="39"/>
    <w:unhideWhenUsed/>
    <w:rsid w:val="007B6988"/>
    <w:pPr>
      <w:ind w:left="480"/>
    </w:pPr>
    <w:rPr>
      <w:rFonts w:asciiTheme="minorHAnsi" w:hAnsiTheme="minorHAnsi"/>
      <w:sz w:val="22"/>
      <w:szCs w:val="22"/>
    </w:rPr>
  </w:style>
  <w:style w:type="paragraph" w:styleId="TOC4">
    <w:name w:val="toc 4"/>
    <w:basedOn w:val="Normal"/>
    <w:next w:val="Normal"/>
    <w:autoRedefine/>
    <w:uiPriority w:val="39"/>
    <w:semiHidden/>
    <w:unhideWhenUsed/>
    <w:rsid w:val="007B6988"/>
    <w:pPr>
      <w:ind w:left="720"/>
    </w:pPr>
    <w:rPr>
      <w:rFonts w:asciiTheme="minorHAnsi" w:hAnsiTheme="minorHAnsi"/>
      <w:sz w:val="20"/>
      <w:szCs w:val="20"/>
    </w:rPr>
  </w:style>
  <w:style w:type="paragraph" w:styleId="TOC5">
    <w:name w:val="toc 5"/>
    <w:basedOn w:val="Normal"/>
    <w:next w:val="Normal"/>
    <w:autoRedefine/>
    <w:uiPriority w:val="39"/>
    <w:semiHidden/>
    <w:unhideWhenUsed/>
    <w:rsid w:val="007B6988"/>
    <w:pPr>
      <w:ind w:left="960"/>
    </w:pPr>
    <w:rPr>
      <w:rFonts w:asciiTheme="minorHAnsi" w:hAnsiTheme="minorHAnsi"/>
      <w:sz w:val="20"/>
      <w:szCs w:val="20"/>
    </w:rPr>
  </w:style>
  <w:style w:type="paragraph" w:styleId="TOC6">
    <w:name w:val="toc 6"/>
    <w:basedOn w:val="Normal"/>
    <w:next w:val="Normal"/>
    <w:autoRedefine/>
    <w:uiPriority w:val="39"/>
    <w:semiHidden/>
    <w:unhideWhenUsed/>
    <w:rsid w:val="007B6988"/>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7B6988"/>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7B6988"/>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7B6988"/>
    <w:pPr>
      <w:ind w:left="1920"/>
    </w:pPr>
    <w:rPr>
      <w:rFonts w:asciiTheme="minorHAnsi" w:hAnsiTheme="minorHAnsi"/>
      <w:sz w:val="20"/>
      <w:szCs w:val="20"/>
    </w:rPr>
  </w:style>
  <w:style w:type="character" w:customStyle="1" w:styleId="Heading3Char">
    <w:name w:val="Heading 3 Char"/>
    <w:basedOn w:val="DefaultParagraphFont"/>
    <w:link w:val="Heading3"/>
    <w:uiPriority w:val="9"/>
    <w:rsid w:val="007B6988"/>
    <w:rPr>
      <w:rFonts w:asciiTheme="majorHAnsi" w:eastAsiaTheme="majorEastAsia" w:hAnsiTheme="majorHAnsi" w:cstheme="majorBidi"/>
      <w:b/>
      <w:bCs/>
      <w:color w:val="4F81BD" w:themeColor="accent1"/>
      <w:lang w:bidi="en-US"/>
    </w:rPr>
  </w:style>
  <w:style w:type="paragraph" w:styleId="TableofFigures">
    <w:name w:val="table of figures"/>
    <w:basedOn w:val="Normal"/>
    <w:next w:val="Normal"/>
    <w:uiPriority w:val="99"/>
    <w:unhideWhenUsed/>
    <w:rsid w:val="009D168E"/>
    <w:pPr>
      <w:ind w:left="480" w:hanging="480"/>
    </w:pPr>
    <w:rPr>
      <w:rFonts w:asciiTheme="minorHAnsi" w:hAnsiTheme="minorHAnsi"/>
      <w:smallCaps/>
      <w:sz w:val="20"/>
      <w:szCs w:val="20"/>
    </w:rPr>
  </w:style>
  <w:style w:type="paragraph" w:styleId="Caption">
    <w:name w:val="caption"/>
    <w:basedOn w:val="Normal"/>
    <w:next w:val="Normal"/>
    <w:uiPriority w:val="35"/>
    <w:unhideWhenUsed/>
    <w:qFormat/>
    <w:rsid w:val="002C2531"/>
    <w:pPr>
      <w:spacing w:after="200" w:line="240" w:lineRule="auto"/>
    </w:pPr>
    <w:rPr>
      <w:rFonts w:eastAsia="Times New Roman"/>
      <w:b/>
      <w:bCs/>
      <w:color w:val="4F81BD" w:themeColor="accent1"/>
      <w:sz w:val="18"/>
      <w:szCs w:val="1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footer" Target="footer5.xml"/><Relationship Id="rId14" Type="http://schemas.openxmlformats.org/officeDocument/2006/relationships/footer" Target="footer6.xml"/><Relationship Id="rId15" Type="http://schemas.openxmlformats.org/officeDocument/2006/relationships/footer" Target="footer7.xml"/><Relationship Id="rId16" Type="http://schemas.openxmlformats.org/officeDocument/2006/relationships/footer" Target="footer8.xml"/><Relationship Id="rId17" Type="http://schemas.openxmlformats.org/officeDocument/2006/relationships/image" Target="media/image1.jpeg"/><Relationship Id="rId18" Type="http://schemas.openxmlformats.org/officeDocument/2006/relationships/hyperlink" Target="http://www.start.umd.edu/gtd" TargetMode="External"/><Relationship Id="rId19" Type="http://schemas.openxmlformats.org/officeDocument/2006/relationships/image" Target="media/image2.png"/><Relationship Id="rId50" Type="http://schemas.openxmlformats.org/officeDocument/2006/relationships/hyperlink" Target="http://www.socialprogressimperative.org/system/resources/W1siZiIsIjIwMTUvMDUvMDcvMTcvMjkvMzEvMzI4LzIwMTVfU09DSUFMX1BST0dSRVNTX0lOREVYX0ZJTkFMLnBkZiJdXQ/2015%20SOCIAL%20PROGRESS%20INDEX_FINAL.pdf" TargetMode="External"/><Relationship Id="rId51" Type="http://schemas.openxmlformats.org/officeDocument/2006/relationships/hyperlink" Target="https://mondediplo.com/2007/06/11victory" TargetMode="External"/><Relationship Id="rId52" Type="http://schemas.openxmlformats.org/officeDocument/2006/relationships/hyperlink" Target="http://www.aljazeera.com/indepth/opinion/2015/10/killed-oslo-accords-151001072411049.html" TargetMode="External"/><Relationship Id="rId53" Type="http://schemas.openxmlformats.org/officeDocument/2006/relationships/hyperlink" Target="https://www.fas.org/sgp/crs/mideast/RL33222.pdf" TargetMode="External"/><Relationship Id="rId54" Type="http://schemas.openxmlformats.org/officeDocument/2006/relationships/hyperlink" Target="http://adva.org/en/workers-employers2014/" TargetMode="External"/><Relationship Id="rId55" Type="http://schemas.openxmlformats.org/officeDocument/2006/relationships/hyperlink" Target="http://www.smallarmssurvey.org/fileadmin/docs/M-files/CCRVI/CCVRI-Practice-Product-Sources-of-Data.pdf" TargetMode="External"/><Relationship Id="rId56" Type="http://schemas.openxmlformats.org/officeDocument/2006/relationships/hyperlink" Target="http://unstats.un.org/unsd/nationalaccount/docs/SNA2008.pdf" TargetMode="External"/><Relationship Id="rId57" Type="http://schemas.openxmlformats.org/officeDocument/2006/relationships/fontTable" Target="fontTable.xml"/><Relationship Id="rId58" Type="http://schemas.openxmlformats.org/officeDocument/2006/relationships/glossaryDocument" Target="glossary/document.xml"/><Relationship Id="rId59" Type="http://schemas.openxmlformats.org/officeDocument/2006/relationships/theme" Target="theme/theme1.xml"/><Relationship Id="rId40" Type="http://schemas.openxmlformats.org/officeDocument/2006/relationships/hyperlink" Target="http://www.pc.gov.au/research/supporting/cost-benefit-discount/cost-benefit-discount.pdf" TargetMode="External"/><Relationship Id="rId41" Type="http://schemas.openxmlformats.org/officeDocument/2006/relationships/hyperlink" Target="http://www.reuters.com/article/us-israel-usa-meeting-idUSKCN0SY1WJ20151110" TargetMode="External"/><Relationship Id="rId42" Type="http://schemas.openxmlformats.org/officeDocument/2006/relationships/hyperlink" Target="http://www.jpost.com/Israel-News/Politics-And-Diplomacy/Higher-penalty-for-hiring-illegal-Palestinian-workers-heads-to-final-vote-447943" TargetMode="External"/><Relationship Id="rId43" Type="http://schemas.openxmlformats.org/officeDocument/2006/relationships/hyperlink" Target="Http://Www.Cbs.Gov.Il/Webpub/Pub/Text_Page_Eng.Html?Publ=7&amp;Cyear=2013&amp;Cmonth=1" TargetMode="External"/><Relationship Id="rId44" Type="http://schemas.openxmlformats.org/officeDocument/2006/relationships/hyperlink" Target="http://www.haaretz.com/israel-news/.premium-1.714544" TargetMode="External"/><Relationship Id="rId45" Type="http://schemas.openxmlformats.org/officeDocument/2006/relationships/hyperlink" Target="https://theintercept.com/2016/03/24/israeli-rights-group-releases-video-soldier-executing-wounded-palestinian-suspect/" TargetMode="External"/><Relationship Id="rId46" Type="http://schemas.openxmlformats.org/officeDocument/2006/relationships/hyperlink" Target="Http://Www.Washingtoninstitute.Org/Policy-Analysis/View/U.S.-Military-Aid-To-Israel-Debating-An-Increase" TargetMode="External"/><Relationship Id="rId47" Type="http://schemas.openxmlformats.org/officeDocument/2006/relationships/hyperlink" Target="http://www.nytimes.com/2001/07/08/opinion/fictions-about-the-failure-at-camp-david.html" TargetMode="External"/><Relationship Id="rId48" Type="http://schemas.openxmlformats.org/officeDocument/2006/relationships/hyperlink" Target="https://data.oecd.org/" TargetMode="External"/><Relationship Id="rId49" Type="http://schemas.openxmlformats.org/officeDocument/2006/relationships/hyperlink" Target="https://www.fas.org/sgp/crs/mideast/RS22967.pdf"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30" Type="http://schemas.openxmlformats.org/officeDocument/2006/relationships/chart" Target="charts/chart4.xml"/><Relationship Id="rId31" Type="http://schemas.openxmlformats.org/officeDocument/2006/relationships/footer" Target="footer12.xml"/><Relationship Id="rId32" Type="http://schemas.openxmlformats.org/officeDocument/2006/relationships/footer" Target="footer13.xml"/><Relationship Id="rId33" Type="http://schemas.openxmlformats.org/officeDocument/2006/relationships/hyperlink" Target="http://www.btselem.org/statistics/fatalities/after-cast-lead/by-date-of-event" TargetMode="External"/><Relationship Id="rId34" Type="http://schemas.openxmlformats.org/officeDocument/2006/relationships/hyperlink" Target="http://www.indexmundi.com/israel/economy_profile.html" TargetMode="External"/><Relationship Id="rId35" Type="http://schemas.openxmlformats.org/officeDocument/2006/relationships/hyperlink" Target="http://www.timesofisrael.com/rivlin-peace-with-palestinians-seems-impossible-right-now/?utm_source=dlvr.it&amp;utm_medium=twitter" TargetMode="External"/><Relationship Id="rId36" Type="http://schemas.openxmlformats.org/officeDocument/2006/relationships/hyperlink" Target="http://www.thejerusalemfund.org/ht/d/ContentDetails/i/50055" TargetMode="External"/><Relationship Id="rId37" Type="http://schemas.openxmlformats.org/officeDocument/2006/relationships/hyperlink" Target="http://213.154.74.164/invenio/record/13296/files/wps2927.pdf" TargetMode="External"/><Relationship Id="rId38" Type="http://schemas.openxmlformats.org/officeDocument/2006/relationships/hyperlink" Target="http://www.haaretz.com/israel-news/.premium-1.702003" TargetMode="External"/><Relationship Id="rId39" Type="http://schemas.openxmlformats.org/officeDocument/2006/relationships/hyperlink" Target="http://www.jpost.com/Israel-News/Politics-And-Diplomacy/Higher-penalty-for-hiring-illegal-Palestinian-workers-heads-to-final-vote-447943" TargetMode="External"/><Relationship Id="rId20" Type="http://schemas.openxmlformats.org/officeDocument/2006/relationships/image" Target="media/image3.png"/><Relationship Id="rId21" Type="http://schemas.openxmlformats.org/officeDocument/2006/relationships/chart" Target="charts/chart1.xml"/><Relationship Id="rId22" Type="http://schemas.openxmlformats.org/officeDocument/2006/relationships/hyperlink" Target="http://www.btselem.org/freedom_of_movement/siege_figures" TargetMode="External"/><Relationship Id="rId23" Type="http://schemas.openxmlformats.org/officeDocument/2006/relationships/chart" Target="charts/chart2.xml"/><Relationship Id="rId24" Type="http://schemas.openxmlformats.org/officeDocument/2006/relationships/chart" Target="charts/chart3.xml"/><Relationship Id="rId25" Type="http://schemas.openxmlformats.org/officeDocument/2006/relationships/image" Target="media/image4.png"/><Relationship Id="rId26" Type="http://schemas.openxmlformats.org/officeDocument/2006/relationships/image" Target="media/image5.png"/><Relationship Id="rId27" Type="http://schemas.openxmlformats.org/officeDocument/2006/relationships/footer" Target="footer9.xml"/><Relationship Id="rId28" Type="http://schemas.openxmlformats.org/officeDocument/2006/relationships/footer" Target="footer10.xml"/><Relationship Id="rId29" Type="http://schemas.openxmlformats.org/officeDocument/2006/relationships/footer" Target="footer1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footer" Target="footer4.xml"/></Relationships>
</file>

<file path=word/_rels/footnotes.xml.rels><?xml version="1.0" encoding="UTF-8" standalone="yes"?>
<Relationships xmlns="http://schemas.openxmlformats.org/package/2006/relationships"><Relationship Id="rId9" Type="http://schemas.openxmlformats.org/officeDocument/2006/relationships/hyperlink" Target="http://unstats.un.org/unsd/nationalaccount/docs/SNA2008.pdf" TargetMode="External"/><Relationship Id="rId20" Type="http://schemas.openxmlformats.org/officeDocument/2006/relationships/hyperlink" Target="http://www.smallarmssurvey.org/fileadmin/docs/M-files/CCRVI/CCVRI-Practice-Product-Sources-of-Data.pdf" TargetMode="External"/><Relationship Id="rId21" Type="http://schemas.openxmlformats.org/officeDocument/2006/relationships/hyperlink" Target="https://theintercept.com/2016/03/24/israeli-rights-group-releases-video-soldier-executing-wounded-palestinian-suspect/" TargetMode="External"/><Relationship Id="rId22" Type="http://schemas.openxmlformats.org/officeDocument/2006/relationships/hyperlink" Target="http://www.haaretz.com/israel-news/.premium-1.714544" TargetMode="External"/><Relationship Id="rId10" Type="http://schemas.openxmlformats.org/officeDocument/2006/relationships/hyperlink" Target="Http://Www.Cbs.Gov.Il/Webpub/Pub/Text_Page_Eng.Html?Publ=7&amp;Cyear=2013&amp;Cmonth=1" TargetMode="External"/><Relationship Id="rId11" Type="http://schemas.openxmlformats.org/officeDocument/2006/relationships/hyperlink" Target="http://www.socialprogressimperative.org/system/resources/W1siZiIsIjIwMTUvMDUvMDcvMTcvMjkvMzEvMzI4LzIwMTVfU09DSUFMX1BST0dSRVNTX0lOREVYX0ZJTkFMLnBkZiJdXQ/2015%20SOCIAL%20PROGRESS%20INDEX_FINAL.pdf" TargetMode="External"/><Relationship Id="rId12" Type="http://schemas.openxmlformats.org/officeDocument/2006/relationships/hyperlink" Target="https://data.oecd.org/" TargetMode="External"/><Relationship Id="rId13" Type="http://schemas.openxmlformats.org/officeDocument/2006/relationships/hyperlink" Target="http://www.aljazeera.com/indepth/opinion/2015/10/killed-oslo-accords-151001072411049.html" TargetMode="External"/><Relationship Id="rId14" Type="http://schemas.openxmlformats.org/officeDocument/2006/relationships/hyperlink" Target="https://www.fas.org/sgp/crs/mideast/RS22967.pdf" TargetMode="External"/><Relationship Id="rId15" Type="http://schemas.openxmlformats.org/officeDocument/2006/relationships/hyperlink" Target="http://www.jpost.com/Israel-News/Politics-And-Diplomacy/Higher-penalty-for-hiring-illegal-Palestinian-workers-heads-to-final-vote-447943" TargetMode="External"/><Relationship Id="rId16" Type="http://schemas.openxmlformats.org/officeDocument/2006/relationships/hyperlink" Target="http://www.btselem.org/statistics/fatalities/after-cast-lead/by-date-of-event" TargetMode="External"/><Relationship Id="rId17" Type="http://schemas.openxmlformats.org/officeDocument/2006/relationships/hyperlink" Target="http://adva.org/en/workers-employers2014/" TargetMode="External"/><Relationship Id="rId18" Type="http://schemas.openxmlformats.org/officeDocument/2006/relationships/hyperlink" Target="http://www.indexmundi.com/israel/economy_profile.html" TargetMode="External"/><Relationship Id="rId19" Type="http://schemas.openxmlformats.org/officeDocument/2006/relationships/hyperlink" Target="http://www.pc.gov.au/research/supporting/cost-benefit-discount/cost-benefit-discount.pdf" TargetMode="External"/><Relationship Id="rId1" Type="http://schemas.openxmlformats.org/officeDocument/2006/relationships/hyperlink" Target="http://www.nytimes.com/2001/07/08/opinion/fictions-about-the-failure-at-camp-david.html" TargetMode="External"/><Relationship Id="rId2" Type="http://schemas.openxmlformats.org/officeDocument/2006/relationships/hyperlink" Target="http://www.reuters.com/article/us-israel-usa-meeting-idUSKCN0SY1WJ20151110" TargetMode="External"/><Relationship Id="rId3" Type="http://schemas.openxmlformats.org/officeDocument/2006/relationships/hyperlink" Target="http://www.timesofisrael.com/rivlin-peace-with-palestinians-seems-impossible-right-now/?utm_source=dlvr.it&amp;utm_medium=twitter" TargetMode="External"/><Relationship Id="rId4" Type="http://schemas.openxmlformats.org/officeDocument/2006/relationships/hyperlink" Target="http://www.haaretz.com/israel-news/.premium-1.702003" TargetMode="External"/><Relationship Id="rId5" Type="http://schemas.openxmlformats.org/officeDocument/2006/relationships/hyperlink" Target="https://mondediplo.com/2007/06/11victory" TargetMode="External"/><Relationship Id="rId6" Type="http://schemas.openxmlformats.org/officeDocument/2006/relationships/hyperlink" Target="http://www.thejerusalemfund.org/ht/d/ContentDetails/i/50055" TargetMode="External"/><Relationship Id="rId7" Type="http://schemas.openxmlformats.org/officeDocument/2006/relationships/hyperlink" Target="https://www.fas.org/sgp/crs/mideast/RL33222.pdf" TargetMode="External"/><Relationship Id="rId8" Type="http://schemas.openxmlformats.org/officeDocument/2006/relationships/hyperlink" Target="http://213.154.74.164/invenio/record/13296/files/wps2927.pdf" TargetMode="External"/></Relationships>
</file>

<file path=word/charts/_rels/chart1.xml.rels><?xml version="1.0" encoding="UTF-8" standalone="yes"?>
<Relationships xmlns="http://schemas.openxmlformats.org/package/2006/relationships"><Relationship Id="rId1" Type="http://schemas.openxmlformats.org/officeDocument/2006/relationships/themeOverride" Target="../theme/themeOverride1.xml"/><Relationship Id="rId2" Type="http://schemas.openxmlformats.org/officeDocument/2006/relationships/oleObject" Target="Macintosh%20HD:Users:Daniel:Google%20Drive:Documents:Thesis%20Semester:Thesis%20Research:Data:Employment%20Data%20Sources.xlsx" TargetMode="External"/></Relationships>
</file>

<file path=word/charts/_rels/chart2.xml.rels><?xml version="1.0" encoding="UTF-8" standalone="yes"?>
<Relationships xmlns="http://schemas.openxmlformats.org/package/2006/relationships"><Relationship Id="rId1" Type="http://schemas.openxmlformats.org/officeDocument/2006/relationships/themeOverride" Target="../theme/themeOverride2.xml"/><Relationship Id="rId2" Type="http://schemas.openxmlformats.org/officeDocument/2006/relationships/oleObject" Target="Macintosh%20HD:Users:Daniel:Google%20Drive:Documents:Thesis%20Semester:Thesis%20Research:Data:Employment%20Data%20Sources.xlsx" TargetMode="External"/><Relationship Id="rId3" Type="http://schemas.openxmlformats.org/officeDocument/2006/relationships/chartUserShapes" Target="../drawings/drawing1.xml"/></Relationships>
</file>

<file path=word/charts/_rels/chart3.xml.rels><?xml version="1.0" encoding="UTF-8" standalone="yes"?>
<Relationships xmlns="http://schemas.openxmlformats.org/package/2006/relationships"><Relationship Id="rId1" Type="http://schemas.openxmlformats.org/officeDocument/2006/relationships/themeOverride" Target="../theme/themeOverride3.xml"/><Relationship Id="rId2" Type="http://schemas.openxmlformats.org/officeDocument/2006/relationships/oleObject" Target="Macintosh%20HD:Users:Daniel:Google%20Drive:Documents:Thesis%20Semester:Thesis%20Research:Data:Employment%20Data%20Sources.xlsx" TargetMode="External"/><Relationship Id="rId3" Type="http://schemas.openxmlformats.org/officeDocument/2006/relationships/chartUserShapes" Target="../drawings/drawing2.xml"/></Relationships>
</file>

<file path=word/charts/_rels/chart4.xml.rels><?xml version="1.0" encoding="UTF-8" standalone="yes"?>
<Relationships xmlns="http://schemas.openxmlformats.org/package/2006/relationships"><Relationship Id="rId1" Type="http://schemas.openxmlformats.org/officeDocument/2006/relationships/oleObject" Target="Macintosh%20HD:Users:Daniel:Google%20Drive:Documents:Thesis%20Semester:Thesis%20Research:Working%20Documents:Econometrics%20Portion:Model%20Results.xlsx" TargetMode="External"/><Relationship Id="rId2" Type="http://schemas.openxmlformats.org/officeDocument/2006/relationships/chartUserShapes" Target="../drawings/drawing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07070495599815"/>
          <c:y val="0.133986928104575"/>
          <c:w val="0.790132851707227"/>
          <c:h val="0.677965107302764"/>
        </c:manualLayout>
      </c:layout>
      <c:scatterChart>
        <c:scatterStyle val="smoothMarker"/>
        <c:varyColors val="0"/>
        <c:ser>
          <c:idx val="1"/>
          <c:order val="1"/>
          <c:tx>
            <c:strRef>
              <c:f>Sheet1!$C$2</c:f>
              <c:strCache>
                <c:ptCount val="1"/>
                <c:pt idx="0">
                  <c:v>Comperhensive Closure Days</c:v>
                </c:pt>
              </c:strCache>
            </c:strRef>
          </c:tx>
          <c:spPr>
            <a:ln w="28575">
              <a:solidFill>
                <a:schemeClr val="tx1">
                  <a:lumMod val="75000"/>
                  <a:lumOff val="25000"/>
                </a:schemeClr>
              </a:solidFill>
              <a:prstDash val="sysDot"/>
            </a:ln>
          </c:spPr>
          <c:marker>
            <c:symbol val="none"/>
          </c:marker>
          <c:xVal>
            <c:numRef>
              <c:f>Sheet1!$A$3:$A$22</c:f>
              <c:numCache>
                <c:formatCode>General</c:formatCode>
                <c:ptCount val="20"/>
                <c:pt idx="0">
                  <c:v>1995.0</c:v>
                </c:pt>
                <c:pt idx="1">
                  <c:v>1996.0</c:v>
                </c:pt>
                <c:pt idx="2">
                  <c:v>1997.0</c:v>
                </c:pt>
                <c:pt idx="3">
                  <c:v>1998.0</c:v>
                </c:pt>
                <c:pt idx="4">
                  <c:v>1999.0</c:v>
                </c:pt>
                <c:pt idx="5">
                  <c:v>2000.0</c:v>
                </c:pt>
                <c:pt idx="6">
                  <c:v>2001.0</c:v>
                </c:pt>
                <c:pt idx="7">
                  <c:v>2002.0</c:v>
                </c:pt>
                <c:pt idx="8">
                  <c:v>2003.0</c:v>
                </c:pt>
                <c:pt idx="9">
                  <c:v>2004.0</c:v>
                </c:pt>
                <c:pt idx="10">
                  <c:v>2005.0</c:v>
                </c:pt>
                <c:pt idx="11">
                  <c:v>2007.0</c:v>
                </c:pt>
                <c:pt idx="12">
                  <c:v>2007.0</c:v>
                </c:pt>
                <c:pt idx="13">
                  <c:v>2008.0</c:v>
                </c:pt>
                <c:pt idx="14">
                  <c:v>2009.0</c:v>
                </c:pt>
                <c:pt idx="15">
                  <c:v>2010.0</c:v>
                </c:pt>
                <c:pt idx="16">
                  <c:v>2011.0</c:v>
                </c:pt>
                <c:pt idx="17">
                  <c:v>2012.0</c:v>
                </c:pt>
                <c:pt idx="18">
                  <c:v>2013.0</c:v>
                </c:pt>
                <c:pt idx="19">
                  <c:v>2014.0</c:v>
                </c:pt>
              </c:numCache>
            </c:numRef>
          </c:xVal>
          <c:yVal>
            <c:numRef>
              <c:f>Sheet1!$C$3:$C$22</c:f>
              <c:numCache>
                <c:formatCode>General</c:formatCode>
                <c:ptCount val="20"/>
                <c:pt idx="0">
                  <c:v>112.0</c:v>
                </c:pt>
                <c:pt idx="1">
                  <c:v>121.0</c:v>
                </c:pt>
                <c:pt idx="2">
                  <c:v>79.0</c:v>
                </c:pt>
                <c:pt idx="3">
                  <c:v>26.0</c:v>
                </c:pt>
                <c:pt idx="4">
                  <c:v>16.0</c:v>
                </c:pt>
                <c:pt idx="5">
                  <c:v>75.0</c:v>
                </c:pt>
                <c:pt idx="6">
                  <c:v>244.0</c:v>
                </c:pt>
                <c:pt idx="7">
                  <c:v>77.0</c:v>
                </c:pt>
                <c:pt idx="8">
                  <c:v>178.0</c:v>
                </c:pt>
                <c:pt idx="9">
                  <c:v>163.0</c:v>
                </c:pt>
                <c:pt idx="10">
                  <c:v>132.0</c:v>
                </c:pt>
                <c:pt idx="11">
                  <c:v>122.0</c:v>
                </c:pt>
                <c:pt idx="12">
                  <c:v>34.0</c:v>
                </c:pt>
                <c:pt idx="13">
                  <c:v>52.0</c:v>
                </c:pt>
                <c:pt idx="14">
                  <c:v>55.0</c:v>
                </c:pt>
                <c:pt idx="15">
                  <c:v>44.0</c:v>
                </c:pt>
                <c:pt idx="16">
                  <c:v>31.0</c:v>
                </c:pt>
                <c:pt idx="17">
                  <c:v>11.0</c:v>
                </c:pt>
                <c:pt idx="18">
                  <c:v>7.0</c:v>
                </c:pt>
                <c:pt idx="19">
                  <c:v>29.0</c:v>
                </c:pt>
              </c:numCache>
            </c:numRef>
          </c:yVal>
          <c:smooth val="1"/>
        </c:ser>
        <c:dLbls>
          <c:showLegendKey val="0"/>
          <c:showVal val="0"/>
          <c:showCatName val="0"/>
          <c:showSerName val="0"/>
          <c:showPercent val="0"/>
          <c:showBubbleSize val="0"/>
        </c:dLbls>
        <c:axId val="2135856392"/>
        <c:axId val="2135860616"/>
      </c:scatterChart>
      <c:scatterChart>
        <c:scatterStyle val="smoothMarker"/>
        <c:varyColors val="0"/>
        <c:ser>
          <c:idx val="0"/>
          <c:order val="0"/>
          <c:tx>
            <c:strRef>
              <c:f>Sheet1!$B$2</c:f>
              <c:strCache>
                <c:ptCount val="1"/>
                <c:pt idx="0">
                  <c:v>West Bank Unemployment Rate</c:v>
                </c:pt>
              </c:strCache>
            </c:strRef>
          </c:tx>
          <c:spPr>
            <a:ln w="25400">
              <a:solidFill>
                <a:schemeClr val="tx1"/>
              </a:solidFill>
            </a:ln>
          </c:spPr>
          <c:marker>
            <c:symbol val="none"/>
          </c:marker>
          <c:xVal>
            <c:numRef>
              <c:f>Sheet1!$A$3:$A$22</c:f>
              <c:numCache>
                <c:formatCode>General</c:formatCode>
                <c:ptCount val="20"/>
                <c:pt idx="0">
                  <c:v>1995.0</c:v>
                </c:pt>
                <c:pt idx="1">
                  <c:v>1996.0</c:v>
                </c:pt>
                <c:pt idx="2">
                  <c:v>1997.0</c:v>
                </c:pt>
                <c:pt idx="3">
                  <c:v>1998.0</c:v>
                </c:pt>
                <c:pt idx="4">
                  <c:v>1999.0</c:v>
                </c:pt>
                <c:pt idx="5">
                  <c:v>2000.0</c:v>
                </c:pt>
                <c:pt idx="6">
                  <c:v>2001.0</c:v>
                </c:pt>
                <c:pt idx="7">
                  <c:v>2002.0</c:v>
                </c:pt>
                <c:pt idx="8">
                  <c:v>2003.0</c:v>
                </c:pt>
                <c:pt idx="9">
                  <c:v>2004.0</c:v>
                </c:pt>
                <c:pt idx="10">
                  <c:v>2005.0</c:v>
                </c:pt>
                <c:pt idx="11">
                  <c:v>2007.0</c:v>
                </c:pt>
                <c:pt idx="12">
                  <c:v>2007.0</c:v>
                </c:pt>
                <c:pt idx="13">
                  <c:v>2008.0</c:v>
                </c:pt>
                <c:pt idx="14">
                  <c:v>2009.0</c:v>
                </c:pt>
                <c:pt idx="15">
                  <c:v>2010.0</c:v>
                </c:pt>
                <c:pt idx="16">
                  <c:v>2011.0</c:v>
                </c:pt>
                <c:pt idx="17">
                  <c:v>2012.0</c:v>
                </c:pt>
                <c:pt idx="18">
                  <c:v>2013.0</c:v>
                </c:pt>
                <c:pt idx="19">
                  <c:v>2014.0</c:v>
                </c:pt>
              </c:numCache>
            </c:numRef>
          </c:xVal>
          <c:yVal>
            <c:numRef>
              <c:f>Sheet1!$B$3:$B$22</c:f>
              <c:numCache>
                <c:formatCode>General</c:formatCode>
                <c:ptCount val="20"/>
                <c:pt idx="0">
                  <c:v>13.9</c:v>
                </c:pt>
                <c:pt idx="1">
                  <c:v>19.6</c:v>
                </c:pt>
                <c:pt idx="2">
                  <c:v>17.3</c:v>
                </c:pt>
                <c:pt idx="3">
                  <c:v>11.5</c:v>
                </c:pt>
                <c:pt idx="4">
                  <c:v>9.5</c:v>
                </c:pt>
                <c:pt idx="5">
                  <c:v>12.2</c:v>
                </c:pt>
                <c:pt idx="6">
                  <c:v>21.6</c:v>
                </c:pt>
                <c:pt idx="7">
                  <c:v>28.2</c:v>
                </c:pt>
                <c:pt idx="8">
                  <c:v>23.7</c:v>
                </c:pt>
                <c:pt idx="9">
                  <c:v>22.8</c:v>
                </c:pt>
                <c:pt idx="10">
                  <c:v>20.4</c:v>
                </c:pt>
                <c:pt idx="11">
                  <c:v>18.8</c:v>
                </c:pt>
                <c:pt idx="12">
                  <c:v>17.9</c:v>
                </c:pt>
                <c:pt idx="13">
                  <c:v>19.7</c:v>
                </c:pt>
                <c:pt idx="14">
                  <c:v>17.8</c:v>
                </c:pt>
                <c:pt idx="15">
                  <c:v>17.2</c:v>
                </c:pt>
                <c:pt idx="16">
                  <c:v>17.3</c:v>
                </c:pt>
                <c:pt idx="17">
                  <c:v>19.0</c:v>
                </c:pt>
                <c:pt idx="18">
                  <c:v>18.6</c:v>
                </c:pt>
                <c:pt idx="19">
                  <c:v>17.7</c:v>
                </c:pt>
              </c:numCache>
            </c:numRef>
          </c:yVal>
          <c:smooth val="1"/>
        </c:ser>
        <c:dLbls>
          <c:showLegendKey val="0"/>
          <c:showVal val="0"/>
          <c:showCatName val="0"/>
          <c:showSerName val="0"/>
          <c:showPercent val="0"/>
          <c:showBubbleSize val="0"/>
        </c:dLbls>
        <c:axId val="2135869448"/>
        <c:axId val="2135865080"/>
      </c:scatterChart>
      <c:valAx>
        <c:axId val="2135856392"/>
        <c:scaling>
          <c:orientation val="minMax"/>
          <c:max val="2014.0"/>
          <c:min val="1995.0"/>
        </c:scaling>
        <c:delete val="0"/>
        <c:axPos val="b"/>
        <c:title>
          <c:tx>
            <c:rich>
              <a:bodyPr/>
              <a:lstStyle/>
              <a:p>
                <a:pPr>
                  <a:defRPr>
                    <a:latin typeface="Times New Roman"/>
                    <a:cs typeface="Times New Roman"/>
                  </a:defRPr>
                </a:pPr>
                <a:r>
                  <a:rPr lang="en-US">
                    <a:latin typeface="Times New Roman"/>
                    <a:cs typeface="Times New Roman"/>
                  </a:rPr>
                  <a:t>Year</a:t>
                </a:r>
              </a:p>
            </c:rich>
          </c:tx>
          <c:layout/>
          <c:overlay val="0"/>
        </c:title>
        <c:numFmt formatCode="General" sourceLinked="1"/>
        <c:majorTickMark val="out"/>
        <c:minorTickMark val="out"/>
        <c:tickLblPos val="nextTo"/>
        <c:txPr>
          <a:bodyPr/>
          <a:lstStyle/>
          <a:p>
            <a:pPr>
              <a:defRPr>
                <a:latin typeface="Times New Roman"/>
                <a:cs typeface="Times New Roman"/>
              </a:defRPr>
            </a:pPr>
            <a:endParaRPr lang="en-US"/>
          </a:p>
        </c:txPr>
        <c:crossAx val="2135860616"/>
        <c:crosses val="autoZero"/>
        <c:crossBetween val="midCat"/>
        <c:majorUnit val="3.0"/>
        <c:minorUnit val="1.0"/>
      </c:valAx>
      <c:valAx>
        <c:axId val="2135860616"/>
        <c:scaling>
          <c:orientation val="minMax"/>
          <c:max val="250.0"/>
        </c:scaling>
        <c:delete val="0"/>
        <c:axPos val="l"/>
        <c:majorGridlines/>
        <c:title>
          <c:tx>
            <c:rich>
              <a:bodyPr rot="0" vert="horz"/>
              <a:lstStyle/>
              <a:p>
                <a:pPr>
                  <a:defRPr>
                    <a:solidFill>
                      <a:schemeClr val="tx1">
                        <a:lumMod val="75000"/>
                        <a:lumOff val="25000"/>
                      </a:schemeClr>
                    </a:solidFill>
                    <a:latin typeface="Times New Roman"/>
                    <a:cs typeface="Times New Roman"/>
                  </a:defRPr>
                </a:pPr>
                <a:r>
                  <a:rPr lang="en-US">
                    <a:solidFill>
                      <a:schemeClr val="tx1">
                        <a:lumMod val="75000"/>
                        <a:lumOff val="25000"/>
                      </a:schemeClr>
                    </a:solidFill>
                    <a:latin typeface="Times New Roman"/>
                    <a:cs typeface="Times New Roman"/>
                  </a:rPr>
                  <a:t>Number of Closure Days</a:t>
                </a:r>
              </a:p>
            </c:rich>
          </c:tx>
          <c:layout>
            <c:manualLayout>
              <c:xMode val="edge"/>
              <c:yMode val="edge"/>
              <c:x val="0.00261206016519014"/>
              <c:y val="0.0195970356646596"/>
            </c:manualLayout>
          </c:layout>
          <c:overlay val="0"/>
        </c:title>
        <c:numFmt formatCode="General" sourceLinked="1"/>
        <c:majorTickMark val="out"/>
        <c:minorTickMark val="none"/>
        <c:tickLblPos val="nextTo"/>
        <c:txPr>
          <a:bodyPr/>
          <a:lstStyle/>
          <a:p>
            <a:pPr>
              <a:defRPr>
                <a:latin typeface="Times New Roman"/>
                <a:cs typeface="Times New Roman"/>
              </a:defRPr>
            </a:pPr>
            <a:endParaRPr lang="en-US"/>
          </a:p>
        </c:txPr>
        <c:crossAx val="2135856392"/>
        <c:crosses val="autoZero"/>
        <c:crossBetween val="midCat"/>
      </c:valAx>
      <c:valAx>
        <c:axId val="2135865080"/>
        <c:scaling>
          <c:orientation val="minMax"/>
        </c:scaling>
        <c:delete val="0"/>
        <c:axPos val="r"/>
        <c:title>
          <c:tx>
            <c:rich>
              <a:bodyPr rot="0" vert="horz"/>
              <a:lstStyle/>
              <a:p>
                <a:pPr>
                  <a:defRPr>
                    <a:latin typeface="Times New Roman"/>
                    <a:cs typeface="Times New Roman"/>
                  </a:defRPr>
                </a:pPr>
                <a:r>
                  <a:rPr lang="en-US">
                    <a:latin typeface="Times New Roman"/>
                    <a:cs typeface="Times New Roman"/>
                  </a:rPr>
                  <a:t>Unemployment Rate</a:t>
                </a:r>
              </a:p>
            </c:rich>
          </c:tx>
          <c:layout>
            <c:manualLayout>
              <c:xMode val="edge"/>
              <c:yMode val="edge"/>
              <c:x val="0.837824722838929"/>
              <c:y val="0.0186524110956719"/>
            </c:manualLayout>
          </c:layout>
          <c:overlay val="0"/>
        </c:title>
        <c:numFmt formatCode="General" sourceLinked="1"/>
        <c:majorTickMark val="out"/>
        <c:minorTickMark val="none"/>
        <c:tickLblPos val="nextTo"/>
        <c:txPr>
          <a:bodyPr/>
          <a:lstStyle/>
          <a:p>
            <a:pPr>
              <a:defRPr>
                <a:latin typeface="Times New Roman"/>
                <a:cs typeface="Times New Roman"/>
              </a:defRPr>
            </a:pPr>
            <a:endParaRPr lang="en-US"/>
          </a:p>
        </c:txPr>
        <c:crossAx val="2135869448"/>
        <c:crosses val="max"/>
        <c:crossBetween val="midCat"/>
      </c:valAx>
      <c:valAx>
        <c:axId val="2135869448"/>
        <c:scaling>
          <c:orientation val="minMax"/>
        </c:scaling>
        <c:delete val="1"/>
        <c:axPos val="b"/>
        <c:numFmt formatCode="General" sourceLinked="1"/>
        <c:majorTickMark val="out"/>
        <c:minorTickMark val="none"/>
        <c:tickLblPos val="nextTo"/>
        <c:crossAx val="2135865080"/>
        <c:crosses val="autoZero"/>
        <c:crossBetween val="midCat"/>
      </c:valAx>
    </c:plotArea>
    <c:legend>
      <c:legendPos val="b"/>
      <c:layout>
        <c:manualLayout>
          <c:xMode val="edge"/>
          <c:yMode val="edge"/>
          <c:x val="0.0648736323689876"/>
          <c:y val="0.926135024788568"/>
          <c:w val="0.879918047415424"/>
          <c:h val="0.0738649580567135"/>
        </c:manualLayout>
      </c:layout>
      <c:overlay val="0"/>
      <c:txPr>
        <a:bodyPr/>
        <a:lstStyle/>
        <a:p>
          <a:pPr>
            <a:defRPr sz="800"/>
          </a:pPr>
          <a:endParaRPr lang="en-US"/>
        </a:p>
      </c:txPr>
    </c:legend>
    <c:plotVisOnly val="1"/>
    <c:dispBlanksAs val="gap"/>
    <c:showDLblsOverMax val="0"/>
  </c:chart>
  <c:spPr>
    <a:ln>
      <a:no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4347659667542"/>
          <c:y val="0.165359290307508"/>
          <c:w val="0.750268664333625"/>
          <c:h val="0.567861538441459"/>
        </c:manualLayout>
      </c:layout>
      <c:scatterChart>
        <c:scatterStyle val="smoothMarker"/>
        <c:varyColors val="0"/>
        <c:ser>
          <c:idx val="3"/>
          <c:order val="1"/>
          <c:tx>
            <c:strRef>
              <c:f>'Palestinian Employment'!$E$3</c:f>
              <c:strCache>
                <c:ptCount val="1"/>
                <c:pt idx="0">
                  <c:v>% of West Bank Laborers </c:v>
                </c:pt>
              </c:strCache>
            </c:strRef>
          </c:tx>
          <c:spPr>
            <a:ln w="19050">
              <a:solidFill>
                <a:schemeClr val="tx1"/>
              </a:solidFill>
              <a:prstDash val="dash"/>
            </a:ln>
          </c:spPr>
          <c:marker>
            <c:symbol val="none"/>
          </c:marker>
          <c:xVal>
            <c:numRef>
              <c:f>'Palestinian Employment'!$A$4:$A$49</c:f>
              <c:numCache>
                <c:formatCode>General</c:formatCode>
                <c:ptCount val="46"/>
                <c:pt idx="0">
                  <c:v>1968.0</c:v>
                </c:pt>
                <c:pt idx="1">
                  <c:v>1969.0</c:v>
                </c:pt>
                <c:pt idx="2">
                  <c:v>1970.0</c:v>
                </c:pt>
                <c:pt idx="3">
                  <c:v>1971.0</c:v>
                </c:pt>
                <c:pt idx="4">
                  <c:v>1972.0</c:v>
                </c:pt>
                <c:pt idx="5">
                  <c:v>1973.0</c:v>
                </c:pt>
                <c:pt idx="6">
                  <c:v>1974.0</c:v>
                </c:pt>
                <c:pt idx="7">
                  <c:v>1975.0</c:v>
                </c:pt>
                <c:pt idx="8">
                  <c:v>1976.0</c:v>
                </c:pt>
                <c:pt idx="9">
                  <c:v>1977.0</c:v>
                </c:pt>
                <c:pt idx="10">
                  <c:v>1978.0</c:v>
                </c:pt>
                <c:pt idx="11">
                  <c:v>1979.0</c:v>
                </c:pt>
                <c:pt idx="12">
                  <c:v>1980.0</c:v>
                </c:pt>
                <c:pt idx="13">
                  <c:v>1981.0</c:v>
                </c:pt>
                <c:pt idx="14">
                  <c:v>1982.0</c:v>
                </c:pt>
                <c:pt idx="15">
                  <c:v>1983.0</c:v>
                </c:pt>
                <c:pt idx="16">
                  <c:v>1984.0</c:v>
                </c:pt>
                <c:pt idx="17">
                  <c:v>1985.0</c:v>
                </c:pt>
                <c:pt idx="18">
                  <c:v>1986.0</c:v>
                </c:pt>
                <c:pt idx="19">
                  <c:v>1987.0</c:v>
                </c:pt>
                <c:pt idx="20">
                  <c:v>1988.0</c:v>
                </c:pt>
                <c:pt idx="21">
                  <c:v>1989.0</c:v>
                </c:pt>
                <c:pt idx="22">
                  <c:v>1990.0</c:v>
                </c:pt>
                <c:pt idx="23">
                  <c:v>1991.0</c:v>
                </c:pt>
                <c:pt idx="24">
                  <c:v>1992.0</c:v>
                </c:pt>
                <c:pt idx="25">
                  <c:v>1993.0</c:v>
                </c:pt>
                <c:pt idx="26">
                  <c:v>1995.0</c:v>
                </c:pt>
                <c:pt idx="27">
                  <c:v>1996.0</c:v>
                </c:pt>
                <c:pt idx="28">
                  <c:v>1997.0</c:v>
                </c:pt>
                <c:pt idx="29">
                  <c:v>1998.0</c:v>
                </c:pt>
                <c:pt idx="30">
                  <c:v>1999.0</c:v>
                </c:pt>
                <c:pt idx="31">
                  <c:v>2000.0</c:v>
                </c:pt>
                <c:pt idx="32">
                  <c:v>2001.0</c:v>
                </c:pt>
                <c:pt idx="33">
                  <c:v>2002.0</c:v>
                </c:pt>
                <c:pt idx="34">
                  <c:v>2003.0</c:v>
                </c:pt>
                <c:pt idx="35">
                  <c:v>2004.0</c:v>
                </c:pt>
                <c:pt idx="36">
                  <c:v>2005.0</c:v>
                </c:pt>
                <c:pt idx="37">
                  <c:v>2006.0</c:v>
                </c:pt>
                <c:pt idx="38">
                  <c:v>2007.0</c:v>
                </c:pt>
                <c:pt idx="39">
                  <c:v>2008.0</c:v>
                </c:pt>
                <c:pt idx="40">
                  <c:v>2009.0</c:v>
                </c:pt>
                <c:pt idx="41">
                  <c:v>2010.0</c:v>
                </c:pt>
                <c:pt idx="42">
                  <c:v>2011.0</c:v>
                </c:pt>
                <c:pt idx="43">
                  <c:v>2012.0</c:v>
                </c:pt>
                <c:pt idx="44">
                  <c:v>2013.0</c:v>
                </c:pt>
                <c:pt idx="45">
                  <c:v>2014.0</c:v>
                </c:pt>
              </c:numCache>
            </c:numRef>
          </c:xVal>
          <c:yVal>
            <c:numRef>
              <c:f>'Palestinian Employment'!$E$4:$E$49</c:f>
              <c:numCache>
                <c:formatCode>General</c:formatCode>
                <c:ptCount val="46"/>
                <c:pt idx="0">
                  <c:v>0.0</c:v>
                </c:pt>
                <c:pt idx="1">
                  <c:v>7.6</c:v>
                </c:pt>
                <c:pt idx="2">
                  <c:v>12.8</c:v>
                </c:pt>
                <c:pt idx="3">
                  <c:v>21.9</c:v>
                </c:pt>
                <c:pt idx="4">
                  <c:v>27.9</c:v>
                </c:pt>
                <c:pt idx="5">
                  <c:v>30.5</c:v>
                </c:pt>
                <c:pt idx="6">
                  <c:v>30.8</c:v>
                </c:pt>
                <c:pt idx="7">
                  <c:v>30.5</c:v>
                </c:pt>
                <c:pt idx="8">
                  <c:v>28.6</c:v>
                </c:pt>
                <c:pt idx="9">
                  <c:v>27.9</c:v>
                </c:pt>
                <c:pt idx="10">
                  <c:v>28.0</c:v>
                </c:pt>
                <c:pt idx="11">
                  <c:v>30.0</c:v>
                </c:pt>
                <c:pt idx="12">
                  <c:v>30.1</c:v>
                </c:pt>
                <c:pt idx="13">
                  <c:v>29.9</c:v>
                </c:pt>
                <c:pt idx="14">
                  <c:v>30.5</c:v>
                </c:pt>
                <c:pt idx="15">
                  <c:v>32.7</c:v>
                </c:pt>
                <c:pt idx="16">
                  <c:v>32.5</c:v>
                </c:pt>
                <c:pt idx="17">
                  <c:v>31.4</c:v>
                </c:pt>
                <c:pt idx="18">
                  <c:v>30.9</c:v>
                </c:pt>
                <c:pt idx="19">
                  <c:v>35.6</c:v>
                </c:pt>
                <c:pt idx="20">
                  <c:v>35.0</c:v>
                </c:pt>
                <c:pt idx="21">
                  <c:v>36.2</c:v>
                </c:pt>
                <c:pt idx="22">
                  <c:v>33.7</c:v>
                </c:pt>
                <c:pt idx="23">
                  <c:v>31.2</c:v>
                </c:pt>
                <c:pt idx="24">
                  <c:v>35.4</c:v>
                </c:pt>
                <c:pt idx="25">
                  <c:v>26.6</c:v>
                </c:pt>
                <c:pt idx="26">
                  <c:v>20.2</c:v>
                </c:pt>
                <c:pt idx="27">
                  <c:v>16.6</c:v>
                </c:pt>
                <c:pt idx="28">
                  <c:v>19.5</c:v>
                </c:pt>
                <c:pt idx="29">
                  <c:v>24.0</c:v>
                </c:pt>
                <c:pt idx="30">
                  <c:v>25.9</c:v>
                </c:pt>
                <c:pt idx="31">
                  <c:v>21.4</c:v>
                </c:pt>
                <c:pt idx="32">
                  <c:v>16.4</c:v>
                </c:pt>
                <c:pt idx="33">
                  <c:v>12.0</c:v>
                </c:pt>
                <c:pt idx="34">
                  <c:v>11.2</c:v>
                </c:pt>
                <c:pt idx="35">
                  <c:v>10.7</c:v>
                </c:pt>
                <c:pt idx="36">
                  <c:v>12.9</c:v>
                </c:pt>
                <c:pt idx="37">
                  <c:v>11.7</c:v>
                </c:pt>
                <c:pt idx="38">
                  <c:v>12.5</c:v>
                </c:pt>
                <c:pt idx="39">
                  <c:v>13.8</c:v>
                </c:pt>
                <c:pt idx="40">
                  <c:v>13.9</c:v>
                </c:pt>
                <c:pt idx="41">
                  <c:v>14.2</c:v>
                </c:pt>
                <c:pt idx="42">
                  <c:v>14.0</c:v>
                </c:pt>
                <c:pt idx="43">
                  <c:v>13.8</c:v>
                </c:pt>
                <c:pt idx="44">
                  <c:v>16.1</c:v>
                </c:pt>
                <c:pt idx="45">
                  <c:v>16.1</c:v>
                </c:pt>
              </c:numCache>
            </c:numRef>
          </c:yVal>
          <c:smooth val="1"/>
        </c:ser>
        <c:ser>
          <c:idx val="7"/>
          <c:order val="3"/>
          <c:tx>
            <c:strRef>
              <c:f>'Palestinian Employment'!$I$3</c:f>
              <c:strCache>
                <c:ptCount val="1"/>
                <c:pt idx="0">
                  <c:v>% of Gaza Strip Laborers </c:v>
                </c:pt>
              </c:strCache>
            </c:strRef>
          </c:tx>
          <c:spPr>
            <a:ln w="19050">
              <a:solidFill>
                <a:schemeClr val="tx1">
                  <a:lumMod val="50000"/>
                  <a:lumOff val="50000"/>
                </a:schemeClr>
              </a:solidFill>
              <a:prstDash val="dash"/>
            </a:ln>
          </c:spPr>
          <c:marker>
            <c:symbol val="none"/>
          </c:marker>
          <c:xVal>
            <c:numRef>
              <c:f>'Palestinian Employment'!$A$4:$A$49</c:f>
              <c:numCache>
                <c:formatCode>General</c:formatCode>
                <c:ptCount val="46"/>
                <c:pt idx="0">
                  <c:v>1968.0</c:v>
                </c:pt>
                <c:pt idx="1">
                  <c:v>1969.0</c:v>
                </c:pt>
                <c:pt idx="2">
                  <c:v>1970.0</c:v>
                </c:pt>
                <c:pt idx="3">
                  <c:v>1971.0</c:v>
                </c:pt>
                <c:pt idx="4">
                  <c:v>1972.0</c:v>
                </c:pt>
                <c:pt idx="5">
                  <c:v>1973.0</c:v>
                </c:pt>
                <c:pt idx="6">
                  <c:v>1974.0</c:v>
                </c:pt>
                <c:pt idx="7">
                  <c:v>1975.0</c:v>
                </c:pt>
                <c:pt idx="8">
                  <c:v>1976.0</c:v>
                </c:pt>
                <c:pt idx="9">
                  <c:v>1977.0</c:v>
                </c:pt>
                <c:pt idx="10">
                  <c:v>1978.0</c:v>
                </c:pt>
                <c:pt idx="11">
                  <c:v>1979.0</c:v>
                </c:pt>
                <c:pt idx="12">
                  <c:v>1980.0</c:v>
                </c:pt>
                <c:pt idx="13">
                  <c:v>1981.0</c:v>
                </c:pt>
                <c:pt idx="14">
                  <c:v>1982.0</c:v>
                </c:pt>
                <c:pt idx="15">
                  <c:v>1983.0</c:v>
                </c:pt>
                <c:pt idx="16">
                  <c:v>1984.0</c:v>
                </c:pt>
                <c:pt idx="17">
                  <c:v>1985.0</c:v>
                </c:pt>
                <c:pt idx="18">
                  <c:v>1986.0</c:v>
                </c:pt>
                <c:pt idx="19">
                  <c:v>1987.0</c:v>
                </c:pt>
                <c:pt idx="20">
                  <c:v>1988.0</c:v>
                </c:pt>
                <c:pt idx="21">
                  <c:v>1989.0</c:v>
                </c:pt>
                <c:pt idx="22">
                  <c:v>1990.0</c:v>
                </c:pt>
                <c:pt idx="23">
                  <c:v>1991.0</c:v>
                </c:pt>
                <c:pt idx="24">
                  <c:v>1992.0</c:v>
                </c:pt>
                <c:pt idx="25">
                  <c:v>1993.0</c:v>
                </c:pt>
                <c:pt idx="26">
                  <c:v>1995.0</c:v>
                </c:pt>
                <c:pt idx="27">
                  <c:v>1996.0</c:v>
                </c:pt>
                <c:pt idx="28">
                  <c:v>1997.0</c:v>
                </c:pt>
                <c:pt idx="29">
                  <c:v>1998.0</c:v>
                </c:pt>
                <c:pt idx="30">
                  <c:v>1999.0</c:v>
                </c:pt>
                <c:pt idx="31">
                  <c:v>2000.0</c:v>
                </c:pt>
                <c:pt idx="32">
                  <c:v>2001.0</c:v>
                </c:pt>
                <c:pt idx="33">
                  <c:v>2002.0</c:v>
                </c:pt>
                <c:pt idx="34">
                  <c:v>2003.0</c:v>
                </c:pt>
                <c:pt idx="35">
                  <c:v>2004.0</c:v>
                </c:pt>
                <c:pt idx="36">
                  <c:v>2005.0</c:v>
                </c:pt>
                <c:pt idx="37">
                  <c:v>2006.0</c:v>
                </c:pt>
                <c:pt idx="38">
                  <c:v>2007.0</c:v>
                </c:pt>
                <c:pt idx="39">
                  <c:v>2008.0</c:v>
                </c:pt>
                <c:pt idx="40">
                  <c:v>2009.0</c:v>
                </c:pt>
                <c:pt idx="41">
                  <c:v>2010.0</c:v>
                </c:pt>
                <c:pt idx="42">
                  <c:v>2011.0</c:v>
                </c:pt>
                <c:pt idx="43">
                  <c:v>2012.0</c:v>
                </c:pt>
                <c:pt idx="44">
                  <c:v>2013.0</c:v>
                </c:pt>
                <c:pt idx="45">
                  <c:v>2014.0</c:v>
                </c:pt>
              </c:numCache>
            </c:numRef>
          </c:xVal>
          <c:yVal>
            <c:numRef>
              <c:f>'Palestinian Employment'!$I$4:$I$49</c:f>
              <c:numCache>
                <c:formatCode>General</c:formatCode>
                <c:ptCount val="46"/>
                <c:pt idx="0">
                  <c:v>0.0</c:v>
                </c:pt>
                <c:pt idx="1">
                  <c:v>2.1</c:v>
                </c:pt>
                <c:pt idx="2">
                  <c:v>10.1</c:v>
                </c:pt>
                <c:pt idx="3">
                  <c:v>13.7</c:v>
                </c:pt>
                <c:pt idx="4">
                  <c:v>27.5</c:v>
                </c:pt>
                <c:pt idx="5">
                  <c:v>33.3</c:v>
                </c:pt>
                <c:pt idx="6">
                  <c:v>36.0</c:v>
                </c:pt>
                <c:pt idx="7">
                  <c:v>35.8</c:v>
                </c:pt>
                <c:pt idx="8">
                  <c:v>36.5</c:v>
                </c:pt>
                <c:pt idx="9">
                  <c:v>35.6</c:v>
                </c:pt>
                <c:pt idx="10">
                  <c:v>39.1</c:v>
                </c:pt>
                <c:pt idx="11">
                  <c:v>43.1</c:v>
                </c:pt>
                <c:pt idx="12">
                  <c:v>42.6</c:v>
                </c:pt>
                <c:pt idx="13">
                  <c:v>43.5</c:v>
                </c:pt>
                <c:pt idx="14">
                  <c:v>44.0</c:v>
                </c:pt>
                <c:pt idx="15">
                  <c:v>46.5</c:v>
                </c:pt>
                <c:pt idx="16">
                  <c:v>46.1</c:v>
                </c:pt>
                <c:pt idx="17">
                  <c:v>45.9</c:v>
                </c:pt>
                <c:pt idx="18">
                  <c:v>46.2</c:v>
                </c:pt>
                <c:pt idx="19">
                  <c:v>45.8</c:v>
                </c:pt>
                <c:pt idx="20">
                  <c:v>45.9</c:v>
                </c:pt>
                <c:pt idx="21">
                  <c:v>40.0</c:v>
                </c:pt>
                <c:pt idx="22">
                  <c:v>41.3</c:v>
                </c:pt>
                <c:pt idx="23">
                  <c:v>39.1</c:v>
                </c:pt>
                <c:pt idx="24">
                  <c:v>37.6</c:v>
                </c:pt>
                <c:pt idx="25">
                  <c:v>26.5</c:v>
                </c:pt>
                <c:pt idx="26">
                  <c:v>3.3</c:v>
                </c:pt>
                <c:pt idx="27">
                  <c:v>8.1</c:v>
                </c:pt>
                <c:pt idx="28">
                  <c:v>11.0</c:v>
                </c:pt>
                <c:pt idx="29">
                  <c:v>16.2</c:v>
                </c:pt>
                <c:pt idx="30">
                  <c:v>15.7</c:v>
                </c:pt>
                <c:pt idx="31">
                  <c:v>15.4</c:v>
                </c:pt>
                <c:pt idx="32">
                  <c:v>1.8</c:v>
                </c:pt>
                <c:pt idx="33">
                  <c:v>2.5</c:v>
                </c:pt>
                <c:pt idx="34">
                  <c:v>3.1</c:v>
                </c:pt>
                <c:pt idx="35">
                  <c:v>1.1</c:v>
                </c:pt>
                <c:pt idx="36">
                  <c:v>0.4</c:v>
                </c:pt>
                <c:pt idx="37">
                  <c:v>0.1</c:v>
                </c:pt>
                <c:pt idx="38">
                  <c:v>0.0</c:v>
                </c:pt>
                <c:pt idx="39">
                  <c:v>0.0</c:v>
                </c:pt>
                <c:pt idx="40">
                  <c:v>0.0</c:v>
                </c:pt>
                <c:pt idx="41">
                  <c:v>0.0</c:v>
                </c:pt>
                <c:pt idx="42">
                  <c:v>0.0</c:v>
                </c:pt>
                <c:pt idx="43">
                  <c:v>0.0</c:v>
                </c:pt>
                <c:pt idx="44">
                  <c:v>0.0</c:v>
                </c:pt>
                <c:pt idx="45">
                  <c:v>0.0</c:v>
                </c:pt>
              </c:numCache>
            </c:numRef>
          </c:yVal>
          <c:smooth val="1"/>
        </c:ser>
        <c:dLbls>
          <c:showLegendKey val="0"/>
          <c:showVal val="0"/>
          <c:showCatName val="0"/>
          <c:showSerName val="0"/>
          <c:showPercent val="0"/>
          <c:showBubbleSize val="0"/>
        </c:dLbls>
        <c:axId val="-2136978360"/>
        <c:axId val="-2136972488"/>
      </c:scatterChart>
      <c:scatterChart>
        <c:scatterStyle val="smoothMarker"/>
        <c:varyColors val="0"/>
        <c:ser>
          <c:idx val="1"/>
          <c:order val="0"/>
          <c:tx>
            <c:strRef>
              <c:f>'Palestinian Employment'!$C$3</c:f>
              <c:strCache>
                <c:ptCount val="1"/>
                <c:pt idx="0">
                  <c:v>Number of West Bank Laborers </c:v>
                </c:pt>
              </c:strCache>
            </c:strRef>
          </c:tx>
          <c:spPr>
            <a:ln w="25400">
              <a:solidFill>
                <a:schemeClr val="tx1"/>
              </a:solidFill>
            </a:ln>
          </c:spPr>
          <c:marker>
            <c:symbol val="none"/>
          </c:marker>
          <c:xVal>
            <c:numRef>
              <c:f>'Palestinian Employment'!$A$4:$A$49</c:f>
              <c:numCache>
                <c:formatCode>General</c:formatCode>
                <c:ptCount val="46"/>
                <c:pt idx="0">
                  <c:v>1968.0</c:v>
                </c:pt>
                <c:pt idx="1">
                  <c:v>1969.0</c:v>
                </c:pt>
                <c:pt idx="2">
                  <c:v>1970.0</c:v>
                </c:pt>
                <c:pt idx="3">
                  <c:v>1971.0</c:v>
                </c:pt>
                <c:pt idx="4">
                  <c:v>1972.0</c:v>
                </c:pt>
                <c:pt idx="5">
                  <c:v>1973.0</c:v>
                </c:pt>
                <c:pt idx="6">
                  <c:v>1974.0</c:v>
                </c:pt>
                <c:pt idx="7">
                  <c:v>1975.0</c:v>
                </c:pt>
                <c:pt idx="8">
                  <c:v>1976.0</c:v>
                </c:pt>
                <c:pt idx="9">
                  <c:v>1977.0</c:v>
                </c:pt>
                <c:pt idx="10">
                  <c:v>1978.0</c:v>
                </c:pt>
                <c:pt idx="11">
                  <c:v>1979.0</c:v>
                </c:pt>
                <c:pt idx="12">
                  <c:v>1980.0</c:v>
                </c:pt>
                <c:pt idx="13">
                  <c:v>1981.0</c:v>
                </c:pt>
                <c:pt idx="14">
                  <c:v>1982.0</c:v>
                </c:pt>
                <c:pt idx="15">
                  <c:v>1983.0</c:v>
                </c:pt>
                <c:pt idx="16">
                  <c:v>1984.0</c:v>
                </c:pt>
                <c:pt idx="17">
                  <c:v>1985.0</c:v>
                </c:pt>
                <c:pt idx="18">
                  <c:v>1986.0</c:v>
                </c:pt>
                <c:pt idx="19">
                  <c:v>1987.0</c:v>
                </c:pt>
                <c:pt idx="20">
                  <c:v>1988.0</c:v>
                </c:pt>
                <c:pt idx="21">
                  <c:v>1989.0</c:v>
                </c:pt>
                <c:pt idx="22">
                  <c:v>1990.0</c:v>
                </c:pt>
                <c:pt idx="23">
                  <c:v>1991.0</c:v>
                </c:pt>
                <c:pt idx="24">
                  <c:v>1992.0</c:v>
                </c:pt>
                <c:pt idx="25">
                  <c:v>1993.0</c:v>
                </c:pt>
                <c:pt idx="26">
                  <c:v>1995.0</c:v>
                </c:pt>
                <c:pt idx="27">
                  <c:v>1996.0</c:v>
                </c:pt>
                <c:pt idx="28">
                  <c:v>1997.0</c:v>
                </c:pt>
                <c:pt idx="29">
                  <c:v>1998.0</c:v>
                </c:pt>
                <c:pt idx="30">
                  <c:v>1999.0</c:v>
                </c:pt>
                <c:pt idx="31">
                  <c:v>2000.0</c:v>
                </c:pt>
                <c:pt idx="32">
                  <c:v>2001.0</c:v>
                </c:pt>
                <c:pt idx="33">
                  <c:v>2002.0</c:v>
                </c:pt>
                <c:pt idx="34">
                  <c:v>2003.0</c:v>
                </c:pt>
                <c:pt idx="35">
                  <c:v>2004.0</c:v>
                </c:pt>
                <c:pt idx="36">
                  <c:v>2005.0</c:v>
                </c:pt>
                <c:pt idx="37">
                  <c:v>2006.0</c:v>
                </c:pt>
                <c:pt idx="38">
                  <c:v>2007.0</c:v>
                </c:pt>
                <c:pt idx="39">
                  <c:v>2008.0</c:v>
                </c:pt>
                <c:pt idx="40">
                  <c:v>2009.0</c:v>
                </c:pt>
                <c:pt idx="41">
                  <c:v>2010.0</c:v>
                </c:pt>
                <c:pt idx="42">
                  <c:v>2011.0</c:v>
                </c:pt>
                <c:pt idx="43">
                  <c:v>2012.0</c:v>
                </c:pt>
                <c:pt idx="44">
                  <c:v>2013.0</c:v>
                </c:pt>
                <c:pt idx="45">
                  <c:v>2014.0</c:v>
                </c:pt>
              </c:numCache>
            </c:numRef>
          </c:xVal>
          <c:yVal>
            <c:numRef>
              <c:f>'Palestinian Employment'!$C$4:$C$49</c:f>
              <c:numCache>
                <c:formatCode>General</c:formatCode>
                <c:ptCount val="46"/>
                <c:pt idx="0">
                  <c:v>0.0</c:v>
                </c:pt>
                <c:pt idx="1">
                  <c:v>8.4</c:v>
                </c:pt>
                <c:pt idx="2">
                  <c:v>14.7</c:v>
                </c:pt>
                <c:pt idx="3">
                  <c:v>25.6</c:v>
                </c:pt>
                <c:pt idx="4">
                  <c:v>34.9</c:v>
                </c:pt>
                <c:pt idx="5">
                  <c:v>38.6</c:v>
                </c:pt>
                <c:pt idx="6">
                  <c:v>42.4</c:v>
                </c:pt>
                <c:pt idx="7">
                  <c:v>40.4</c:v>
                </c:pt>
                <c:pt idx="8">
                  <c:v>37.1</c:v>
                </c:pt>
                <c:pt idx="9">
                  <c:v>35.5</c:v>
                </c:pt>
                <c:pt idx="10">
                  <c:v>36.8</c:v>
                </c:pt>
                <c:pt idx="11">
                  <c:v>39.8</c:v>
                </c:pt>
                <c:pt idx="12">
                  <c:v>40.6</c:v>
                </c:pt>
                <c:pt idx="13">
                  <c:v>39.9</c:v>
                </c:pt>
                <c:pt idx="14">
                  <c:v>43.0</c:v>
                </c:pt>
                <c:pt idx="15">
                  <c:v>48.1</c:v>
                </c:pt>
                <c:pt idx="16">
                  <c:v>50.1</c:v>
                </c:pt>
                <c:pt idx="17">
                  <c:v>47.5</c:v>
                </c:pt>
                <c:pt idx="18">
                  <c:v>51.1</c:v>
                </c:pt>
                <c:pt idx="19">
                  <c:v>62.9</c:v>
                </c:pt>
                <c:pt idx="20">
                  <c:v>64.0</c:v>
                </c:pt>
                <c:pt idx="21">
                  <c:v>65.4</c:v>
                </c:pt>
                <c:pt idx="22">
                  <c:v>65.0</c:v>
                </c:pt>
                <c:pt idx="23">
                  <c:v>56.0</c:v>
                </c:pt>
                <c:pt idx="24">
                  <c:v>72.5</c:v>
                </c:pt>
                <c:pt idx="25">
                  <c:v>53.6</c:v>
                </c:pt>
                <c:pt idx="26">
                  <c:v>47.3</c:v>
                </c:pt>
                <c:pt idx="27">
                  <c:v>44.0</c:v>
                </c:pt>
                <c:pt idx="28">
                  <c:v>59.1</c:v>
                </c:pt>
                <c:pt idx="29">
                  <c:v>86.9</c:v>
                </c:pt>
                <c:pt idx="30">
                  <c:v>100.0</c:v>
                </c:pt>
                <c:pt idx="31">
                  <c:v>107.5</c:v>
                </c:pt>
                <c:pt idx="32">
                  <c:v>54.3</c:v>
                </c:pt>
                <c:pt idx="33">
                  <c:v>35.8</c:v>
                </c:pt>
                <c:pt idx="34">
                  <c:v>37.4</c:v>
                </c:pt>
                <c:pt idx="35">
                  <c:v>37.8</c:v>
                </c:pt>
                <c:pt idx="36">
                  <c:v>49.28</c:v>
                </c:pt>
                <c:pt idx="37">
                  <c:v>48.2</c:v>
                </c:pt>
                <c:pt idx="38">
                  <c:v>54.1</c:v>
                </c:pt>
                <c:pt idx="39">
                  <c:v>61.4</c:v>
                </c:pt>
                <c:pt idx="40">
                  <c:v>68.0</c:v>
                </c:pt>
                <c:pt idx="41">
                  <c:v>71.0</c:v>
                </c:pt>
                <c:pt idx="42">
                  <c:v>74.8</c:v>
                </c:pt>
                <c:pt idx="43">
                  <c:v>75.6</c:v>
                </c:pt>
                <c:pt idx="44">
                  <c:v>92.6</c:v>
                </c:pt>
                <c:pt idx="45">
                  <c:v>99.5</c:v>
                </c:pt>
              </c:numCache>
            </c:numRef>
          </c:yVal>
          <c:smooth val="1"/>
        </c:ser>
        <c:ser>
          <c:idx val="5"/>
          <c:order val="2"/>
          <c:tx>
            <c:strRef>
              <c:f>'Palestinian Employment'!$G$3</c:f>
              <c:strCache>
                <c:ptCount val="1"/>
                <c:pt idx="0">
                  <c:v>Number of Gaza Strip Laborers </c:v>
                </c:pt>
              </c:strCache>
            </c:strRef>
          </c:tx>
          <c:spPr>
            <a:ln w="25400">
              <a:solidFill>
                <a:schemeClr val="tx1">
                  <a:lumMod val="50000"/>
                  <a:lumOff val="50000"/>
                </a:schemeClr>
              </a:solidFill>
            </a:ln>
          </c:spPr>
          <c:marker>
            <c:symbol val="none"/>
          </c:marker>
          <c:xVal>
            <c:numRef>
              <c:f>'Palestinian Employment'!$A$4:$A$49</c:f>
              <c:numCache>
                <c:formatCode>General</c:formatCode>
                <c:ptCount val="46"/>
                <c:pt idx="0">
                  <c:v>1968.0</c:v>
                </c:pt>
                <c:pt idx="1">
                  <c:v>1969.0</c:v>
                </c:pt>
                <c:pt idx="2">
                  <c:v>1970.0</c:v>
                </c:pt>
                <c:pt idx="3">
                  <c:v>1971.0</c:v>
                </c:pt>
                <c:pt idx="4">
                  <c:v>1972.0</c:v>
                </c:pt>
                <c:pt idx="5">
                  <c:v>1973.0</c:v>
                </c:pt>
                <c:pt idx="6">
                  <c:v>1974.0</c:v>
                </c:pt>
                <c:pt idx="7">
                  <c:v>1975.0</c:v>
                </c:pt>
                <c:pt idx="8">
                  <c:v>1976.0</c:v>
                </c:pt>
                <c:pt idx="9">
                  <c:v>1977.0</c:v>
                </c:pt>
                <c:pt idx="10">
                  <c:v>1978.0</c:v>
                </c:pt>
                <c:pt idx="11">
                  <c:v>1979.0</c:v>
                </c:pt>
                <c:pt idx="12">
                  <c:v>1980.0</c:v>
                </c:pt>
                <c:pt idx="13">
                  <c:v>1981.0</c:v>
                </c:pt>
                <c:pt idx="14">
                  <c:v>1982.0</c:v>
                </c:pt>
                <c:pt idx="15">
                  <c:v>1983.0</c:v>
                </c:pt>
                <c:pt idx="16">
                  <c:v>1984.0</c:v>
                </c:pt>
                <c:pt idx="17">
                  <c:v>1985.0</c:v>
                </c:pt>
                <c:pt idx="18">
                  <c:v>1986.0</c:v>
                </c:pt>
                <c:pt idx="19">
                  <c:v>1987.0</c:v>
                </c:pt>
                <c:pt idx="20">
                  <c:v>1988.0</c:v>
                </c:pt>
                <c:pt idx="21">
                  <c:v>1989.0</c:v>
                </c:pt>
                <c:pt idx="22">
                  <c:v>1990.0</c:v>
                </c:pt>
                <c:pt idx="23">
                  <c:v>1991.0</c:v>
                </c:pt>
                <c:pt idx="24">
                  <c:v>1992.0</c:v>
                </c:pt>
                <c:pt idx="25">
                  <c:v>1993.0</c:v>
                </c:pt>
                <c:pt idx="26">
                  <c:v>1995.0</c:v>
                </c:pt>
                <c:pt idx="27">
                  <c:v>1996.0</c:v>
                </c:pt>
                <c:pt idx="28">
                  <c:v>1997.0</c:v>
                </c:pt>
                <c:pt idx="29">
                  <c:v>1998.0</c:v>
                </c:pt>
                <c:pt idx="30">
                  <c:v>1999.0</c:v>
                </c:pt>
                <c:pt idx="31">
                  <c:v>2000.0</c:v>
                </c:pt>
                <c:pt idx="32">
                  <c:v>2001.0</c:v>
                </c:pt>
                <c:pt idx="33">
                  <c:v>2002.0</c:v>
                </c:pt>
                <c:pt idx="34">
                  <c:v>2003.0</c:v>
                </c:pt>
                <c:pt idx="35">
                  <c:v>2004.0</c:v>
                </c:pt>
                <c:pt idx="36">
                  <c:v>2005.0</c:v>
                </c:pt>
                <c:pt idx="37">
                  <c:v>2006.0</c:v>
                </c:pt>
                <c:pt idx="38">
                  <c:v>2007.0</c:v>
                </c:pt>
                <c:pt idx="39">
                  <c:v>2008.0</c:v>
                </c:pt>
                <c:pt idx="40">
                  <c:v>2009.0</c:v>
                </c:pt>
                <c:pt idx="41">
                  <c:v>2010.0</c:v>
                </c:pt>
                <c:pt idx="42">
                  <c:v>2011.0</c:v>
                </c:pt>
                <c:pt idx="43">
                  <c:v>2012.0</c:v>
                </c:pt>
                <c:pt idx="44">
                  <c:v>2013.0</c:v>
                </c:pt>
                <c:pt idx="45">
                  <c:v>2014.0</c:v>
                </c:pt>
              </c:numCache>
            </c:numRef>
          </c:xVal>
          <c:yVal>
            <c:numRef>
              <c:f>'Palestinian Employment'!$G$4:$G$49</c:f>
              <c:numCache>
                <c:formatCode>General</c:formatCode>
                <c:ptCount val="46"/>
                <c:pt idx="0">
                  <c:v>0.0</c:v>
                </c:pt>
                <c:pt idx="1">
                  <c:v>1.1</c:v>
                </c:pt>
                <c:pt idx="2">
                  <c:v>5.9</c:v>
                </c:pt>
                <c:pt idx="3">
                  <c:v>8.2</c:v>
                </c:pt>
                <c:pt idx="4">
                  <c:v>17.5</c:v>
                </c:pt>
                <c:pt idx="5">
                  <c:v>22.7</c:v>
                </c:pt>
                <c:pt idx="6">
                  <c:v>26.3</c:v>
                </c:pt>
                <c:pt idx="7">
                  <c:v>25.9</c:v>
                </c:pt>
                <c:pt idx="8">
                  <c:v>27.8</c:v>
                </c:pt>
                <c:pt idx="9">
                  <c:v>27.5</c:v>
                </c:pt>
                <c:pt idx="10">
                  <c:v>31.4</c:v>
                </c:pt>
                <c:pt idx="11">
                  <c:v>34.3</c:v>
                </c:pt>
                <c:pt idx="12">
                  <c:v>34.5</c:v>
                </c:pt>
                <c:pt idx="13">
                  <c:v>35.9</c:v>
                </c:pt>
                <c:pt idx="14">
                  <c:v>35.9</c:v>
                </c:pt>
                <c:pt idx="15">
                  <c:v>39.7</c:v>
                </c:pt>
                <c:pt idx="16">
                  <c:v>40.2</c:v>
                </c:pt>
                <c:pt idx="17">
                  <c:v>41.7</c:v>
                </c:pt>
                <c:pt idx="18">
                  <c:v>43.4</c:v>
                </c:pt>
                <c:pt idx="19">
                  <c:v>46.0</c:v>
                </c:pt>
                <c:pt idx="20">
                  <c:v>45.4</c:v>
                </c:pt>
                <c:pt idx="21">
                  <c:v>39.5</c:v>
                </c:pt>
                <c:pt idx="22">
                  <c:v>43.0</c:v>
                </c:pt>
                <c:pt idx="23">
                  <c:v>42.0</c:v>
                </c:pt>
                <c:pt idx="24">
                  <c:v>43.1</c:v>
                </c:pt>
                <c:pt idx="25">
                  <c:v>30.4</c:v>
                </c:pt>
                <c:pt idx="26">
                  <c:v>4.6</c:v>
                </c:pt>
                <c:pt idx="27">
                  <c:v>10.0</c:v>
                </c:pt>
                <c:pt idx="28">
                  <c:v>13.3</c:v>
                </c:pt>
                <c:pt idx="29">
                  <c:v>23.5</c:v>
                </c:pt>
                <c:pt idx="30">
                  <c:v>26.1</c:v>
                </c:pt>
                <c:pt idx="31">
                  <c:v>28.6</c:v>
                </c:pt>
                <c:pt idx="32">
                  <c:v>2.2</c:v>
                </c:pt>
                <c:pt idx="33">
                  <c:v>3.1</c:v>
                </c:pt>
                <c:pt idx="34">
                  <c:v>3.9</c:v>
                </c:pt>
                <c:pt idx="35">
                  <c:v>1.7</c:v>
                </c:pt>
                <c:pt idx="36">
                  <c:v>0.7</c:v>
                </c:pt>
                <c:pt idx="37">
                  <c:v>0.16</c:v>
                </c:pt>
                <c:pt idx="38">
                  <c:v>0.0</c:v>
                </c:pt>
                <c:pt idx="39">
                  <c:v>0.0</c:v>
                </c:pt>
                <c:pt idx="40">
                  <c:v>0.0</c:v>
                </c:pt>
                <c:pt idx="41">
                  <c:v>0.0</c:v>
                </c:pt>
                <c:pt idx="42">
                  <c:v>0.0</c:v>
                </c:pt>
                <c:pt idx="43">
                  <c:v>0.0</c:v>
                </c:pt>
                <c:pt idx="44">
                  <c:v>0.0</c:v>
                </c:pt>
                <c:pt idx="45">
                  <c:v>0.0</c:v>
                </c:pt>
              </c:numCache>
            </c:numRef>
          </c:yVal>
          <c:smooth val="1"/>
        </c:ser>
        <c:dLbls>
          <c:showLegendKey val="0"/>
          <c:showVal val="0"/>
          <c:showCatName val="0"/>
          <c:showSerName val="0"/>
          <c:showPercent val="0"/>
          <c:showBubbleSize val="0"/>
        </c:dLbls>
        <c:axId val="-2136960360"/>
        <c:axId val="-2136966440"/>
      </c:scatterChart>
      <c:valAx>
        <c:axId val="-2136978360"/>
        <c:scaling>
          <c:orientation val="minMax"/>
          <c:max val="2014.0"/>
          <c:min val="1970.0"/>
        </c:scaling>
        <c:delete val="0"/>
        <c:axPos val="b"/>
        <c:title>
          <c:tx>
            <c:rich>
              <a:bodyPr/>
              <a:lstStyle/>
              <a:p>
                <a:pPr>
                  <a:defRPr sz="1000">
                    <a:latin typeface="Times New Roman"/>
                    <a:cs typeface="Times New Roman"/>
                  </a:defRPr>
                </a:pPr>
                <a:r>
                  <a:rPr lang="en-US" sz="1000">
                    <a:latin typeface="Times New Roman"/>
                    <a:cs typeface="Times New Roman"/>
                  </a:rPr>
                  <a:t>Year</a:t>
                </a:r>
              </a:p>
            </c:rich>
          </c:tx>
          <c:layout>
            <c:manualLayout>
              <c:xMode val="edge"/>
              <c:yMode val="edge"/>
              <c:x val="0.470361326785371"/>
              <c:y val="0.819214530058432"/>
            </c:manualLayout>
          </c:layout>
          <c:overlay val="0"/>
        </c:title>
        <c:numFmt formatCode="General" sourceLinked="1"/>
        <c:majorTickMark val="out"/>
        <c:minorTickMark val="none"/>
        <c:tickLblPos val="nextTo"/>
        <c:txPr>
          <a:bodyPr/>
          <a:lstStyle/>
          <a:p>
            <a:pPr>
              <a:defRPr>
                <a:latin typeface="Times New Roman"/>
                <a:cs typeface="Times New Roman"/>
              </a:defRPr>
            </a:pPr>
            <a:endParaRPr lang="en-US"/>
          </a:p>
        </c:txPr>
        <c:crossAx val="-2136972488"/>
        <c:crosses val="autoZero"/>
        <c:crossBetween val="midCat"/>
        <c:majorUnit val="4.0"/>
      </c:valAx>
      <c:valAx>
        <c:axId val="-2136972488"/>
        <c:scaling>
          <c:orientation val="minMax"/>
          <c:min val="0.0"/>
        </c:scaling>
        <c:delete val="0"/>
        <c:axPos val="l"/>
        <c:majorGridlines/>
        <c:title>
          <c:tx>
            <c:rich>
              <a:bodyPr rot="0" vert="horz"/>
              <a:lstStyle/>
              <a:p>
                <a:pPr>
                  <a:defRPr sz="900">
                    <a:latin typeface="Times New Roman"/>
                    <a:cs typeface="Times New Roman"/>
                  </a:defRPr>
                </a:pPr>
                <a:r>
                  <a:rPr lang="en-US" sz="900">
                    <a:latin typeface="Times New Roman"/>
                    <a:cs typeface="Times New Roman"/>
                  </a:rPr>
                  <a:t>Percentage</a:t>
                </a:r>
                <a:r>
                  <a:rPr lang="en-US" sz="900" baseline="0">
                    <a:latin typeface="Times New Roman"/>
                    <a:cs typeface="Times New Roman"/>
                  </a:rPr>
                  <a:t> of Labor Force Working in Israel </a:t>
                </a:r>
                <a:endParaRPr lang="en-US" sz="900">
                  <a:latin typeface="Times New Roman"/>
                  <a:cs typeface="Times New Roman"/>
                </a:endParaRPr>
              </a:p>
            </c:rich>
          </c:tx>
          <c:layout>
            <c:manualLayout>
              <c:xMode val="edge"/>
              <c:yMode val="edge"/>
              <c:x val="0.00048543855798513"/>
              <c:y val="0.0152455458234304"/>
            </c:manualLayout>
          </c:layout>
          <c:overlay val="0"/>
        </c:title>
        <c:numFmt formatCode="General" sourceLinked="1"/>
        <c:majorTickMark val="out"/>
        <c:minorTickMark val="none"/>
        <c:tickLblPos val="nextTo"/>
        <c:txPr>
          <a:bodyPr/>
          <a:lstStyle/>
          <a:p>
            <a:pPr>
              <a:defRPr>
                <a:latin typeface="Times New Roman"/>
                <a:cs typeface="Times New Roman"/>
              </a:defRPr>
            </a:pPr>
            <a:endParaRPr lang="en-US"/>
          </a:p>
        </c:txPr>
        <c:crossAx val="-2136978360"/>
        <c:crosses val="autoZero"/>
        <c:crossBetween val="midCat"/>
      </c:valAx>
      <c:valAx>
        <c:axId val="-2136966440"/>
        <c:scaling>
          <c:orientation val="minMax"/>
          <c:max val="110.0"/>
          <c:min val="0.0"/>
        </c:scaling>
        <c:delete val="0"/>
        <c:axPos val="r"/>
        <c:title>
          <c:tx>
            <c:rich>
              <a:bodyPr rot="0" vert="horz"/>
              <a:lstStyle/>
              <a:p>
                <a:pPr>
                  <a:defRPr sz="900" b="1">
                    <a:latin typeface="Times New Roman"/>
                    <a:cs typeface="Times New Roman"/>
                  </a:defRPr>
                </a:pPr>
                <a:r>
                  <a:rPr lang="en-US" sz="900" b="1">
                    <a:latin typeface="Times New Roman"/>
                    <a:cs typeface="Times New Roman"/>
                  </a:rPr>
                  <a:t>Number of Laborers Working in Israel</a:t>
                </a:r>
                <a:r>
                  <a:rPr lang="en-US" sz="900" b="1" baseline="0">
                    <a:latin typeface="Times New Roman"/>
                    <a:cs typeface="Times New Roman"/>
                  </a:rPr>
                  <a:t> </a:t>
                </a:r>
                <a:endParaRPr lang="en-US" sz="900" b="1">
                  <a:latin typeface="Times New Roman"/>
                  <a:cs typeface="Times New Roman"/>
                </a:endParaRPr>
              </a:p>
            </c:rich>
          </c:tx>
          <c:layout>
            <c:manualLayout>
              <c:xMode val="edge"/>
              <c:yMode val="edge"/>
              <c:x val="0.806184668989547"/>
              <c:y val="0.0163812939593391"/>
            </c:manualLayout>
          </c:layout>
          <c:overlay val="0"/>
        </c:title>
        <c:numFmt formatCode="General" sourceLinked="1"/>
        <c:majorTickMark val="out"/>
        <c:minorTickMark val="none"/>
        <c:tickLblPos val="nextTo"/>
        <c:txPr>
          <a:bodyPr/>
          <a:lstStyle/>
          <a:p>
            <a:pPr>
              <a:defRPr>
                <a:latin typeface="Times New Roman"/>
                <a:cs typeface="Times New Roman"/>
              </a:defRPr>
            </a:pPr>
            <a:endParaRPr lang="en-US"/>
          </a:p>
        </c:txPr>
        <c:crossAx val="-2136960360"/>
        <c:crosses val="max"/>
        <c:crossBetween val="midCat"/>
        <c:majorUnit val="10.0"/>
      </c:valAx>
      <c:valAx>
        <c:axId val="-2136960360"/>
        <c:scaling>
          <c:orientation val="minMax"/>
        </c:scaling>
        <c:delete val="1"/>
        <c:axPos val="b"/>
        <c:numFmt formatCode="General" sourceLinked="1"/>
        <c:majorTickMark val="out"/>
        <c:minorTickMark val="none"/>
        <c:tickLblPos val="nextTo"/>
        <c:crossAx val="-2136966440"/>
        <c:crosses val="autoZero"/>
        <c:crossBetween val="midCat"/>
      </c:valAx>
    </c:plotArea>
    <c:legend>
      <c:legendPos val="b"/>
      <c:layout>
        <c:manualLayout>
          <c:xMode val="edge"/>
          <c:yMode val="edge"/>
          <c:x val="0.12314543512852"/>
          <c:y val="0.901296805963518"/>
          <c:w val="0.763543238497627"/>
          <c:h val="0.0950514925041149"/>
        </c:manualLayout>
      </c:layout>
      <c:overlay val="0"/>
      <c:spPr>
        <a:pattFill prst="pct5">
          <a:fgClr>
            <a:schemeClr val="bg1"/>
          </a:fgClr>
          <a:bgClr>
            <a:prstClr val="white"/>
          </a:bgClr>
        </a:pattFill>
      </c:spPr>
      <c:txPr>
        <a:bodyPr/>
        <a:lstStyle/>
        <a:p>
          <a:pPr>
            <a:defRPr sz="900">
              <a:latin typeface="Times New Roman"/>
              <a:cs typeface="Times New Roman"/>
            </a:defRPr>
          </a:pPr>
          <a:endParaRPr lang="en-US"/>
        </a:p>
      </c:txPr>
    </c:legend>
    <c:plotVisOnly val="1"/>
    <c:dispBlanksAs val="gap"/>
    <c:showDLblsOverMax val="0"/>
  </c:chart>
  <c:spPr>
    <a:ln>
      <a:noFill/>
    </a:ln>
  </c:sp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03514326334208"/>
          <c:y val="0.184748175622612"/>
          <c:w val="0.791935331000292"/>
          <c:h val="0.536593730789255"/>
        </c:manualLayout>
      </c:layout>
      <c:scatterChart>
        <c:scatterStyle val="smoothMarker"/>
        <c:varyColors val="0"/>
        <c:ser>
          <c:idx val="3"/>
          <c:order val="1"/>
          <c:tx>
            <c:strRef>
              <c:f>'Palestinian Employment'!$E$3</c:f>
              <c:strCache>
                <c:ptCount val="1"/>
                <c:pt idx="0">
                  <c:v>% of West Bank Laborers </c:v>
                </c:pt>
              </c:strCache>
            </c:strRef>
          </c:tx>
          <c:spPr>
            <a:ln w="25400">
              <a:solidFill>
                <a:schemeClr val="tx1"/>
              </a:solidFill>
              <a:prstDash val="dash"/>
            </a:ln>
          </c:spPr>
          <c:marker>
            <c:symbol val="none"/>
          </c:marker>
          <c:xVal>
            <c:numRef>
              <c:f>'Palestinian Employment'!$A$32:$A$42</c:f>
              <c:numCache>
                <c:formatCode>General</c:formatCode>
                <c:ptCount val="11"/>
                <c:pt idx="0">
                  <c:v>1997.0</c:v>
                </c:pt>
                <c:pt idx="1">
                  <c:v>1998.0</c:v>
                </c:pt>
                <c:pt idx="2">
                  <c:v>1999.0</c:v>
                </c:pt>
                <c:pt idx="3">
                  <c:v>2000.0</c:v>
                </c:pt>
                <c:pt idx="4">
                  <c:v>2001.0</c:v>
                </c:pt>
                <c:pt idx="5">
                  <c:v>2002.0</c:v>
                </c:pt>
                <c:pt idx="6">
                  <c:v>2003.0</c:v>
                </c:pt>
                <c:pt idx="7">
                  <c:v>2004.0</c:v>
                </c:pt>
                <c:pt idx="8">
                  <c:v>2005.0</c:v>
                </c:pt>
                <c:pt idx="9">
                  <c:v>2006.0</c:v>
                </c:pt>
                <c:pt idx="10">
                  <c:v>2007.0</c:v>
                </c:pt>
              </c:numCache>
            </c:numRef>
          </c:xVal>
          <c:yVal>
            <c:numRef>
              <c:f>'Palestinian Employment'!$E$32:$E$42</c:f>
              <c:numCache>
                <c:formatCode>General</c:formatCode>
                <c:ptCount val="11"/>
                <c:pt idx="0">
                  <c:v>19.5</c:v>
                </c:pt>
                <c:pt idx="1">
                  <c:v>24.0</c:v>
                </c:pt>
                <c:pt idx="2">
                  <c:v>25.9</c:v>
                </c:pt>
                <c:pt idx="3">
                  <c:v>21.4</c:v>
                </c:pt>
                <c:pt idx="4">
                  <c:v>16.4</c:v>
                </c:pt>
                <c:pt idx="5">
                  <c:v>12.0</c:v>
                </c:pt>
                <c:pt idx="6">
                  <c:v>11.2</c:v>
                </c:pt>
                <c:pt idx="7">
                  <c:v>10.7</c:v>
                </c:pt>
                <c:pt idx="8">
                  <c:v>12.9</c:v>
                </c:pt>
                <c:pt idx="9">
                  <c:v>11.7</c:v>
                </c:pt>
                <c:pt idx="10">
                  <c:v>12.5</c:v>
                </c:pt>
              </c:numCache>
            </c:numRef>
          </c:yVal>
          <c:smooth val="1"/>
        </c:ser>
        <c:ser>
          <c:idx val="7"/>
          <c:order val="3"/>
          <c:tx>
            <c:strRef>
              <c:f>'Palestinian Employment'!$I$3</c:f>
              <c:strCache>
                <c:ptCount val="1"/>
                <c:pt idx="0">
                  <c:v>% of Gaza Strip Laborers </c:v>
                </c:pt>
              </c:strCache>
            </c:strRef>
          </c:tx>
          <c:spPr>
            <a:ln w="25400">
              <a:solidFill>
                <a:schemeClr val="tx1">
                  <a:lumMod val="50000"/>
                  <a:lumOff val="50000"/>
                </a:schemeClr>
              </a:solidFill>
              <a:prstDash val="dash"/>
            </a:ln>
          </c:spPr>
          <c:marker>
            <c:symbol val="none"/>
          </c:marker>
          <c:xVal>
            <c:numRef>
              <c:f>'Palestinian Employment'!$A$32:$A$42</c:f>
              <c:numCache>
                <c:formatCode>General</c:formatCode>
                <c:ptCount val="11"/>
                <c:pt idx="0">
                  <c:v>1997.0</c:v>
                </c:pt>
                <c:pt idx="1">
                  <c:v>1998.0</c:v>
                </c:pt>
                <c:pt idx="2">
                  <c:v>1999.0</c:v>
                </c:pt>
                <c:pt idx="3">
                  <c:v>2000.0</c:v>
                </c:pt>
                <c:pt idx="4">
                  <c:v>2001.0</c:v>
                </c:pt>
                <c:pt idx="5">
                  <c:v>2002.0</c:v>
                </c:pt>
                <c:pt idx="6">
                  <c:v>2003.0</c:v>
                </c:pt>
                <c:pt idx="7">
                  <c:v>2004.0</c:v>
                </c:pt>
                <c:pt idx="8">
                  <c:v>2005.0</c:v>
                </c:pt>
                <c:pt idx="9">
                  <c:v>2006.0</c:v>
                </c:pt>
                <c:pt idx="10">
                  <c:v>2007.0</c:v>
                </c:pt>
              </c:numCache>
            </c:numRef>
          </c:xVal>
          <c:yVal>
            <c:numRef>
              <c:f>'Palestinian Employment'!$I$32:$I$42</c:f>
              <c:numCache>
                <c:formatCode>General</c:formatCode>
                <c:ptCount val="11"/>
                <c:pt idx="0">
                  <c:v>11.0</c:v>
                </c:pt>
                <c:pt idx="1">
                  <c:v>16.2</c:v>
                </c:pt>
                <c:pt idx="2">
                  <c:v>15.7</c:v>
                </c:pt>
                <c:pt idx="3">
                  <c:v>15.4</c:v>
                </c:pt>
                <c:pt idx="4">
                  <c:v>1.8</c:v>
                </c:pt>
                <c:pt idx="5">
                  <c:v>2.5</c:v>
                </c:pt>
                <c:pt idx="6">
                  <c:v>3.1</c:v>
                </c:pt>
                <c:pt idx="7">
                  <c:v>1.1</c:v>
                </c:pt>
                <c:pt idx="8">
                  <c:v>0.4</c:v>
                </c:pt>
                <c:pt idx="9">
                  <c:v>0.1</c:v>
                </c:pt>
                <c:pt idx="10">
                  <c:v>0.0</c:v>
                </c:pt>
              </c:numCache>
            </c:numRef>
          </c:yVal>
          <c:smooth val="1"/>
        </c:ser>
        <c:dLbls>
          <c:showLegendKey val="0"/>
          <c:showVal val="0"/>
          <c:showCatName val="0"/>
          <c:showSerName val="0"/>
          <c:showPercent val="0"/>
          <c:showBubbleSize val="0"/>
        </c:dLbls>
        <c:axId val="-2136926904"/>
        <c:axId val="-2136921224"/>
      </c:scatterChart>
      <c:scatterChart>
        <c:scatterStyle val="smoothMarker"/>
        <c:varyColors val="0"/>
        <c:ser>
          <c:idx val="1"/>
          <c:order val="0"/>
          <c:tx>
            <c:strRef>
              <c:f>'Palestinian Employment'!$C$3</c:f>
              <c:strCache>
                <c:ptCount val="1"/>
                <c:pt idx="0">
                  <c:v>Number of West Bank Laborers </c:v>
                </c:pt>
              </c:strCache>
            </c:strRef>
          </c:tx>
          <c:spPr>
            <a:ln w="25400">
              <a:solidFill>
                <a:schemeClr val="tx1"/>
              </a:solidFill>
            </a:ln>
          </c:spPr>
          <c:marker>
            <c:symbol val="none"/>
          </c:marker>
          <c:xVal>
            <c:numRef>
              <c:f>'Palestinian Employment'!$A$32:$A$42</c:f>
              <c:numCache>
                <c:formatCode>General</c:formatCode>
                <c:ptCount val="11"/>
                <c:pt idx="0">
                  <c:v>1997.0</c:v>
                </c:pt>
                <c:pt idx="1">
                  <c:v>1998.0</c:v>
                </c:pt>
                <c:pt idx="2">
                  <c:v>1999.0</c:v>
                </c:pt>
                <c:pt idx="3">
                  <c:v>2000.0</c:v>
                </c:pt>
                <c:pt idx="4">
                  <c:v>2001.0</c:v>
                </c:pt>
                <c:pt idx="5">
                  <c:v>2002.0</c:v>
                </c:pt>
                <c:pt idx="6">
                  <c:v>2003.0</c:v>
                </c:pt>
                <c:pt idx="7">
                  <c:v>2004.0</c:v>
                </c:pt>
                <c:pt idx="8">
                  <c:v>2005.0</c:v>
                </c:pt>
                <c:pt idx="9">
                  <c:v>2006.0</c:v>
                </c:pt>
                <c:pt idx="10">
                  <c:v>2007.0</c:v>
                </c:pt>
              </c:numCache>
            </c:numRef>
          </c:xVal>
          <c:yVal>
            <c:numRef>
              <c:f>'Palestinian Employment'!$C$32:$C$42</c:f>
              <c:numCache>
                <c:formatCode>General</c:formatCode>
                <c:ptCount val="11"/>
                <c:pt idx="0">
                  <c:v>59.1</c:v>
                </c:pt>
                <c:pt idx="1">
                  <c:v>86.9</c:v>
                </c:pt>
                <c:pt idx="2">
                  <c:v>100.0</c:v>
                </c:pt>
                <c:pt idx="3">
                  <c:v>107.5</c:v>
                </c:pt>
                <c:pt idx="4">
                  <c:v>54.3</c:v>
                </c:pt>
                <c:pt idx="5">
                  <c:v>35.8</c:v>
                </c:pt>
                <c:pt idx="6">
                  <c:v>37.4</c:v>
                </c:pt>
                <c:pt idx="7">
                  <c:v>37.8</c:v>
                </c:pt>
                <c:pt idx="8">
                  <c:v>49.28</c:v>
                </c:pt>
                <c:pt idx="9">
                  <c:v>48.2</c:v>
                </c:pt>
                <c:pt idx="10">
                  <c:v>54.1</c:v>
                </c:pt>
              </c:numCache>
            </c:numRef>
          </c:yVal>
          <c:smooth val="1"/>
        </c:ser>
        <c:ser>
          <c:idx val="5"/>
          <c:order val="2"/>
          <c:tx>
            <c:strRef>
              <c:f>'Palestinian Employment'!$G$3</c:f>
              <c:strCache>
                <c:ptCount val="1"/>
                <c:pt idx="0">
                  <c:v>Number of Gaza Strip Laborers </c:v>
                </c:pt>
              </c:strCache>
            </c:strRef>
          </c:tx>
          <c:spPr>
            <a:ln w="25400">
              <a:solidFill>
                <a:schemeClr val="tx1">
                  <a:lumMod val="50000"/>
                  <a:lumOff val="50000"/>
                </a:schemeClr>
              </a:solidFill>
            </a:ln>
          </c:spPr>
          <c:marker>
            <c:symbol val="none"/>
          </c:marker>
          <c:xVal>
            <c:numRef>
              <c:f>'Palestinian Employment'!$A$32:$A$42</c:f>
              <c:numCache>
                <c:formatCode>General</c:formatCode>
                <c:ptCount val="11"/>
                <c:pt idx="0">
                  <c:v>1997.0</c:v>
                </c:pt>
                <c:pt idx="1">
                  <c:v>1998.0</c:v>
                </c:pt>
                <c:pt idx="2">
                  <c:v>1999.0</c:v>
                </c:pt>
                <c:pt idx="3">
                  <c:v>2000.0</c:v>
                </c:pt>
                <c:pt idx="4">
                  <c:v>2001.0</c:v>
                </c:pt>
                <c:pt idx="5">
                  <c:v>2002.0</c:v>
                </c:pt>
                <c:pt idx="6">
                  <c:v>2003.0</c:v>
                </c:pt>
                <c:pt idx="7">
                  <c:v>2004.0</c:v>
                </c:pt>
                <c:pt idx="8">
                  <c:v>2005.0</c:v>
                </c:pt>
                <c:pt idx="9">
                  <c:v>2006.0</c:v>
                </c:pt>
                <c:pt idx="10">
                  <c:v>2007.0</c:v>
                </c:pt>
              </c:numCache>
            </c:numRef>
          </c:xVal>
          <c:yVal>
            <c:numRef>
              <c:f>'Palestinian Employment'!$G$32:$G$42</c:f>
              <c:numCache>
                <c:formatCode>General</c:formatCode>
                <c:ptCount val="11"/>
                <c:pt idx="0">
                  <c:v>13.3</c:v>
                </c:pt>
                <c:pt idx="1">
                  <c:v>23.5</c:v>
                </c:pt>
                <c:pt idx="2">
                  <c:v>26.1</c:v>
                </c:pt>
                <c:pt idx="3">
                  <c:v>28.6</c:v>
                </c:pt>
                <c:pt idx="4">
                  <c:v>2.2</c:v>
                </c:pt>
                <c:pt idx="5">
                  <c:v>3.1</c:v>
                </c:pt>
                <c:pt idx="6">
                  <c:v>3.9</c:v>
                </c:pt>
                <c:pt idx="7">
                  <c:v>1.7</c:v>
                </c:pt>
                <c:pt idx="8">
                  <c:v>0.7</c:v>
                </c:pt>
                <c:pt idx="9">
                  <c:v>0.16</c:v>
                </c:pt>
                <c:pt idx="10">
                  <c:v>0.0</c:v>
                </c:pt>
              </c:numCache>
            </c:numRef>
          </c:yVal>
          <c:smooth val="1"/>
        </c:ser>
        <c:dLbls>
          <c:showLegendKey val="0"/>
          <c:showVal val="0"/>
          <c:showCatName val="0"/>
          <c:showSerName val="0"/>
          <c:showPercent val="0"/>
          <c:showBubbleSize val="0"/>
        </c:dLbls>
        <c:axId val="-2136909992"/>
        <c:axId val="-2136915448"/>
      </c:scatterChart>
      <c:valAx>
        <c:axId val="-2136926904"/>
        <c:scaling>
          <c:orientation val="minMax"/>
          <c:max val="2007.0"/>
          <c:min val="1997.0"/>
        </c:scaling>
        <c:delete val="0"/>
        <c:axPos val="b"/>
        <c:title>
          <c:tx>
            <c:rich>
              <a:bodyPr/>
              <a:lstStyle/>
              <a:p>
                <a:pPr>
                  <a:defRPr/>
                </a:pPr>
                <a:r>
                  <a:rPr lang="en-US"/>
                  <a:t>Year</a:t>
                </a:r>
              </a:p>
            </c:rich>
          </c:tx>
          <c:layout>
            <c:manualLayout>
              <c:xMode val="edge"/>
              <c:yMode val="edge"/>
              <c:x val="0.458972732575095"/>
              <c:y val="0.788357222063716"/>
            </c:manualLayout>
          </c:layout>
          <c:overlay val="0"/>
        </c:title>
        <c:numFmt formatCode="General" sourceLinked="1"/>
        <c:majorTickMark val="out"/>
        <c:minorTickMark val="none"/>
        <c:tickLblPos val="nextTo"/>
        <c:crossAx val="-2136921224"/>
        <c:crosses val="autoZero"/>
        <c:crossBetween val="midCat"/>
        <c:majorUnit val="2.0"/>
      </c:valAx>
      <c:valAx>
        <c:axId val="-2136921224"/>
        <c:scaling>
          <c:orientation val="minMax"/>
          <c:max val="50.0"/>
          <c:min val="0.0"/>
        </c:scaling>
        <c:delete val="0"/>
        <c:axPos val="l"/>
        <c:majorGridlines/>
        <c:title>
          <c:tx>
            <c:rich>
              <a:bodyPr rot="0" vert="horz"/>
              <a:lstStyle/>
              <a:p>
                <a:pPr>
                  <a:defRPr sz="900"/>
                </a:pPr>
                <a:r>
                  <a:rPr lang="en-US" sz="900"/>
                  <a:t>Percentage of Labor</a:t>
                </a:r>
                <a:r>
                  <a:rPr lang="en-US" sz="900" baseline="0"/>
                  <a:t> Force</a:t>
                </a:r>
                <a:r>
                  <a:rPr lang="en-US" sz="900"/>
                  <a:t> Working in Israel </a:t>
                </a:r>
              </a:p>
            </c:rich>
          </c:tx>
          <c:layout>
            <c:manualLayout>
              <c:xMode val="edge"/>
              <c:yMode val="edge"/>
              <c:x val="0.000493584135316419"/>
              <c:y val="0.0164804296735975"/>
            </c:manualLayout>
          </c:layout>
          <c:overlay val="0"/>
        </c:title>
        <c:numFmt formatCode="General" sourceLinked="1"/>
        <c:majorTickMark val="out"/>
        <c:minorTickMark val="none"/>
        <c:tickLblPos val="nextTo"/>
        <c:crossAx val="-2136926904"/>
        <c:crosses val="autoZero"/>
        <c:crossBetween val="midCat"/>
      </c:valAx>
      <c:valAx>
        <c:axId val="-2136915448"/>
        <c:scaling>
          <c:orientation val="minMax"/>
          <c:max val="110.0"/>
          <c:min val="0.0"/>
        </c:scaling>
        <c:delete val="0"/>
        <c:axPos val="r"/>
        <c:title>
          <c:tx>
            <c:rich>
              <a:bodyPr rot="0" vert="horz"/>
              <a:lstStyle/>
              <a:p>
                <a:pPr>
                  <a:defRPr sz="900"/>
                </a:pPr>
                <a:r>
                  <a:rPr lang="en-US" sz="900"/>
                  <a:t>Number of Laborers Working in Israel </a:t>
                </a:r>
              </a:p>
            </c:rich>
          </c:tx>
          <c:layout>
            <c:manualLayout>
              <c:xMode val="edge"/>
              <c:yMode val="edge"/>
              <c:x val="0.793136118401866"/>
              <c:y val="0.0458551851732019"/>
            </c:manualLayout>
          </c:layout>
          <c:overlay val="0"/>
        </c:title>
        <c:numFmt formatCode="General" sourceLinked="1"/>
        <c:majorTickMark val="out"/>
        <c:minorTickMark val="none"/>
        <c:tickLblPos val="nextTo"/>
        <c:crossAx val="-2136909992"/>
        <c:crosses val="max"/>
        <c:crossBetween val="midCat"/>
        <c:majorUnit val="10.0"/>
      </c:valAx>
      <c:valAx>
        <c:axId val="-2136909992"/>
        <c:scaling>
          <c:orientation val="minMax"/>
        </c:scaling>
        <c:delete val="1"/>
        <c:axPos val="b"/>
        <c:numFmt formatCode="General" sourceLinked="1"/>
        <c:majorTickMark val="out"/>
        <c:minorTickMark val="none"/>
        <c:tickLblPos val="nextTo"/>
        <c:crossAx val="-2136915448"/>
        <c:crosses val="autoZero"/>
        <c:crossBetween val="midCat"/>
      </c:valAx>
    </c:plotArea>
    <c:legend>
      <c:legendPos val="b"/>
      <c:layout>
        <c:manualLayout>
          <c:xMode val="edge"/>
          <c:yMode val="edge"/>
          <c:x val="0.105764982502187"/>
          <c:y val="0.854558075645849"/>
          <c:w val="0.850970034995625"/>
          <c:h val="0.0930839845990487"/>
        </c:manualLayout>
      </c:layout>
      <c:overlay val="0"/>
      <c:spPr>
        <a:pattFill prst="pct5">
          <a:fgClr>
            <a:schemeClr val="bg1"/>
          </a:fgClr>
          <a:bgClr>
            <a:prstClr val="white"/>
          </a:bgClr>
        </a:pattFill>
      </c:spPr>
      <c:txPr>
        <a:bodyPr/>
        <a:lstStyle/>
        <a:p>
          <a:pPr>
            <a:defRPr sz="1000"/>
          </a:pPr>
          <a:endParaRPr lang="en-US"/>
        </a:p>
      </c:txPr>
    </c:legend>
    <c:plotVisOnly val="1"/>
    <c:dispBlanksAs val="gap"/>
    <c:showDLblsOverMax val="0"/>
  </c:chart>
  <c:spPr>
    <a:ln>
      <a:noFill/>
    </a:ln>
  </c:spPr>
  <c:txPr>
    <a:bodyPr/>
    <a:lstStyle/>
    <a:p>
      <a:pPr>
        <a:defRPr>
          <a:latin typeface="Times New Roman"/>
          <a:cs typeface="Times New Roman"/>
        </a:defRPr>
      </a:pPr>
      <a:endParaRPr lang="en-US"/>
    </a:p>
  </c:tx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653052496525179"/>
          <c:y val="0.180720898898627"/>
          <c:w val="0.828701806539416"/>
          <c:h val="0.62160192883233"/>
        </c:manualLayout>
      </c:layout>
      <c:scatterChart>
        <c:scatterStyle val="lineMarker"/>
        <c:varyColors val="0"/>
        <c:ser>
          <c:idx val="4"/>
          <c:order val="0"/>
          <c:tx>
            <c:v>v=0.3</c:v>
          </c:tx>
          <c:spPr>
            <a:ln w="25400" cap="rnd">
              <a:noFill/>
              <a:round/>
            </a:ln>
            <a:effectLst/>
          </c:spPr>
          <c:marker>
            <c:symbol val="square"/>
            <c:size val="5"/>
            <c:spPr>
              <a:solidFill>
                <a:srgbClr val="FFFF00"/>
              </a:solidFill>
              <a:ln w="9525">
                <a:noFill/>
              </a:ln>
              <a:effectLst/>
            </c:spPr>
          </c:marker>
          <c:trendline>
            <c:spPr>
              <a:ln w="19050" cap="rnd">
                <a:solidFill>
                  <a:srgbClr val="FFFF00"/>
                </a:solidFill>
                <a:prstDash val="lgDash"/>
              </a:ln>
              <a:effectLst/>
            </c:spPr>
            <c:trendlineType val="linear"/>
            <c:dispRSqr val="0"/>
            <c:dispEq val="0"/>
          </c:trendline>
          <c:xVal>
            <c:numRef>
              <c:f>Sheet1!$O$2:$O$22</c:f>
              <c:numCache>
                <c:formatCode>General</c:formatCode>
                <c:ptCount val="21"/>
                <c:pt idx="0">
                  <c:v>-1.28823068698874E6</c:v>
                </c:pt>
                <c:pt idx="1">
                  <c:v>-1.04698898530545E6</c:v>
                </c:pt>
                <c:pt idx="2">
                  <c:v>-805747.2836221687</c:v>
                </c:pt>
                <c:pt idx="3">
                  <c:v>-564505.5819388839</c:v>
                </c:pt>
                <c:pt idx="4">
                  <c:v>-323263.8802556006</c:v>
                </c:pt>
                <c:pt idx="5">
                  <c:v>-82022.17857231664</c:v>
                </c:pt>
                <c:pt idx="6">
                  <c:v>159219.5231109673</c:v>
                </c:pt>
                <c:pt idx="7">
                  <c:v>400461.2247942513</c:v>
                </c:pt>
                <c:pt idx="8">
                  <c:v>641702.926477536</c:v>
                </c:pt>
                <c:pt idx="9">
                  <c:v>882944.6281608192</c:v>
                </c:pt>
                <c:pt idx="10">
                  <c:v>1.1241863298441E6</c:v>
                </c:pt>
                <c:pt idx="11">
                  <c:v>1.36542803152739E6</c:v>
                </c:pt>
                <c:pt idx="12">
                  <c:v>1.60666973321067E6</c:v>
                </c:pt>
                <c:pt idx="13">
                  <c:v>1.84791143489396E6</c:v>
                </c:pt>
                <c:pt idx="14">
                  <c:v>2.08915313657724E6</c:v>
                </c:pt>
                <c:pt idx="15">
                  <c:v>2.33039483826052E6</c:v>
                </c:pt>
                <c:pt idx="16">
                  <c:v>2.57163653994381E6</c:v>
                </c:pt>
                <c:pt idx="17">
                  <c:v>2.81287824162709E6</c:v>
                </c:pt>
                <c:pt idx="18">
                  <c:v>3.05411994331038E6</c:v>
                </c:pt>
                <c:pt idx="19">
                  <c:v>3.29536164499366E6</c:v>
                </c:pt>
                <c:pt idx="20">
                  <c:v>3.53660334667694E6</c:v>
                </c:pt>
              </c:numCache>
            </c:numRef>
          </c:xVal>
          <c:yVal>
            <c:numRef>
              <c:f>Sheet1!$C$2:$C$22</c:f>
              <c:numCache>
                <c:formatCode>General</c:formatCode>
                <c:ptCount val="21"/>
                <c:pt idx="0">
                  <c:v>0.0</c:v>
                </c:pt>
                <c:pt idx="1">
                  <c:v>0.05</c:v>
                </c:pt>
                <c:pt idx="2">
                  <c:v>0.1</c:v>
                </c:pt>
                <c:pt idx="3">
                  <c:v>0.15</c:v>
                </c:pt>
                <c:pt idx="4">
                  <c:v>0.2</c:v>
                </c:pt>
                <c:pt idx="5">
                  <c:v>0.25</c:v>
                </c:pt>
                <c:pt idx="6">
                  <c:v>0.3</c:v>
                </c:pt>
                <c:pt idx="7">
                  <c:v>0.35</c:v>
                </c:pt>
                <c:pt idx="8">
                  <c:v>0.4</c:v>
                </c:pt>
                <c:pt idx="9">
                  <c:v>0.45</c:v>
                </c:pt>
                <c:pt idx="10">
                  <c:v>0.5</c:v>
                </c:pt>
                <c:pt idx="11">
                  <c:v>0.55</c:v>
                </c:pt>
                <c:pt idx="12">
                  <c:v>0.6</c:v>
                </c:pt>
                <c:pt idx="13">
                  <c:v>0.65</c:v>
                </c:pt>
                <c:pt idx="14">
                  <c:v>0.7</c:v>
                </c:pt>
                <c:pt idx="15">
                  <c:v>0.75</c:v>
                </c:pt>
                <c:pt idx="16">
                  <c:v>0.8</c:v>
                </c:pt>
                <c:pt idx="17">
                  <c:v>0.85</c:v>
                </c:pt>
                <c:pt idx="18">
                  <c:v>0.9</c:v>
                </c:pt>
                <c:pt idx="19">
                  <c:v>0.95</c:v>
                </c:pt>
                <c:pt idx="20">
                  <c:v>1.0</c:v>
                </c:pt>
              </c:numCache>
            </c:numRef>
          </c:yVal>
          <c:smooth val="0"/>
          <c:extLst xmlns:c16r2="http://schemas.microsoft.com/office/drawing/2015/06/chart">
            <c:ext xmlns:c16="http://schemas.microsoft.com/office/drawing/2014/chart" uri="{C3380CC4-5D6E-409C-BE32-E72D297353CC}">
              <c16:uniqueId val="{00000004-2E64-434E-AB53-CE3B17788F4E}"/>
            </c:ext>
          </c:extLst>
        </c:ser>
        <c:ser>
          <c:idx val="1"/>
          <c:order val="1"/>
          <c:tx>
            <c:v>v=0.446</c:v>
          </c:tx>
          <c:spPr>
            <a:ln w="25400" cap="rnd">
              <a:noFill/>
              <a:round/>
            </a:ln>
            <a:effectLst/>
          </c:spPr>
          <c:marker>
            <c:symbol val="square"/>
            <c:size val="5"/>
            <c:spPr>
              <a:solidFill>
                <a:schemeClr val="accent6">
                  <a:lumMod val="75000"/>
                </a:schemeClr>
              </a:solidFill>
              <a:ln w="9525">
                <a:noFill/>
              </a:ln>
              <a:effectLst/>
            </c:spPr>
          </c:marker>
          <c:dPt>
            <c:idx val="0"/>
            <c:bubble3D val="0"/>
          </c:dPt>
          <c:trendline>
            <c:spPr>
              <a:ln w="25400" cap="rnd">
                <a:solidFill>
                  <a:schemeClr val="accent2"/>
                </a:solidFill>
                <a:prstDash val="solid"/>
              </a:ln>
              <a:effectLst/>
            </c:spPr>
            <c:trendlineType val="linear"/>
            <c:dispRSqr val="0"/>
            <c:dispEq val="0"/>
          </c:trendline>
          <c:xVal>
            <c:numRef>
              <c:f>Sheet1!$I$2:$I$22</c:f>
              <c:numCache>
                <c:formatCode>General</c:formatCode>
                <c:ptCount val="21"/>
                <c:pt idx="0">
                  <c:v>-1.61732848187886E6</c:v>
                </c:pt>
                <c:pt idx="1">
                  <c:v>-1.41360392881305E6</c:v>
                </c:pt>
                <c:pt idx="2">
                  <c:v>-1.20987937574723E6</c:v>
                </c:pt>
                <c:pt idx="3">
                  <c:v>-1.00615482268142E6</c:v>
                </c:pt>
                <c:pt idx="4">
                  <c:v>-802430.2696156141</c:v>
                </c:pt>
                <c:pt idx="5">
                  <c:v>-598705.7165498033</c:v>
                </c:pt>
                <c:pt idx="6">
                  <c:v>-394981.1634839933</c:v>
                </c:pt>
                <c:pt idx="7">
                  <c:v>-191256.610418183</c:v>
                </c:pt>
                <c:pt idx="8">
                  <c:v>12467.9426476274</c:v>
                </c:pt>
                <c:pt idx="9">
                  <c:v>216192.4957134378</c:v>
                </c:pt>
                <c:pt idx="10">
                  <c:v>419917.0487792469</c:v>
                </c:pt>
                <c:pt idx="11">
                  <c:v>623641.6018450586</c:v>
                </c:pt>
                <c:pt idx="12">
                  <c:v>827366.1549108683</c:v>
                </c:pt>
                <c:pt idx="13">
                  <c:v>1.03109070797668E6</c:v>
                </c:pt>
                <c:pt idx="14">
                  <c:v>1.23481526104249E6</c:v>
                </c:pt>
                <c:pt idx="15">
                  <c:v>1.4385398141083E6</c:v>
                </c:pt>
                <c:pt idx="16">
                  <c:v>1.64226436717411E6</c:v>
                </c:pt>
                <c:pt idx="17">
                  <c:v>1.84598892023992E6</c:v>
                </c:pt>
                <c:pt idx="18">
                  <c:v>2.04971347330573E6</c:v>
                </c:pt>
                <c:pt idx="19">
                  <c:v>2.25343802637154E6</c:v>
                </c:pt>
                <c:pt idx="20">
                  <c:v>2.45716257943735E6</c:v>
                </c:pt>
              </c:numCache>
            </c:numRef>
          </c:xVal>
          <c:yVal>
            <c:numRef>
              <c:f>Sheet1!$C$2:$C$22</c:f>
              <c:numCache>
                <c:formatCode>General</c:formatCode>
                <c:ptCount val="21"/>
                <c:pt idx="0">
                  <c:v>0.0</c:v>
                </c:pt>
                <c:pt idx="1">
                  <c:v>0.05</c:v>
                </c:pt>
                <c:pt idx="2">
                  <c:v>0.1</c:v>
                </c:pt>
                <c:pt idx="3">
                  <c:v>0.15</c:v>
                </c:pt>
                <c:pt idx="4">
                  <c:v>0.2</c:v>
                </c:pt>
                <c:pt idx="5">
                  <c:v>0.25</c:v>
                </c:pt>
                <c:pt idx="6">
                  <c:v>0.3</c:v>
                </c:pt>
                <c:pt idx="7">
                  <c:v>0.35</c:v>
                </c:pt>
                <c:pt idx="8">
                  <c:v>0.4</c:v>
                </c:pt>
                <c:pt idx="9">
                  <c:v>0.45</c:v>
                </c:pt>
                <c:pt idx="10">
                  <c:v>0.5</c:v>
                </c:pt>
                <c:pt idx="11">
                  <c:v>0.55</c:v>
                </c:pt>
                <c:pt idx="12">
                  <c:v>0.6</c:v>
                </c:pt>
                <c:pt idx="13">
                  <c:v>0.65</c:v>
                </c:pt>
                <c:pt idx="14">
                  <c:v>0.7</c:v>
                </c:pt>
                <c:pt idx="15">
                  <c:v>0.75</c:v>
                </c:pt>
                <c:pt idx="16">
                  <c:v>0.8</c:v>
                </c:pt>
                <c:pt idx="17">
                  <c:v>0.85</c:v>
                </c:pt>
                <c:pt idx="18">
                  <c:v>0.9</c:v>
                </c:pt>
                <c:pt idx="19">
                  <c:v>0.95</c:v>
                </c:pt>
                <c:pt idx="20">
                  <c:v>1.0</c:v>
                </c:pt>
              </c:numCache>
            </c:numRef>
          </c:yVal>
          <c:smooth val="0"/>
          <c:extLst xmlns:c16r2="http://schemas.microsoft.com/office/drawing/2015/06/chart">
            <c:ext xmlns:c16="http://schemas.microsoft.com/office/drawing/2014/chart" uri="{C3380CC4-5D6E-409C-BE32-E72D297353CC}">
              <c16:uniqueId val="{00000001-2E64-434E-AB53-CE3B17788F4E}"/>
            </c:ext>
          </c:extLst>
        </c:ser>
        <c:ser>
          <c:idx val="3"/>
          <c:order val="2"/>
          <c:tx>
            <c:v>v=0.7</c:v>
          </c:tx>
          <c:spPr>
            <a:ln w="19050" cap="rnd">
              <a:noFill/>
              <a:round/>
            </a:ln>
            <a:effectLst/>
          </c:spPr>
          <c:marker>
            <c:symbol val="square"/>
            <c:size val="4"/>
            <c:spPr>
              <a:solidFill>
                <a:schemeClr val="accent2">
                  <a:lumMod val="50000"/>
                </a:schemeClr>
              </a:solidFill>
              <a:ln w="9525">
                <a:solidFill>
                  <a:srgbClr val="800000"/>
                </a:solidFill>
              </a:ln>
              <a:effectLst/>
            </c:spPr>
          </c:marker>
          <c:trendline>
            <c:spPr>
              <a:ln w="19050" cap="rnd">
                <a:solidFill>
                  <a:schemeClr val="accent2">
                    <a:lumMod val="50000"/>
                  </a:schemeClr>
                </a:solidFill>
                <a:prstDash val="sysDash"/>
              </a:ln>
              <a:effectLst/>
            </c:spPr>
            <c:trendlineType val="linear"/>
            <c:dispRSqr val="0"/>
            <c:dispEq val="0"/>
          </c:trendline>
          <c:xVal>
            <c:numRef>
              <c:f>Sheet1!$M$2:$M$22</c:f>
              <c:numCache>
                <c:formatCode>General</c:formatCode>
                <c:ptCount val="21"/>
                <c:pt idx="0">
                  <c:v>-1.99787063509114E6</c:v>
                </c:pt>
                <c:pt idx="1">
                  <c:v>-1.83752788749153E6</c:v>
                </c:pt>
                <c:pt idx="2">
                  <c:v>-1.67718513989192E6</c:v>
                </c:pt>
                <c:pt idx="3">
                  <c:v>-1.51684239229231E6</c:v>
                </c:pt>
                <c:pt idx="4">
                  <c:v>-1.3564996446927E6</c:v>
                </c:pt>
                <c:pt idx="5">
                  <c:v>-1.1961568970931E6</c:v>
                </c:pt>
                <c:pt idx="6">
                  <c:v>-1.03581414949348E6</c:v>
                </c:pt>
                <c:pt idx="7">
                  <c:v>-875471.4018938705</c:v>
                </c:pt>
                <c:pt idx="8">
                  <c:v>-715128.6542942607</c:v>
                </c:pt>
                <c:pt idx="9">
                  <c:v>-554785.9066946506</c:v>
                </c:pt>
                <c:pt idx="10">
                  <c:v>-394443.1590950408</c:v>
                </c:pt>
                <c:pt idx="11">
                  <c:v>-234100.4114954308</c:v>
                </c:pt>
                <c:pt idx="12">
                  <c:v>-73757.66389582049</c:v>
                </c:pt>
                <c:pt idx="13">
                  <c:v>86585.08370378947</c:v>
                </c:pt>
                <c:pt idx="14">
                  <c:v>246927.8313033996</c:v>
                </c:pt>
                <c:pt idx="15">
                  <c:v>407270.5789030097</c:v>
                </c:pt>
                <c:pt idx="16">
                  <c:v>567613.3265026198</c:v>
                </c:pt>
                <c:pt idx="17">
                  <c:v>727956.0741022289</c:v>
                </c:pt>
                <c:pt idx="18">
                  <c:v>888298.82170184</c:v>
                </c:pt>
                <c:pt idx="19">
                  <c:v>1.04864156930145E6</c:v>
                </c:pt>
                <c:pt idx="20">
                  <c:v>1.20898431690106E6</c:v>
                </c:pt>
              </c:numCache>
            </c:numRef>
          </c:xVal>
          <c:yVal>
            <c:numRef>
              <c:f>Sheet1!$C$2:$C$22</c:f>
              <c:numCache>
                <c:formatCode>General</c:formatCode>
                <c:ptCount val="21"/>
                <c:pt idx="0">
                  <c:v>0.0</c:v>
                </c:pt>
                <c:pt idx="1">
                  <c:v>0.05</c:v>
                </c:pt>
                <c:pt idx="2">
                  <c:v>0.1</c:v>
                </c:pt>
                <c:pt idx="3">
                  <c:v>0.15</c:v>
                </c:pt>
                <c:pt idx="4">
                  <c:v>0.2</c:v>
                </c:pt>
                <c:pt idx="5">
                  <c:v>0.25</c:v>
                </c:pt>
                <c:pt idx="6">
                  <c:v>0.3</c:v>
                </c:pt>
                <c:pt idx="7">
                  <c:v>0.35</c:v>
                </c:pt>
                <c:pt idx="8">
                  <c:v>0.4</c:v>
                </c:pt>
                <c:pt idx="9">
                  <c:v>0.45</c:v>
                </c:pt>
                <c:pt idx="10">
                  <c:v>0.5</c:v>
                </c:pt>
                <c:pt idx="11">
                  <c:v>0.55</c:v>
                </c:pt>
                <c:pt idx="12">
                  <c:v>0.6</c:v>
                </c:pt>
                <c:pt idx="13">
                  <c:v>0.65</c:v>
                </c:pt>
                <c:pt idx="14">
                  <c:v>0.7</c:v>
                </c:pt>
                <c:pt idx="15">
                  <c:v>0.75</c:v>
                </c:pt>
                <c:pt idx="16">
                  <c:v>0.8</c:v>
                </c:pt>
                <c:pt idx="17">
                  <c:v>0.85</c:v>
                </c:pt>
                <c:pt idx="18">
                  <c:v>0.9</c:v>
                </c:pt>
                <c:pt idx="19">
                  <c:v>0.95</c:v>
                </c:pt>
                <c:pt idx="20">
                  <c:v>1.0</c:v>
                </c:pt>
              </c:numCache>
            </c:numRef>
          </c:yVal>
          <c:smooth val="0"/>
          <c:extLst xmlns:c16r2="http://schemas.microsoft.com/office/drawing/2015/06/chart">
            <c:ext xmlns:c16="http://schemas.microsoft.com/office/drawing/2014/chart" uri="{C3380CC4-5D6E-409C-BE32-E72D297353CC}">
              <c16:uniqueId val="{00000003-2E64-434E-AB53-CE3B17788F4E}"/>
            </c:ext>
          </c:extLst>
        </c:ser>
        <c:ser>
          <c:idx val="2"/>
          <c:order val="3"/>
          <c:tx>
            <c:v>v=0.9</c:v>
          </c:tx>
          <c:spPr>
            <a:ln w="25400" cap="rnd">
              <a:noFill/>
              <a:round/>
            </a:ln>
            <a:effectLst/>
          </c:spPr>
          <c:marker>
            <c:symbol val="x"/>
            <c:size val="4"/>
            <c:spPr>
              <a:solidFill>
                <a:srgbClr val="FF0000"/>
              </a:solidFill>
              <a:ln w="9525">
                <a:solidFill>
                  <a:srgbClr val="FF0000"/>
                </a:solidFill>
              </a:ln>
              <a:effectLst/>
            </c:spPr>
          </c:marker>
          <c:trendline>
            <c:spPr>
              <a:ln w="19050" cap="rnd">
                <a:solidFill>
                  <a:srgbClr val="FF0000"/>
                </a:solidFill>
                <a:prstDash val="sysDot"/>
              </a:ln>
              <a:effectLst/>
            </c:spPr>
            <c:trendlineType val="linear"/>
            <c:dispRSqr val="0"/>
            <c:dispEq val="0"/>
          </c:trendline>
          <c:xVal>
            <c:numRef>
              <c:f>Sheet1!$K$2:$K$22</c:f>
              <c:numCache>
                <c:formatCode>General</c:formatCode>
                <c:ptCount val="21"/>
                <c:pt idx="0">
                  <c:v>-2.19983936481877E6</c:v>
                </c:pt>
                <c:pt idx="1">
                  <c:v>-2.06252105240811E6</c:v>
                </c:pt>
                <c:pt idx="2">
                  <c:v>-1.92520273999745E6</c:v>
                </c:pt>
                <c:pt idx="3">
                  <c:v>-1.7878844275868E6</c:v>
                </c:pt>
                <c:pt idx="4">
                  <c:v>-1.65056611517613E6</c:v>
                </c:pt>
                <c:pt idx="5">
                  <c:v>-1.51324780276547E6</c:v>
                </c:pt>
                <c:pt idx="6">
                  <c:v>-1.37592949035481E6</c:v>
                </c:pt>
                <c:pt idx="7">
                  <c:v>-1.23861117794415E6</c:v>
                </c:pt>
                <c:pt idx="8">
                  <c:v>-1.10129286553349E6</c:v>
                </c:pt>
                <c:pt idx="9">
                  <c:v>-963974.553122833</c:v>
                </c:pt>
                <c:pt idx="10">
                  <c:v>-826656.2407121732</c:v>
                </c:pt>
                <c:pt idx="11">
                  <c:v>-689337.9283015131</c:v>
                </c:pt>
                <c:pt idx="12">
                  <c:v>-552019.6158908531</c:v>
                </c:pt>
                <c:pt idx="13">
                  <c:v>-414701.303480193</c:v>
                </c:pt>
                <c:pt idx="14">
                  <c:v>-277382.991069533</c:v>
                </c:pt>
                <c:pt idx="15">
                  <c:v>-140064.678658873</c:v>
                </c:pt>
                <c:pt idx="16">
                  <c:v>-2746.366248212896</c:v>
                </c:pt>
                <c:pt idx="17">
                  <c:v>134571.9461624472</c:v>
                </c:pt>
                <c:pt idx="18">
                  <c:v>271890.2585731072</c:v>
                </c:pt>
                <c:pt idx="19">
                  <c:v>409208.5709837673</c:v>
                </c:pt>
                <c:pt idx="20">
                  <c:v>546526.883394427</c:v>
                </c:pt>
              </c:numCache>
            </c:numRef>
          </c:xVal>
          <c:yVal>
            <c:numRef>
              <c:f>Sheet1!$C$2:$C$22</c:f>
              <c:numCache>
                <c:formatCode>General</c:formatCode>
                <c:ptCount val="21"/>
                <c:pt idx="0">
                  <c:v>0.0</c:v>
                </c:pt>
                <c:pt idx="1">
                  <c:v>0.05</c:v>
                </c:pt>
                <c:pt idx="2">
                  <c:v>0.1</c:v>
                </c:pt>
                <c:pt idx="3">
                  <c:v>0.15</c:v>
                </c:pt>
                <c:pt idx="4">
                  <c:v>0.2</c:v>
                </c:pt>
                <c:pt idx="5">
                  <c:v>0.25</c:v>
                </c:pt>
                <c:pt idx="6">
                  <c:v>0.3</c:v>
                </c:pt>
                <c:pt idx="7">
                  <c:v>0.35</c:v>
                </c:pt>
                <c:pt idx="8">
                  <c:v>0.4</c:v>
                </c:pt>
                <c:pt idx="9">
                  <c:v>0.45</c:v>
                </c:pt>
                <c:pt idx="10">
                  <c:v>0.5</c:v>
                </c:pt>
                <c:pt idx="11">
                  <c:v>0.55</c:v>
                </c:pt>
                <c:pt idx="12">
                  <c:v>0.6</c:v>
                </c:pt>
                <c:pt idx="13">
                  <c:v>0.65</c:v>
                </c:pt>
                <c:pt idx="14">
                  <c:v>0.7</c:v>
                </c:pt>
                <c:pt idx="15">
                  <c:v>0.75</c:v>
                </c:pt>
                <c:pt idx="16">
                  <c:v>0.8</c:v>
                </c:pt>
                <c:pt idx="17">
                  <c:v>0.85</c:v>
                </c:pt>
                <c:pt idx="18">
                  <c:v>0.9</c:v>
                </c:pt>
                <c:pt idx="19">
                  <c:v>0.95</c:v>
                </c:pt>
                <c:pt idx="20">
                  <c:v>1.0</c:v>
                </c:pt>
              </c:numCache>
            </c:numRef>
          </c:yVal>
          <c:smooth val="0"/>
          <c:extLst xmlns:c16r2="http://schemas.microsoft.com/office/drawing/2015/06/chart">
            <c:ext xmlns:c16="http://schemas.microsoft.com/office/drawing/2014/chart" uri="{C3380CC4-5D6E-409C-BE32-E72D297353CC}">
              <c16:uniqueId val="{00000002-2E64-434E-AB53-CE3B17788F4E}"/>
            </c:ext>
          </c:extLst>
        </c:ser>
        <c:ser>
          <c:idx val="5"/>
          <c:order val="4"/>
          <c:tx>
            <c:v>v=0.0375</c:v>
          </c:tx>
          <c:spPr>
            <a:ln w="19050">
              <a:noFill/>
            </a:ln>
          </c:spPr>
          <c:marker>
            <c:symbol val="square"/>
            <c:size val="5"/>
            <c:spPr>
              <a:solidFill>
                <a:schemeClr val="accent1">
                  <a:lumMod val="75000"/>
                </a:schemeClr>
              </a:solidFill>
              <a:ln>
                <a:solidFill>
                  <a:schemeClr val="accent1">
                    <a:lumMod val="75000"/>
                  </a:schemeClr>
                </a:solidFill>
              </a:ln>
            </c:spPr>
          </c:marker>
          <c:trendline>
            <c:spPr>
              <a:ln w="25400">
                <a:solidFill>
                  <a:schemeClr val="accent1">
                    <a:lumMod val="75000"/>
                  </a:schemeClr>
                </a:solidFill>
              </a:ln>
            </c:spPr>
            <c:trendlineType val="linear"/>
            <c:dispRSqr val="0"/>
            <c:dispEq val="0"/>
          </c:trendline>
          <c:xVal>
            <c:numRef>
              <c:f>Sheet1!$Q$2:$Q$22</c:f>
              <c:numCache>
                <c:formatCode>General</c:formatCode>
                <c:ptCount val="21"/>
                <c:pt idx="0">
                  <c:v>-240737.8066062939</c:v>
                </c:pt>
                <c:pt idx="1">
                  <c:v>119918.0834405884</c:v>
                </c:pt>
                <c:pt idx="2">
                  <c:v>480573.973487471</c:v>
                </c:pt>
                <c:pt idx="3">
                  <c:v>841229.8635343534</c:v>
                </c:pt>
                <c:pt idx="4">
                  <c:v>1.20188575358124E6</c:v>
                </c:pt>
                <c:pt idx="5">
                  <c:v>1.56254164362812E6</c:v>
                </c:pt>
                <c:pt idx="6">
                  <c:v>1.923197533675E6</c:v>
                </c:pt>
                <c:pt idx="7">
                  <c:v>2.28385342372188E6</c:v>
                </c:pt>
                <c:pt idx="8">
                  <c:v>2.64450931376877E6</c:v>
                </c:pt>
                <c:pt idx="9">
                  <c:v>3.00516520381565E6</c:v>
                </c:pt>
                <c:pt idx="10">
                  <c:v>3.36582109386253E6</c:v>
                </c:pt>
                <c:pt idx="11">
                  <c:v>3.72647698390941E6</c:v>
                </c:pt>
                <c:pt idx="12">
                  <c:v>4.0871328739563E6</c:v>
                </c:pt>
                <c:pt idx="13">
                  <c:v>4.44778876400318E6</c:v>
                </c:pt>
                <c:pt idx="14">
                  <c:v>4.80844465405006E6</c:v>
                </c:pt>
                <c:pt idx="15">
                  <c:v>5.16910054409694E6</c:v>
                </c:pt>
                <c:pt idx="16">
                  <c:v>5.52975643414383E6</c:v>
                </c:pt>
                <c:pt idx="17">
                  <c:v>5.89041232419071E6</c:v>
                </c:pt>
                <c:pt idx="18">
                  <c:v>6.2510682142376E6</c:v>
                </c:pt>
                <c:pt idx="19">
                  <c:v>6.61172410428447E6</c:v>
                </c:pt>
                <c:pt idx="20">
                  <c:v>6.97237999433136E6</c:v>
                </c:pt>
              </c:numCache>
            </c:numRef>
          </c:xVal>
          <c:yVal>
            <c:numRef>
              <c:f>Sheet1!$C$2:$C$22</c:f>
              <c:numCache>
                <c:formatCode>General</c:formatCode>
                <c:ptCount val="21"/>
                <c:pt idx="0">
                  <c:v>0.0</c:v>
                </c:pt>
                <c:pt idx="1">
                  <c:v>0.05</c:v>
                </c:pt>
                <c:pt idx="2">
                  <c:v>0.1</c:v>
                </c:pt>
                <c:pt idx="3">
                  <c:v>0.15</c:v>
                </c:pt>
                <c:pt idx="4">
                  <c:v>0.2</c:v>
                </c:pt>
                <c:pt idx="5">
                  <c:v>0.25</c:v>
                </c:pt>
                <c:pt idx="6">
                  <c:v>0.3</c:v>
                </c:pt>
                <c:pt idx="7">
                  <c:v>0.35</c:v>
                </c:pt>
                <c:pt idx="8">
                  <c:v>0.4</c:v>
                </c:pt>
                <c:pt idx="9">
                  <c:v>0.45</c:v>
                </c:pt>
                <c:pt idx="10">
                  <c:v>0.5</c:v>
                </c:pt>
                <c:pt idx="11">
                  <c:v>0.55</c:v>
                </c:pt>
                <c:pt idx="12">
                  <c:v>0.6</c:v>
                </c:pt>
                <c:pt idx="13">
                  <c:v>0.65</c:v>
                </c:pt>
                <c:pt idx="14">
                  <c:v>0.7</c:v>
                </c:pt>
                <c:pt idx="15">
                  <c:v>0.75</c:v>
                </c:pt>
                <c:pt idx="16">
                  <c:v>0.8</c:v>
                </c:pt>
                <c:pt idx="17">
                  <c:v>0.85</c:v>
                </c:pt>
                <c:pt idx="18">
                  <c:v>0.9</c:v>
                </c:pt>
                <c:pt idx="19">
                  <c:v>0.95</c:v>
                </c:pt>
                <c:pt idx="20">
                  <c:v>1.0</c:v>
                </c:pt>
              </c:numCache>
            </c:numRef>
          </c:yVal>
          <c:smooth val="0"/>
        </c:ser>
        <c:ser>
          <c:idx val="0"/>
          <c:order val="5"/>
          <c:tx>
            <c:v>v=0.01</c:v>
          </c:tx>
          <c:spPr>
            <a:ln w="28575">
              <a:noFill/>
            </a:ln>
          </c:spPr>
          <c:marker>
            <c:symbol val="square"/>
            <c:size val="5"/>
            <c:spPr>
              <a:solidFill>
                <a:schemeClr val="accent3">
                  <a:lumMod val="50000"/>
                </a:schemeClr>
              </a:solidFill>
              <a:ln>
                <a:noFill/>
              </a:ln>
            </c:spPr>
          </c:marker>
          <c:trendline>
            <c:spPr>
              <a:ln w="19050">
                <a:solidFill>
                  <a:schemeClr val="accent3">
                    <a:lumMod val="50000"/>
                  </a:schemeClr>
                </a:solidFill>
                <a:prstDash val="lgDashDot"/>
              </a:ln>
            </c:spPr>
            <c:trendlineType val="linear"/>
            <c:dispRSqr val="0"/>
            <c:dispEq val="0"/>
          </c:trendline>
          <c:xVal>
            <c:numRef>
              <c:f>Sheet1!$S$2:$S$22</c:f>
              <c:numCache>
                <c:formatCode>General</c:formatCode>
                <c:ptCount val="21"/>
                <c:pt idx="0">
                  <c:v>-574284.2416785822</c:v>
                </c:pt>
                <c:pt idx="1">
                  <c:v>-251652.6452299405</c:v>
                </c:pt>
                <c:pt idx="2">
                  <c:v>70978.95121870115</c:v>
                </c:pt>
                <c:pt idx="3">
                  <c:v>393610.5476673428</c:v>
                </c:pt>
                <c:pt idx="4">
                  <c:v>716242.1441159839</c:v>
                </c:pt>
                <c:pt idx="5">
                  <c:v>1.03887374056463E6</c:v>
                </c:pt>
                <c:pt idx="6">
                  <c:v>1.36150533701327E6</c:v>
                </c:pt>
                <c:pt idx="7">
                  <c:v>1.68413693346191E6</c:v>
                </c:pt>
                <c:pt idx="8">
                  <c:v>2.00676852991055E6</c:v>
                </c:pt>
                <c:pt idx="9">
                  <c:v>2.32940012635919E6</c:v>
                </c:pt>
                <c:pt idx="10">
                  <c:v>2.65203172280783E6</c:v>
                </c:pt>
                <c:pt idx="11">
                  <c:v>2.97466331925648E6</c:v>
                </c:pt>
                <c:pt idx="12">
                  <c:v>3.29729491570512E6</c:v>
                </c:pt>
                <c:pt idx="13">
                  <c:v>3.61992651215376E6</c:v>
                </c:pt>
                <c:pt idx="14">
                  <c:v>3.9425581086024E6</c:v>
                </c:pt>
                <c:pt idx="15">
                  <c:v>4.26518970505104E6</c:v>
                </c:pt>
                <c:pt idx="16">
                  <c:v>4.5878213014997E6</c:v>
                </c:pt>
                <c:pt idx="17">
                  <c:v>4.91045289794833E6</c:v>
                </c:pt>
                <c:pt idx="18">
                  <c:v>5.23308449439697E6</c:v>
                </c:pt>
                <c:pt idx="19">
                  <c:v>5.55571609084561E6</c:v>
                </c:pt>
                <c:pt idx="20">
                  <c:v>5.87834768729425E6</c:v>
                </c:pt>
              </c:numCache>
            </c:numRef>
          </c:xVal>
          <c:yVal>
            <c:numRef>
              <c:f>Sheet1!$C$2:$C$22</c:f>
              <c:numCache>
                <c:formatCode>General</c:formatCode>
                <c:ptCount val="21"/>
                <c:pt idx="0">
                  <c:v>0.0</c:v>
                </c:pt>
                <c:pt idx="1">
                  <c:v>0.05</c:v>
                </c:pt>
                <c:pt idx="2">
                  <c:v>0.1</c:v>
                </c:pt>
                <c:pt idx="3">
                  <c:v>0.15</c:v>
                </c:pt>
                <c:pt idx="4">
                  <c:v>0.2</c:v>
                </c:pt>
                <c:pt idx="5">
                  <c:v>0.25</c:v>
                </c:pt>
                <c:pt idx="6">
                  <c:v>0.3</c:v>
                </c:pt>
                <c:pt idx="7">
                  <c:v>0.35</c:v>
                </c:pt>
                <c:pt idx="8">
                  <c:v>0.4</c:v>
                </c:pt>
                <c:pt idx="9">
                  <c:v>0.45</c:v>
                </c:pt>
                <c:pt idx="10">
                  <c:v>0.5</c:v>
                </c:pt>
                <c:pt idx="11">
                  <c:v>0.55</c:v>
                </c:pt>
                <c:pt idx="12">
                  <c:v>0.6</c:v>
                </c:pt>
                <c:pt idx="13">
                  <c:v>0.65</c:v>
                </c:pt>
                <c:pt idx="14">
                  <c:v>0.7</c:v>
                </c:pt>
                <c:pt idx="15">
                  <c:v>0.75</c:v>
                </c:pt>
                <c:pt idx="16">
                  <c:v>0.8</c:v>
                </c:pt>
                <c:pt idx="17">
                  <c:v>0.85</c:v>
                </c:pt>
                <c:pt idx="18">
                  <c:v>0.9</c:v>
                </c:pt>
                <c:pt idx="19">
                  <c:v>0.95</c:v>
                </c:pt>
                <c:pt idx="20">
                  <c:v>1.0</c:v>
                </c:pt>
              </c:numCache>
            </c:numRef>
          </c:yVal>
          <c:smooth val="0"/>
        </c:ser>
        <c:dLbls>
          <c:showLegendKey val="0"/>
          <c:showVal val="0"/>
          <c:showCatName val="0"/>
          <c:showSerName val="0"/>
          <c:showPercent val="0"/>
          <c:showBubbleSize val="0"/>
        </c:dLbls>
        <c:axId val="-2136798344"/>
        <c:axId val="-2136789256"/>
      </c:scatterChart>
      <c:valAx>
        <c:axId val="-2136798344"/>
        <c:scaling>
          <c:orientation val="minMax"/>
          <c:max val="2.0E6"/>
          <c:min val="-2.0E6"/>
        </c:scaling>
        <c:delete val="0"/>
        <c:axPos val="b"/>
        <c:title>
          <c:tx>
            <c:rich>
              <a:bodyPr rot="0" spcFirstLastPara="1" vertOverflow="ellipsis" vert="horz" wrap="square" anchor="ctr" anchorCtr="1"/>
              <a:lstStyle/>
              <a:p>
                <a:pPr>
                  <a:defRPr sz="1200" b="0" i="0" u="none" strike="noStrike" kern="1200" baseline="0">
                    <a:solidFill>
                      <a:srgbClr val="000000"/>
                    </a:solidFill>
                    <a:latin typeface="Times New Roman"/>
                    <a:ea typeface="+mn-ea"/>
                    <a:cs typeface="Times New Roman"/>
                  </a:defRPr>
                </a:pPr>
                <a:r>
                  <a:rPr lang="en-US" sz="1200">
                    <a:solidFill>
                      <a:srgbClr val="000000"/>
                    </a:solidFill>
                    <a:latin typeface="Times New Roman"/>
                    <a:cs typeface="Times New Roman"/>
                  </a:rPr>
                  <a:t>Number</a:t>
                </a:r>
                <a:r>
                  <a:rPr lang="en-US" sz="1200" baseline="0">
                    <a:solidFill>
                      <a:srgbClr val="000000"/>
                    </a:solidFill>
                    <a:latin typeface="Times New Roman"/>
                    <a:cs typeface="Times New Roman"/>
                  </a:rPr>
                  <a:t> of West Bank Palestinians Permitted to Work in Israel </a:t>
                </a:r>
                <a:endParaRPr lang="en-US" sz="1200">
                  <a:solidFill>
                    <a:srgbClr val="000000"/>
                  </a:solidFill>
                  <a:latin typeface="Times New Roman"/>
                  <a:cs typeface="Times New Roman"/>
                </a:endParaRPr>
              </a:p>
            </c:rich>
          </c:tx>
          <c:layout>
            <c:manualLayout>
              <c:xMode val="edge"/>
              <c:yMode val="edge"/>
              <c:x val="0.184601612855434"/>
              <c:y val="0.888273640671024"/>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rgbClr val="000000"/>
                </a:solidFill>
                <a:latin typeface="Times New Roman"/>
                <a:ea typeface="+mn-ea"/>
                <a:cs typeface="+mn-cs"/>
              </a:defRPr>
            </a:pPr>
            <a:endParaRPr lang="en-US"/>
          </a:p>
        </c:txPr>
        <c:crossAx val="-2136789256"/>
        <c:crosses val="autoZero"/>
        <c:crossBetween val="midCat"/>
        <c:dispUnits>
          <c:builtInUnit val="millions"/>
          <c:dispUnitsLbl>
            <c:layout>
              <c:manualLayout>
                <c:xMode val="edge"/>
                <c:yMode val="edge"/>
                <c:x val="0.453476715588805"/>
                <c:y val="0.942335812168245"/>
              </c:manualLayout>
            </c:layout>
          </c:dispUnitsLbl>
        </c:dispUnits>
      </c:valAx>
      <c:valAx>
        <c:axId val="-2136789256"/>
        <c:scaling>
          <c:orientation val="minMax"/>
          <c:max val="1.0"/>
          <c:min val="0.0"/>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solidFill>
                    <a:latin typeface="Times New Roman"/>
                    <a:ea typeface="+mn-ea"/>
                    <a:cs typeface="Times New Roman"/>
                  </a:defRPr>
                </a:pPr>
                <a:r>
                  <a:rPr lang="en-US" sz="1200" b="1">
                    <a:solidFill>
                      <a:schemeClr val="tx1"/>
                    </a:solidFill>
                    <a:latin typeface="Times New Roman"/>
                    <a:cs typeface="Times New Roman"/>
                  </a:rPr>
                  <a:t>Pacification</a:t>
                </a:r>
                <a:r>
                  <a:rPr lang="en-US" sz="1200" b="1" baseline="0">
                    <a:solidFill>
                      <a:schemeClr val="tx1"/>
                    </a:solidFill>
                    <a:latin typeface="Times New Roman"/>
                    <a:cs typeface="Times New Roman"/>
                  </a:rPr>
                  <a:t> Rate</a:t>
                </a:r>
                <a:endParaRPr lang="en-US" sz="1200" b="1">
                  <a:solidFill>
                    <a:schemeClr val="tx1"/>
                  </a:solidFill>
                  <a:latin typeface="Times New Roman"/>
                  <a:cs typeface="Times New Roman"/>
                </a:endParaRPr>
              </a:p>
            </c:rich>
          </c:tx>
          <c:layout>
            <c:manualLayout>
              <c:xMode val="edge"/>
              <c:yMode val="edge"/>
              <c:x val="0.401981369975812"/>
              <c:y val="0.105120889022376"/>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t" anchorCtr="1"/>
          <a:lstStyle/>
          <a:p>
            <a:pPr>
              <a:defRPr sz="1200" b="0" i="0" u="none" strike="noStrike" kern="1200" baseline="0">
                <a:solidFill>
                  <a:schemeClr val="tx1"/>
                </a:solidFill>
                <a:latin typeface="Times New Roman"/>
                <a:ea typeface="+mn-ea"/>
                <a:cs typeface="Times New Roman"/>
              </a:defRPr>
            </a:pPr>
            <a:endParaRPr lang="en-US"/>
          </a:p>
        </c:txPr>
        <c:crossAx val="-2136798344"/>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0.51002</cdr:x>
      <cdr:y>0.1646</cdr:y>
    </cdr:from>
    <cdr:to>
      <cdr:x>0.51002</cdr:x>
      <cdr:y>0.73236</cdr:y>
    </cdr:to>
    <cdr:cxnSp macro="">
      <cdr:nvCxnSpPr>
        <cdr:cNvPr id="2" name="Straight Connector 1"/>
        <cdr:cNvCxnSpPr/>
      </cdr:nvCxnSpPr>
      <cdr:spPr>
        <a:xfrm xmlns:a="http://schemas.openxmlformats.org/drawingml/2006/main" flipV="1">
          <a:off x="2974369" y="630576"/>
          <a:ext cx="0" cy="2175066"/>
        </a:xfrm>
        <a:prstGeom xmlns:a="http://schemas.openxmlformats.org/drawingml/2006/main" prst="line">
          <a:avLst/>
        </a:prstGeom>
        <a:ln xmlns:a="http://schemas.openxmlformats.org/drawingml/2006/main" w="6350">
          <a:solidFill>
            <a:schemeClr val="tx1"/>
          </a:solidFill>
        </a:ln>
        <a:effectLst xmlns:a="http://schemas.openxmlformats.org/drawingml/2006/mai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0.34055</cdr:x>
      <cdr:y>0.02279</cdr:y>
    </cdr:from>
    <cdr:to>
      <cdr:x>0.69334</cdr:x>
      <cdr:y>0.13115</cdr:y>
    </cdr:to>
    <cdr:sp macro="" textlink="">
      <cdr:nvSpPr>
        <cdr:cNvPr id="5" name="Text Box 4"/>
        <cdr:cNvSpPr txBox="1"/>
      </cdr:nvSpPr>
      <cdr:spPr>
        <a:xfrm xmlns:a="http://schemas.openxmlformats.org/drawingml/2006/main">
          <a:off x="1828800" y="73855"/>
          <a:ext cx="1894551" cy="3512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000">
              <a:latin typeface="Times New Roman"/>
              <a:cs typeface="Times New Roman"/>
            </a:rPr>
            <a:t>1993</a:t>
          </a:r>
        </a:p>
        <a:p xmlns:a="http://schemas.openxmlformats.org/drawingml/2006/main">
          <a:pPr algn="ctr"/>
          <a:r>
            <a:rPr lang="en-US" sz="1000" baseline="0">
              <a:latin typeface="Times New Roman"/>
              <a:cs typeface="Times New Roman"/>
            </a:rPr>
            <a:t> Oslo I and beginning of closures </a:t>
          </a:r>
          <a:r>
            <a:rPr lang="en-US" sz="1000">
              <a:latin typeface="Times New Roman"/>
              <a:cs typeface="Times New Roman"/>
            </a:rPr>
            <a:t> </a:t>
          </a:r>
        </a:p>
      </cdr:txBody>
    </cdr:sp>
  </cdr:relSizeAnchor>
</c:userShapes>
</file>

<file path=word/drawings/drawing2.xml><?xml version="1.0" encoding="utf-8"?>
<c:userShapes xmlns:c="http://schemas.openxmlformats.org/drawingml/2006/chart">
  <cdr:relSizeAnchor xmlns:cdr="http://schemas.openxmlformats.org/drawingml/2006/chartDrawing">
    <cdr:from>
      <cdr:x>0.3338</cdr:x>
      <cdr:y>0.18396</cdr:y>
    </cdr:from>
    <cdr:to>
      <cdr:x>0.3338</cdr:x>
      <cdr:y>0.72188</cdr:y>
    </cdr:to>
    <cdr:cxnSp macro="">
      <cdr:nvCxnSpPr>
        <cdr:cNvPr id="2" name="Straight Connector 1"/>
        <cdr:cNvCxnSpPr/>
      </cdr:nvCxnSpPr>
      <cdr:spPr>
        <a:xfrm xmlns:a="http://schemas.openxmlformats.org/drawingml/2006/main" flipV="1">
          <a:off x="1831369" y="625439"/>
          <a:ext cx="0" cy="1828800"/>
        </a:xfrm>
        <a:prstGeom xmlns:a="http://schemas.openxmlformats.org/drawingml/2006/main" prst="line">
          <a:avLst/>
        </a:prstGeom>
        <a:ln xmlns:a="http://schemas.openxmlformats.org/drawingml/2006/main" w="6350">
          <a:solidFill>
            <a:schemeClr val="tx1"/>
          </a:solidFill>
        </a:ln>
        <a:effectLst xmlns:a="http://schemas.openxmlformats.org/drawingml/2006/mai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0.1463</cdr:x>
      <cdr:y>0.04949</cdr:y>
    </cdr:from>
    <cdr:to>
      <cdr:x>0.54213</cdr:x>
      <cdr:y>0.17678</cdr:y>
    </cdr:to>
    <cdr:sp macro="" textlink="">
      <cdr:nvSpPr>
        <cdr:cNvPr id="10" name="Text Box 9"/>
        <cdr:cNvSpPr txBox="1"/>
      </cdr:nvSpPr>
      <cdr:spPr>
        <a:xfrm xmlns:a="http://schemas.openxmlformats.org/drawingml/2006/main">
          <a:off x="802669" y="168239"/>
          <a:ext cx="2171682" cy="43275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000">
              <a:latin typeface="Times New Roman"/>
              <a:cs typeface="Times New Roman"/>
            </a:rPr>
            <a:t>2000</a:t>
          </a:r>
          <a:endParaRPr lang="en-US" sz="1050">
            <a:latin typeface="Times New Roman"/>
            <a:cs typeface="Times New Roman"/>
          </a:endParaRPr>
        </a:p>
        <a:p xmlns:a="http://schemas.openxmlformats.org/drawingml/2006/main">
          <a:pPr algn="ctr"/>
          <a:r>
            <a:rPr lang="en-US" sz="1050">
              <a:latin typeface="Times New Roman"/>
              <a:cs typeface="Times New Roman"/>
            </a:rPr>
            <a:t>Outbreak of the </a:t>
          </a:r>
          <a:r>
            <a:rPr lang="en-US" sz="1000">
              <a:latin typeface="Times New Roman"/>
              <a:cs typeface="Times New Roman"/>
            </a:rPr>
            <a:t>Second</a:t>
          </a:r>
          <a:r>
            <a:rPr lang="en-US" sz="1050">
              <a:latin typeface="Times New Roman"/>
              <a:cs typeface="Times New Roman"/>
            </a:rPr>
            <a:t> Intifada</a:t>
          </a:r>
        </a:p>
      </cdr:txBody>
    </cdr:sp>
  </cdr:relSizeAnchor>
</c:userShapes>
</file>

<file path=word/drawings/drawing3.xml><?xml version="1.0" encoding="utf-8"?>
<c:userShapes xmlns:c="http://schemas.openxmlformats.org/drawingml/2006/chart">
  <cdr:relSizeAnchor xmlns:cdr="http://schemas.openxmlformats.org/drawingml/2006/chartDrawing">
    <cdr:from>
      <cdr:x>0.38258</cdr:x>
      <cdr:y>0.02551</cdr:y>
    </cdr:from>
    <cdr:to>
      <cdr:x>0.57931</cdr:x>
      <cdr:y>0.10661</cdr:y>
    </cdr:to>
    <cdr:sp macro="" textlink="">
      <cdr:nvSpPr>
        <cdr:cNvPr id="2" name="Text Box 1"/>
        <cdr:cNvSpPr txBox="1"/>
      </cdr:nvSpPr>
      <cdr:spPr>
        <a:xfrm xmlns:a="http://schemas.openxmlformats.org/drawingml/2006/main">
          <a:off x="3050090" y="103187"/>
          <a:ext cx="1568405" cy="32804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200" b="1" i="1">
              <a:latin typeface="Times New Roman"/>
              <a:cs typeface="Times New Roman"/>
            </a:rPr>
            <a:t>Agitation</a:t>
          </a:r>
          <a:r>
            <a:rPr lang="en-US" sz="1200" b="1" i="1" baseline="0">
              <a:latin typeface="Times New Roman"/>
              <a:cs typeface="Times New Roman"/>
            </a:rPr>
            <a:t> Rate</a:t>
          </a:r>
          <a:r>
            <a:rPr lang="en-US" sz="1200" b="1" i="1">
              <a:latin typeface="Times New Roman"/>
              <a:cs typeface="Times New Roman"/>
            </a:rPr>
            <a:t>=0.5</a:t>
          </a:r>
        </a:p>
      </cdr:txBody>
    </cdr:sp>
  </cdr:relSizeAnchor>
  <cdr:relSizeAnchor xmlns:cdr="http://schemas.openxmlformats.org/drawingml/2006/chartDrawing">
    <cdr:from>
      <cdr:x>0.60357</cdr:x>
      <cdr:y>0.10825</cdr:y>
    </cdr:from>
    <cdr:to>
      <cdr:x>0.6927</cdr:x>
      <cdr:y>0.16231</cdr:y>
    </cdr:to>
    <cdr:sp macro="" textlink="">
      <cdr:nvSpPr>
        <cdr:cNvPr id="4" name="Text Box 3"/>
        <cdr:cNvSpPr txBox="1"/>
      </cdr:nvSpPr>
      <cdr:spPr>
        <a:xfrm xmlns:a="http://schemas.openxmlformats.org/drawingml/2006/main">
          <a:off x="4341642" y="437857"/>
          <a:ext cx="641137" cy="21867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1" i="1">
              <a:latin typeface="Times New Roman"/>
              <a:cs typeface="Times New Roman"/>
            </a:rPr>
            <a:t>v=0.9</a:t>
          </a:r>
        </a:p>
      </cdr:txBody>
    </cdr:sp>
  </cdr:relSizeAnchor>
  <cdr:relSizeAnchor xmlns:cdr="http://schemas.openxmlformats.org/drawingml/2006/chartDrawing">
    <cdr:from>
      <cdr:x>0.21225</cdr:x>
      <cdr:y>0.14565</cdr:y>
    </cdr:from>
    <cdr:to>
      <cdr:x>0.30138</cdr:x>
      <cdr:y>0.19971</cdr:y>
    </cdr:to>
    <cdr:sp macro="" textlink="">
      <cdr:nvSpPr>
        <cdr:cNvPr id="5" name="Text Box 1"/>
        <cdr:cNvSpPr txBox="1"/>
      </cdr:nvSpPr>
      <cdr:spPr>
        <a:xfrm xmlns:a="http://schemas.openxmlformats.org/drawingml/2006/main">
          <a:off x="1361012" y="615879"/>
          <a:ext cx="571500" cy="228600"/>
        </a:xfrm>
        <a:prstGeom xmlns:a="http://schemas.openxmlformats.org/drawingml/2006/main" prst="rect">
          <a:avLst/>
        </a:prstGeom>
      </cdr:spPr>
    </cdr:sp>
  </cdr:relSizeAnchor>
  <cdr:relSizeAnchor xmlns:cdr="http://schemas.openxmlformats.org/drawingml/2006/chartDrawing">
    <cdr:from>
      <cdr:x>0.74658</cdr:x>
      <cdr:y>0.10825</cdr:y>
    </cdr:from>
    <cdr:to>
      <cdr:x>0.8357</cdr:x>
      <cdr:y>0.16231</cdr:y>
    </cdr:to>
    <cdr:sp macro="" textlink="">
      <cdr:nvSpPr>
        <cdr:cNvPr id="6" name="Text Box 5"/>
        <cdr:cNvSpPr txBox="1"/>
      </cdr:nvSpPr>
      <cdr:spPr>
        <a:xfrm xmlns:a="http://schemas.openxmlformats.org/drawingml/2006/main">
          <a:off x="5370342" y="437857"/>
          <a:ext cx="641065" cy="21867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1" i="1">
              <a:latin typeface="Times New Roman"/>
              <a:cs typeface="Times New Roman"/>
            </a:rPr>
            <a:t>v=0.7</a:t>
          </a:r>
        </a:p>
      </cdr:txBody>
    </cdr:sp>
  </cdr:relSizeAnchor>
  <cdr:relSizeAnchor xmlns:cdr="http://schemas.openxmlformats.org/drawingml/2006/chartDrawing">
    <cdr:from>
      <cdr:x>0.8908</cdr:x>
      <cdr:y>0.19128</cdr:y>
    </cdr:from>
    <cdr:to>
      <cdr:x>0.98059</cdr:x>
      <cdr:y>0.24534</cdr:y>
    </cdr:to>
    <cdr:sp macro="" textlink="">
      <cdr:nvSpPr>
        <cdr:cNvPr id="7" name="Text Box 6"/>
        <cdr:cNvSpPr txBox="1"/>
      </cdr:nvSpPr>
      <cdr:spPr>
        <a:xfrm xmlns:a="http://schemas.openxmlformats.org/drawingml/2006/main">
          <a:off x="7101850" y="773723"/>
          <a:ext cx="715829" cy="21867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1" i="1">
              <a:latin typeface="Times New Roman"/>
              <a:cs typeface="Times New Roman"/>
            </a:rPr>
            <a:t>v=0.446</a:t>
          </a:r>
        </a:p>
      </cdr:txBody>
    </cdr:sp>
  </cdr:relSizeAnchor>
  <cdr:relSizeAnchor xmlns:cdr="http://schemas.openxmlformats.org/drawingml/2006/chartDrawing">
    <cdr:from>
      <cdr:x>0.89168</cdr:x>
      <cdr:y>0.33257</cdr:y>
    </cdr:from>
    <cdr:to>
      <cdr:x>0.96091</cdr:x>
      <cdr:y>0.38663</cdr:y>
    </cdr:to>
    <cdr:sp macro="" textlink="">
      <cdr:nvSpPr>
        <cdr:cNvPr id="8" name="Text Box 7"/>
        <cdr:cNvSpPr txBox="1"/>
      </cdr:nvSpPr>
      <cdr:spPr>
        <a:xfrm xmlns:a="http://schemas.openxmlformats.org/drawingml/2006/main">
          <a:off x="7108884" y="1345223"/>
          <a:ext cx="551888" cy="21867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1" i="1">
              <a:latin typeface="Times New Roman"/>
              <a:cs typeface="Times New Roman"/>
            </a:rPr>
            <a:t>v=0.3</a:t>
          </a:r>
        </a:p>
      </cdr:txBody>
    </cdr:sp>
  </cdr:relSizeAnchor>
  <cdr:relSizeAnchor xmlns:cdr="http://schemas.openxmlformats.org/drawingml/2006/chartDrawing">
    <cdr:from>
      <cdr:x>0.89418</cdr:x>
      <cdr:y>0.56037</cdr:y>
    </cdr:from>
    <cdr:to>
      <cdr:x>0.98899</cdr:x>
      <cdr:y>0.64514</cdr:y>
    </cdr:to>
    <cdr:sp macro="" textlink="">
      <cdr:nvSpPr>
        <cdr:cNvPr id="9" name="Text Box 8"/>
        <cdr:cNvSpPr txBox="1"/>
      </cdr:nvSpPr>
      <cdr:spPr>
        <a:xfrm xmlns:a="http://schemas.openxmlformats.org/drawingml/2006/main">
          <a:off x="7128803" y="2266657"/>
          <a:ext cx="755862" cy="3429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1" i="1">
              <a:latin typeface="Times New Roman"/>
              <a:cs typeface="Times New Roman"/>
            </a:rPr>
            <a:t>v=0.0375</a:t>
          </a:r>
        </a:p>
      </cdr:txBody>
    </cdr:sp>
  </cdr:relSizeAnchor>
  <cdr:relSizeAnchor xmlns:cdr="http://schemas.openxmlformats.org/drawingml/2006/chartDrawing">
    <cdr:from>
      <cdr:x>0.89521</cdr:x>
      <cdr:y>0.48965</cdr:y>
    </cdr:from>
    <cdr:to>
      <cdr:x>0.96712</cdr:x>
      <cdr:y>0.57074</cdr:y>
    </cdr:to>
    <cdr:sp macro="" textlink="">
      <cdr:nvSpPr>
        <cdr:cNvPr id="10" name="Text Box 9"/>
        <cdr:cNvSpPr txBox="1"/>
      </cdr:nvSpPr>
      <cdr:spPr>
        <a:xfrm xmlns:a="http://schemas.openxmlformats.org/drawingml/2006/main">
          <a:off x="7137020" y="1980615"/>
          <a:ext cx="573283" cy="32800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200" b="1" i="1">
              <a:latin typeface="Times New Roman"/>
              <a:cs typeface="Times New Roman"/>
            </a:rPr>
            <a:t>v=0.1</a:t>
          </a:r>
        </a:p>
      </cdr:txBody>
    </cdr:sp>
  </cdr:relSizeAnchor>
  <cdr:relSizeAnchor xmlns:cdr="http://schemas.openxmlformats.org/drawingml/2006/chartDrawing">
    <cdr:from>
      <cdr:x>0.06705</cdr:x>
      <cdr:y>0.17867</cdr:y>
    </cdr:from>
    <cdr:to>
      <cdr:x>0.89541</cdr:x>
      <cdr:y>0.4895</cdr:y>
    </cdr:to>
    <cdr:sp macro="" textlink="">
      <cdr:nvSpPr>
        <cdr:cNvPr id="3" name="Rectangle 2"/>
        <cdr:cNvSpPr/>
      </cdr:nvSpPr>
      <cdr:spPr>
        <a:xfrm xmlns:a="http://schemas.openxmlformats.org/drawingml/2006/main">
          <a:off x="534572" y="722727"/>
          <a:ext cx="6604016" cy="1257292"/>
        </a:xfrm>
        <a:prstGeom xmlns:a="http://schemas.openxmlformats.org/drawingml/2006/main" prst="rect">
          <a:avLst/>
        </a:prstGeom>
        <a:solidFill xmlns:a="http://schemas.openxmlformats.org/drawingml/2006/main">
          <a:schemeClr val="accent5">
            <a:lumMod val="20000"/>
            <a:lumOff val="80000"/>
            <a:alpha val="38000"/>
          </a:schemeClr>
        </a:solidFill>
        <a:ln xmlns:a="http://schemas.openxmlformats.org/drawingml/2006/main">
          <a:noFill/>
        </a:ln>
        <a:effectLst xmlns:a="http://schemas.openxmlformats.org/drawingml/2006/main"/>
      </cdr:spPr>
      <cdr:style>
        <a:lnRef xmlns:a="http://schemas.openxmlformats.org/drawingml/2006/main" idx="1">
          <a:schemeClr val="accent1"/>
        </a:lnRef>
        <a:fillRef xmlns:a="http://schemas.openxmlformats.org/drawingml/2006/main" idx="3">
          <a:schemeClr val="accent1"/>
        </a:fillRef>
        <a:effectRef xmlns:a="http://schemas.openxmlformats.org/drawingml/2006/main" idx="2">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96D2B700A4B164C910A7E1A4E00FD53"/>
        <w:category>
          <w:name w:val="General"/>
          <w:gallery w:val="placeholder"/>
        </w:category>
        <w:types>
          <w:type w:val="bbPlcHdr"/>
        </w:types>
        <w:behaviors>
          <w:behavior w:val="content"/>
        </w:behaviors>
        <w:guid w:val="{5C16EF0D-B9BE-1846-892E-97B761A8C85D}"/>
      </w:docPartPr>
      <w:docPartBody>
        <w:p w14:paraId="12938789" w14:textId="2DC99DA3" w:rsidR="00070A5C" w:rsidRDefault="00070A5C" w:rsidP="00070A5C">
          <w:pPr>
            <w:pStyle w:val="096D2B700A4B164C910A7E1A4E00FD53"/>
          </w:pPr>
          <w:r w:rsidRPr="001F1C68">
            <w:rPr>
              <w:rStyle w:val="PlaceholderText"/>
            </w:rPr>
            <w:t>Click here to enter text.</w:t>
          </w:r>
        </w:p>
      </w:docPartBody>
    </w:docPart>
    <w:docPart>
      <w:docPartPr>
        <w:name w:val="269F07AAC8D8A44B96FA62F6D19C4F0D"/>
        <w:category>
          <w:name w:val="General"/>
          <w:gallery w:val="placeholder"/>
        </w:category>
        <w:types>
          <w:type w:val="bbPlcHdr"/>
        </w:types>
        <w:behaviors>
          <w:behavior w:val="content"/>
        </w:behaviors>
        <w:guid w:val="{D578B2F0-EBB6-A448-9333-F4F251D11898}"/>
      </w:docPartPr>
      <w:docPartBody>
        <w:p w14:paraId="4934E333" w14:textId="26847332" w:rsidR="00070A5C" w:rsidRDefault="00070A5C" w:rsidP="00070A5C">
          <w:pPr>
            <w:pStyle w:val="269F07AAC8D8A44B96FA62F6D19C4F0D"/>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Cambria Math">
    <w:panose1 w:val="02040503050406030204"/>
    <w:charset w:val="00"/>
    <w:family w:val="auto"/>
    <w:pitch w:val="variable"/>
    <w:sig w:usb0="E00002FF" w:usb1="420024FF"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0A5C"/>
    <w:rsid w:val="00070A5C"/>
    <w:rsid w:val="00122A64"/>
    <w:rsid w:val="00370334"/>
    <w:rsid w:val="00394923"/>
    <w:rsid w:val="0048761C"/>
    <w:rsid w:val="004A2F4C"/>
    <w:rsid w:val="0053475A"/>
    <w:rsid w:val="006E79C2"/>
    <w:rsid w:val="0085205D"/>
    <w:rsid w:val="00B577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70A5C"/>
    <w:rPr>
      <w:color w:val="808080"/>
    </w:rPr>
  </w:style>
  <w:style w:type="paragraph" w:customStyle="1" w:styleId="096D2B700A4B164C910A7E1A4E00FD53">
    <w:name w:val="096D2B700A4B164C910A7E1A4E00FD53"/>
    <w:rsid w:val="00070A5C"/>
  </w:style>
  <w:style w:type="paragraph" w:customStyle="1" w:styleId="D69B594CA4F68449A4DB7866C4A3DDC9">
    <w:name w:val="D69B594CA4F68449A4DB7866C4A3DDC9"/>
    <w:rsid w:val="00070A5C"/>
  </w:style>
  <w:style w:type="paragraph" w:customStyle="1" w:styleId="05A4F373590CF248A6E678F39E9227BD">
    <w:name w:val="05A4F373590CF248A6E678F39E9227BD"/>
    <w:rsid w:val="00070A5C"/>
  </w:style>
  <w:style w:type="paragraph" w:customStyle="1" w:styleId="92A5703EF437054BB7B4838637DC0A50">
    <w:name w:val="92A5703EF437054BB7B4838637DC0A50"/>
    <w:rsid w:val="00070A5C"/>
  </w:style>
  <w:style w:type="paragraph" w:customStyle="1" w:styleId="68CCDB8F1538C64CADC7A027E7A23307">
    <w:name w:val="68CCDB8F1538C64CADC7A027E7A23307"/>
    <w:rsid w:val="00070A5C"/>
  </w:style>
  <w:style w:type="paragraph" w:customStyle="1" w:styleId="3F19CB220D0F4D4883BAEA093ED62BFD">
    <w:name w:val="3F19CB220D0F4D4883BAEA093ED62BFD"/>
    <w:rsid w:val="00070A5C"/>
  </w:style>
  <w:style w:type="paragraph" w:customStyle="1" w:styleId="D51D8F53EE70AB4BA7D3861E3FB65155">
    <w:name w:val="D51D8F53EE70AB4BA7D3861E3FB65155"/>
    <w:rsid w:val="00070A5C"/>
  </w:style>
  <w:style w:type="paragraph" w:customStyle="1" w:styleId="0DCAC48DFEDE9E4B9192D8A39BFF2120">
    <w:name w:val="0DCAC48DFEDE9E4B9192D8A39BFF2120"/>
    <w:rsid w:val="00070A5C"/>
  </w:style>
  <w:style w:type="paragraph" w:customStyle="1" w:styleId="9DE1F84189717E49910743DD81AE71AD">
    <w:name w:val="9DE1F84189717E49910743DD81AE71AD"/>
    <w:rsid w:val="00070A5C"/>
  </w:style>
  <w:style w:type="paragraph" w:customStyle="1" w:styleId="E1DED3050718E644A53F6CF4F2E98A19">
    <w:name w:val="E1DED3050718E644A53F6CF4F2E98A19"/>
    <w:rsid w:val="00070A5C"/>
  </w:style>
  <w:style w:type="paragraph" w:customStyle="1" w:styleId="B3FB4555087E2146BA6A0184845ED671">
    <w:name w:val="B3FB4555087E2146BA6A0184845ED671"/>
    <w:rsid w:val="00070A5C"/>
  </w:style>
  <w:style w:type="paragraph" w:customStyle="1" w:styleId="1BAF123947CE3246A168F90DAA05FD62">
    <w:name w:val="1BAF123947CE3246A168F90DAA05FD62"/>
    <w:rsid w:val="00070A5C"/>
  </w:style>
  <w:style w:type="paragraph" w:customStyle="1" w:styleId="BA382B443C9157479DB337BF702BA75D">
    <w:name w:val="BA382B443C9157479DB337BF702BA75D"/>
    <w:rsid w:val="00070A5C"/>
  </w:style>
  <w:style w:type="paragraph" w:customStyle="1" w:styleId="269F07AAC8D8A44B96FA62F6D19C4F0D">
    <w:name w:val="269F07AAC8D8A44B96FA62F6D19C4F0D"/>
    <w:rsid w:val="00070A5C"/>
  </w:style>
  <w:style w:type="paragraph" w:customStyle="1" w:styleId="20ACFFE66125A34EBB059482FDD4EFE9">
    <w:name w:val="20ACFFE66125A34EBB059482FDD4EFE9"/>
    <w:rsid w:val="00122A64"/>
  </w:style>
  <w:style w:type="paragraph" w:customStyle="1" w:styleId="BF8A468D8BEF964D8ED814CCFE9B2A3F">
    <w:name w:val="BF8A468D8BEF964D8ED814CCFE9B2A3F"/>
    <w:rsid w:val="00122A64"/>
  </w:style>
  <w:style w:type="paragraph" w:customStyle="1" w:styleId="1D21A485DB376346917F55D5604A03B8">
    <w:name w:val="1D21A485DB376346917F55D5604A03B8"/>
    <w:rsid w:val="00122A64"/>
  </w:style>
  <w:style w:type="paragraph" w:customStyle="1" w:styleId="F01CA1803AC4774F89E72A8AFDF1305A">
    <w:name w:val="F01CA1803AC4774F89E72A8AFDF1305A"/>
    <w:rsid w:val="00122A64"/>
  </w:style>
  <w:style w:type="paragraph" w:customStyle="1" w:styleId="3A97A135762D4C43B60E377920D3BF3F">
    <w:name w:val="3A97A135762D4C43B60E377920D3BF3F"/>
    <w:rsid w:val="00122A64"/>
  </w:style>
  <w:style w:type="paragraph" w:customStyle="1" w:styleId="24473F6AF4F9C041865A4C7068F9C53C">
    <w:name w:val="24473F6AF4F9C041865A4C7068F9C53C"/>
    <w:rsid w:val="00122A64"/>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70A5C"/>
    <w:rPr>
      <w:color w:val="808080"/>
    </w:rPr>
  </w:style>
  <w:style w:type="paragraph" w:customStyle="1" w:styleId="096D2B700A4B164C910A7E1A4E00FD53">
    <w:name w:val="096D2B700A4B164C910A7E1A4E00FD53"/>
    <w:rsid w:val="00070A5C"/>
  </w:style>
  <w:style w:type="paragraph" w:customStyle="1" w:styleId="D69B594CA4F68449A4DB7866C4A3DDC9">
    <w:name w:val="D69B594CA4F68449A4DB7866C4A3DDC9"/>
    <w:rsid w:val="00070A5C"/>
  </w:style>
  <w:style w:type="paragraph" w:customStyle="1" w:styleId="05A4F373590CF248A6E678F39E9227BD">
    <w:name w:val="05A4F373590CF248A6E678F39E9227BD"/>
    <w:rsid w:val="00070A5C"/>
  </w:style>
  <w:style w:type="paragraph" w:customStyle="1" w:styleId="92A5703EF437054BB7B4838637DC0A50">
    <w:name w:val="92A5703EF437054BB7B4838637DC0A50"/>
    <w:rsid w:val="00070A5C"/>
  </w:style>
  <w:style w:type="paragraph" w:customStyle="1" w:styleId="68CCDB8F1538C64CADC7A027E7A23307">
    <w:name w:val="68CCDB8F1538C64CADC7A027E7A23307"/>
    <w:rsid w:val="00070A5C"/>
  </w:style>
  <w:style w:type="paragraph" w:customStyle="1" w:styleId="3F19CB220D0F4D4883BAEA093ED62BFD">
    <w:name w:val="3F19CB220D0F4D4883BAEA093ED62BFD"/>
    <w:rsid w:val="00070A5C"/>
  </w:style>
  <w:style w:type="paragraph" w:customStyle="1" w:styleId="D51D8F53EE70AB4BA7D3861E3FB65155">
    <w:name w:val="D51D8F53EE70AB4BA7D3861E3FB65155"/>
    <w:rsid w:val="00070A5C"/>
  </w:style>
  <w:style w:type="paragraph" w:customStyle="1" w:styleId="0DCAC48DFEDE9E4B9192D8A39BFF2120">
    <w:name w:val="0DCAC48DFEDE9E4B9192D8A39BFF2120"/>
    <w:rsid w:val="00070A5C"/>
  </w:style>
  <w:style w:type="paragraph" w:customStyle="1" w:styleId="9DE1F84189717E49910743DD81AE71AD">
    <w:name w:val="9DE1F84189717E49910743DD81AE71AD"/>
    <w:rsid w:val="00070A5C"/>
  </w:style>
  <w:style w:type="paragraph" w:customStyle="1" w:styleId="E1DED3050718E644A53F6CF4F2E98A19">
    <w:name w:val="E1DED3050718E644A53F6CF4F2E98A19"/>
    <w:rsid w:val="00070A5C"/>
  </w:style>
  <w:style w:type="paragraph" w:customStyle="1" w:styleId="B3FB4555087E2146BA6A0184845ED671">
    <w:name w:val="B3FB4555087E2146BA6A0184845ED671"/>
    <w:rsid w:val="00070A5C"/>
  </w:style>
  <w:style w:type="paragraph" w:customStyle="1" w:styleId="1BAF123947CE3246A168F90DAA05FD62">
    <w:name w:val="1BAF123947CE3246A168F90DAA05FD62"/>
    <w:rsid w:val="00070A5C"/>
  </w:style>
  <w:style w:type="paragraph" w:customStyle="1" w:styleId="BA382B443C9157479DB337BF702BA75D">
    <w:name w:val="BA382B443C9157479DB337BF702BA75D"/>
    <w:rsid w:val="00070A5C"/>
  </w:style>
  <w:style w:type="paragraph" w:customStyle="1" w:styleId="269F07AAC8D8A44B96FA62F6D19C4F0D">
    <w:name w:val="269F07AAC8D8A44B96FA62F6D19C4F0D"/>
    <w:rsid w:val="00070A5C"/>
  </w:style>
  <w:style w:type="paragraph" w:customStyle="1" w:styleId="20ACFFE66125A34EBB059482FDD4EFE9">
    <w:name w:val="20ACFFE66125A34EBB059482FDD4EFE9"/>
    <w:rsid w:val="00122A64"/>
  </w:style>
  <w:style w:type="paragraph" w:customStyle="1" w:styleId="BF8A468D8BEF964D8ED814CCFE9B2A3F">
    <w:name w:val="BF8A468D8BEF964D8ED814CCFE9B2A3F"/>
    <w:rsid w:val="00122A64"/>
  </w:style>
  <w:style w:type="paragraph" w:customStyle="1" w:styleId="1D21A485DB376346917F55D5604A03B8">
    <w:name w:val="1D21A485DB376346917F55D5604A03B8"/>
    <w:rsid w:val="00122A64"/>
  </w:style>
  <w:style w:type="paragraph" w:customStyle="1" w:styleId="F01CA1803AC4774F89E72A8AFDF1305A">
    <w:name w:val="F01CA1803AC4774F89E72A8AFDF1305A"/>
    <w:rsid w:val="00122A64"/>
  </w:style>
  <w:style w:type="paragraph" w:customStyle="1" w:styleId="3A97A135762D4C43B60E377920D3BF3F">
    <w:name w:val="3A97A135762D4C43B60E377920D3BF3F"/>
    <w:rsid w:val="00122A64"/>
  </w:style>
  <w:style w:type="paragraph" w:customStyle="1" w:styleId="24473F6AF4F9C041865A4C7068F9C53C">
    <w:name w:val="24473F6AF4F9C041865A4C7068F9C53C"/>
    <w:rsid w:val="00122A6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BF4C983E-A615-7847-A054-3A3D018C1A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139</Pages>
  <Words>31497</Words>
  <Characters>179539</Characters>
  <Application>Microsoft Macintosh Word</Application>
  <DocSecurity>0</DocSecurity>
  <Lines>1496</Lines>
  <Paragraphs>421</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
      <vt:lpstr>Acknowledgements</vt:lpstr>
      <vt:lpstr>List of Tables</vt:lpstr>
      <vt:lpstr>Abstract</vt:lpstr>
      <vt:lpstr>Introduction</vt:lpstr>
      <vt:lpstr>Chapter 1- Establishing a Cycle of Violence: Israel’s Economic and Political Rel</vt:lpstr>
      <vt:lpstr>    1.1 Literature Review</vt:lpstr>
      <vt:lpstr>    1.2 Israel’s Economic Management of the Palestinian Territories: 1967-1993</vt:lpstr>
      <vt:lpstr>    1.3 A Necessary Evil: The Determinants and Consequences of Extraordinary Defense</vt:lpstr>
      <vt:lpstr>        The Social Costs of Israel’s Extraordinary Defense Burden</vt:lpstr>
      <vt:lpstr>Chapter 2: The Israeli Control Regime After the Oslo Accords: Cyclical Violence </vt:lpstr>
      <vt:lpstr>    2.1 Unrealized Peace Dividends: the Oslo Accords and the Potential Benefits of P</vt:lpstr>
      <vt:lpstr>    2.2 Cyclical Violence After the Oslo Accords and The Israeli Closure Regime</vt:lpstr>
      <vt:lpstr>        The Paris Protocol</vt:lpstr>
      <vt:lpstr>    2.3 Restricting Palestinian Mobility as Counter-Insurgency: The Oslo Accords, Th</vt:lpstr>
      <vt:lpstr>    </vt:lpstr>
      <vt:lpstr>    2.4 Unemployment and Violence After the Imposition of Mobility Restrictions </vt:lpstr>
      <vt:lpstr>Chapter 3: Modeling the Effects of Integrating More Palestinians into the Israel</vt:lpstr>
    </vt:vector>
  </TitlesOfParts>
  <Company/>
  <LinksUpToDate>false</LinksUpToDate>
  <CharactersWithSpaces>210615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Moses</dc:creator>
  <cp:keywords/>
  <dc:description/>
  <cp:lastModifiedBy>Daniel Moses</cp:lastModifiedBy>
  <cp:revision>2</cp:revision>
  <cp:lastPrinted>2016-05-13T16:25:00Z</cp:lastPrinted>
  <dcterms:created xsi:type="dcterms:W3CDTF">2016-05-13T16:45:00Z</dcterms:created>
  <dcterms:modified xsi:type="dcterms:W3CDTF">2016-05-13T16:45:00Z</dcterms:modified>
</cp:coreProperties>
</file>