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D0191" w14:textId="63DC1F63" w:rsidR="00017C55" w:rsidRPr="007E6923" w:rsidRDefault="00017C55" w:rsidP="00017C55">
      <w:pPr>
        <w:pStyle w:val="Heading1"/>
        <w:rPr>
          <w:rStyle w:val="Heading1Char"/>
          <w:bCs/>
          <w:sz w:val="48"/>
        </w:rPr>
      </w:pPr>
      <w:r w:rsidRPr="007E6923">
        <w:rPr>
          <w:rStyle w:val="Heading1Char"/>
          <w:bCs/>
          <w:sz w:val="48"/>
        </w:rPr>
        <w:t>Concerning Playing on the Bass with All Instruments and Their Use in the Ensemble</w:t>
      </w:r>
    </w:p>
    <w:p w14:paraId="5C0868DE" w14:textId="77777777" w:rsidR="007E6923" w:rsidRDefault="00017C55" w:rsidP="007E6923">
      <w:pPr>
        <w:jc w:val="center"/>
      </w:pPr>
      <w:r w:rsidRPr="008652DB">
        <w:rPr>
          <w:rStyle w:val="Heading1Char"/>
          <w:rFonts w:ascii="Aptos" w:hAnsi="Aptos"/>
          <w:bCs w:val="0"/>
          <w:noProof/>
          <w:sz w:val="24"/>
          <w:szCs w:val="22"/>
        </w:rPr>
        <w:drawing>
          <wp:inline distT="0" distB="0" distL="0" distR="0" wp14:anchorId="43C49BAB" wp14:editId="401A7CB7">
            <wp:extent cx="3424555" cy="4114800"/>
            <wp:effectExtent l="0" t="0" r="4445" b="0"/>
            <wp:docPr id="2" name="Picture 2" descr="Original title page showing Italian title &quot;Del sonare sopra 'l basso con tutti li stromenti e dell' uso loro nel concert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riginal title page showing Italian title &quot;Del sonare sopra 'l basso con tutti li stromenti e dell' uso loro nel concerto&quo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4555" cy="4114800"/>
                    </a:xfrm>
                    <a:prstGeom prst="rect">
                      <a:avLst/>
                    </a:prstGeom>
                    <a:noFill/>
                    <a:ln>
                      <a:noFill/>
                    </a:ln>
                  </pic:spPr>
                </pic:pic>
              </a:graphicData>
            </a:graphic>
          </wp:inline>
        </w:drawing>
      </w:r>
    </w:p>
    <w:p w14:paraId="5ED6A89B" w14:textId="65D29E1B" w:rsidR="00017C55" w:rsidRDefault="00017C55" w:rsidP="007E6923">
      <w:pPr>
        <w:jc w:val="center"/>
      </w:pPr>
      <w:r w:rsidRPr="00017C55">
        <w:t xml:space="preserve">By Agostino </w:t>
      </w:r>
      <w:proofErr w:type="spellStart"/>
      <w:r w:rsidRPr="00017C55">
        <w:t>Agazzari</w:t>
      </w:r>
      <w:proofErr w:type="spellEnd"/>
    </w:p>
    <w:p w14:paraId="4E74132B" w14:textId="22F24D33" w:rsidR="00D627E9" w:rsidRDefault="00E50EB1" w:rsidP="008E77A1">
      <w:pPr>
        <w:jc w:val="center"/>
      </w:pPr>
      <w:r w:rsidRPr="008E77A1">
        <w:t xml:space="preserve">Translated </w:t>
      </w:r>
      <w:r w:rsidR="008652DB">
        <w:t xml:space="preserve">and </w:t>
      </w:r>
      <w:proofErr w:type="gramStart"/>
      <w:r w:rsidR="008652DB">
        <w:t>Annotated</w:t>
      </w:r>
      <w:proofErr w:type="gramEnd"/>
      <w:r w:rsidR="008652DB">
        <w:t xml:space="preserve"> </w:t>
      </w:r>
      <w:r w:rsidRPr="008E77A1">
        <w:t>by</w:t>
      </w:r>
      <w:r w:rsidR="006E32C5" w:rsidRPr="008E77A1">
        <w:t xml:space="preserve"> </w:t>
      </w:r>
      <w:r w:rsidR="00532CBD">
        <w:t xml:space="preserve">Dr. Sion M. (Ted) </w:t>
      </w:r>
      <w:r w:rsidRPr="008E77A1">
        <w:t>Honea</w:t>
      </w:r>
    </w:p>
    <w:p w14:paraId="238A1CF9" w14:textId="2ADC7B68" w:rsidR="00D627E9" w:rsidRDefault="00D627E9" w:rsidP="008E77A1">
      <w:pPr>
        <w:jc w:val="center"/>
        <w:sectPr w:rsidR="00D627E9" w:rsidSect="00017C55">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pPr>
      <w:r w:rsidRPr="00D627E9">
        <w:t>© 2021 Ted Honea</w:t>
      </w:r>
    </w:p>
    <w:p w14:paraId="4C2D6362" w14:textId="363B735F" w:rsidR="00E50EB1" w:rsidRPr="00532CBD" w:rsidRDefault="006E32C5" w:rsidP="00532CBD">
      <w:pPr>
        <w:pStyle w:val="Heading2"/>
      </w:pPr>
      <w:r w:rsidRPr="00532CBD">
        <w:lastRenderedPageBreak/>
        <w:t xml:space="preserve">Translator’s </w:t>
      </w:r>
      <w:r w:rsidR="00E50EB1" w:rsidRPr="00532CBD">
        <w:t>Preface</w:t>
      </w:r>
    </w:p>
    <w:p w14:paraId="044A7A00" w14:textId="6C8A787F" w:rsidR="00467769" w:rsidRPr="008E77A1" w:rsidRDefault="00467769" w:rsidP="008E77A1">
      <w:r w:rsidRPr="008E77A1">
        <w:tab/>
        <w:t xml:space="preserve">In brief, Agostino </w:t>
      </w:r>
      <w:proofErr w:type="spellStart"/>
      <w:r w:rsidRPr="008E77A1">
        <w:t>Agazzari</w:t>
      </w:r>
      <w:proofErr w:type="spellEnd"/>
      <w:r w:rsidRPr="008E77A1">
        <w:t xml:space="preserve"> (ca.1580-1642) was a well-respected composer and theorist born in Siena.</w:t>
      </w:r>
      <w:r w:rsidR="00532CBD">
        <w:t xml:space="preserve"> </w:t>
      </w:r>
      <w:r w:rsidRPr="008E77A1">
        <w:t xml:space="preserve">His </w:t>
      </w:r>
      <w:r w:rsidRPr="00532CBD">
        <w:rPr>
          <w:szCs w:val="24"/>
        </w:rPr>
        <w:t>early</w:t>
      </w:r>
      <w:r w:rsidRPr="008E77A1">
        <w:t xml:space="preserve"> training and career were in Siena, but he soon left for Rome where he was </w:t>
      </w:r>
      <w:r w:rsidRPr="00532CBD">
        <w:rPr>
          <w:szCs w:val="24"/>
        </w:rPr>
        <w:t>associated</w:t>
      </w:r>
      <w:r w:rsidRPr="008E77A1">
        <w:t xml:space="preserve"> with the Jesuits’ Collegio </w:t>
      </w:r>
      <w:proofErr w:type="spellStart"/>
      <w:r w:rsidRPr="008E77A1">
        <w:t>Germanico</w:t>
      </w:r>
      <w:proofErr w:type="spellEnd"/>
      <w:r w:rsidRPr="008E77A1">
        <w:t xml:space="preserve"> and later the Seminario Romano.</w:t>
      </w:r>
      <w:r w:rsidR="00532CBD">
        <w:t xml:space="preserve"> </w:t>
      </w:r>
      <w:r w:rsidRPr="008E77A1">
        <w:t xml:space="preserve">In 1607 he returned to intermittent positions in Siena and was ultimately appointed maestro di </w:t>
      </w:r>
      <w:proofErr w:type="spellStart"/>
      <w:r w:rsidRPr="008E77A1">
        <w:t>capella</w:t>
      </w:r>
      <w:proofErr w:type="spellEnd"/>
      <w:r w:rsidRPr="008E77A1">
        <w:t xml:space="preserve"> of the Cathedral of Siena in 1641, shortly before his death.</w:t>
      </w:r>
      <w:r w:rsidRPr="00766702">
        <w:rPr>
          <w:rStyle w:val="FootnoteReference"/>
        </w:rPr>
        <w:footnoteReference w:id="1"/>
      </w:r>
    </w:p>
    <w:p w14:paraId="38370BD8" w14:textId="68F37CB8" w:rsidR="00467769" w:rsidRPr="008E77A1" w:rsidRDefault="00467769" w:rsidP="008E77A1">
      <w:r w:rsidRPr="008E77A1">
        <w:tab/>
        <w:t xml:space="preserve">In the same </w:t>
      </w:r>
      <w:r w:rsidR="00685583" w:rsidRPr="008E77A1">
        <w:t xml:space="preserve">Grove </w:t>
      </w:r>
      <w:r w:rsidRPr="008E77A1">
        <w:t>article</w:t>
      </w:r>
      <w:r w:rsidR="00B93FC4" w:rsidRPr="008E77A1">
        <w:t>,</w:t>
      </w:r>
      <w:r w:rsidRPr="008E77A1">
        <w:t xml:space="preserve"> Colleen Reardon reports that he attended centenary cel</w:t>
      </w:r>
      <w:r w:rsidR="00B93FC4" w:rsidRPr="008E77A1">
        <w:t>e</w:t>
      </w:r>
      <w:r w:rsidRPr="008E77A1">
        <w:t xml:space="preserve">brations of Siena’s Accademia degli </w:t>
      </w:r>
      <w:proofErr w:type="spellStart"/>
      <w:r w:rsidRPr="008E77A1">
        <w:t>Intronati</w:t>
      </w:r>
      <w:proofErr w:type="spellEnd"/>
      <w:r w:rsidRPr="008E77A1">
        <w:t xml:space="preserve"> in 1604.</w:t>
      </w:r>
      <w:r w:rsidR="00532CBD">
        <w:t xml:space="preserve"> </w:t>
      </w:r>
      <w:r w:rsidRPr="008E77A1">
        <w:t>The academy itself dates its inception to 1525.</w:t>
      </w:r>
      <w:r w:rsidRPr="00766702">
        <w:rPr>
          <w:rStyle w:val="FootnoteReference"/>
        </w:rPr>
        <w:footnoteReference w:id="2"/>
      </w:r>
      <w:r w:rsidR="00532CBD">
        <w:rPr>
          <w:rStyle w:val="FootnoteReference"/>
        </w:rPr>
        <w:t xml:space="preserve"> </w:t>
      </w:r>
      <w:r w:rsidRPr="008E77A1">
        <w:t>According to its own history, it was founded by those who wished to withdraw from the world’s clamor because they felt bewildered and stunned (</w:t>
      </w:r>
      <w:proofErr w:type="spellStart"/>
      <w:r w:rsidRPr="008E77A1">
        <w:t>intronati</w:t>
      </w:r>
      <w:proofErr w:type="spellEnd"/>
      <w:r w:rsidRPr="008E77A1">
        <w:t>), in order to devote themselves to commedia</w:t>
      </w:r>
      <w:r w:rsidRPr="00766702">
        <w:rPr>
          <w:rStyle w:val="FootnoteReference"/>
        </w:rPr>
        <w:footnoteReference w:id="3"/>
      </w:r>
      <w:r w:rsidRPr="00766702">
        <w:rPr>
          <w:rStyle w:val="FootnoteReference"/>
        </w:rPr>
        <w:t xml:space="preserve"> </w:t>
      </w:r>
      <w:r w:rsidR="00802498" w:rsidRPr="008E77A1">
        <w:t>and the study of language and literature.</w:t>
      </w:r>
    </w:p>
    <w:p w14:paraId="32CE4000" w14:textId="25D871CC" w:rsidR="00802498" w:rsidRPr="008E77A1" w:rsidRDefault="00802498" w:rsidP="008E77A1">
      <w:r w:rsidRPr="008E77A1">
        <w:tab/>
        <w:t xml:space="preserve">The only relevance of the Accademia for the present purpose is its possible connection with </w:t>
      </w:r>
      <w:proofErr w:type="spellStart"/>
      <w:r w:rsidRPr="008E77A1">
        <w:t>Agazzari’s</w:t>
      </w:r>
      <w:proofErr w:type="spellEnd"/>
      <w:r w:rsidRPr="008E77A1">
        <w:t xml:space="preserve"> book, the title page of which states “Dell’ Ill. Sig. Agostino Agazzari, </w:t>
      </w:r>
      <w:proofErr w:type="spellStart"/>
      <w:r w:rsidRPr="008E77A1">
        <w:t>Sanese</w:t>
      </w:r>
      <w:proofErr w:type="spellEnd"/>
      <w:r w:rsidRPr="008E77A1">
        <w:t xml:space="preserve">, Armonico </w:t>
      </w:r>
      <w:proofErr w:type="spellStart"/>
      <w:r w:rsidRPr="008E77A1">
        <w:t>Intronato</w:t>
      </w:r>
      <w:proofErr w:type="spellEnd"/>
      <w:r w:rsidRPr="008E77A1">
        <w:t>,” with an allusion to the lat</w:t>
      </w:r>
      <w:r w:rsidR="00B93FC4" w:rsidRPr="008E77A1">
        <w:t>t</w:t>
      </w:r>
      <w:r w:rsidRPr="008E77A1">
        <w:t>er two words appearing also on the first page of the text.</w:t>
      </w:r>
      <w:r w:rsidR="00532CBD">
        <w:t xml:space="preserve"> </w:t>
      </w:r>
      <w:r w:rsidRPr="008E77A1">
        <w:t>This may indicate some connection to the celebrations of the Accademia in 1604.</w:t>
      </w:r>
      <w:r w:rsidR="00532CBD">
        <w:t xml:space="preserve"> </w:t>
      </w:r>
      <w:r w:rsidRPr="008E77A1">
        <w:t xml:space="preserve">Gloria Rose observes that Adriano </w:t>
      </w:r>
      <w:proofErr w:type="spellStart"/>
      <w:r w:rsidRPr="008E77A1">
        <w:t>Banchieri</w:t>
      </w:r>
      <w:proofErr w:type="spellEnd"/>
      <w:r w:rsidRPr="008E77A1">
        <w:t xml:space="preserve"> wrote in 1604 that </w:t>
      </w:r>
      <w:proofErr w:type="spellStart"/>
      <w:r w:rsidRPr="008E77A1">
        <w:t>Agazzari</w:t>
      </w:r>
      <w:proofErr w:type="spellEnd"/>
      <w:r w:rsidRPr="008E77A1">
        <w:t xml:space="preserve"> intended soon to publish a treatise on the subject of voices and instruments in ensemble playing.</w:t>
      </w:r>
      <w:r w:rsidRPr="00766702">
        <w:rPr>
          <w:rStyle w:val="FootnoteReference"/>
        </w:rPr>
        <w:footnoteReference w:id="4"/>
      </w:r>
      <w:r w:rsidR="00532CBD">
        <w:t xml:space="preserve"> </w:t>
      </w:r>
      <w:r w:rsidRPr="008E77A1">
        <w:t>Strunk as revised by Murata do</w:t>
      </w:r>
      <w:r w:rsidR="00B93FC4" w:rsidRPr="008E77A1">
        <w:t>es</w:t>
      </w:r>
      <w:r w:rsidRPr="008E77A1">
        <w:t xml:space="preserve"> not translate the allusion.</w:t>
      </w:r>
      <w:r w:rsidRPr="00766702">
        <w:rPr>
          <w:rStyle w:val="FootnoteReference"/>
        </w:rPr>
        <w:footnoteReference w:id="5"/>
      </w:r>
      <w:r w:rsidR="00532CBD">
        <w:t xml:space="preserve"> </w:t>
      </w:r>
      <w:r w:rsidRPr="008E77A1">
        <w:t xml:space="preserve">Grammatically both </w:t>
      </w:r>
      <w:proofErr w:type="spellStart"/>
      <w:r w:rsidRPr="008E77A1">
        <w:t>arm</w:t>
      </w:r>
      <w:r w:rsidR="00B93FC4" w:rsidRPr="008E77A1">
        <w:t>o</w:t>
      </w:r>
      <w:r w:rsidRPr="008E77A1">
        <w:t>nico</w:t>
      </w:r>
      <w:proofErr w:type="spellEnd"/>
      <w:r w:rsidRPr="008E77A1">
        <w:t xml:space="preserve"> and </w:t>
      </w:r>
      <w:proofErr w:type="spellStart"/>
      <w:r w:rsidRPr="008E77A1">
        <w:t>intronato</w:t>
      </w:r>
      <w:proofErr w:type="spellEnd"/>
      <w:r w:rsidRPr="008E77A1">
        <w:t xml:space="preserve"> are adjectives, though the Cambridge dictionary cites the latter in the plural as a noun as used for the members of the Accademia.</w:t>
      </w:r>
      <w:r w:rsidR="00532CBD">
        <w:t xml:space="preserve"> </w:t>
      </w:r>
      <w:r w:rsidRPr="008E77A1">
        <w:t xml:space="preserve">In speculation, perhaps </w:t>
      </w:r>
      <w:proofErr w:type="spellStart"/>
      <w:r w:rsidRPr="008E77A1">
        <w:t>Agazzari</w:t>
      </w:r>
      <w:proofErr w:type="spellEnd"/>
      <w:r w:rsidRPr="008E77A1">
        <w:t xml:space="preserve"> intends “dell’ Armonico </w:t>
      </w:r>
      <w:proofErr w:type="spellStart"/>
      <w:r w:rsidRPr="008E77A1">
        <w:t>Intronato</w:t>
      </w:r>
      <w:proofErr w:type="spellEnd"/>
      <w:r w:rsidRPr="008E77A1">
        <w:t xml:space="preserve">” as something like “by one harmonically stunned,” that being itself an allusion to </w:t>
      </w:r>
      <w:proofErr w:type="spellStart"/>
      <w:r w:rsidRPr="008E77A1">
        <w:t>Agazzari’s</w:t>
      </w:r>
      <w:proofErr w:type="spellEnd"/>
      <w:r w:rsidRPr="008E77A1">
        <w:t xml:space="preserve"> </w:t>
      </w:r>
      <w:r w:rsidRPr="008E77A1">
        <w:lastRenderedPageBreak/>
        <w:t>criticism of current harmonic practice, such as his book discusses.</w:t>
      </w:r>
      <w:r w:rsidR="00532CBD">
        <w:t xml:space="preserve"> </w:t>
      </w:r>
      <w:r w:rsidR="00685583" w:rsidRPr="008E77A1">
        <w:t xml:space="preserve">Rather more plausibly is a simpler explanation—Armonico is an instance of commonplace Italianized borrowing from Latin, </w:t>
      </w:r>
      <w:proofErr w:type="spellStart"/>
      <w:r w:rsidR="00685583" w:rsidRPr="008E77A1">
        <w:t>harmonicus</w:t>
      </w:r>
      <w:proofErr w:type="spellEnd"/>
      <w:r w:rsidR="00685583" w:rsidRPr="008E77A1">
        <w:t xml:space="preserve">, one involved with harmony and so “the </w:t>
      </w:r>
      <w:r w:rsidR="00652666" w:rsidRPr="008E77A1">
        <w:t xml:space="preserve">harmonic or musical </w:t>
      </w:r>
      <w:proofErr w:type="spellStart"/>
      <w:r w:rsidR="00685583" w:rsidRPr="008E77A1">
        <w:t>Intronato</w:t>
      </w:r>
      <w:proofErr w:type="spellEnd"/>
      <w:r w:rsidR="00685583" w:rsidRPr="008E77A1">
        <w:t>.”</w:t>
      </w:r>
    </w:p>
    <w:p w14:paraId="2D7A145F" w14:textId="3ADB27E5" w:rsidR="00B93FC4" w:rsidRPr="008E77A1" w:rsidRDefault="00B93FC4" w:rsidP="008E77A1">
      <w:r w:rsidRPr="008E77A1">
        <w:tab/>
      </w:r>
      <w:proofErr w:type="spellStart"/>
      <w:r w:rsidRPr="008E77A1">
        <w:t>Agazzari’s</w:t>
      </w:r>
      <w:proofErr w:type="spellEnd"/>
      <w:r w:rsidRPr="008E77A1">
        <w:t xml:space="preserve"> book is amazingly informative, especially considering its extreme brevity—only ten pages.</w:t>
      </w:r>
      <w:r w:rsidR="00532CBD">
        <w:t xml:space="preserve"> </w:t>
      </w:r>
      <w:r w:rsidRPr="008E77A1">
        <w:t xml:space="preserve">The title is somewhat misleading because it is far from being devoted solely to </w:t>
      </w:r>
      <w:proofErr w:type="spellStart"/>
      <w:r w:rsidRPr="008E77A1">
        <w:t>continuo</w:t>
      </w:r>
      <w:proofErr w:type="spellEnd"/>
      <w:r w:rsidRPr="008E77A1">
        <w:t xml:space="preserve"> playing.</w:t>
      </w:r>
      <w:r w:rsidR="00532CBD">
        <w:t xml:space="preserve"> </w:t>
      </w:r>
      <w:r w:rsidRPr="008E77A1">
        <w:t>He divides instruments into two classes, foundational (continuo) and ornamental (melodic).</w:t>
      </w:r>
      <w:r w:rsidR="00532CBD">
        <w:t xml:space="preserve"> </w:t>
      </w:r>
      <w:r w:rsidRPr="008E77A1">
        <w:t>His remarks specifically on figured bass, though historically very important, are quite brief comparatively.</w:t>
      </w:r>
      <w:r w:rsidR="00532CBD">
        <w:t xml:space="preserve"> </w:t>
      </w:r>
      <w:r w:rsidRPr="008E77A1">
        <w:t>Arguably more important for continuo playing are his descriptions of their performance:</w:t>
      </w:r>
      <w:r w:rsidR="00532CBD">
        <w:t xml:space="preserve"> </w:t>
      </w:r>
      <w:r w:rsidRPr="008E77A1">
        <w:t>by creation of a figured bass line, by reproducing all the parts as a kind o</w:t>
      </w:r>
      <w:r w:rsidR="00685583" w:rsidRPr="008E77A1">
        <w:t>f</w:t>
      </w:r>
      <w:r w:rsidRPr="008E77A1">
        <w:t xml:space="preserve"> choral score, and by producing from the choral parts a kind of harmonic reduction.</w:t>
      </w:r>
      <w:r w:rsidR="00532CBD">
        <w:t xml:space="preserve"> </w:t>
      </w:r>
      <w:r w:rsidRPr="008E77A1">
        <w:t xml:space="preserve">Improvisation is also characteristic of both continuo and melodic instruments, and </w:t>
      </w:r>
      <w:proofErr w:type="spellStart"/>
      <w:r w:rsidRPr="008E77A1">
        <w:t>Agazzari</w:t>
      </w:r>
      <w:proofErr w:type="spellEnd"/>
      <w:r w:rsidRPr="008E77A1">
        <w:t xml:space="preserve"> makes important suggestions on practice.</w:t>
      </w:r>
      <w:r w:rsidR="00532CBD">
        <w:t xml:space="preserve"> </w:t>
      </w:r>
      <w:r w:rsidRPr="008E77A1">
        <w:t>Melodic instruments are intended to support existing vocal parts, often by improvised elaborations of various types, or by more wholly improvised parts derived from the continuo’s harmonic reduction.</w:t>
      </w:r>
      <w:r w:rsidR="00532CBD">
        <w:t xml:space="preserve"> </w:t>
      </w:r>
      <w:r w:rsidRPr="008E77A1">
        <w:t>Both Rose and Margaret Johnson argue that surviving source</w:t>
      </w:r>
      <w:r w:rsidR="00685583" w:rsidRPr="008E77A1">
        <w:t>s</w:t>
      </w:r>
      <w:r w:rsidRPr="008E77A1">
        <w:t xml:space="preserve"> of contemporary performances largely support </w:t>
      </w:r>
      <w:proofErr w:type="spellStart"/>
      <w:r w:rsidRPr="008E77A1">
        <w:t>Agazzari’s</w:t>
      </w:r>
      <w:proofErr w:type="spellEnd"/>
      <w:r w:rsidRPr="008E77A1">
        <w:t xml:space="preserve"> descriptions.</w:t>
      </w:r>
      <w:r w:rsidRPr="00766702">
        <w:rPr>
          <w:rStyle w:val="FootnoteReference"/>
        </w:rPr>
        <w:footnoteReference w:id="6"/>
      </w:r>
    </w:p>
    <w:p w14:paraId="3F6C4838" w14:textId="4CB021CB" w:rsidR="00EE774D" w:rsidRPr="008E77A1" w:rsidRDefault="00EE774D" w:rsidP="008E77A1">
      <w:r w:rsidRPr="008E77A1">
        <w:tab/>
        <w:t xml:space="preserve">I first became aware of </w:t>
      </w:r>
      <w:proofErr w:type="spellStart"/>
      <w:r w:rsidRPr="008E77A1">
        <w:t>Agazzari</w:t>
      </w:r>
      <w:proofErr w:type="spellEnd"/>
      <w:r w:rsidRPr="008E77A1">
        <w:t xml:space="preserve"> as the earliest work on figured bass about the year 2000.</w:t>
      </w:r>
      <w:r w:rsidR="00532CBD">
        <w:t xml:space="preserve"> </w:t>
      </w:r>
      <w:r w:rsidRPr="008E77A1">
        <w:t>I bough</w:t>
      </w:r>
      <w:r w:rsidR="00B93FC4" w:rsidRPr="008E77A1">
        <w:t>t</w:t>
      </w:r>
      <w:r w:rsidRPr="008E77A1">
        <w:t xml:space="preserve"> a copy of the Forni facsimile in </w:t>
      </w:r>
      <w:proofErr w:type="spellStart"/>
      <w:r w:rsidRPr="008E77A1">
        <w:t>Feburary</w:t>
      </w:r>
      <w:proofErr w:type="spellEnd"/>
      <w:r w:rsidRPr="008E77A1">
        <w:t xml:space="preserve"> 2004 and immediately began a translation</w:t>
      </w:r>
      <w:r w:rsidR="00B93FC4" w:rsidRPr="008E77A1">
        <w:t xml:space="preserve"> but</w:t>
      </w:r>
      <w:r w:rsidRPr="008E77A1">
        <w:t xml:space="preserve"> discover</w:t>
      </w:r>
      <w:r w:rsidR="00B93FC4" w:rsidRPr="008E77A1">
        <w:t>ed</w:t>
      </w:r>
      <w:r w:rsidRPr="008E77A1">
        <w:t xml:space="preserve"> that I had too little experience with Italian of the period.</w:t>
      </w:r>
      <w:r w:rsidR="00532CBD">
        <w:t xml:space="preserve"> </w:t>
      </w:r>
      <w:r w:rsidRPr="008E77A1">
        <w:t xml:space="preserve">Ironically, it was in February 2021, 17 years later, that I returned to the book during the most severe winter storm in the history of the </w:t>
      </w:r>
      <w:r w:rsidR="00B93FC4" w:rsidRPr="008E77A1">
        <w:t>S</w:t>
      </w:r>
      <w:r w:rsidRPr="008E77A1">
        <w:t xml:space="preserve">tate, </w:t>
      </w:r>
      <w:r w:rsidR="00B93FC4" w:rsidRPr="008E77A1">
        <w:t xml:space="preserve">the Southwest, </w:t>
      </w:r>
      <w:r w:rsidRPr="008E77A1">
        <w:t>and most of the country.</w:t>
      </w:r>
      <w:r w:rsidR="00532CBD">
        <w:t xml:space="preserve"> </w:t>
      </w:r>
      <w:r w:rsidRPr="008E77A1">
        <w:t>I had by chance brought the book home with me weeks earlier when I was preparing a graduate course on the history of instruments and want</w:t>
      </w:r>
      <w:r w:rsidR="00B93FC4" w:rsidRPr="008E77A1">
        <w:t>ed</w:t>
      </w:r>
      <w:r w:rsidRPr="008E77A1">
        <w:t xml:space="preserve"> to amplify the material on orchestration ca. 1600.</w:t>
      </w:r>
      <w:r w:rsidR="00532CBD">
        <w:t xml:space="preserve"> </w:t>
      </w:r>
      <w:r w:rsidRPr="008E77A1">
        <w:t xml:space="preserve">Being completely snowbound and bored, I looked for something to do and decided to return to a translation of </w:t>
      </w:r>
      <w:proofErr w:type="spellStart"/>
      <w:r w:rsidRPr="008E77A1">
        <w:t>Agazzari’s</w:t>
      </w:r>
      <w:proofErr w:type="spellEnd"/>
      <w:r w:rsidRPr="008E77A1">
        <w:t xml:space="preserve"> book.</w:t>
      </w:r>
      <w:r w:rsidR="00532CBD">
        <w:t xml:space="preserve"> </w:t>
      </w:r>
      <w:r w:rsidRPr="008E77A1">
        <w:t xml:space="preserve">It proved to be a </w:t>
      </w:r>
      <w:r w:rsidRPr="008E77A1">
        <w:lastRenderedPageBreak/>
        <w:t>fascinating project.</w:t>
      </w:r>
      <w:r w:rsidR="00532CBD">
        <w:t xml:space="preserve"> </w:t>
      </w:r>
      <w:r w:rsidRPr="008E77A1">
        <w:t>As I try to convince students, you enjoy and learn more by working with primary sources, especially when you must translate from</w:t>
      </w:r>
      <w:r w:rsidR="00B93FC4" w:rsidRPr="008E77A1">
        <w:t xml:space="preserve"> a</w:t>
      </w:r>
      <w:r w:rsidRPr="008E77A1">
        <w:t xml:space="preserve"> different language that presents you with the inherent hurdles of</w:t>
      </w:r>
      <w:r w:rsidR="00754607" w:rsidRPr="008E77A1">
        <w:t xml:space="preserve"> the</w:t>
      </w:r>
      <w:r w:rsidRPr="008E77A1">
        <w:t xml:space="preserve"> terminology of the time.</w:t>
      </w:r>
      <w:r w:rsidR="00532CBD">
        <w:t xml:space="preserve"> </w:t>
      </w:r>
      <w:r w:rsidRPr="008E77A1">
        <w:t xml:space="preserve">The experience is </w:t>
      </w:r>
      <w:r w:rsidR="00754607" w:rsidRPr="008E77A1">
        <w:t>very</w:t>
      </w:r>
      <w:r w:rsidRPr="008E77A1">
        <w:t xml:space="preserve"> like entering into the mind and context of the authors and their struggles to communicate.</w:t>
      </w:r>
      <w:r w:rsidR="00532CBD">
        <w:t xml:space="preserve"> </w:t>
      </w:r>
      <w:r w:rsidRPr="008E77A1">
        <w:t xml:space="preserve">Sylvestro Ganassi has a wonderful and amazingly perspicacious statement to this effect at the end of his Regula </w:t>
      </w:r>
      <w:proofErr w:type="spellStart"/>
      <w:r w:rsidRPr="008E77A1">
        <w:t>Rubertina</w:t>
      </w:r>
      <w:proofErr w:type="spellEnd"/>
      <w:r w:rsidR="008A033F" w:rsidRPr="008E77A1">
        <w:t>.</w:t>
      </w:r>
      <w:r w:rsidR="008A033F" w:rsidRPr="00766702">
        <w:rPr>
          <w:rStyle w:val="FootnoteReference"/>
        </w:rPr>
        <w:footnoteReference w:id="7"/>
      </w:r>
      <w:r w:rsidR="008A033F" w:rsidRPr="00766702">
        <w:rPr>
          <w:rStyle w:val="FootnoteReference"/>
        </w:rPr>
        <w:t xml:space="preserve"> </w:t>
      </w:r>
    </w:p>
    <w:p w14:paraId="30428544" w14:textId="451C4259" w:rsidR="003C3A18" w:rsidRPr="008E77A1" w:rsidRDefault="008A033F" w:rsidP="008E77A1">
      <w:pPr>
        <w:sectPr w:rsidR="003C3A18" w:rsidRPr="008E77A1">
          <w:pgSz w:w="12240" w:h="15840"/>
          <w:pgMar w:top="1440" w:right="1440" w:bottom="1440" w:left="1440" w:header="720" w:footer="720" w:gutter="0"/>
          <w:cols w:space="720"/>
          <w:docGrid w:linePitch="360"/>
        </w:sectPr>
      </w:pPr>
      <w:r w:rsidRPr="008E77A1">
        <w:tab/>
        <w:t>I follow in this case my usual practice in translation of trying to remain as close to th</w:t>
      </w:r>
      <w:r w:rsidR="00B93FC4" w:rsidRPr="008E77A1">
        <w:t>e</w:t>
      </w:r>
      <w:r w:rsidRPr="008E77A1">
        <w:t xml:space="preserve"> original language as reasonably possible, even at the occasional expense of awkward English.</w:t>
      </w:r>
      <w:r w:rsidR="00532CBD">
        <w:t xml:space="preserve"> </w:t>
      </w:r>
      <w:r w:rsidRPr="008E77A1">
        <w:t xml:space="preserve">Earlier authors (and arguably those today as well) often grope for the means of expressing their ideas in the want of </w:t>
      </w:r>
      <w:r w:rsidR="00754607" w:rsidRPr="008E77A1">
        <w:t xml:space="preserve">adequate </w:t>
      </w:r>
      <w:r w:rsidRPr="008E77A1">
        <w:t>established terminology.</w:t>
      </w:r>
      <w:r w:rsidR="00532CBD">
        <w:t xml:space="preserve"> </w:t>
      </w:r>
      <w:r w:rsidRPr="008E77A1">
        <w:t xml:space="preserve">The period of </w:t>
      </w:r>
      <w:proofErr w:type="spellStart"/>
      <w:r w:rsidRPr="008E77A1">
        <w:t>Agazzari’s</w:t>
      </w:r>
      <w:proofErr w:type="spellEnd"/>
      <w:r w:rsidRPr="008E77A1">
        <w:t xml:space="preserve"> text is a particularly volatile time for expression, being at the turning point between the Renaissance and Baroque.</w:t>
      </w:r>
      <w:r w:rsidR="00532CBD">
        <w:t xml:space="preserve"> </w:t>
      </w:r>
      <w:r w:rsidRPr="008E77A1">
        <w:t xml:space="preserve">A particular instance of </w:t>
      </w:r>
      <w:r w:rsidR="00652666" w:rsidRPr="008E77A1">
        <w:t xml:space="preserve">the </w:t>
      </w:r>
      <w:r w:rsidRPr="008E77A1">
        <w:t>difficulty is how to deal with words indicat</w:t>
      </w:r>
      <w:r w:rsidR="00B93FC4" w:rsidRPr="008E77A1">
        <w:t>ing</w:t>
      </w:r>
      <w:r w:rsidRPr="008E77A1">
        <w:t xml:space="preserve"> mode and key at a time when</w:t>
      </w:r>
      <w:r w:rsidR="00754607" w:rsidRPr="008E77A1">
        <w:t xml:space="preserve"> these are in flux and</w:t>
      </w:r>
      <w:r w:rsidRPr="008E77A1">
        <w:t xml:space="preserve"> the concept of tonality is not yet established in practice.</w:t>
      </w:r>
      <w:r w:rsidR="00532CBD">
        <w:t xml:space="preserve"> </w:t>
      </w:r>
      <w:r w:rsidRPr="008E77A1">
        <w:t xml:space="preserve">Though I hope </w:t>
      </w:r>
      <w:proofErr w:type="gramStart"/>
      <w:r w:rsidRPr="008E77A1">
        <w:t>by</w:t>
      </w:r>
      <w:proofErr w:type="gramEnd"/>
      <w:r w:rsidRPr="008E77A1">
        <w:t xml:space="preserve"> this translation to make </w:t>
      </w:r>
      <w:proofErr w:type="spellStart"/>
      <w:r w:rsidRPr="008E77A1">
        <w:t>Agazzari’s</w:t>
      </w:r>
      <w:proofErr w:type="spellEnd"/>
      <w:r w:rsidRPr="008E77A1">
        <w:t xml:space="preserve"> text more widely available, I would also recommend using it in connection with the Strunk/Murata translation, which clarifies some passages at the possible cost of </w:t>
      </w:r>
      <w:r w:rsidR="00754607" w:rsidRPr="008E77A1">
        <w:t xml:space="preserve">introducing specific </w:t>
      </w:r>
      <w:r w:rsidRPr="008E77A1">
        <w:t>interpretation.</w:t>
      </w:r>
      <w:r w:rsidR="00532CBD">
        <w:t xml:space="preserve"> </w:t>
      </w:r>
      <w:r w:rsidRPr="008E77A1">
        <w:t>My translation should also be somewhat easier to align with the original, should the reader desire to do so.</w:t>
      </w:r>
    </w:p>
    <w:p w14:paraId="6DE41BB7" w14:textId="1FFD29C3" w:rsidR="00751D4F" w:rsidRDefault="00751D4F" w:rsidP="00532CBD">
      <w:pPr>
        <w:pStyle w:val="Heading2"/>
      </w:pPr>
      <w:r w:rsidRPr="008652DB">
        <w:rPr>
          <w:rStyle w:val="Heading2Char"/>
        </w:rPr>
        <w:lastRenderedPageBreak/>
        <w:t>[3] Concerning Playing on the Bass with all Instruments</w:t>
      </w:r>
      <w:r w:rsidR="006E32C5" w:rsidRPr="008652DB">
        <w:rPr>
          <w:rStyle w:val="Heading2Char"/>
        </w:rPr>
        <w:t xml:space="preserve"> </w:t>
      </w:r>
      <w:r w:rsidRPr="008652DB">
        <w:rPr>
          <w:rStyle w:val="Heading2Char"/>
        </w:rPr>
        <w:t>And their Use in the Ensemble, by th</w:t>
      </w:r>
      <w:r w:rsidR="006E32C5" w:rsidRPr="008652DB">
        <w:rPr>
          <w:rStyle w:val="Heading2Char"/>
        </w:rPr>
        <w:t xml:space="preserve">e </w:t>
      </w:r>
      <w:r w:rsidRPr="008652DB">
        <w:rPr>
          <w:rStyle w:val="Heading2Char"/>
        </w:rPr>
        <w:t xml:space="preserve">Armonico </w:t>
      </w:r>
      <w:proofErr w:type="spellStart"/>
      <w:r w:rsidRPr="008652DB">
        <w:rPr>
          <w:rStyle w:val="Heading2Char"/>
        </w:rPr>
        <w:t>Intronato</w:t>
      </w:r>
      <w:proofErr w:type="spellEnd"/>
      <w:r>
        <w:rPr>
          <w:rStyle w:val="FootnoteReference"/>
        </w:rPr>
        <w:footnoteReference w:id="8"/>
      </w:r>
    </w:p>
    <w:p w14:paraId="63083D1B" w14:textId="185D0F38" w:rsidR="00751D4F" w:rsidRPr="008E77A1" w:rsidRDefault="00751D4F" w:rsidP="008E77A1">
      <w:r w:rsidRPr="008E77A1">
        <w:tab/>
        <w:t xml:space="preserve">In order to observe the order and brevity that is required in all things that we must discuss at present for </w:t>
      </w:r>
      <w:proofErr w:type="gramStart"/>
      <w:r w:rsidRPr="008E77A1">
        <w:t>telling</w:t>
      </w:r>
      <w:proofErr w:type="gramEnd"/>
      <w:r w:rsidRPr="008E77A1">
        <w:t xml:space="preserve"> about musical instruments, it is necessary primarily to make a division of them according to our proposed subject matter.</w:t>
      </w:r>
      <w:r w:rsidR="00532CBD">
        <w:t xml:space="preserve"> </w:t>
      </w:r>
      <w:r w:rsidRPr="008E77A1">
        <w:t xml:space="preserve">Therefore, we will divide these instruments into two groups, </w:t>
      </w:r>
      <w:r w:rsidR="00311A4A" w:rsidRPr="008E77A1">
        <w:t>namely,</w:t>
      </w:r>
      <w:r w:rsidRPr="008E77A1">
        <w:t xml:space="preserve"> some as foundational and others as ornamental.</w:t>
      </w:r>
      <w:r w:rsidR="00532CBD">
        <w:t xml:space="preserve"> </w:t>
      </w:r>
      <w:proofErr w:type="gramStart"/>
      <w:r w:rsidRPr="008E77A1">
        <w:t>As foundational</w:t>
      </w:r>
      <w:proofErr w:type="gramEnd"/>
      <w:r w:rsidRPr="008E77A1">
        <w:t xml:space="preserve"> are those that guide and sustain all the body of the voice</w:t>
      </w:r>
      <w:r w:rsidR="00754607" w:rsidRPr="008E77A1">
        <w:t>s</w:t>
      </w:r>
      <w:r w:rsidRPr="008E77A1">
        <w:t xml:space="preserve"> and instruments of the said ensemble, such as are the organ, clavicembalo,</w:t>
      </w:r>
      <w:r w:rsidRPr="001201FC">
        <w:rPr>
          <w:rStyle w:val="FootnoteReference"/>
        </w:rPr>
        <w:footnoteReference w:id="9"/>
      </w:r>
      <w:r w:rsidRPr="001201FC">
        <w:rPr>
          <w:rStyle w:val="FootnoteReference"/>
        </w:rPr>
        <w:t xml:space="preserve"> </w:t>
      </w:r>
      <w:r w:rsidRPr="008E77A1">
        <w:t>etc.</w:t>
      </w:r>
      <w:r w:rsidR="00532CBD">
        <w:t xml:space="preserve"> </w:t>
      </w:r>
      <w:r w:rsidRPr="008E77A1">
        <w:t xml:space="preserve">As ornamental are those that by elaborating and making counterpoints render the harmony more pleasing and sonorous, such as the lute, theorbo, harp, </w:t>
      </w:r>
      <w:proofErr w:type="spellStart"/>
      <w:r w:rsidRPr="008E77A1">
        <w:t>lirone</w:t>
      </w:r>
      <w:proofErr w:type="spellEnd"/>
      <w:r w:rsidRPr="008E77A1">
        <w:t xml:space="preserve"> [lira da gamba], cittern, spinet, small guitar (</w:t>
      </w:r>
      <w:proofErr w:type="spellStart"/>
      <w:r w:rsidRPr="008E77A1">
        <w:t>chitarrina</w:t>
      </w:r>
      <w:proofErr w:type="spellEnd"/>
      <w:r w:rsidRPr="008E77A1">
        <w:t>), violin, pandora and others similar.</w:t>
      </w:r>
    </w:p>
    <w:p w14:paraId="4E1D17F0" w14:textId="0CA3324B" w:rsidR="00751D4F" w:rsidRPr="008E77A1" w:rsidRDefault="00751D4F" w:rsidP="008E77A1">
      <w:r w:rsidRPr="008E77A1">
        <w:tab/>
        <w:t>Of other instruments, some are string, others are wind.</w:t>
      </w:r>
      <w:r w:rsidR="00532CBD">
        <w:t xml:space="preserve"> </w:t>
      </w:r>
      <w:r w:rsidRPr="008E77A1">
        <w:t>Of these second kind</w:t>
      </w:r>
      <w:r w:rsidR="00652666" w:rsidRPr="008E77A1">
        <w:t xml:space="preserve">, </w:t>
      </w:r>
      <w:r w:rsidRPr="008E77A1">
        <w:t>except the organ</w:t>
      </w:r>
      <w:r w:rsidR="00652666" w:rsidRPr="008E77A1">
        <w:t>,</w:t>
      </w:r>
      <w:r w:rsidRPr="008E77A1">
        <w:t xml:space="preserve"> we will say nothing, for they are not in use in good and genteel ensembles</w:t>
      </w:r>
      <w:r w:rsidRPr="001201FC">
        <w:rPr>
          <w:rStyle w:val="FootnoteReference"/>
        </w:rPr>
        <w:footnoteReference w:id="10"/>
      </w:r>
      <w:r w:rsidR="005518C7" w:rsidRPr="008E77A1">
        <w:t xml:space="preserve"> because of their little conformity with those of the strings</w:t>
      </w:r>
      <w:r w:rsidR="000118A0" w:rsidRPr="001201FC">
        <w:rPr>
          <w:rStyle w:val="FootnoteReference"/>
        </w:rPr>
        <w:footnoteReference w:id="11"/>
      </w:r>
      <w:r w:rsidR="005518C7" w:rsidRPr="008E77A1">
        <w:t xml:space="preserve"> and because of </w:t>
      </w:r>
      <w:r w:rsidR="00311A4A" w:rsidRPr="008E77A1">
        <w:t>t</w:t>
      </w:r>
      <w:r w:rsidR="005518C7" w:rsidRPr="008E77A1">
        <w:t>he variations produced by human breath, t</w:t>
      </w:r>
      <w:r w:rsidR="000118A0" w:rsidRPr="008E77A1">
        <w:t>h</w:t>
      </w:r>
      <w:r w:rsidR="005518C7" w:rsidRPr="008E77A1">
        <w:t>ough they are combined w</w:t>
      </w:r>
      <w:r w:rsidR="000118A0" w:rsidRPr="008E77A1">
        <w:t>i</w:t>
      </w:r>
      <w:r w:rsidR="005518C7" w:rsidRPr="008E77A1">
        <w:t>th loud and large ensembles, and sometimes the trombone in small ensembles is used for a contrabass where small/portative organs are at the upper octave, provided it is well played and sweet.</w:t>
      </w:r>
      <w:r w:rsidR="00532CBD">
        <w:t xml:space="preserve"> </w:t>
      </w:r>
      <w:r w:rsidR="005518C7" w:rsidRPr="008E77A1">
        <w:t xml:space="preserve">This is said in general because in particular </w:t>
      </w:r>
      <w:r w:rsidR="000118A0" w:rsidRPr="008E77A1">
        <w:t xml:space="preserve">instances </w:t>
      </w:r>
      <w:r w:rsidR="005518C7" w:rsidRPr="008E77A1">
        <w:t>such instruments can be played with such excellence by a masterful hand so as to adorn the ensemble and beautify it.</w:t>
      </w:r>
    </w:p>
    <w:p w14:paraId="4D2C37F1" w14:textId="3A07D488" w:rsidR="005518C7" w:rsidRPr="008E77A1" w:rsidRDefault="005518C7" w:rsidP="008E77A1">
      <w:r w:rsidRPr="008E77A1">
        <w:lastRenderedPageBreak/>
        <w:tab/>
        <w:t xml:space="preserve">[4] Likewise the string instruments, some possess in themselves perfect harmony with parts, such </w:t>
      </w:r>
      <w:proofErr w:type="gramStart"/>
      <w:r w:rsidRPr="008E77A1">
        <w:t>as is</w:t>
      </w:r>
      <w:proofErr w:type="gramEnd"/>
      <w:r w:rsidRPr="008E77A1">
        <w:t xml:space="preserve"> the organ,</w:t>
      </w:r>
      <w:r w:rsidR="000118A0" w:rsidRPr="001201FC">
        <w:rPr>
          <w:rStyle w:val="FootnoteReference"/>
        </w:rPr>
        <w:footnoteReference w:id="12"/>
      </w:r>
      <w:r w:rsidRPr="001201FC">
        <w:rPr>
          <w:rStyle w:val="FootnoteReference"/>
        </w:rPr>
        <w:t xml:space="preserve"> </w:t>
      </w:r>
      <w:r w:rsidRPr="008E77A1">
        <w:t xml:space="preserve">clavicembalo, lute, double harp, etc.; some have imperfect such as the ordinary cittern, </w:t>
      </w:r>
      <w:proofErr w:type="spellStart"/>
      <w:r w:rsidRPr="008E77A1">
        <w:t>lirone</w:t>
      </w:r>
      <w:proofErr w:type="spellEnd"/>
      <w:r w:rsidRPr="008E77A1">
        <w:t>, small guitar; and others little or none, such as the viol, violin, pandora, etc.</w:t>
      </w:r>
      <w:r w:rsidR="00532CBD">
        <w:t xml:space="preserve"> </w:t>
      </w:r>
      <w:r w:rsidRPr="008E77A1">
        <w:t>Therefore, we will discuss primarily those of the first group, which are foundational and have perfect harmony, and in the second place we will speak of those that serve for ornaments.</w:t>
      </w:r>
    </w:p>
    <w:p w14:paraId="346AE5A7" w14:textId="44D5C72F" w:rsidR="00E14A07" w:rsidRPr="008E77A1" w:rsidRDefault="00E14A07" w:rsidP="008E77A1">
      <w:r w:rsidRPr="008E77A1">
        <w:tab/>
        <w:t>Such divisions made, then, and the aforesaid principles laid out, let us come to the instruction of playing on the bass.</w:t>
      </w:r>
      <w:r w:rsidR="00532CBD">
        <w:t xml:space="preserve"> </w:t>
      </w:r>
      <w:r w:rsidRPr="008E77A1">
        <w:t>I say, then, that the on</w:t>
      </w:r>
      <w:r w:rsidR="00311A4A" w:rsidRPr="008E77A1">
        <w:t>e</w:t>
      </w:r>
      <w:r w:rsidRPr="008E77A1">
        <w:t xml:space="preserve"> who wishes to play well, it is appropriate for him to possess three things:</w:t>
      </w:r>
      <w:r w:rsidR="00532CBD">
        <w:t xml:space="preserve"> </w:t>
      </w:r>
      <w:r w:rsidRPr="008E77A1">
        <w:t xml:space="preserve">first to understand counterpoint or at least to sing skillfully and to understand proportions and time and to read in all </w:t>
      </w:r>
      <w:r w:rsidR="000118A0" w:rsidRPr="008E77A1">
        <w:t>clefs (</w:t>
      </w:r>
      <w:proofErr w:type="spellStart"/>
      <w:r w:rsidR="000118A0" w:rsidRPr="008E77A1">
        <w:t>chiavi</w:t>
      </w:r>
      <w:proofErr w:type="spellEnd"/>
      <w:r w:rsidR="000118A0" w:rsidRPr="008E77A1">
        <w:t>)</w:t>
      </w:r>
      <w:r w:rsidRPr="008E77A1">
        <w:t>, to know how to resolve the bad with the good, to recognize the third and sixth both major and minor and other similar things.</w:t>
      </w:r>
      <w:r w:rsidR="00532CBD">
        <w:t xml:space="preserve"> </w:t>
      </w:r>
      <w:r w:rsidRPr="008E77A1">
        <w:t xml:space="preserve">Second, he ought to know how to play his instrument well, understanding </w:t>
      </w:r>
      <w:proofErr w:type="spellStart"/>
      <w:r w:rsidRPr="008E77A1">
        <w:t>intabulation</w:t>
      </w:r>
      <w:proofErr w:type="spellEnd"/>
      <w:r w:rsidRPr="008E77A1">
        <w:t xml:space="preserve">, or </w:t>
      </w:r>
      <w:proofErr w:type="spellStart"/>
      <w:r w:rsidRPr="008E77A1">
        <w:t>spartitura</w:t>
      </w:r>
      <w:proofErr w:type="spellEnd"/>
      <w:r w:rsidRPr="008E77A1">
        <w:t>,</w:t>
      </w:r>
      <w:r w:rsidRPr="001201FC">
        <w:rPr>
          <w:rStyle w:val="FootnoteReference"/>
        </w:rPr>
        <w:footnoteReference w:id="13"/>
      </w:r>
      <w:r w:rsidRPr="008E77A1">
        <w:t xml:space="preserve"> and having much practice in keyboard </w:t>
      </w:r>
      <w:r w:rsidR="00311A4A" w:rsidRPr="008E77A1">
        <w:t>(</w:t>
      </w:r>
      <w:proofErr w:type="spellStart"/>
      <w:r w:rsidRPr="008E77A1">
        <w:t>tastatura</w:t>
      </w:r>
      <w:proofErr w:type="spellEnd"/>
      <w:r w:rsidR="00311A4A" w:rsidRPr="008E77A1">
        <w:t>)</w:t>
      </w:r>
      <w:r w:rsidRPr="008E77A1">
        <w:t xml:space="preserve"> or fingerboard </w:t>
      </w:r>
      <w:r w:rsidR="00311A4A" w:rsidRPr="008E77A1">
        <w:t>(</w:t>
      </w:r>
      <w:proofErr w:type="spellStart"/>
      <w:r w:rsidRPr="008E77A1">
        <w:t>manico</w:t>
      </w:r>
      <w:proofErr w:type="spellEnd"/>
      <w:r w:rsidR="00311A4A" w:rsidRPr="008E77A1">
        <w:t>)</w:t>
      </w:r>
      <w:r w:rsidRPr="008E77A1">
        <w:t xml:space="preserve"> technique similarly, so as not to be at a loss for harmonies and to search for </w:t>
      </w:r>
      <w:r w:rsidR="000118A0" w:rsidRPr="008E77A1">
        <w:t>beats</w:t>
      </w:r>
      <w:r w:rsidRPr="008E77A1">
        <w:t xml:space="preserve"> while one sings, knowing that the eye is occupied in observing the parts placed before it.</w:t>
      </w:r>
      <w:r w:rsidR="00532CBD">
        <w:t xml:space="preserve"> </w:t>
      </w:r>
      <w:r w:rsidRPr="008E77A1">
        <w:t xml:space="preserve">Third, one ought to have good hearing for perceiving the movement that the parts make among themselves, </w:t>
      </w:r>
      <w:r w:rsidR="00311A4A" w:rsidRPr="008E77A1">
        <w:t>about which I do not discuss as I am not</w:t>
      </w:r>
      <w:r w:rsidRPr="008E77A1">
        <w:t xml:space="preserve"> able to do any good for them with my discourse</w:t>
      </w:r>
      <w:r w:rsidR="00311A4A" w:rsidRPr="008E77A1">
        <w:t>, those who</w:t>
      </w:r>
      <w:r w:rsidRPr="008E77A1">
        <w:t xml:space="preserve"> have an inferior talent.</w:t>
      </w:r>
    </w:p>
    <w:p w14:paraId="03F90DFD" w14:textId="6B33EEF9" w:rsidR="00E14A07" w:rsidRPr="008E77A1" w:rsidRDefault="00E14A07" w:rsidP="008E77A1">
      <w:r w:rsidRPr="008E77A1">
        <w:tab/>
        <w:t xml:space="preserve">But, in order to put it in practice, I conclude that it is not possible to present specific rules of playing the work when there are no signs, for the reason that one must obey the intention of the composer, which is free and could at his own volition, upon one note in the first part of this place </w:t>
      </w:r>
      <w:bookmarkStart w:id="2" w:name="_Hlk65233998"/>
      <w:bookmarkStart w:id="3" w:name="_Hlk65234436"/>
      <w:r w:rsidRPr="008E77A1">
        <w:t>5a</w:t>
      </w:r>
      <w:bookmarkEnd w:id="2"/>
      <w:r w:rsidR="00754607" w:rsidRPr="001201FC">
        <w:rPr>
          <w:rStyle w:val="FootnoteReference"/>
        </w:rPr>
        <w:footnoteReference w:id="14"/>
      </w:r>
      <w:r w:rsidRPr="001201FC">
        <w:rPr>
          <w:rStyle w:val="FootnoteReference"/>
        </w:rPr>
        <w:t xml:space="preserve"> </w:t>
      </w:r>
      <w:r w:rsidRPr="008E77A1">
        <w:t>or 6</w:t>
      </w:r>
      <w:proofErr w:type="gramStart"/>
      <w:r w:rsidRPr="008E77A1">
        <w:t xml:space="preserve">a </w:t>
      </w:r>
      <w:r w:rsidR="00AB60D7" w:rsidRPr="008E77A1">
        <w:t>,</w:t>
      </w:r>
      <w:proofErr w:type="gramEnd"/>
      <w:r w:rsidR="00AB60D7" w:rsidRPr="008E77A1">
        <w:t xml:space="preserve"> </w:t>
      </w:r>
      <w:bookmarkEnd w:id="3"/>
      <w:r w:rsidR="00AB60D7" w:rsidRPr="008E77A1">
        <w:t>and to the contrary, and that is major or minor, according as it appears to him more to his purpose, or else what may be required for this according to the text.</w:t>
      </w:r>
      <w:r w:rsidR="00532CBD">
        <w:t xml:space="preserve"> </w:t>
      </w:r>
      <w:r w:rsidR="00AB60D7" w:rsidRPr="008E77A1">
        <w:t xml:space="preserve">Although some authors who discussed counterpoint may have defined the rule of </w:t>
      </w:r>
      <w:r w:rsidR="00AB60D7" w:rsidRPr="008E77A1">
        <w:lastRenderedPageBreak/>
        <w:t xml:space="preserve">proceeding from one consonance to another, as if it could not be done otherwise, lest it not be good; one will excuse me for this because </w:t>
      </w:r>
      <w:r w:rsidR="000118A0" w:rsidRPr="008E77A1">
        <w:t>it shows</w:t>
      </w:r>
      <w:r w:rsidR="00AB60D7" w:rsidRPr="008E77A1">
        <w:t xml:space="preserve"> [5] </w:t>
      </w:r>
      <w:proofErr w:type="gramStart"/>
      <w:r w:rsidR="000118A0" w:rsidRPr="008E77A1">
        <w:t>their</w:t>
      </w:r>
      <w:proofErr w:type="gramEnd"/>
      <w:r w:rsidR="00AB60D7" w:rsidRPr="008E77A1">
        <w:t xml:space="preserve"> not having understood that the consonances and all the harmony are subject and subordinated to the text and not to the contrary.</w:t>
      </w:r>
      <w:r w:rsidR="00532CBD">
        <w:t xml:space="preserve"> </w:t>
      </w:r>
      <w:r w:rsidR="00AB60D7" w:rsidRPr="008E77A1">
        <w:t>I will defend this with all argument for the occasion.</w:t>
      </w:r>
      <w:r w:rsidR="00532CBD">
        <w:t xml:space="preserve"> </w:t>
      </w:r>
      <w:r w:rsidR="00AB60D7" w:rsidRPr="008E77A1">
        <w:t xml:space="preserve">It is quite true that </w:t>
      </w:r>
      <w:proofErr w:type="gramStart"/>
      <w:r w:rsidR="00AB60D7" w:rsidRPr="008E77A1">
        <w:t>simply</w:t>
      </w:r>
      <w:proofErr w:type="gramEnd"/>
      <w:r w:rsidR="00AB60D7" w:rsidRPr="008E77A1">
        <w:t xml:space="preserve"> and for the most part specific rules of procedure could be given, but where there are words, it is necessary to clothe them in that harmony appropriate, which would </w:t>
      </w:r>
      <w:r w:rsidR="000118A0" w:rsidRPr="008E77A1">
        <w:t>produce</w:t>
      </w:r>
      <w:r w:rsidR="00AB60D7" w:rsidRPr="008E77A1">
        <w:t xml:space="preserve"> or demonstrate that </w:t>
      </w:r>
      <w:proofErr w:type="gramStart"/>
      <w:r w:rsidR="00AB60D7" w:rsidRPr="008E77A1">
        <w:t>affect</w:t>
      </w:r>
      <w:proofErr w:type="gramEnd"/>
      <w:r w:rsidR="00AB60D7" w:rsidRPr="008E77A1">
        <w:t>.</w:t>
      </w:r>
    </w:p>
    <w:p w14:paraId="3160D516" w14:textId="068FECC0" w:rsidR="00AB60D7" w:rsidRPr="008E77A1" w:rsidRDefault="00AB60D7" w:rsidP="008E77A1">
      <w:r w:rsidRPr="008E77A1">
        <w:tab/>
        <w:t>It not being possible to give specific rules, the one who plays must necessarily make use of the hearing and follow the work and its movements, but in wishing to discove</w:t>
      </w:r>
      <w:r w:rsidR="000118A0" w:rsidRPr="008E77A1">
        <w:t>r</w:t>
      </w:r>
      <w:r w:rsidRPr="008E77A1">
        <w:t xml:space="preserve"> an easy way of avoiding these obstacles and to play the work correctly, make use of this, that is:</w:t>
      </w:r>
      <w:r w:rsidR="00532CBD">
        <w:t xml:space="preserve"> </w:t>
      </w:r>
      <w:r w:rsidRPr="008E77A1">
        <w:t>above t</w:t>
      </w:r>
      <w:r w:rsidR="000118A0" w:rsidRPr="008E77A1">
        <w:t>h</w:t>
      </w:r>
      <w:r w:rsidRPr="008E77A1">
        <w:t>e notes of the bass designate with numbers those consonances or dissonances that are imposed on you by the composer, as if on the first part of the note you have a 5a or 6a , or on the contrary 4a and then 3a , as in the example.</w:t>
      </w:r>
    </w:p>
    <w:p w14:paraId="7E6F5D7C" w14:textId="2DA20F29" w:rsidR="003A592D" w:rsidRPr="008E77A1" w:rsidRDefault="003A592D" w:rsidP="008E77A1">
      <w:r w:rsidRPr="008E77A1">
        <w:rPr>
          <w:noProof/>
        </w:rPr>
        <w:drawing>
          <wp:inline distT="0" distB="0" distL="0" distR="0" wp14:anchorId="3107DEDB" wp14:editId="66B9085B">
            <wp:extent cx="5086350" cy="971550"/>
            <wp:effectExtent l="0" t="0" r="0" b="0"/>
            <wp:docPr id="3" name="Picture 3" descr="Music notation of exmaple being described in th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usic notation of exmaple being described in the tex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86350" cy="971550"/>
                    </a:xfrm>
                    <a:prstGeom prst="rect">
                      <a:avLst/>
                    </a:prstGeom>
                    <a:noFill/>
                    <a:ln>
                      <a:noFill/>
                    </a:ln>
                  </pic:spPr>
                </pic:pic>
              </a:graphicData>
            </a:graphic>
          </wp:inline>
        </w:drawing>
      </w:r>
    </w:p>
    <w:p w14:paraId="051A16C3" w14:textId="68E2A1A6" w:rsidR="003A592D" w:rsidRPr="008E77A1" w:rsidRDefault="003A592D" w:rsidP="008E77A1">
      <w:r w:rsidRPr="008E77A1">
        <w:t>You ought in addition to know that all the consonances are either natural in the key</w:t>
      </w:r>
      <w:r w:rsidR="000118A0" w:rsidRPr="008E77A1">
        <w:t xml:space="preserve"> (</w:t>
      </w:r>
      <w:proofErr w:type="spellStart"/>
      <w:r w:rsidR="000118A0" w:rsidRPr="008E77A1">
        <w:t>tuono</w:t>
      </w:r>
      <w:proofErr w:type="spellEnd"/>
      <w:r w:rsidR="000118A0" w:rsidRPr="008E77A1">
        <w:t>)</w:t>
      </w:r>
      <w:r w:rsidRPr="008E77A1">
        <w:t xml:space="preserve"> or are accidental.</w:t>
      </w:r>
      <w:r w:rsidR="00532CBD">
        <w:t xml:space="preserve"> </w:t>
      </w:r>
      <w:r w:rsidRPr="008E77A1">
        <w:t xml:space="preserve">When they are natural, no sign is made, as for </w:t>
      </w:r>
      <w:r w:rsidR="00311A4A" w:rsidRPr="008E77A1">
        <w:t>B</w:t>
      </w:r>
      <w:r w:rsidRPr="008E77A1">
        <w:t>-natural the third above G-</w:t>
      </w:r>
      <w:proofErr w:type="spellStart"/>
      <w:r w:rsidRPr="008E77A1">
        <w:t>solreut</w:t>
      </w:r>
      <w:proofErr w:type="spellEnd"/>
      <w:r w:rsidRPr="008E77A1">
        <w:t xml:space="preserve">, that </w:t>
      </w:r>
      <w:proofErr w:type="gramStart"/>
      <w:r w:rsidRPr="008E77A1">
        <w:t>it</w:t>
      </w:r>
      <w:proofErr w:type="gramEnd"/>
      <w:r w:rsidRPr="008E77A1">
        <w:t xml:space="preserve"> B-</w:t>
      </w:r>
      <w:proofErr w:type="spellStart"/>
      <w:r w:rsidRPr="008E77A1">
        <w:t>fabemi</w:t>
      </w:r>
      <w:proofErr w:type="spellEnd"/>
      <w:r w:rsidRPr="008E77A1">
        <w:t>, comes natura</w:t>
      </w:r>
      <w:r w:rsidR="00311A4A" w:rsidRPr="008E77A1">
        <w:t>l</w:t>
      </w:r>
      <w:r w:rsidR="00754607" w:rsidRPr="008E77A1">
        <w:t>ly</w:t>
      </w:r>
      <w:r w:rsidRPr="008E77A1">
        <w:t xml:space="preserve"> a major third.</w:t>
      </w:r>
      <w:r w:rsidR="00532CBD">
        <w:t xml:space="preserve"> </w:t>
      </w:r>
      <w:r w:rsidRPr="008E77A1">
        <w:t>But, wishing to make it minor, it is necessary on the note G-</w:t>
      </w:r>
      <w:proofErr w:type="spellStart"/>
      <w:r w:rsidRPr="008E77A1">
        <w:t>solreut</w:t>
      </w:r>
      <w:proofErr w:type="spellEnd"/>
      <w:r w:rsidRPr="008E77A1">
        <w:t xml:space="preserve"> to make there a flat sign, and then it is minor by </w:t>
      </w:r>
      <w:proofErr w:type="gramStart"/>
      <w:r w:rsidRPr="008E77A1">
        <w:t>accidental</w:t>
      </w:r>
      <w:proofErr w:type="gramEnd"/>
      <w:r w:rsidRPr="008E77A1">
        <w:t>.</w:t>
      </w:r>
      <w:r w:rsidR="00532CBD">
        <w:t xml:space="preserve"> </w:t>
      </w:r>
      <w:proofErr w:type="gramStart"/>
      <w:r w:rsidRPr="008E77A1">
        <w:t>So</w:t>
      </w:r>
      <w:proofErr w:type="gramEnd"/>
      <w:r w:rsidRPr="008E77A1">
        <w:t xml:space="preserve"> to the contrary, if one signs a flat, wishing to make it major, it is appropriate to make the sharp sign there above, and thus I mean of the sixth, paying attention that the </w:t>
      </w:r>
      <w:r w:rsidRPr="008E77A1">
        <w:lastRenderedPageBreak/>
        <w:t>sign that is below or near the note is understood for that same note, but that which is above is understood for the consonance that must be given to it, as in the example.</w:t>
      </w:r>
      <w:r w:rsidR="00BF6ACC" w:rsidRPr="001201FC">
        <w:rPr>
          <w:rStyle w:val="FootnoteReference"/>
        </w:rPr>
        <w:footnoteReference w:id="15"/>
      </w:r>
      <w:r w:rsidRPr="001201FC">
        <w:rPr>
          <w:rStyle w:val="FootnoteReference"/>
        </w:rPr>
        <w:t xml:space="preserve"> </w:t>
      </w:r>
    </w:p>
    <w:p w14:paraId="5DDEB093" w14:textId="790A3BDE" w:rsidR="003A592D" w:rsidRPr="008E77A1" w:rsidRDefault="003A592D" w:rsidP="008E77A1">
      <w:r w:rsidRPr="008E77A1">
        <w:rPr>
          <w:noProof/>
        </w:rPr>
        <w:drawing>
          <wp:inline distT="0" distB="0" distL="0" distR="0" wp14:anchorId="3195EE53" wp14:editId="347D9331">
            <wp:extent cx="5114925" cy="723900"/>
            <wp:effectExtent l="0" t="0" r="9525" b="0"/>
            <wp:docPr id="4" name="Picture 4" descr="Music notation of exmaple being described in th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usic notation of exmaple being described in the tex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14925" cy="723900"/>
                    </a:xfrm>
                    <a:prstGeom prst="rect">
                      <a:avLst/>
                    </a:prstGeom>
                    <a:noFill/>
                    <a:ln>
                      <a:noFill/>
                    </a:ln>
                  </pic:spPr>
                </pic:pic>
              </a:graphicData>
            </a:graphic>
          </wp:inline>
        </w:drawing>
      </w:r>
    </w:p>
    <w:p w14:paraId="4328D703" w14:textId="77777777" w:rsidR="003A592D" w:rsidRPr="008E77A1" w:rsidRDefault="00BF6ACC" w:rsidP="008E77A1">
      <w:r w:rsidRPr="008E77A1">
        <w:t xml:space="preserve">[6] All cadences, whether </w:t>
      </w:r>
      <w:proofErr w:type="gramStart"/>
      <w:r w:rsidRPr="008E77A1">
        <w:t>medial</w:t>
      </w:r>
      <w:proofErr w:type="gramEnd"/>
      <w:r w:rsidRPr="008E77A1">
        <w:t xml:space="preserve"> or final, want a major third, but some do not give them a sign, but for greater certainty I advise that you make a sign, most of all in medial ones.</w:t>
      </w:r>
    </w:p>
    <w:p w14:paraId="10CD5F3E" w14:textId="3ED4EB1F" w:rsidR="00A61BE0" w:rsidRPr="008E77A1" w:rsidRDefault="00A61BE0" w:rsidP="008E77A1">
      <w:r w:rsidRPr="008E77A1">
        <w:tab/>
        <w:t>The instruments, then, being divided into two classes</w:t>
      </w:r>
      <w:proofErr w:type="gramStart"/>
      <w:r w:rsidRPr="008E77A1">
        <w:t>, it consequently</w:t>
      </w:r>
      <w:proofErr w:type="gramEnd"/>
      <w:r w:rsidRPr="008E77A1">
        <w:t xml:space="preserve"> arises that they have diverse functions and are made use of diversely.</w:t>
      </w:r>
      <w:r w:rsidR="00532CBD">
        <w:t xml:space="preserve"> </w:t>
      </w:r>
      <w:r w:rsidRPr="008E77A1">
        <w:t>For this reason, when an instrument is played, which serves for foundation, one ought to play with great judgment, having a view to the full body of the voices.</w:t>
      </w:r>
      <w:r w:rsidR="00532CBD">
        <w:t xml:space="preserve"> </w:t>
      </w:r>
      <w:r w:rsidRPr="008E77A1">
        <w:t xml:space="preserve">Because if </w:t>
      </w:r>
      <w:proofErr w:type="gramStart"/>
      <w:r w:rsidRPr="008E77A1">
        <w:t>they</w:t>
      </w:r>
      <w:proofErr w:type="gramEnd"/>
      <w:r w:rsidRPr="008E77A1">
        <w:t xml:space="preserve"> are many it is appropriate to play full and double regis</w:t>
      </w:r>
      <w:r w:rsidR="002C02B0" w:rsidRPr="008E77A1">
        <w:t>t</w:t>
      </w:r>
      <w:r w:rsidRPr="008E77A1">
        <w:t>ers, but</w:t>
      </w:r>
      <w:r w:rsidR="002C02B0" w:rsidRPr="008E77A1">
        <w:t>,</w:t>
      </w:r>
      <w:r w:rsidRPr="008E77A1">
        <w:t xml:space="preserve"> if they are few</w:t>
      </w:r>
      <w:r w:rsidR="002C02B0" w:rsidRPr="008E77A1">
        <w:t>,</w:t>
      </w:r>
      <w:r w:rsidRPr="008E77A1">
        <w:t xml:space="preserve"> to lessen them</w:t>
      </w:r>
      <w:r w:rsidR="002C02B0" w:rsidRPr="008E77A1">
        <w:t xml:space="preserve"> and to make few consonances by playing the work more pure and </w:t>
      </w:r>
      <w:r w:rsidR="00403528" w:rsidRPr="008E77A1">
        <w:t xml:space="preserve">as </w:t>
      </w:r>
      <w:r w:rsidR="002C02B0" w:rsidRPr="008E77A1">
        <w:t>precise as is possible, making no passaggios</w:t>
      </w:r>
      <w:r w:rsidR="002C02B0" w:rsidRPr="001201FC">
        <w:rPr>
          <w:rStyle w:val="FootnoteReference"/>
        </w:rPr>
        <w:footnoteReference w:id="16"/>
      </w:r>
      <w:r w:rsidR="002C02B0" w:rsidRPr="008E77A1">
        <w:t xml:space="preserve"> </w:t>
      </w:r>
      <w:r w:rsidR="00403528" w:rsidRPr="008E77A1">
        <w:t>n</w:t>
      </w:r>
      <w:r w:rsidR="002C02B0" w:rsidRPr="008E77A1">
        <w:t>or many diminutions.</w:t>
      </w:r>
      <w:r w:rsidR="00532CBD">
        <w:t xml:space="preserve"> </w:t>
      </w:r>
      <w:r w:rsidR="002C02B0" w:rsidRPr="008E77A1">
        <w:t xml:space="preserve">But if assisting it well with some contrabass and by often avoiding the high </w:t>
      </w:r>
      <w:r w:rsidR="00C14359" w:rsidRPr="008E77A1">
        <w:t>ones</w:t>
      </w:r>
      <w:r w:rsidR="002C02B0" w:rsidRPr="008E77A1">
        <w:t xml:space="preserve"> because they obscure the voices,</w:t>
      </w:r>
      <w:r w:rsidR="00403528" w:rsidRPr="001201FC">
        <w:rPr>
          <w:rStyle w:val="FootnoteReference"/>
        </w:rPr>
        <w:footnoteReference w:id="17"/>
      </w:r>
      <w:r w:rsidR="002C02B0" w:rsidRPr="008E77A1">
        <w:t xml:space="preserve"> most of all the sopranos and falsettos, when one must take care to avoid as much as possible the same key/pitch that the soprano sings, so as not to lessen it by a </w:t>
      </w:r>
      <w:proofErr w:type="spellStart"/>
      <w:r w:rsidR="002C02B0" w:rsidRPr="008E77A1">
        <w:t>tirata</w:t>
      </w:r>
      <w:proofErr w:type="spellEnd"/>
      <w:r w:rsidR="0032315B" w:rsidRPr="008E77A1">
        <w:t>,</w:t>
      </w:r>
      <w:r w:rsidR="002C02B0" w:rsidRPr="001201FC">
        <w:rPr>
          <w:rStyle w:val="FootnoteReference"/>
        </w:rPr>
        <w:footnoteReference w:id="18"/>
      </w:r>
      <w:r w:rsidR="0032315B" w:rsidRPr="001201FC">
        <w:rPr>
          <w:rStyle w:val="FootnoteReference"/>
        </w:rPr>
        <w:t xml:space="preserve"> </w:t>
      </w:r>
      <w:r w:rsidR="0032315B" w:rsidRPr="008E77A1">
        <w:t>so as not to produce that duplication and obscure the excellence of the said voice, or the passaggio that the good singer makes on it</w:t>
      </w:r>
      <w:r w:rsidR="008137B2" w:rsidRPr="008E77A1">
        <w:t>;</w:t>
      </w:r>
      <w:r w:rsidR="0032315B" w:rsidRPr="008E77A1">
        <w:t xml:space="preserve"> </w:t>
      </w:r>
      <w:r w:rsidR="008137B2" w:rsidRPr="008E77A1">
        <w:t>b</w:t>
      </w:r>
      <w:r w:rsidR="0032315B" w:rsidRPr="008E77A1">
        <w:t>ut, it is good to play very strict and serious.</w:t>
      </w:r>
    </w:p>
    <w:p w14:paraId="31CB7623" w14:textId="77777777" w:rsidR="0032315B" w:rsidRPr="008E77A1" w:rsidRDefault="0032315B" w:rsidP="008E77A1">
      <w:r w:rsidRPr="008E77A1">
        <w:tab/>
        <w:t>I say the same in regard to the lute, harp, theorbo, polygonal spinet (</w:t>
      </w:r>
      <w:proofErr w:type="spellStart"/>
      <w:r w:rsidRPr="008E77A1">
        <w:t>arpicordo</w:t>
      </w:r>
      <w:proofErr w:type="spellEnd"/>
      <w:r w:rsidRPr="008E77A1">
        <w:t xml:space="preserve">), etc. when they serve for foundation when one or more voices are singing above, because in such case they ought to maintain the harmony firm, sonorous, and continuous, so as to </w:t>
      </w:r>
      <w:r w:rsidRPr="008E77A1">
        <w:lastRenderedPageBreak/>
        <w:t>sustain the voices, playing now soft, now loud according to the quality and quantity of the voices, the duration, and the work, not restriking too much the strings while the voices make a passaggio and some affect, so as not to interfere with it.</w:t>
      </w:r>
    </w:p>
    <w:p w14:paraId="657FE16C" w14:textId="61AFC29F" w:rsidR="0032315B" w:rsidRPr="008E77A1" w:rsidRDefault="0032315B" w:rsidP="008E77A1">
      <w:r w:rsidRPr="008E77A1">
        <w:tab/>
      </w:r>
      <w:r w:rsidR="009E74A1" w:rsidRPr="008E77A1">
        <w:t>Wishing finally to instruct in playing on a bass (not simply in playing, because one ought to know how first) let us take for granted many principles and terms, such as going from imperfect to perfect by the nearest</w:t>
      </w:r>
      <w:r w:rsidR="000118A0" w:rsidRPr="008E77A1">
        <w:t>; as for the most part it</w:t>
      </w:r>
      <w:r w:rsidR="009E74A1" w:rsidRPr="008E77A1">
        <w:t xml:space="preserve"> is true that cadences want a major third, the [7] resolution of the bad by the nearest good, like the seventh by the</w:t>
      </w:r>
      <w:r w:rsidRPr="008E77A1">
        <w:t xml:space="preserve"> </w:t>
      </w:r>
      <w:r w:rsidR="009E74A1" w:rsidRPr="008E77A1">
        <w:t>sixth, the fourth by the third, when the part that resolves comes above, but if below then the contrary, therefore we will not discuss about it at length, and who does not know about them, learn it!</w:t>
      </w:r>
      <w:r w:rsidR="00532CBD">
        <w:t xml:space="preserve"> </w:t>
      </w:r>
      <w:r w:rsidR="009E74A1" w:rsidRPr="008E77A1">
        <w:t>We will instruct a</w:t>
      </w:r>
      <w:r w:rsidR="00311A4A" w:rsidRPr="008E77A1">
        <w:t>t</w:t>
      </w:r>
      <w:r w:rsidR="009E74A1" w:rsidRPr="008E77A1">
        <w:t xml:space="preserve"> present plac</w:t>
      </w:r>
      <w:r w:rsidR="00311A4A" w:rsidRPr="008E77A1">
        <w:t>ing</w:t>
      </w:r>
      <w:r w:rsidR="009E74A1" w:rsidRPr="008E77A1">
        <w:t xml:space="preserve"> the hand on the organ.</w:t>
      </w:r>
    </w:p>
    <w:p w14:paraId="75F7DBBA" w14:textId="050687EB" w:rsidR="00C14359" w:rsidRPr="008E77A1" w:rsidRDefault="00C14359" w:rsidP="008E77A1">
      <w:r w:rsidRPr="008E77A1">
        <w:tab/>
        <w:t xml:space="preserve">The bass proceeds in many ways, that is either continuous, or by leap, or by continuous </w:t>
      </w:r>
      <w:proofErr w:type="spellStart"/>
      <w:r w:rsidRPr="008E77A1">
        <w:t>tirata</w:t>
      </w:r>
      <w:proofErr w:type="spellEnd"/>
      <w:r w:rsidRPr="008E77A1">
        <w:t xml:space="preserve"> [stepwise scalar], or by disjunct black notes.</w:t>
      </w:r>
      <w:r w:rsidR="00532CBD">
        <w:t xml:space="preserve"> </w:t>
      </w:r>
      <w:r w:rsidRPr="008E77A1">
        <w:t>If it g</w:t>
      </w:r>
      <w:r w:rsidR="00311A4A" w:rsidRPr="008E77A1">
        <w:t>oes</w:t>
      </w:r>
      <w:r w:rsidRPr="008E77A1">
        <w:t xml:space="preserve"> continuous upward, one ought with the upper hand to come downwards, either continuously or by leap; and so thus to the contrary, if the lower hand ascends or descends by leap of a third or fourth or fifth, then one ought to proceed with the hand above continuously because it is not good to ascend or descend together, which is awkward to see and hear, and there is no variety in it, instead all would be octaves and fifths.</w:t>
      </w:r>
      <w:r w:rsidR="00532CBD">
        <w:t xml:space="preserve"> </w:t>
      </w:r>
      <w:r w:rsidRPr="008E77A1">
        <w:t xml:space="preserve">If the bass goes all upward in </w:t>
      </w:r>
      <w:proofErr w:type="spellStart"/>
      <w:r w:rsidRPr="008E77A1">
        <w:t>tirata</w:t>
      </w:r>
      <w:proofErr w:type="spellEnd"/>
      <w:r w:rsidRPr="008E77A1">
        <w:t>, the hand above remains stationary, if by broken black notes one ought to give to every note its own accompaniment.</w:t>
      </w:r>
      <w:r w:rsidR="00532CBD">
        <w:t xml:space="preserve"> </w:t>
      </w:r>
      <w:r w:rsidRPr="008E77A1">
        <w:t>Here is an example of all.</w:t>
      </w:r>
    </w:p>
    <w:p w14:paraId="40B55333" w14:textId="77777777" w:rsidR="00C14359" w:rsidRPr="008E77A1" w:rsidRDefault="00C14359" w:rsidP="008E77A1">
      <w:r w:rsidRPr="008E77A1">
        <w:rPr>
          <w:noProof/>
        </w:rPr>
        <w:drawing>
          <wp:inline distT="0" distB="0" distL="0" distR="0" wp14:anchorId="62958840" wp14:editId="5F1DD2D0">
            <wp:extent cx="5000625" cy="1838325"/>
            <wp:effectExtent l="0" t="0" r="9525" b="9525"/>
            <wp:docPr id="1" name="Picture 1" descr="Music notation of example being described in th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usic notation of example being described in the tex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00625" cy="1838325"/>
                    </a:xfrm>
                    <a:prstGeom prst="rect">
                      <a:avLst/>
                    </a:prstGeom>
                    <a:noFill/>
                    <a:ln>
                      <a:noFill/>
                    </a:ln>
                  </pic:spPr>
                </pic:pic>
              </a:graphicData>
            </a:graphic>
          </wp:inline>
        </w:drawing>
      </w:r>
    </w:p>
    <w:p w14:paraId="0745A346" w14:textId="77777777" w:rsidR="00C14359" w:rsidRPr="008E77A1" w:rsidRDefault="00C14359" w:rsidP="008E77A1">
      <w:r w:rsidRPr="008E77A1">
        <w:lastRenderedPageBreak/>
        <w:tab/>
        <w:t>Having said quite enough about foundational instruments, so much because the judicious man will be able wit</w:t>
      </w:r>
      <w:r w:rsidR="00311A4A" w:rsidRPr="008E77A1">
        <w:t>h</w:t>
      </w:r>
      <w:r w:rsidRPr="008E77A1">
        <w:t xml:space="preserve"> this little ray to obtain for himself much light, because saying too much generates confusion, I will now briefly say some things about ornamental instruments.</w:t>
      </w:r>
    </w:p>
    <w:p w14:paraId="15955C72" w14:textId="6491263B" w:rsidR="00C14359" w:rsidRPr="008E77A1" w:rsidRDefault="00C14359" w:rsidP="008E77A1">
      <w:r w:rsidRPr="008E77A1">
        <w:tab/>
      </w:r>
      <w:r w:rsidRPr="008E77A1">
        <w:rPr>
          <w:b/>
          <w:bCs/>
        </w:rPr>
        <w:t>[8]</w:t>
      </w:r>
      <w:r w:rsidRPr="008E77A1">
        <w:t xml:space="preserve"> </w:t>
      </w:r>
      <w:r w:rsidR="001A28FE" w:rsidRPr="008E77A1">
        <w:t>The instruments that are combined with voices variously are not for anything other, I believe, than to ornament and embellish, indeed, to spice up the said ensemble are they combined.</w:t>
      </w:r>
      <w:r w:rsidR="00532CBD">
        <w:t xml:space="preserve"> </w:t>
      </w:r>
      <w:r w:rsidR="001A28FE" w:rsidRPr="008E77A1">
        <w:t>In that case, it is appropriate to use them in a different way from the first kind, since, as to these first, they hold the tenor and the harmony stable, now the others ought with variety of good counterpoint, according to the quality of the instrument to adorn and render the melody charming.</w:t>
      </w:r>
      <w:r w:rsidR="00532CBD">
        <w:t xml:space="preserve"> </w:t>
      </w:r>
      <w:r w:rsidR="001A28FE" w:rsidRPr="008E77A1">
        <w:t>But in this, one is different from the other because the first</w:t>
      </w:r>
      <w:r w:rsidR="008137B2" w:rsidRPr="008E77A1">
        <w:t xml:space="preserve"> kind</w:t>
      </w:r>
      <w:r w:rsidR="001A28FE" w:rsidRPr="008E77A1">
        <w:t xml:space="preserve">, having to play the bass placed before it, as it is, does not seek for the man to have great knowledge of counterpoint, but in the second </w:t>
      </w:r>
      <w:r w:rsidR="008137B2" w:rsidRPr="008E77A1">
        <w:t>kind</w:t>
      </w:r>
      <w:r w:rsidR="001A28FE" w:rsidRPr="008E77A1">
        <w:t xml:space="preserve"> it does require it, since it ought on the same bass to compose new parts on it and new and varied passaggios and counterpoints.</w:t>
      </w:r>
      <w:r w:rsidR="00532CBD">
        <w:t xml:space="preserve"> </w:t>
      </w:r>
      <w:r w:rsidR="001A28FE" w:rsidRPr="008E77A1">
        <w:t xml:space="preserve">Whence, the one who plays lute, which is a most noble instrument among the others, ought to play it nobly with many inventions and diversity, not as some do, those who because they have a good agility of the hand do not make anything but scales and diminutions from the beginning to the end, and </w:t>
      </w:r>
      <w:r w:rsidR="00543E69" w:rsidRPr="008E77A1">
        <w:t xml:space="preserve">most of all in the company of other instruments, which do the same, when </w:t>
      </w:r>
      <w:r w:rsidR="00311A4A" w:rsidRPr="008E77A1">
        <w:t>one</w:t>
      </w:r>
      <w:r w:rsidR="00543E69" w:rsidRPr="008E77A1">
        <w:t xml:space="preserve"> hears nothing other than a mess and confusion, a displeasing thing and unpleasant to the listener.</w:t>
      </w:r>
      <w:r w:rsidR="00532CBD">
        <w:t xml:space="preserve"> </w:t>
      </w:r>
      <w:r w:rsidR="00543E69" w:rsidRPr="008E77A1">
        <w:t>He is obliged now with attacks and sweet repeats, now with broad passaggios, now strict and redoubled, then with some dron</w:t>
      </w:r>
      <w:r w:rsidR="008137B2" w:rsidRPr="008E77A1">
        <w:t>ing</w:t>
      </w:r>
      <w:r w:rsidR="00543E69" w:rsidRPr="008E77A1">
        <w:t>, with beautiful imitations and persistent repetitions, and deriving the same imitations on diverse notes and places; in sum, wit</w:t>
      </w:r>
      <w:r w:rsidR="00311A4A" w:rsidRPr="008E77A1">
        <w:t>h</w:t>
      </w:r>
      <w:r w:rsidR="00543E69" w:rsidRPr="008E77A1">
        <w:t xml:space="preserve"> long </w:t>
      </w:r>
      <w:proofErr w:type="spellStart"/>
      <w:r w:rsidR="00543E69" w:rsidRPr="008E77A1">
        <w:t>gruppos</w:t>
      </w:r>
      <w:proofErr w:type="spellEnd"/>
      <w:r w:rsidR="00543E69" w:rsidRPr="008E77A1">
        <w:t xml:space="preserve"> and </w:t>
      </w:r>
      <w:proofErr w:type="spellStart"/>
      <w:r w:rsidR="00543E69" w:rsidRPr="008E77A1">
        <w:t>trillos</w:t>
      </w:r>
      <w:proofErr w:type="spellEnd"/>
      <w:r w:rsidR="00543E69" w:rsidRPr="008E77A1">
        <w:t xml:space="preserve"> and </w:t>
      </w:r>
      <w:proofErr w:type="spellStart"/>
      <w:r w:rsidR="00543E69" w:rsidRPr="008E77A1">
        <w:t>accentos</w:t>
      </w:r>
      <w:proofErr w:type="spellEnd"/>
      <w:r w:rsidR="00543E69" w:rsidRPr="008E77A1">
        <w:t xml:space="preserve"> in its </w:t>
      </w:r>
      <w:r w:rsidR="008137B2" w:rsidRPr="008E77A1">
        <w:t xml:space="preserve">own </w:t>
      </w:r>
      <w:r w:rsidR="00543E69" w:rsidRPr="008E77A1">
        <w:t>time</w:t>
      </w:r>
      <w:r w:rsidR="008137B2" w:rsidRPr="001201FC">
        <w:rPr>
          <w:rStyle w:val="FootnoteReference"/>
        </w:rPr>
        <w:footnoteReference w:id="19"/>
      </w:r>
      <w:r w:rsidR="00543E69" w:rsidRPr="008E77A1">
        <w:t xml:space="preserve"> to interweave the voices, which provide charm to the ensemble, and taste, and delight to the listeners.</w:t>
      </w:r>
      <w:r w:rsidR="00532CBD">
        <w:t xml:space="preserve"> </w:t>
      </w:r>
      <w:r w:rsidR="00543E69" w:rsidRPr="008E77A1">
        <w:t xml:space="preserve">Taking care with judgment that the one </w:t>
      </w:r>
      <w:proofErr w:type="gramStart"/>
      <w:r w:rsidR="00543E69" w:rsidRPr="008E77A1">
        <w:t>not interfere</w:t>
      </w:r>
      <w:proofErr w:type="gramEnd"/>
      <w:r w:rsidR="00543E69" w:rsidRPr="008E77A1">
        <w:t xml:space="preserve"> with the others, but by giving time, most of all when the instruments are similar, which in my opinion ought to be avoided, if there is not a great distance or tuned in different keys </w:t>
      </w:r>
      <w:r w:rsidR="00543E69" w:rsidRPr="008E77A1">
        <w:lastRenderedPageBreak/>
        <w:t>and sizes.</w:t>
      </w:r>
      <w:r w:rsidR="00543E69" w:rsidRPr="001201FC">
        <w:rPr>
          <w:rStyle w:val="FootnoteReference"/>
        </w:rPr>
        <w:footnoteReference w:id="20"/>
      </w:r>
      <w:r w:rsidR="00532CBD">
        <w:t xml:space="preserve"> </w:t>
      </w:r>
      <w:r w:rsidR="00543E69" w:rsidRPr="008E77A1">
        <w:t>What I say of the lute, as a principal instrument, I want to be understood of the others in their kind, because it would take long to discuss all of them in particular.</w:t>
      </w:r>
    </w:p>
    <w:p w14:paraId="1E0834BE" w14:textId="293A79A6" w:rsidR="00F35A40" w:rsidRPr="008E77A1" w:rsidRDefault="00F35A40" w:rsidP="008E77A1">
      <w:r w:rsidRPr="008E77A1">
        <w:tab/>
        <w:t>[9] Because every instrument has its own proper limits, for that reason the player ought to make use of and abide by the same</w:t>
      </w:r>
      <w:r w:rsidR="008137B2" w:rsidRPr="008E77A1">
        <w:t>,</w:t>
      </w:r>
      <w:r w:rsidRPr="008E77A1">
        <w:t xml:space="preserve"> according to those</w:t>
      </w:r>
      <w:r w:rsidR="00797692" w:rsidRPr="008E77A1">
        <w:t>,</w:t>
      </w:r>
      <w:r w:rsidRPr="008E77A1">
        <w:t xml:space="preserve"> so as to make good work.</w:t>
      </w:r>
      <w:r w:rsidR="00532CBD">
        <w:t xml:space="preserve"> </w:t>
      </w:r>
      <w:r w:rsidRPr="008E77A1">
        <w:t>For example, bowed instruments have different styles from the others plucked by qui</w:t>
      </w:r>
      <w:r w:rsidR="00797692" w:rsidRPr="008E77A1">
        <w:t>l</w:t>
      </w:r>
      <w:r w:rsidRPr="008E77A1">
        <w:t>l or finger.</w:t>
      </w:r>
      <w:r w:rsidR="00532CBD">
        <w:t xml:space="preserve"> </w:t>
      </w:r>
      <w:r w:rsidRPr="008E77A1">
        <w:t xml:space="preserve">Therefore, the one who plays </w:t>
      </w:r>
      <w:proofErr w:type="spellStart"/>
      <w:r w:rsidRPr="008E77A1">
        <w:t>lirone</w:t>
      </w:r>
      <w:proofErr w:type="spellEnd"/>
      <w:r w:rsidRPr="008E77A1">
        <w:t xml:space="preserve"> ought to draw the </w:t>
      </w:r>
      <w:proofErr w:type="spellStart"/>
      <w:r w:rsidRPr="008E77A1">
        <w:t>bowstrokes</w:t>
      </w:r>
      <w:proofErr w:type="spellEnd"/>
      <w:r w:rsidRPr="008E77A1">
        <w:t xml:space="preserve"> long, clear, and sonorous, drawing forth the middle parts well, paying attention to thirds and sixths, major and minor, a difficult and important thing for that instrument.</w:t>
      </w:r>
      <w:r w:rsidR="00532CBD">
        <w:t xml:space="preserve"> </w:t>
      </w:r>
      <w:r w:rsidRPr="008E77A1">
        <w:t>The violin requires beautiful passaggios, distinct and extended scherzos,</w:t>
      </w:r>
      <w:r w:rsidRPr="001201FC">
        <w:rPr>
          <w:rStyle w:val="FootnoteReference"/>
        </w:rPr>
        <w:footnoteReference w:id="21"/>
      </w:r>
      <w:r w:rsidRPr="008E77A1">
        <w:t xml:space="preserve"> responses and imitations repeated in more places, affective </w:t>
      </w:r>
      <w:proofErr w:type="spellStart"/>
      <w:r w:rsidRPr="008E77A1">
        <w:t>accentos</w:t>
      </w:r>
      <w:proofErr w:type="spellEnd"/>
      <w:r w:rsidRPr="008E77A1">
        <w:t xml:space="preserve">, muted </w:t>
      </w:r>
      <w:proofErr w:type="spellStart"/>
      <w:r w:rsidRPr="008E77A1">
        <w:t>bowstrokes</w:t>
      </w:r>
      <w:proofErr w:type="spellEnd"/>
      <w:r w:rsidRPr="008E77A1">
        <w:t>,</w:t>
      </w:r>
      <w:r w:rsidRPr="001201FC">
        <w:rPr>
          <w:rStyle w:val="FootnoteReference"/>
        </w:rPr>
        <w:footnoteReference w:id="22"/>
      </w:r>
      <w:r w:rsidRPr="008E77A1">
        <w:t xml:space="preserve"> </w:t>
      </w:r>
      <w:proofErr w:type="spellStart"/>
      <w:r w:rsidRPr="008E77A1">
        <w:t>gruppos</w:t>
      </w:r>
      <w:proofErr w:type="spellEnd"/>
      <w:r w:rsidRPr="008E77A1">
        <w:t xml:space="preserve">, </w:t>
      </w:r>
      <w:proofErr w:type="spellStart"/>
      <w:r w:rsidRPr="008E77A1">
        <w:t>trillos</w:t>
      </w:r>
      <w:proofErr w:type="spellEnd"/>
      <w:r w:rsidRPr="008E77A1">
        <w:t>, etc.</w:t>
      </w:r>
      <w:r w:rsidR="00532CBD">
        <w:t xml:space="preserve"> </w:t>
      </w:r>
      <w:r w:rsidRPr="008E77A1">
        <w:t>The violone as a low part proceeds seriously, sustaining with its sweet resonance the harmony of the other parts, remaining as much as possible on the large string, playing the contrabass often.</w:t>
      </w:r>
      <w:r w:rsidR="00532CBD">
        <w:t xml:space="preserve"> </w:t>
      </w:r>
      <w:r w:rsidRPr="008E77A1">
        <w:t xml:space="preserve">The theorbo, then, with its full and sweet consonances increases the melody greatly by restriking and making ornaments elegantly on its burden, the particular excellence of that instrument, with </w:t>
      </w:r>
      <w:proofErr w:type="spellStart"/>
      <w:r w:rsidRPr="008E77A1">
        <w:t>trillos</w:t>
      </w:r>
      <w:proofErr w:type="spellEnd"/>
      <w:r w:rsidRPr="008E77A1">
        <w:t xml:space="preserve">, and muted </w:t>
      </w:r>
      <w:proofErr w:type="spellStart"/>
      <w:r w:rsidRPr="008E77A1">
        <w:t>accentos</w:t>
      </w:r>
      <w:proofErr w:type="spellEnd"/>
      <w:r w:rsidRPr="001201FC">
        <w:rPr>
          <w:rStyle w:val="FootnoteReference"/>
        </w:rPr>
        <w:footnoteReference w:id="23"/>
      </w:r>
      <w:r w:rsidRPr="008E77A1">
        <w:t xml:space="preserve"> with the lower hand</w:t>
      </w:r>
      <w:r w:rsidR="009E2717" w:rsidRPr="008E77A1">
        <w:t>.</w:t>
      </w:r>
      <w:r w:rsidRPr="001201FC">
        <w:rPr>
          <w:rStyle w:val="FootnoteReference"/>
        </w:rPr>
        <w:footnoteReference w:id="24"/>
      </w:r>
      <w:r w:rsidR="00532CBD">
        <w:t xml:space="preserve"> </w:t>
      </w:r>
      <w:r w:rsidR="009E2717" w:rsidRPr="008E77A1">
        <w:t xml:space="preserve">The double harp, what an instrument it is, which is good for everything, as much its sopranos as its basses, it must seek out all delights, with sweet pizzicatos, with responses by both hands, with </w:t>
      </w:r>
      <w:proofErr w:type="spellStart"/>
      <w:r w:rsidR="009E2717" w:rsidRPr="008E77A1">
        <w:t>trillos</w:t>
      </w:r>
      <w:proofErr w:type="spellEnd"/>
      <w:r w:rsidR="009E2717" w:rsidRPr="008E77A1">
        <w:t xml:space="preserve">, etc., in sum, it </w:t>
      </w:r>
      <w:r w:rsidR="008137B2" w:rsidRPr="008E77A1">
        <w:t>requires</w:t>
      </w:r>
      <w:r w:rsidR="009E2717" w:rsidRPr="008E77A1">
        <w:t xml:space="preserve"> good counterpoint</w:t>
      </w:r>
      <w:r w:rsidR="008137B2" w:rsidRPr="008E77A1">
        <w:t>.</w:t>
      </w:r>
      <w:r w:rsidR="00532CBD">
        <w:t xml:space="preserve"> </w:t>
      </w:r>
      <w:r w:rsidR="009E2717" w:rsidRPr="008E77A1">
        <w:t>The cittern, either ordinary or the ceterone, ought to be used like the other instruments in making scherzos and counterpoint on a part.</w:t>
      </w:r>
      <w:r w:rsidR="00532CBD">
        <w:t xml:space="preserve"> </w:t>
      </w:r>
      <w:proofErr w:type="gramStart"/>
      <w:r w:rsidR="009E2717" w:rsidRPr="008E77A1">
        <w:t>But,</w:t>
      </w:r>
      <w:proofErr w:type="gramEnd"/>
      <w:r w:rsidR="009E2717" w:rsidRPr="008E77A1">
        <w:t xml:space="preserve"> everything must be employed with prudence because if the instruments are alone in ensemble, they must produce the whole and season the ensemble.</w:t>
      </w:r>
      <w:r w:rsidR="00532CBD">
        <w:t xml:space="preserve"> </w:t>
      </w:r>
      <w:r w:rsidR="009E2717" w:rsidRPr="008E77A1">
        <w:t xml:space="preserve">If they are in </w:t>
      </w:r>
      <w:r w:rsidR="009E2717" w:rsidRPr="008E77A1">
        <w:lastRenderedPageBreak/>
        <w:t>company, it is necessary for each one to be vigilant, giving each other room, and not intruding upon each other, and if there are many, for each to wait its own time and not to make a twittering all at the same time, and for the one who can play loudest.</w:t>
      </w:r>
      <w:r w:rsidR="00532CBD">
        <w:t xml:space="preserve"> </w:t>
      </w:r>
      <w:r w:rsidR="008137B2" w:rsidRPr="008E77A1">
        <w:t>T</w:t>
      </w:r>
      <w:r w:rsidR="009E2717" w:rsidRPr="008E77A1">
        <w:t>his little only may be said so as to give some light to the one who desires to learn, because the one who knows how to do it himself, [10] he has no need of any instruction, and for such a one I do not write, since I esteem and honor him, but if someone of good nature, as happens, will desire to discover more beyond in similar material, he will always know quickly.</w:t>
      </w:r>
    </w:p>
    <w:p w14:paraId="3BDC20C2" w14:textId="61DD78E8" w:rsidR="009E2717" w:rsidRPr="008E77A1" w:rsidRDefault="009E2717" w:rsidP="008E77A1">
      <w:r w:rsidRPr="008E77A1">
        <w:tab/>
        <w:t>Finally,</w:t>
      </w:r>
      <w:r w:rsidR="00474ADB" w:rsidRPr="008E77A1">
        <w:t xml:space="preserve"> it is appropriate to know how to transpose the songs from one </w:t>
      </w:r>
      <w:r w:rsidR="000F3522" w:rsidRPr="008E77A1">
        <w:t>position on the keyboard (tasto)</w:t>
      </w:r>
      <w:r w:rsidR="000F3522" w:rsidRPr="001201FC">
        <w:rPr>
          <w:rStyle w:val="FootnoteReference"/>
        </w:rPr>
        <w:footnoteReference w:id="25"/>
      </w:r>
      <w:r w:rsidR="000F3522" w:rsidRPr="008E77A1">
        <w:t xml:space="preserve"> to another, when, however, all the consonances are natural and belonging to the key (tono),</w:t>
      </w:r>
      <w:r w:rsidR="00652666" w:rsidRPr="001201FC">
        <w:rPr>
          <w:rStyle w:val="FootnoteReference"/>
        </w:rPr>
        <w:footnoteReference w:id="26"/>
      </w:r>
      <w:r w:rsidR="000F3522" w:rsidRPr="008E77A1">
        <w:t xml:space="preserve"> because otherwise the</w:t>
      </w:r>
      <w:r w:rsidR="00797692" w:rsidRPr="008E77A1">
        <w:t>y</w:t>
      </w:r>
      <w:r w:rsidR="000F3522" w:rsidRPr="008E77A1">
        <w:t xml:space="preserve"> ought not be transposed because it makes it most horrible to hear,</w:t>
      </w:r>
      <w:r w:rsidR="000F3522" w:rsidRPr="001201FC">
        <w:rPr>
          <w:rStyle w:val="FootnoteReference"/>
        </w:rPr>
        <w:footnoteReference w:id="27"/>
      </w:r>
      <w:r w:rsidR="000F3522" w:rsidRPr="008E77A1">
        <w:t xml:space="preserve"> as I have observed at times that transposing a first or second key (tono), which are by nature sweet, by many notes of B-flat, in some position, where its key (</w:t>
      </w:r>
      <w:proofErr w:type="spellStart"/>
      <w:r w:rsidR="000F3522" w:rsidRPr="008E77A1">
        <w:t>tuono</w:t>
      </w:r>
      <w:proofErr w:type="spellEnd"/>
      <w:r w:rsidR="000F3522" w:rsidRPr="008E77A1">
        <w:t>) is with a B-natural,</w:t>
      </w:r>
      <w:r w:rsidR="000F3522" w:rsidRPr="001201FC">
        <w:rPr>
          <w:rStyle w:val="FootnoteReference"/>
        </w:rPr>
        <w:footnoteReference w:id="28"/>
      </w:r>
      <w:r w:rsidR="000F3522" w:rsidRPr="008E77A1">
        <w:t xml:space="preserve"> will be difficult, for the one who plays, to be so cautious that he doesn’t stumble on some unfavorable voice, and thus the ensemble is going to be ruined and offend the hearing of the listeners by such crudity, or rather, never shows the naturalness of the key (</w:t>
      </w:r>
      <w:proofErr w:type="spellStart"/>
      <w:r w:rsidR="000F3522" w:rsidRPr="008E77A1">
        <w:t>tuono</w:t>
      </w:r>
      <w:proofErr w:type="spellEnd"/>
      <w:r w:rsidR="000F3522" w:rsidRPr="008E77A1">
        <w:t>).</w:t>
      </w:r>
      <w:r w:rsidR="00532CBD">
        <w:t xml:space="preserve"> </w:t>
      </w:r>
      <w:r w:rsidR="00952887" w:rsidRPr="008E77A1">
        <w:t>To transpose at the fourth or fifth is the most natural and comfortable of all,</w:t>
      </w:r>
      <w:r w:rsidR="00652666" w:rsidRPr="001201FC">
        <w:rPr>
          <w:rStyle w:val="FootnoteReference"/>
        </w:rPr>
        <w:footnoteReference w:id="29"/>
      </w:r>
      <w:r w:rsidR="00952887" w:rsidRPr="001201FC">
        <w:rPr>
          <w:rStyle w:val="FootnoteReference"/>
        </w:rPr>
        <w:t xml:space="preserve"> </w:t>
      </w:r>
      <w:r w:rsidR="00952887" w:rsidRPr="008E77A1">
        <w:t>a</w:t>
      </w:r>
      <w:r w:rsidR="00797692" w:rsidRPr="008E77A1">
        <w:t>n</w:t>
      </w:r>
      <w:r w:rsidR="00952887" w:rsidRPr="008E77A1">
        <w:t>d sometimes one step (voce) lower or higher, and in sum it is appropriate to see what is more proper and suitable to that key (</w:t>
      </w:r>
      <w:proofErr w:type="spellStart"/>
      <w:r w:rsidR="00952887" w:rsidRPr="008E77A1">
        <w:t>tuono</w:t>
      </w:r>
      <w:proofErr w:type="spellEnd"/>
      <w:r w:rsidR="00952887" w:rsidRPr="008E77A1">
        <w:t xml:space="preserve">), and not as </w:t>
      </w:r>
      <w:r w:rsidR="00952887" w:rsidRPr="008E77A1">
        <w:lastRenderedPageBreak/>
        <w:t>some do who claim to play every key (</w:t>
      </w:r>
      <w:proofErr w:type="spellStart"/>
      <w:r w:rsidR="00952887" w:rsidRPr="008E77A1">
        <w:t>tuono</w:t>
      </w:r>
      <w:proofErr w:type="spellEnd"/>
      <w:r w:rsidR="00952887" w:rsidRPr="008E77A1">
        <w:t>) on every pitch (corde) because</w:t>
      </w:r>
      <w:r w:rsidR="00797692" w:rsidRPr="008E77A1">
        <w:t>,</w:t>
      </w:r>
      <w:r w:rsidR="00952887" w:rsidRPr="008E77A1">
        <w:t xml:space="preserve"> I would be able to dispute at length, </w:t>
      </w:r>
      <w:r w:rsidR="00797692" w:rsidRPr="008E77A1">
        <w:t xml:space="preserve">I </w:t>
      </w:r>
      <w:r w:rsidR="00952887" w:rsidRPr="008E77A1">
        <w:t>would demonstrate their impropriety and error.</w:t>
      </w:r>
    </w:p>
    <w:p w14:paraId="06E1941D" w14:textId="48FE80B2" w:rsidR="00DB0E99" w:rsidRPr="008E77A1" w:rsidRDefault="00DB0E99" w:rsidP="008E77A1">
      <w:r w:rsidRPr="008E77A1">
        <w:tab/>
      </w:r>
      <w:r w:rsidR="00D34C81" w:rsidRPr="008E77A1">
        <w:t xml:space="preserve">I </w:t>
      </w:r>
      <w:proofErr w:type="gramStart"/>
      <w:r w:rsidR="00D34C81" w:rsidRPr="008E77A1">
        <w:t>having</w:t>
      </w:r>
      <w:proofErr w:type="gramEnd"/>
      <w:r w:rsidR="00D34C81" w:rsidRPr="008E77A1">
        <w:t xml:space="preserve"> just now discussed playing on a bass, it seems good to me to say something on that subject, since I know that I am going to be blamed by someone for what either he doesn’t understand </w:t>
      </w:r>
      <w:r w:rsidR="008137B2" w:rsidRPr="008E77A1">
        <w:t xml:space="preserve">is </w:t>
      </w:r>
      <w:r w:rsidR="00D34C81" w:rsidRPr="008E77A1">
        <w:t>the aim, or he has not sufficient ability to play it.</w:t>
      </w:r>
      <w:r w:rsidR="00532CBD">
        <w:t xml:space="preserve"> </w:t>
      </w:r>
      <w:r w:rsidR="00D34C81" w:rsidRPr="008E77A1">
        <w:t>For th</w:t>
      </w:r>
      <w:r w:rsidR="00797692" w:rsidRPr="008E77A1">
        <w:t>r</w:t>
      </w:r>
      <w:r w:rsidR="00D34C81" w:rsidRPr="008E77A1">
        <w:t>ee reasons, then, this means has been put in use:</w:t>
      </w:r>
      <w:r w:rsidR="00532CBD">
        <w:t xml:space="preserve"> </w:t>
      </w:r>
      <w:r w:rsidR="00D34C81" w:rsidRPr="008E77A1">
        <w:t>first, for the modern style of singing recitative and composing; second, for the convenience; third for the quantity and variety of the works that are necessary for the ensemble.</w:t>
      </w:r>
    </w:p>
    <w:p w14:paraId="16FBC3A7" w14:textId="6F36C1DE" w:rsidR="00D34C81" w:rsidRPr="008E77A1" w:rsidRDefault="00D34C81" w:rsidP="008E77A1">
      <w:r w:rsidRPr="008E77A1">
        <w:tab/>
        <w:t xml:space="preserve">[11] About the first reason, I say that having lately discovered the true style of expressing words, by imitating the same for understanding in the best way possible, the one that succeeds best with one or a few voices, such as are modern arias of some outstanding men, and as at present is much in use in Rome in ensembles, it is not necessary to make scores or </w:t>
      </w:r>
      <w:proofErr w:type="spellStart"/>
      <w:r w:rsidRPr="008E77A1">
        <w:t>intabulations</w:t>
      </w:r>
      <w:proofErr w:type="spellEnd"/>
      <w:r w:rsidRPr="008E77A1">
        <w:t>, but a bass with i</w:t>
      </w:r>
      <w:r w:rsidR="00797692" w:rsidRPr="008E77A1">
        <w:t>t</w:t>
      </w:r>
      <w:r w:rsidRPr="008E77A1">
        <w:t>s signs is enough, as I have said above.</w:t>
      </w:r>
      <w:r w:rsidR="00532CBD">
        <w:t xml:space="preserve"> </w:t>
      </w:r>
      <w:r w:rsidRPr="008E77A1">
        <w:t>But, if someone were to say to me that for playing older works full of fugues (</w:t>
      </w:r>
      <w:proofErr w:type="spellStart"/>
      <w:r w:rsidRPr="008E77A1">
        <w:t>fughe</w:t>
      </w:r>
      <w:proofErr w:type="spellEnd"/>
      <w:r w:rsidRPr="008E77A1">
        <w:t>) and counterpoint it is insufficient for the bass to respond to this, I answer that similar songs are no longer in use because of the confusion and jumble of the words that are produced by long and intricate imitations, and also because they possess no charm, since by being sung in all voices no completion or sense of them is perceived, being because of the interruption and suppression by the fugues.</w:t>
      </w:r>
      <w:r w:rsidR="00532CBD">
        <w:t xml:space="preserve"> </w:t>
      </w:r>
      <w:r w:rsidRPr="008E77A1">
        <w:t>Rather, at the same time each voice sings different words than the other, which to people with understanding and judgment almost offends, for which reason music was not banished from the Church by a supreme pontiff, if it had not been sheltered by Giovanni Palestrina by demonstrating it was the fault and error of composers and not the music, and for confirmation of this produced the mass title</w:t>
      </w:r>
      <w:r w:rsidR="00797692" w:rsidRPr="008E77A1">
        <w:t>d</w:t>
      </w:r>
      <w:r w:rsidRPr="008E77A1">
        <w:t xml:space="preserve"> Missa </w:t>
      </w:r>
      <w:proofErr w:type="spellStart"/>
      <w:r w:rsidRPr="008E77A1">
        <w:t>Papae</w:t>
      </w:r>
      <w:proofErr w:type="spellEnd"/>
      <w:r w:rsidRPr="008E77A1">
        <w:t xml:space="preserve"> Marcelli.</w:t>
      </w:r>
      <w:r w:rsidRPr="001201FC">
        <w:rPr>
          <w:rStyle w:val="FootnoteReference"/>
        </w:rPr>
        <w:footnoteReference w:id="30"/>
      </w:r>
      <w:r w:rsidR="00532CBD">
        <w:t xml:space="preserve"> </w:t>
      </w:r>
      <w:r w:rsidRPr="008E77A1">
        <w:t xml:space="preserve">Whence, although by the rules of counterpoint such compositions are good, nonetheless by the rules of true and good </w:t>
      </w:r>
      <w:r w:rsidRPr="008E77A1">
        <w:lastRenderedPageBreak/>
        <w:t>music they are faulty, who creates by no understanding the end and office and precepts of it [music], by wanting such as these to be only in the observation of imitation (</w:t>
      </w:r>
      <w:proofErr w:type="spellStart"/>
      <w:r w:rsidRPr="008E77A1">
        <w:t>fuga</w:t>
      </w:r>
      <w:proofErr w:type="spellEnd"/>
      <w:r w:rsidRPr="008E77A1">
        <w:t>) and the imitation of the notes and not of the affect and similarity to the words</w:t>
      </w:r>
      <w:r w:rsidR="009B11AB" w:rsidRPr="008E77A1">
        <w:t>.</w:t>
      </w:r>
      <w:r w:rsidR="00532CBD">
        <w:t xml:space="preserve"> </w:t>
      </w:r>
      <w:r w:rsidR="009B11AB" w:rsidRPr="008E77A1">
        <w:t>This is sufficient for now</w:t>
      </w:r>
      <w:r w:rsidR="00797692" w:rsidRPr="008E77A1">
        <w:t>,</w:t>
      </w:r>
      <w:r w:rsidR="009B11AB" w:rsidRPr="008E77A1">
        <w:t xml:space="preserve"> it not </w:t>
      </w:r>
      <w:proofErr w:type="gramStart"/>
      <w:r w:rsidR="009B11AB" w:rsidRPr="008E77A1">
        <w:t>being [12]</w:t>
      </w:r>
      <w:proofErr w:type="gramEnd"/>
      <w:r w:rsidR="009B11AB" w:rsidRPr="008E77A1">
        <w:t xml:space="preserve"> proposed in this place to discourse at length on such subject.</w:t>
      </w:r>
    </w:p>
    <w:p w14:paraId="538D8A19" w14:textId="77777777" w:rsidR="006C7D47" w:rsidRPr="008E77A1" w:rsidRDefault="006C7D47" w:rsidP="008E77A1">
      <w:r w:rsidRPr="008E77A1">
        <w:tab/>
        <w:t xml:space="preserve">The second reason is the great convenience because with little effort you have much material for the needs, in addition to the fact that the one who wishes to learn to play is freed from </w:t>
      </w:r>
      <w:proofErr w:type="spellStart"/>
      <w:r w:rsidRPr="008E77A1">
        <w:t>intabulation</w:t>
      </w:r>
      <w:proofErr w:type="spellEnd"/>
      <w:r w:rsidRPr="008E77A1">
        <w:t>, something quite difficult and tedious, in addition much subject to errors because the eye and the mind are all occupied in paying attention to so many parts, most of all when the occasion is approaching of playing in improvisation.</w:t>
      </w:r>
    </w:p>
    <w:p w14:paraId="02FF5BC5" w14:textId="3271630F" w:rsidR="003C3A18" w:rsidRPr="008E77A1" w:rsidRDefault="006C7D47" w:rsidP="008E77A1">
      <w:pPr>
        <w:sectPr w:rsidR="003C3A18" w:rsidRPr="008E77A1">
          <w:pgSz w:w="12240" w:h="15840"/>
          <w:pgMar w:top="1440" w:right="1440" w:bottom="1440" w:left="1440" w:header="720" w:footer="720" w:gutter="0"/>
          <w:cols w:space="720"/>
          <w:docGrid w:linePitch="360"/>
        </w:sectPr>
      </w:pPr>
      <w:r w:rsidRPr="008E77A1">
        <w:tab/>
        <w:t>The third, finally</w:t>
      </w:r>
      <w:proofErr w:type="gramStart"/>
      <w:r w:rsidRPr="008E77A1">
        <w:t>, which</w:t>
      </w:r>
      <w:proofErr w:type="gramEnd"/>
      <w:r w:rsidRPr="008E77A1">
        <w:t xml:space="preserve"> is the quantity of </w:t>
      </w:r>
      <w:proofErr w:type="gramStart"/>
      <w:r w:rsidRPr="008E77A1">
        <w:t>works</w:t>
      </w:r>
      <w:proofErr w:type="gramEnd"/>
      <w:r w:rsidRPr="008E77A1">
        <w:t xml:space="preserve"> necessary for the ensemble.</w:t>
      </w:r>
      <w:r w:rsidR="00532CBD">
        <w:t xml:space="preserve"> </w:t>
      </w:r>
      <w:r w:rsidRPr="008E77A1">
        <w:t xml:space="preserve">It seems to me alone sufficient to introduce a similar convenience of playing, since if they were to have to </w:t>
      </w:r>
      <w:proofErr w:type="spellStart"/>
      <w:r w:rsidRPr="008E77A1">
        <w:t>intabulate</w:t>
      </w:r>
      <w:proofErr w:type="spellEnd"/>
      <w:r w:rsidRPr="008E77A1">
        <w:t xml:space="preserve"> or to make scores of all the works that are sung during the year in only one church of Rome where the profession of ensemble performance is made, the organist would need to have a greater library than what a </w:t>
      </w:r>
      <w:proofErr w:type="gramStart"/>
      <w:r w:rsidRPr="008E77A1">
        <w:t>doctor of law</w:t>
      </w:r>
      <w:proofErr w:type="gramEnd"/>
      <w:r w:rsidRPr="008E77A1">
        <w:t xml:space="preserve"> would want.</w:t>
      </w:r>
      <w:r w:rsidR="00532CBD">
        <w:t xml:space="preserve"> </w:t>
      </w:r>
      <w:r w:rsidRPr="008E77A1">
        <w:t>Therefore, for good reason, if a bass only in the manner even as said above, the conclusion would be no need nor necessity for the player to make heard the parts as they are, while one plays during the singing, and not by playing the work as it stands, which is a different thing from our subject.</w:t>
      </w:r>
      <w:r w:rsidR="00532CBD">
        <w:t xml:space="preserve"> </w:t>
      </w:r>
      <w:r w:rsidRPr="008E77A1">
        <w:t>This that has been said is enough f</w:t>
      </w:r>
      <w:r w:rsidR="00797692" w:rsidRPr="008E77A1">
        <w:t>o</w:t>
      </w:r>
      <w:r w:rsidRPr="008E77A1">
        <w:t xml:space="preserve">r the most part that could be said, because I wish briefly to satisfy </w:t>
      </w:r>
      <w:proofErr w:type="gramStart"/>
      <w:r w:rsidRPr="008E77A1">
        <w:t>more your courteous request</w:t>
      </w:r>
      <w:proofErr w:type="gramEnd"/>
      <w:r w:rsidRPr="008E77A1">
        <w:t xml:space="preserve">, as many times you have made requests </w:t>
      </w:r>
      <w:proofErr w:type="gramStart"/>
      <w:r w:rsidRPr="008E77A1">
        <w:t>of</w:t>
      </w:r>
      <w:proofErr w:type="gramEnd"/>
      <w:r w:rsidRPr="008E77A1">
        <w:t xml:space="preserve"> me, than </w:t>
      </w:r>
      <w:r w:rsidR="009319E3" w:rsidRPr="008E77A1">
        <w:t>for my talent, which is more by leaning from others than by teaching.</w:t>
      </w:r>
      <w:r w:rsidR="00532CBD">
        <w:t xml:space="preserve"> </w:t>
      </w:r>
      <w:r w:rsidR="009319E3" w:rsidRPr="008E77A1">
        <w:t>Accept this, then, as it is, and excuse me for the brevity of the time.</w:t>
      </w:r>
    </w:p>
    <w:p w14:paraId="61B55E68" w14:textId="58592427" w:rsidR="00AE3A4A" w:rsidRPr="008E77A1" w:rsidRDefault="00AE3A4A" w:rsidP="00532CBD">
      <w:pPr>
        <w:pStyle w:val="Heading2"/>
      </w:pPr>
      <w:r w:rsidRPr="008E77A1">
        <w:lastRenderedPageBreak/>
        <w:t>Bibliography</w:t>
      </w:r>
    </w:p>
    <w:p w14:paraId="05F39C38" w14:textId="54FF8011" w:rsidR="00652666" w:rsidRPr="008E77A1" w:rsidRDefault="00652666" w:rsidP="008E77A1">
      <w:proofErr w:type="spellStart"/>
      <w:r w:rsidRPr="008E77A1">
        <w:t>Agazzari</w:t>
      </w:r>
      <w:proofErr w:type="spellEnd"/>
      <w:r w:rsidRPr="008E77A1">
        <w:t>, Agostino.</w:t>
      </w:r>
      <w:r w:rsidR="00532CBD">
        <w:t xml:space="preserve"> </w:t>
      </w:r>
      <w:r w:rsidRPr="008E77A1">
        <w:t xml:space="preserve">Del </w:t>
      </w:r>
      <w:proofErr w:type="spellStart"/>
      <w:r w:rsidRPr="008E77A1">
        <w:t>Sonare</w:t>
      </w:r>
      <w:proofErr w:type="spellEnd"/>
      <w:r w:rsidRPr="008E77A1">
        <w:t xml:space="preserve"> </w:t>
      </w:r>
      <w:proofErr w:type="spellStart"/>
      <w:r w:rsidRPr="008E77A1">
        <w:t>sopra’l</w:t>
      </w:r>
      <w:proofErr w:type="spellEnd"/>
      <w:r w:rsidRPr="008E77A1">
        <w:t xml:space="preserve"> Basso con Tutti li </w:t>
      </w:r>
      <w:proofErr w:type="spellStart"/>
      <w:r w:rsidRPr="008E77A1">
        <w:t>Stromenti</w:t>
      </w:r>
      <w:proofErr w:type="spellEnd"/>
      <w:r w:rsidRPr="008E77A1">
        <w:t xml:space="preserve"> e </w:t>
      </w:r>
      <w:proofErr w:type="spellStart"/>
      <w:r w:rsidRPr="008E77A1">
        <w:t>dell’Uso</w:t>
      </w:r>
      <w:proofErr w:type="spellEnd"/>
      <w:r w:rsidRPr="008E77A1">
        <w:t xml:space="preserve"> Loro </w:t>
      </w:r>
      <w:proofErr w:type="spellStart"/>
      <w:r w:rsidRPr="008E77A1">
        <w:t>nel</w:t>
      </w:r>
      <w:proofErr w:type="spellEnd"/>
      <w:r w:rsidRPr="008E77A1">
        <w:t xml:space="preserve"> </w:t>
      </w:r>
      <w:proofErr w:type="spellStart"/>
      <w:r w:rsidRPr="008E77A1">
        <w:t>Conserto</w:t>
      </w:r>
      <w:proofErr w:type="spellEnd"/>
      <w:r w:rsidRPr="008E77A1">
        <w:t>.</w:t>
      </w:r>
      <w:r w:rsidR="00532CBD">
        <w:t xml:space="preserve"> </w:t>
      </w:r>
      <w:r w:rsidRPr="008E77A1">
        <w:t>1607.</w:t>
      </w:r>
      <w:r w:rsidR="00532CBD">
        <w:t xml:space="preserve"> </w:t>
      </w:r>
      <w:r w:rsidRPr="008E77A1">
        <w:t>Reprint, Bologna:</w:t>
      </w:r>
      <w:r w:rsidR="00532CBD">
        <w:t xml:space="preserve"> </w:t>
      </w:r>
      <w:r w:rsidRPr="008E77A1">
        <w:t xml:space="preserve">Forni </w:t>
      </w:r>
      <w:proofErr w:type="spellStart"/>
      <w:r w:rsidRPr="008E77A1">
        <w:t>Editore</w:t>
      </w:r>
      <w:proofErr w:type="spellEnd"/>
      <w:r w:rsidRPr="008E77A1">
        <w:t>, 1969.</w:t>
      </w:r>
    </w:p>
    <w:p w14:paraId="6DBCBB0D" w14:textId="51157D47" w:rsidR="00652666" w:rsidRPr="008E77A1" w:rsidRDefault="00652666" w:rsidP="008E77A1">
      <w:proofErr w:type="spellStart"/>
      <w:r w:rsidRPr="008E77A1">
        <w:t>Bottrigari</w:t>
      </w:r>
      <w:proofErr w:type="spellEnd"/>
      <w:r w:rsidRPr="008E77A1">
        <w:t xml:space="preserve">, </w:t>
      </w:r>
      <w:proofErr w:type="spellStart"/>
      <w:r w:rsidRPr="008E77A1">
        <w:t>Hercole</w:t>
      </w:r>
      <w:proofErr w:type="spellEnd"/>
      <w:r w:rsidRPr="008E77A1">
        <w:t>.</w:t>
      </w:r>
      <w:r w:rsidR="00532CBD">
        <w:t xml:space="preserve"> </w:t>
      </w:r>
      <w:r w:rsidRPr="008E77A1">
        <w:t>Il Desiderio.</w:t>
      </w:r>
      <w:r w:rsidR="00532CBD">
        <w:t xml:space="preserve"> </w:t>
      </w:r>
      <w:r w:rsidRPr="008E77A1">
        <w:t>Translated by Carol MacClintock.</w:t>
      </w:r>
      <w:r w:rsidR="00532CBD">
        <w:t xml:space="preserve"> </w:t>
      </w:r>
      <w:proofErr w:type="spellStart"/>
      <w:r w:rsidRPr="008E77A1">
        <w:t>N.p.</w:t>
      </w:r>
      <w:proofErr w:type="spellEnd"/>
      <w:r w:rsidRPr="008E77A1">
        <w:t>:</w:t>
      </w:r>
      <w:r w:rsidR="00532CBD">
        <w:t xml:space="preserve"> </w:t>
      </w:r>
      <w:r w:rsidRPr="008E77A1">
        <w:t>American Institute of Musicology, 1962.</w:t>
      </w:r>
    </w:p>
    <w:p w14:paraId="7C60D017" w14:textId="702B11C5" w:rsidR="00652666" w:rsidRPr="008E77A1" w:rsidRDefault="00652666" w:rsidP="008E77A1">
      <w:r w:rsidRPr="008E77A1">
        <w:t>Brown, Howard Mayer.</w:t>
      </w:r>
      <w:r w:rsidR="00532CBD">
        <w:t xml:space="preserve"> </w:t>
      </w:r>
      <w:r w:rsidRPr="008E77A1">
        <w:t>Sixteenth-Century Instrumentation:</w:t>
      </w:r>
      <w:r w:rsidR="00532CBD">
        <w:t xml:space="preserve"> </w:t>
      </w:r>
      <w:r w:rsidRPr="008E77A1">
        <w:t xml:space="preserve">The Music for the Florentine </w:t>
      </w:r>
      <w:proofErr w:type="spellStart"/>
      <w:r w:rsidRPr="008E77A1">
        <w:t>Intermedii</w:t>
      </w:r>
      <w:proofErr w:type="spellEnd"/>
      <w:r w:rsidRPr="008E77A1">
        <w:t>.</w:t>
      </w:r>
      <w:r w:rsidR="00532CBD">
        <w:t xml:space="preserve"> </w:t>
      </w:r>
      <w:proofErr w:type="spellStart"/>
      <w:r w:rsidRPr="008E77A1">
        <w:t>N.p.</w:t>
      </w:r>
      <w:proofErr w:type="spellEnd"/>
      <w:r w:rsidRPr="008E77A1">
        <w:t>:</w:t>
      </w:r>
      <w:r w:rsidR="00532CBD">
        <w:t xml:space="preserve"> </w:t>
      </w:r>
      <w:r w:rsidRPr="008E77A1">
        <w:t>American Institute of Musicology, 1973.</w:t>
      </w:r>
    </w:p>
    <w:p w14:paraId="291BF1A0" w14:textId="165F290D" w:rsidR="00652666" w:rsidRPr="008E77A1" w:rsidRDefault="00652666" w:rsidP="008E77A1">
      <w:r w:rsidRPr="008E77A1">
        <w:t>Ganassi, Sylvestro.</w:t>
      </w:r>
      <w:r w:rsidR="00532CBD">
        <w:t xml:space="preserve"> </w:t>
      </w:r>
      <w:proofErr w:type="spellStart"/>
      <w:r w:rsidRPr="008E77A1">
        <w:t>Regola</w:t>
      </w:r>
      <w:proofErr w:type="spellEnd"/>
      <w:r w:rsidRPr="008E77A1">
        <w:t xml:space="preserve"> Rubertina:</w:t>
      </w:r>
      <w:r w:rsidR="00532CBD">
        <w:t xml:space="preserve"> </w:t>
      </w:r>
      <w:r w:rsidRPr="008E77A1">
        <w:t>Venice 1542-43. Translated by Daphne and Stephen Silvester.</w:t>
      </w:r>
      <w:r w:rsidR="00532CBD">
        <w:t xml:space="preserve"> </w:t>
      </w:r>
      <w:r w:rsidRPr="008E77A1">
        <w:t xml:space="preserve">Edited by </w:t>
      </w:r>
      <w:proofErr w:type="spellStart"/>
      <w:r w:rsidRPr="008E77A1">
        <w:t>Hildemarie</w:t>
      </w:r>
      <w:proofErr w:type="spellEnd"/>
      <w:r w:rsidRPr="008E77A1">
        <w:t xml:space="preserve"> Peter.</w:t>
      </w:r>
      <w:r w:rsidR="00532CBD">
        <w:t xml:space="preserve"> </w:t>
      </w:r>
      <w:r w:rsidRPr="008E77A1">
        <w:t>Berlin:</w:t>
      </w:r>
      <w:r w:rsidR="00532CBD">
        <w:t xml:space="preserve"> </w:t>
      </w:r>
      <w:r w:rsidRPr="008E77A1">
        <w:t>Robert Lienau, 1977.</w:t>
      </w:r>
    </w:p>
    <w:p w14:paraId="301156ED" w14:textId="1EF20EE6" w:rsidR="00652666" w:rsidRPr="008E77A1" w:rsidRDefault="00652666" w:rsidP="008E77A1">
      <w:r w:rsidRPr="008E77A1">
        <w:t>Johnson, Margaret.</w:t>
      </w:r>
      <w:r w:rsidR="00532CBD">
        <w:t xml:space="preserve"> </w:t>
      </w:r>
      <w:r w:rsidRPr="008E77A1">
        <w:t>“</w:t>
      </w:r>
      <w:proofErr w:type="spellStart"/>
      <w:r w:rsidRPr="008E77A1">
        <w:t>Agazzari’s</w:t>
      </w:r>
      <w:proofErr w:type="spellEnd"/>
      <w:r w:rsidRPr="008E77A1">
        <w:t xml:space="preserve"> ‘</w:t>
      </w:r>
      <w:proofErr w:type="spellStart"/>
      <w:r w:rsidRPr="008E77A1">
        <w:t>Eumelio</w:t>
      </w:r>
      <w:proofErr w:type="spellEnd"/>
      <w:r w:rsidRPr="008E77A1">
        <w:t xml:space="preserve">’ a </w:t>
      </w:r>
      <w:proofErr w:type="spellStart"/>
      <w:r w:rsidRPr="008E77A1">
        <w:t>Dramma</w:t>
      </w:r>
      <w:proofErr w:type="spellEnd"/>
      <w:r w:rsidRPr="008E77A1">
        <w:t xml:space="preserve"> Pastorale.”</w:t>
      </w:r>
      <w:r w:rsidR="00532CBD">
        <w:t xml:space="preserve"> </w:t>
      </w:r>
      <w:r w:rsidRPr="008E77A1">
        <w:t>MQ 57, no.3 (1971): 491-505.</w:t>
      </w:r>
    </w:p>
    <w:p w14:paraId="244086BC" w14:textId="77777777" w:rsidR="00652666" w:rsidRPr="008E77A1" w:rsidRDefault="00652666" w:rsidP="008E77A1">
      <w:r w:rsidRPr="008E77A1">
        <w:t xml:space="preserve">Oxford Music Online, </w:t>
      </w:r>
      <w:proofErr w:type="spellStart"/>
      <w:r w:rsidRPr="008E77A1">
        <w:t>s.v.</w:t>
      </w:r>
      <w:proofErr w:type="spellEnd"/>
      <w:r w:rsidRPr="008E77A1">
        <w:t xml:space="preserve"> “</w:t>
      </w:r>
      <w:proofErr w:type="spellStart"/>
      <w:r w:rsidRPr="008E77A1">
        <w:t>Agazzari</w:t>
      </w:r>
      <w:proofErr w:type="spellEnd"/>
      <w:r w:rsidRPr="008E77A1">
        <w:t xml:space="preserve">, Agostino,” by Colleen Reardon, accessed February 22, 2021, </w:t>
      </w:r>
      <w:bookmarkStart w:id="4" w:name="_Hlk66429346"/>
      <w:r w:rsidRPr="008E77A1">
        <w:fldChar w:fldCharType="begin"/>
      </w:r>
      <w:r w:rsidRPr="008E77A1">
        <w:instrText xml:space="preserve"> HYPERLINK "http://www.oxfordmusiconline.com/grovemusic" </w:instrText>
      </w:r>
      <w:r w:rsidRPr="008E77A1">
        <w:fldChar w:fldCharType="separate"/>
      </w:r>
      <w:r w:rsidRPr="008E77A1">
        <w:rPr>
          <w:rStyle w:val="Hyperlink"/>
        </w:rPr>
        <w:t>http://www.oxfordmusiconline.com/grovemusic</w:t>
      </w:r>
      <w:r w:rsidRPr="008E77A1">
        <w:fldChar w:fldCharType="end"/>
      </w:r>
      <w:bookmarkEnd w:id="4"/>
      <w:r w:rsidRPr="008E77A1">
        <w:t>.</w:t>
      </w:r>
    </w:p>
    <w:p w14:paraId="5A7D9C75" w14:textId="5944D898" w:rsidR="00652666" w:rsidRPr="008E77A1" w:rsidRDefault="00652666" w:rsidP="008E77A1">
      <w:r w:rsidRPr="008E77A1">
        <w:t>Powers, Harold.</w:t>
      </w:r>
      <w:r w:rsidR="00532CBD">
        <w:t xml:space="preserve"> </w:t>
      </w:r>
      <w:r w:rsidRPr="008E77A1">
        <w:t>“From Psalmody to Tonality.”</w:t>
      </w:r>
      <w:r w:rsidR="00532CBD">
        <w:t xml:space="preserve"> </w:t>
      </w:r>
      <w:r w:rsidRPr="008E77A1">
        <w:t>In Tonal Structures in Early Music.</w:t>
      </w:r>
      <w:r w:rsidR="00532CBD">
        <w:t xml:space="preserve"> </w:t>
      </w:r>
      <w:r w:rsidRPr="008E77A1">
        <w:t>Edited by Cristle Collins Judd.</w:t>
      </w:r>
      <w:r w:rsidR="00532CBD">
        <w:t xml:space="preserve"> </w:t>
      </w:r>
      <w:r w:rsidRPr="008E77A1">
        <w:t>New York:</w:t>
      </w:r>
      <w:r w:rsidR="00532CBD">
        <w:t xml:space="preserve"> </w:t>
      </w:r>
      <w:r w:rsidRPr="008E77A1">
        <w:t>Garland, 1998):</w:t>
      </w:r>
      <w:r w:rsidR="00532CBD">
        <w:t xml:space="preserve"> </w:t>
      </w:r>
      <w:r w:rsidRPr="008E77A1">
        <w:t>275-340.</w:t>
      </w:r>
    </w:p>
    <w:p w14:paraId="1FE81D42" w14:textId="4C1F0127" w:rsidR="00652666" w:rsidRPr="008E77A1" w:rsidRDefault="00652666" w:rsidP="008E77A1">
      <w:r w:rsidRPr="008E77A1">
        <w:t>Rose, Gloria.</w:t>
      </w:r>
      <w:r w:rsidR="00532CBD">
        <w:t xml:space="preserve"> </w:t>
      </w:r>
      <w:r w:rsidRPr="008E77A1">
        <w:t>“</w:t>
      </w:r>
      <w:proofErr w:type="spellStart"/>
      <w:r w:rsidRPr="008E77A1">
        <w:t>Agazzari</w:t>
      </w:r>
      <w:proofErr w:type="spellEnd"/>
      <w:r w:rsidRPr="008E77A1">
        <w:t xml:space="preserve"> and the Improvising Orchestra.”</w:t>
      </w:r>
      <w:r w:rsidR="00532CBD">
        <w:t xml:space="preserve"> </w:t>
      </w:r>
      <w:r w:rsidRPr="008E77A1">
        <w:t>JAMS 18, no.3 (1965): 382-393.</w:t>
      </w:r>
    </w:p>
    <w:p w14:paraId="26B71DE8" w14:textId="417317F6" w:rsidR="00652666" w:rsidRPr="008E77A1" w:rsidRDefault="00652666" w:rsidP="008E77A1">
      <w:r w:rsidRPr="008E77A1">
        <w:t>Treitler, Leo, ed.</w:t>
      </w:r>
      <w:r w:rsidR="00532CBD">
        <w:t xml:space="preserve"> </w:t>
      </w:r>
      <w:r w:rsidRPr="008E77A1">
        <w:t>Strunk’s Source Readings in Music History.</w:t>
      </w:r>
      <w:r w:rsidR="00532CBD">
        <w:t xml:space="preserve"> </w:t>
      </w:r>
      <w:r w:rsidRPr="008E77A1">
        <w:t>Rev. ed. New York:</w:t>
      </w:r>
      <w:r w:rsidR="00532CBD">
        <w:t xml:space="preserve"> </w:t>
      </w:r>
      <w:r w:rsidRPr="008E77A1">
        <w:t>Norton, 1998.</w:t>
      </w:r>
    </w:p>
    <w:p w14:paraId="5A031835" w14:textId="5F86761D" w:rsidR="00652666" w:rsidRPr="008E77A1" w:rsidRDefault="00652666" w:rsidP="008E77A1">
      <w:r w:rsidRPr="008E77A1">
        <w:t>Weaver, Robert.</w:t>
      </w:r>
      <w:r w:rsidR="00532CBD">
        <w:t xml:space="preserve"> </w:t>
      </w:r>
      <w:r w:rsidRPr="008E77A1">
        <w:t>“Sixteenth-Century Instrumentation.”</w:t>
      </w:r>
      <w:r w:rsidR="00532CBD">
        <w:t xml:space="preserve"> </w:t>
      </w:r>
      <w:r w:rsidRPr="008E77A1">
        <w:t>MQ 47, no.3 (1961):</w:t>
      </w:r>
      <w:r w:rsidR="00532CBD">
        <w:t xml:space="preserve"> </w:t>
      </w:r>
      <w:r w:rsidRPr="008E77A1">
        <w:t>363-378.</w:t>
      </w:r>
    </w:p>
    <w:sectPr w:rsidR="00652666" w:rsidRPr="008E77A1" w:rsidSect="008652DB">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9B4EA" w14:textId="77777777" w:rsidR="00B27009" w:rsidRDefault="00B27009" w:rsidP="00467769">
      <w:pPr>
        <w:spacing w:after="0" w:line="240" w:lineRule="auto"/>
      </w:pPr>
      <w:r>
        <w:separator/>
      </w:r>
    </w:p>
  </w:endnote>
  <w:endnote w:type="continuationSeparator" w:id="0">
    <w:p w14:paraId="0F8C100E" w14:textId="77777777" w:rsidR="00B27009" w:rsidRDefault="00B27009" w:rsidP="00467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Extra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6381939"/>
      <w:docPartObj>
        <w:docPartGallery w:val="Page Numbers (Bottom of Page)"/>
        <w:docPartUnique/>
      </w:docPartObj>
    </w:sdtPr>
    <w:sdtEndPr>
      <w:rPr>
        <w:noProof/>
      </w:rPr>
    </w:sdtEndPr>
    <w:sdtContent>
      <w:p w14:paraId="21B58B7F" w14:textId="6CAF20D4" w:rsidR="00AB60D7" w:rsidRDefault="00AB60D7" w:rsidP="008652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169398"/>
      <w:docPartObj>
        <w:docPartGallery w:val="Page Numbers (Bottom of Page)"/>
        <w:docPartUnique/>
      </w:docPartObj>
    </w:sdtPr>
    <w:sdtEndPr>
      <w:rPr>
        <w:noProof/>
      </w:rPr>
    </w:sdtEndPr>
    <w:sdtContent>
      <w:p w14:paraId="1D7FAB31" w14:textId="42BC7A83" w:rsidR="008652DB" w:rsidRDefault="008652DB" w:rsidP="00532C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21740" w14:textId="77777777" w:rsidR="00B27009" w:rsidRDefault="00B27009" w:rsidP="00467769">
      <w:pPr>
        <w:spacing w:after="0" w:line="240" w:lineRule="auto"/>
      </w:pPr>
      <w:r>
        <w:separator/>
      </w:r>
    </w:p>
  </w:footnote>
  <w:footnote w:type="continuationSeparator" w:id="0">
    <w:p w14:paraId="18215CED" w14:textId="77777777" w:rsidR="00B27009" w:rsidRDefault="00B27009" w:rsidP="00467769">
      <w:pPr>
        <w:spacing w:after="0" w:line="240" w:lineRule="auto"/>
      </w:pPr>
      <w:r>
        <w:continuationSeparator/>
      </w:r>
    </w:p>
  </w:footnote>
  <w:footnote w:id="1">
    <w:p w14:paraId="6B43B421" w14:textId="77777777" w:rsidR="00467769" w:rsidRPr="00685583" w:rsidRDefault="00467769">
      <w:pPr>
        <w:pStyle w:val="FootnoteText"/>
      </w:pPr>
      <w:r>
        <w:rPr>
          <w:rStyle w:val="FootnoteReference"/>
        </w:rPr>
        <w:footnoteRef/>
      </w:r>
      <w:r>
        <w:t xml:space="preserve"> </w:t>
      </w:r>
      <w:r>
        <w:rPr>
          <w:i/>
        </w:rPr>
        <w:t>Oxford Music Online</w:t>
      </w:r>
      <w:r>
        <w:t xml:space="preserve">, </w:t>
      </w:r>
      <w:proofErr w:type="spellStart"/>
      <w:r>
        <w:t>s.v.</w:t>
      </w:r>
      <w:proofErr w:type="spellEnd"/>
      <w:r>
        <w:t xml:space="preserve"> “</w:t>
      </w:r>
      <w:proofErr w:type="spellStart"/>
      <w:r>
        <w:t>Agazzari</w:t>
      </w:r>
      <w:proofErr w:type="spellEnd"/>
      <w:r>
        <w:t xml:space="preserve">, Agostino,” by Colleen Reardon, accessed February 22, 2021, </w:t>
      </w:r>
      <w:hyperlink r:id="rId1" w:history="1">
        <w:r w:rsidR="00685583" w:rsidRPr="00685583">
          <w:rPr>
            <w:rStyle w:val="Hyperlink"/>
            <w:color w:val="auto"/>
            <w:u w:val="none"/>
          </w:rPr>
          <w:t>http://www.oxfordmusiconline.com/grovemusic</w:t>
        </w:r>
      </w:hyperlink>
      <w:r w:rsidR="00685583" w:rsidRPr="00685583">
        <w:rPr>
          <w:rStyle w:val="Hyperlink"/>
          <w:color w:val="auto"/>
          <w:u w:val="none"/>
        </w:rPr>
        <w:t>.</w:t>
      </w:r>
    </w:p>
  </w:footnote>
  <w:footnote w:id="2">
    <w:p w14:paraId="1F6250CC" w14:textId="77777777" w:rsidR="00467769" w:rsidRPr="00467769" w:rsidRDefault="00467769">
      <w:pPr>
        <w:pStyle w:val="FootnoteText"/>
      </w:pPr>
      <w:r w:rsidRPr="00467769">
        <w:rPr>
          <w:rStyle w:val="FootnoteReference"/>
        </w:rPr>
        <w:footnoteRef/>
      </w:r>
      <w:r w:rsidRPr="00467769">
        <w:t xml:space="preserve"> </w:t>
      </w:r>
      <w:hyperlink r:id="rId2" w:history="1">
        <w:r w:rsidR="00B93FC4" w:rsidRPr="00685583">
          <w:rPr>
            <w:rStyle w:val="Hyperlink"/>
            <w:color w:val="auto"/>
            <w:u w:val="none"/>
          </w:rPr>
          <w:t>www.academiaintronati.it/storia-dellaccademia/</w:t>
        </w:r>
      </w:hyperlink>
      <w:r w:rsidRPr="00467769">
        <w:t xml:space="preserve"> </w:t>
      </w:r>
      <w:r>
        <w:t>accessed February 22, 2021.</w:t>
      </w:r>
    </w:p>
  </w:footnote>
  <w:footnote w:id="3">
    <w:p w14:paraId="19C270DD" w14:textId="77777777" w:rsidR="00467769" w:rsidRPr="00467769" w:rsidRDefault="00467769">
      <w:pPr>
        <w:pStyle w:val="FootnoteText"/>
      </w:pPr>
      <w:r>
        <w:rPr>
          <w:rStyle w:val="FootnoteReference"/>
        </w:rPr>
        <w:footnoteRef/>
      </w:r>
      <w:r>
        <w:t xml:space="preserve"> According to </w:t>
      </w:r>
      <w:r w:rsidRPr="00652666">
        <w:rPr>
          <w:i/>
        </w:rPr>
        <w:t>Cambridge Italian Dictionary</w:t>
      </w:r>
      <w:r>
        <w:t xml:space="preserve"> (1962) the </w:t>
      </w:r>
      <w:r>
        <w:rPr>
          <w:i/>
        </w:rPr>
        <w:t>commedia</w:t>
      </w:r>
      <w:r>
        <w:t xml:space="preserve"> was a sixteenth-century theatrical form that specified only plot line and characters and left all else to be improvised.</w:t>
      </w:r>
    </w:p>
  </w:footnote>
  <w:footnote w:id="4">
    <w:p w14:paraId="53707E17" w14:textId="77777777" w:rsidR="00802498" w:rsidRPr="00802498" w:rsidRDefault="00802498">
      <w:pPr>
        <w:pStyle w:val="FootnoteText"/>
      </w:pPr>
      <w:r>
        <w:rPr>
          <w:rStyle w:val="FootnoteReference"/>
        </w:rPr>
        <w:footnoteRef/>
      </w:r>
      <w:r>
        <w:t xml:space="preserve"> </w:t>
      </w:r>
      <w:bookmarkStart w:id="0" w:name="_Hlk66283400"/>
      <w:r>
        <w:t>Gloria Rose, “</w:t>
      </w:r>
      <w:proofErr w:type="spellStart"/>
      <w:r>
        <w:t>Agazzari</w:t>
      </w:r>
      <w:proofErr w:type="spellEnd"/>
      <w:r>
        <w:t xml:space="preserve"> and the Improvising Orchestra,” </w:t>
      </w:r>
      <w:r>
        <w:rPr>
          <w:i/>
        </w:rPr>
        <w:t>JAMS</w:t>
      </w:r>
      <w:r>
        <w:t xml:space="preserve"> 18, no.3 (1965): 382.</w:t>
      </w:r>
    </w:p>
    <w:bookmarkEnd w:id="0"/>
  </w:footnote>
  <w:footnote w:id="5">
    <w:p w14:paraId="1DA20DDA" w14:textId="6ACD6422" w:rsidR="00802498" w:rsidRPr="00802498" w:rsidRDefault="00802498">
      <w:pPr>
        <w:pStyle w:val="FootnoteText"/>
      </w:pPr>
      <w:r>
        <w:rPr>
          <w:rStyle w:val="FootnoteReference"/>
        </w:rPr>
        <w:footnoteRef/>
      </w:r>
      <w:r>
        <w:t xml:space="preserve"> Oliver Strunk, </w:t>
      </w:r>
      <w:r>
        <w:rPr>
          <w:i/>
        </w:rPr>
        <w:t>Source Readings in Music History</w:t>
      </w:r>
      <w:r>
        <w:t>, rev. ed.</w:t>
      </w:r>
      <w:r w:rsidR="00532CBD">
        <w:t xml:space="preserve"> </w:t>
      </w:r>
      <w:r>
        <w:t>ed. Leo Treitler</w:t>
      </w:r>
      <w:r w:rsidR="00532CBD">
        <w:t xml:space="preserve"> </w:t>
      </w:r>
      <w:r>
        <w:t>(New York:</w:t>
      </w:r>
      <w:r w:rsidR="00532CBD">
        <w:t xml:space="preserve"> </w:t>
      </w:r>
      <w:r>
        <w:t>Norton, 1998).</w:t>
      </w:r>
    </w:p>
  </w:footnote>
  <w:footnote w:id="6">
    <w:p w14:paraId="6CFA2156" w14:textId="77777777" w:rsidR="00B93FC4" w:rsidRPr="00311A4A" w:rsidRDefault="00B93FC4">
      <w:pPr>
        <w:pStyle w:val="FootnoteText"/>
      </w:pPr>
      <w:r>
        <w:rPr>
          <w:rStyle w:val="FootnoteReference"/>
        </w:rPr>
        <w:footnoteRef/>
      </w:r>
      <w:r>
        <w:t xml:space="preserve"> </w:t>
      </w:r>
      <w:r w:rsidR="00311A4A">
        <w:t xml:space="preserve">Rose, “Improvising Orchestra”; </w:t>
      </w:r>
      <w:bookmarkStart w:id="1" w:name="_Hlk66283476"/>
      <w:r w:rsidR="00311A4A">
        <w:t>Margaret Johnson, “</w:t>
      </w:r>
      <w:proofErr w:type="spellStart"/>
      <w:r w:rsidR="00311A4A">
        <w:t>Agazzari’s</w:t>
      </w:r>
      <w:proofErr w:type="spellEnd"/>
      <w:r w:rsidR="00311A4A">
        <w:t xml:space="preserve"> ‘</w:t>
      </w:r>
      <w:proofErr w:type="spellStart"/>
      <w:r w:rsidR="00311A4A">
        <w:t>Eumelio</w:t>
      </w:r>
      <w:proofErr w:type="spellEnd"/>
      <w:r w:rsidR="00311A4A">
        <w:t xml:space="preserve">’ a </w:t>
      </w:r>
      <w:proofErr w:type="spellStart"/>
      <w:r w:rsidR="00311A4A">
        <w:t>Dramma</w:t>
      </w:r>
      <w:proofErr w:type="spellEnd"/>
      <w:r w:rsidR="00311A4A">
        <w:t xml:space="preserve"> Pastorale,” </w:t>
      </w:r>
      <w:r w:rsidR="00311A4A">
        <w:rPr>
          <w:i/>
        </w:rPr>
        <w:t>MQ</w:t>
      </w:r>
      <w:r w:rsidR="00311A4A">
        <w:t xml:space="preserve"> 57, no.3 (1971): 491-505</w:t>
      </w:r>
      <w:bookmarkEnd w:id="1"/>
      <w:r w:rsidR="00311A4A">
        <w:t>.</w:t>
      </w:r>
    </w:p>
  </w:footnote>
  <w:footnote w:id="7">
    <w:p w14:paraId="52DDC279" w14:textId="36D5BDF1" w:rsidR="008A033F" w:rsidRPr="008A033F" w:rsidRDefault="008A033F">
      <w:pPr>
        <w:pStyle w:val="FootnoteText"/>
      </w:pPr>
      <w:r>
        <w:rPr>
          <w:rStyle w:val="FootnoteReference"/>
        </w:rPr>
        <w:footnoteRef/>
      </w:r>
      <w:r>
        <w:t xml:space="preserve"> Sylvestro Ganassi, </w:t>
      </w:r>
      <w:proofErr w:type="spellStart"/>
      <w:r>
        <w:rPr>
          <w:i/>
        </w:rPr>
        <w:t>Regola</w:t>
      </w:r>
      <w:proofErr w:type="spellEnd"/>
      <w:r>
        <w:rPr>
          <w:i/>
        </w:rPr>
        <w:t xml:space="preserve"> Rubertina</w:t>
      </w:r>
      <w:r w:rsidR="00754607">
        <w:rPr>
          <w:i/>
        </w:rPr>
        <w:t>: Venice 1542-43</w:t>
      </w:r>
      <w:r>
        <w:rPr>
          <w:i/>
        </w:rPr>
        <w:t>,</w:t>
      </w:r>
      <w:r>
        <w:t xml:space="preserve"> trans. Daphne and Stephen Silvester, ed. </w:t>
      </w:r>
      <w:proofErr w:type="spellStart"/>
      <w:r>
        <w:t>Hildemarie</w:t>
      </w:r>
      <w:proofErr w:type="spellEnd"/>
      <w:r>
        <w:t xml:space="preserve"> Peter (Berlin:</w:t>
      </w:r>
      <w:r w:rsidR="00532CBD">
        <w:t xml:space="preserve"> </w:t>
      </w:r>
      <w:r>
        <w:t>Robert Lienau, 1977), 108.</w:t>
      </w:r>
    </w:p>
  </w:footnote>
  <w:footnote w:id="8">
    <w:p w14:paraId="207A7AE5" w14:textId="77777777" w:rsidR="00751D4F" w:rsidRDefault="00751D4F">
      <w:pPr>
        <w:pStyle w:val="FootnoteText"/>
      </w:pPr>
      <w:r>
        <w:rPr>
          <w:rStyle w:val="FootnoteReference"/>
        </w:rPr>
        <w:footnoteRef/>
      </w:r>
      <w:r>
        <w:t xml:space="preserve"> For a discussion of this rather enigmatic </w:t>
      </w:r>
      <w:r w:rsidR="00754607">
        <w:t>phrase</w:t>
      </w:r>
      <w:r>
        <w:t xml:space="preserve"> see the translator’s preface.</w:t>
      </w:r>
    </w:p>
  </w:footnote>
  <w:footnote w:id="9">
    <w:p w14:paraId="15C95BFD" w14:textId="77777777" w:rsidR="00751D4F" w:rsidRDefault="00751D4F">
      <w:pPr>
        <w:pStyle w:val="FootnoteText"/>
      </w:pPr>
      <w:r>
        <w:rPr>
          <w:rStyle w:val="FootnoteReference"/>
        </w:rPr>
        <w:footnoteRef/>
      </w:r>
      <w:r>
        <w:t xml:space="preserve"> Throughout this translation the names of instruments are </w:t>
      </w:r>
      <w:r w:rsidR="00754607">
        <w:t>translated into</w:t>
      </w:r>
      <w:r>
        <w:t xml:space="preserve"> their standard, modernized form when </w:t>
      </w:r>
      <w:r w:rsidR="00311A4A">
        <w:t xml:space="preserve">possible and </w:t>
      </w:r>
      <w:r>
        <w:t>appropriate.</w:t>
      </w:r>
    </w:p>
  </w:footnote>
  <w:footnote w:id="10">
    <w:p w14:paraId="68DAC69C" w14:textId="52668D5A" w:rsidR="00751D4F" w:rsidRPr="005518C7" w:rsidRDefault="00751D4F">
      <w:pPr>
        <w:pStyle w:val="FootnoteText"/>
      </w:pPr>
      <w:r>
        <w:rPr>
          <w:rStyle w:val="FootnoteReference"/>
        </w:rPr>
        <w:footnoteRef/>
      </w:r>
      <w:r>
        <w:t xml:space="preserve"> Additional useful information on this subject can be found in Howa</w:t>
      </w:r>
      <w:r w:rsidR="00652666">
        <w:t>rd</w:t>
      </w:r>
      <w:r>
        <w:t xml:space="preserve"> Mayer Brown, </w:t>
      </w:r>
      <w:r>
        <w:rPr>
          <w:i/>
        </w:rPr>
        <w:t>Sixteenth-Century Instrumentation:</w:t>
      </w:r>
      <w:r w:rsidR="00532CBD">
        <w:rPr>
          <w:i/>
        </w:rPr>
        <w:t xml:space="preserve"> </w:t>
      </w:r>
      <w:r>
        <w:rPr>
          <w:i/>
        </w:rPr>
        <w:t xml:space="preserve">The Music for the Florentine </w:t>
      </w:r>
      <w:proofErr w:type="spellStart"/>
      <w:r>
        <w:rPr>
          <w:i/>
        </w:rPr>
        <w:t>Intermedii</w:t>
      </w:r>
      <w:proofErr w:type="spellEnd"/>
      <w:r>
        <w:t xml:space="preserve"> (</w:t>
      </w:r>
      <w:proofErr w:type="spellStart"/>
      <w:r>
        <w:t>N.p.</w:t>
      </w:r>
      <w:proofErr w:type="spellEnd"/>
      <w:r>
        <w:t>: American Institute of Musicology, 1973)</w:t>
      </w:r>
      <w:r w:rsidR="00311A4A">
        <w:t>;</w:t>
      </w:r>
      <w:r>
        <w:t xml:space="preserve"> </w:t>
      </w:r>
      <w:r w:rsidR="005518C7">
        <w:t xml:space="preserve">Robert Weaver, “Sixteenth-Century Instrumentation,” </w:t>
      </w:r>
      <w:r w:rsidR="005518C7">
        <w:rPr>
          <w:i/>
        </w:rPr>
        <w:t>MQ</w:t>
      </w:r>
      <w:r w:rsidR="005518C7">
        <w:t xml:space="preserve"> 47</w:t>
      </w:r>
      <w:r w:rsidR="00754607">
        <w:t>, no.3</w:t>
      </w:r>
      <w:r w:rsidR="005518C7">
        <w:t xml:space="preserve"> (1961):</w:t>
      </w:r>
      <w:r w:rsidR="00532CBD">
        <w:t xml:space="preserve"> </w:t>
      </w:r>
      <w:r w:rsidR="005518C7">
        <w:t>363-378</w:t>
      </w:r>
      <w:r w:rsidR="00311A4A">
        <w:t>;</w:t>
      </w:r>
      <w:r w:rsidR="005518C7">
        <w:t xml:space="preserve"> and especially </w:t>
      </w:r>
      <w:proofErr w:type="spellStart"/>
      <w:r w:rsidR="005518C7">
        <w:t>Hercole</w:t>
      </w:r>
      <w:proofErr w:type="spellEnd"/>
      <w:r w:rsidR="005518C7">
        <w:t xml:space="preserve"> Bottrigari, </w:t>
      </w:r>
      <w:r w:rsidR="005518C7">
        <w:rPr>
          <w:i/>
        </w:rPr>
        <w:t>Il Desiderio</w:t>
      </w:r>
      <w:r w:rsidR="005518C7">
        <w:t>, trans. by Carol MacClintock (</w:t>
      </w:r>
      <w:proofErr w:type="spellStart"/>
      <w:r w:rsidR="005518C7">
        <w:t>N.p.</w:t>
      </w:r>
      <w:proofErr w:type="spellEnd"/>
      <w:r w:rsidR="005518C7">
        <w:t>:</w:t>
      </w:r>
      <w:r w:rsidR="00532CBD">
        <w:t xml:space="preserve"> </w:t>
      </w:r>
      <w:r w:rsidR="005518C7">
        <w:t>American Institute of Musicology, 1962).</w:t>
      </w:r>
    </w:p>
  </w:footnote>
  <w:footnote w:id="11">
    <w:p w14:paraId="2C023660" w14:textId="77777777" w:rsidR="000118A0" w:rsidRDefault="000118A0">
      <w:pPr>
        <w:pStyle w:val="FootnoteText"/>
      </w:pPr>
      <w:r>
        <w:rPr>
          <w:rStyle w:val="FootnoteReference"/>
        </w:rPr>
        <w:footnoteRef/>
      </w:r>
      <w:r>
        <w:t xml:space="preserve"> The tuning systems of the various types of instruments are too different to conform with each other, see </w:t>
      </w:r>
      <w:proofErr w:type="spellStart"/>
      <w:r>
        <w:t>Bottrigari</w:t>
      </w:r>
      <w:proofErr w:type="spellEnd"/>
      <w:r>
        <w:t>.</w:t>
      </w:r>
    </w:p>
  </w:footnote>
  <w:footnote w:id="12">
    <w:p w14:paraId="6BECC356" w14:textId="7C10BE87" w:rsidR="000118A0" w:rsidRPr="000118A0" w:rsidRDefault="000118A0">
      <w:pPr>
        <w:pStyle w:val="FootnoteText"/>
      </w:pPr>
      <w:r>
        <w:rPr>
          <w:rStyle w:val="FootnoteReference"/>
        </w:rPr>
        <w:footnoteRef/>
      </w:r>
      <w:r>
        <w:t xml:space="preserve"> Inclusion of the organ among string instruments is clearly bizarre.</w:t>
      </w:r>
      <w:r w:rsidR="00532CBD">
        <w:t xml:space="preserve"> </w:t>
      </w:r>
      <w:r>
        <w:t xml:space="preserve">Perhaps there is a misprint of </w:t>
      </w:r>
      <w:r>
        <w:rPr>
          <w:i/>
        </w:rPr>
        <w:t>quale</w:t>
      </w:r>
      <w:r>
        <w:t xml:space="preserve"> </w:t>
      </w:r>
      <w:r w:rsidR="00754607">
        <w:t>instead of</w:t>
      </w:r>
      <w:r>
        <w:t xml:space="preserve"> </w:t>
      </w:r>
      <w:r>
        <w:rPr>
          <w:i/>
        </w:rPr>
        <w:t>tale quale</w:t>
      </w:r>
      <w:r>
        <w:t>, “such as.”</w:t>
      </w:r>
    </w:p>
  </w:footnote>
  <w:footnote w:id="13">
    <w:p w14:paraId="750E9880" w14:textId="77777777" w:rsidR="00E14A07" w:rsidRDefault="00E14A07">
      <w:pPr>
        <w:pStyle w:val="FootnoteText"/>
      </w:pPr>
      <w:r>
        <w:rPr>
          <w:rStyle w:val="FootnoteReference"/>
        </w:rPr>
        <w:footnoteRef/>
      </w:r>
      <w:r>
        <w:t xml:space="preserve"> Scoring or score reading.</w:t>
      </w:r>
    </w:p>
  </w:footnote>
  <w:footnote w:id="14">
    <w:p w14:paraId="4BFD53D2" w14:textId="77777777" w:rsidR="00754607" w:rsidRDefault="00754607">
      <w:pPr>
        <w:pStyle w:val="FootnoteText"/>
      </w:pPr>
      <w:r>
        <w:rPr>
          <w:rStyle w:val="FootnoteReference"/>
        </w:rPr>
        <w:footnoteRef/>
      </w:r>
      <w:r>
        <w:t xml:space="preserve"> If not clear, the superscript “a” indicates “alto,” above.</w:t>
      </w:r>
    </w:p>
  </w:footnote>
  <w:footnote w:id="15">
    <w:p w14:paraId="508579BA" w14:textId="77777777" w:rsidR="00BF6ACC" w:rsidRDefault="00BF6ACC">
      <w:pPr>
        <w:pStyle w:val="FootnoteText"/>
      </w:pPr>
      <w:r>
        <w:rPr>
          <w:rStyle w:val="FootnoteReference"/>
        </w:rPr>
        <w:footnoteRef/>
      </w:r>
      <w:r>
        <w:t xml:space="preserve"> His point is the distinction between an accidental</w:t>
      </w:r>
      <w:r w:rsidR="00652666">
        <w:t xml:space="preserve"> that</w:t>
      </w:r>
      <w:r>
        <w:t xml:space="preserve"> </w:t>
      </w:r>
      <w:r w:rsidR="00754607">
        <w:t>alters that</w:t>
      </w:r>
      <w:r>
        <w:t xml:space="preserve"> note alon</w:t>
      </w:r>
      <w:r w:rsidR="00311A4A">
        <w:t>e</w:t>
      </w:r>
      <w:r>
        <w:t xml:space="preserve">, as compared to one that </w:t>
      </w:r>
      <w:r w:rsidR="00754607">
        <w:t>indicates</w:t>
      </w:r>
      <w:r>
        <w:t xml:space="preserve"> the harmon</w:t>
      </w:r>
      <w:r w:rsidR="00754607">
        <w:t>ic interval.</w:t>
      </w:r>
    </w:p>
  </w:footnote>
  <w:footnote w:id="16">
    <w:p w14:paraId="2B9BB7A1" w14:textId="77777777" w:rsidR="002C02B0" w:rsidRDefault="002C02B0">
      <w:pPr>
        <w:pStyle w:val="FootnoteText"/>
      </w:pPr>
      <w:r>
        <w:rPr>
          <w:rStyle w:val="FootnoteReference"/>
        </w:rPr>
        <w:footnoteRef/>
      </w:r>
      <w:r>
        <w:t xml:space="preserve"> I anglicize the plurals of foreign terms that have become familiar in English.</w:t>
      </w:r>
    </w:p>
  </w:footnote>
  <w:footnote w:id="17">
    <w:p w14:paraId="0FE053EA" w14:textId="77777777" w:rsidR="00403528" w:rsidRDefault="00403528">
      <w:pPr>
        <w:pStyle w:val="FootnoteText"/>
      </w:pPr>
      <w:r>
        <w:rPr>
          <w:rStyle w:val="FootnoteReference"/>
        </w:rPr>
        <w:footnoteRef/>
      </w:r>
      <w:r>
        <w:t xml:space="preserve"> The sense seems to be that the accompanying instrument </w:t>
      </w:r>
      <w:r w:rsidR="008137B2">
        <w:t xml:space="preserve">is to avoid doubling </w:t>
      </w:r>
      <w:r w:rsidR="00652666">
        <w:t>t</w:t>
      </w:r>
      <w:r w:rsidR="008137B2">
        <w:t>he high voices because it obscures them.</w:t>
      </w:r>
    </w:p>
  </w:footnote>
  <w:footnote w:id="18">
    <w:p w14:paraId="2BFFE2DE" w14:textId="77777777" w:rsidR="002C02B0" w:rsidRDefault="002C02B0">
      <w:pPr>
        <w:pStyle w:val="FootnoteText"/>
      </w:pPr>
      <w:r>
        <w:rPr>
          <w:rStyle w:val="FootnoteReference"/>
        </w:rPr>
        <w:footnoteRef/>
      </w:r>
      <w:r>
        <w:t xml:space="preserve"> </w:t>
      </w:r>
      <w:proofErr w:type="spellStart"/>
      <w:r>
        <w:t>Agazzari</w:t>
      </w:r>
      <w:proofErr w:type="spellEnd"/>
      <w:r>
        <w:t xml:space="preserve"> uses this familiar ornament term to mean a more or less brief scalar, stepwise passage.</w:t>
      </w:r>
    </w:p>
  </w:footnote>
  <w:footnote w:id="19">
    <w:p w14:paraId="12AF3498" w14:textId="6B7E4941" w:rsidR="008137B2" w:rsidRDefault="008137B2">
      <w:pPr>
        <w:pStyle w:val="FootnoteText"/>
      </w:pPr>
      <w:r>
        <w:rPr>
          <w:rStyle w:val="FootnoteReference"/>
        </w:rPr>
        <w:footnoteRef/>
      </w:r>
      <w:r>
        <w:t xml:space="preserve"> This appears to be a reference to the practice of making improvisations successively not simultaneously in different parts.</w:t>
      </w:r>
      <w:r w:rsidR="00532CBD">
        <w:t xml:space="preserve"> </w:t>
      </w:r>
      <w:r>
        <w:t>See the following note.</w:t>
      </w:r>
    </w:p>
  </w:footnote>
  <w:footnote w:id="20">
    <w:p w14:paraId="66816BCE" w14:textId="6BCB3AC5" w:rsidR="00543E69" w:rsidRDefault="00543E69">
      <w:pPr>
        <w:pStyle w:val="FootnoteText"/>
      </w:pPr>
      <w:r>
        <w:rPr>
          <w:rStyle w:val="FootnoteReference"/>
        </w:rPr>
        <w:footnoteRef/>
      </w:r>
      <w:r>
        <w:t xml:space="preserve"> The instruments should not compete with each other but yield time to each other, especially if they are similar</w:t>
      </w:r>
      <w:r w:rsidR="00797692">
        <w:t>;</w:t>
      </w:r>
      <w:r>
        <w:t xml:space="preserve"> similar ones are to be avoided, unless they are well distanced from each other or tuned differently, or a</w:t>
      </w:r>
      <w:r w:rsidR="00797692">
        <w:t>re</w:t>
      </w:r>
      <w:r>
        <w:t xml:space="preserve"> different size instruments.</w:t>
      </w:r>
      <w:r w:rsidR="00532CBD">
        <w:t xml:space="preserve"> </w:t>
      </w:r>
      <w:r>
        <w:t>The injunction against simultaneous elaborations of various kinds, especially passaggios, is long-standing in the literature.</w:t>
      </w:r>
    </w:p>
  </w:footnote>
  <w:footnote w:id="21">
    <w:p w14:paraId="0E11ADB5" w14:textId="3B0DDA47" w:rsidR="00F35A40" w:rsidRDefault="00F35A40">
      <w:pPr>
        <w:pStyle w:val="FootnoteText"/>
      </w:pPr>
      <w:r>
        <w:rPr>
          <w:rStyle w:val="FootnoteReference"/>
        </w:rPr>
        <w:footnoteRef/>
      </w:r>
      <w:r>
        <w:t xml:space="preserve"> A scherzo is a short</w:t>
      </w:r>
      <w:r w:rsidR="008137B2">
        <w:t>,</w:t>
      </w:r>
      <w:r>
        <w:t xml:space="preserve"> improvised elaboration.</w:t>
      </w:r>
      <w:r w:rsidR="00532CBD">
        <w:t xml:space="preserve"> </w:t>
      </w:r>
      <w:r w:rsidR="008137B2">
        <w:t>The violin in this period is just becoming the major string instrument in art music.</w:t>
      </w:r>
    </w:p>
  </w:footnote>
  <w:footnote w:id="22">
    <w:p w14:paraId="5741B37F" w14:textId="77777777" w:rsidR="00F35A40" w:rsidRDefault="00F35A40">
      <w:pPr>
        <w:pStyle w:val="FootnoteText"/>
      </w:pPr>
      <w:r>
        <w:rPr>
          <w:rStyle w:val="FootnoteReference"/>
        </w:rPr>
        <w:footnoteRef/>
      </w:r>
      <w:r>
        <w:t xml:space="preserve"> The meaning of this is unclear, as Strunk/Murata also find.</w:t>
      </w:r>
    </w:p>
  </w:footnote>
  <w:footnote w:id="23">
    <w:p w14:paraId="0E8FF890" w14:textId="2C83B1BC" w:rsidR="00F35A40" w:rsidRDefault="00F35A40">
      <w:pPr>
        <w:pStyle w:val="FootnoteText"/>
      </w:pPr>
      <w:r>
        <w:rPr>
          <w:rStyle w:val="FootnoteReference"/>
        </w:rPr>
        <w:footnoteRef/>
      </w:r>
      <w:r>
        <w:t xml:space="preserve"> This is another obscure term.</w:t>
      </w:r>
      <w:r w:rsidR="00532CBD">
        <w:t xml:space="preserve"> </w:t>
      </w:r>
      <w:r>
        <w:t>Strunk/Murata suggest that it is a quick dissonance played on the fingerboard with the left hand after the string is plucked.</w:t>
      </w:r>
    </w:p>
  </w:footnote>
  <w:footnote w:id="24">
    <w:p w14:paraId="443F7598" w14:textId="47053008" w:rsidR="00F35A40" w:rsidRDefault="00F35A40">
      <w:pPr>
        <w:pStyle w:val="FootnoteText"/>
      </w:pPr>
      <w:r>
        <w:rPr>
          <w:rStyle w:val="FootnoteReference"/>
        </w:rPr>
        <w:footnoteRef/>
      </w:r>
      <w:r>
        <w:t xml:space="preserve"> The hand that stops the frets is positioned below the fingerboard, thus is the “lower” hand.</w:t>
      </w:r>
      <w:r w:rsidR="00532CBD">
        <w:t xml:space="preserve"> </w:t>
      </w:r>
      <w:r>
        <w:t xml:space="preserve">The plucking hand comes </w:t>
      </w:r>
      <w:r w:rsidR="009E2717">
        <w:t>over the top of the instrument.</w:t>
      </w:r>
    </w:p>
  </w:footnote>
  <w:footnote w:id="25">
    <w:p w14:paraId="518F146C" w14:textId="373EAFE1" w:rsidR="000F3522" w:rsidRPr="00797692" w:rsidRDefault="000F3522">
      <w:pPr>
        <w:pStyle w:val="FootnoteText"/>
      </w:pPr>
      <w:r>
        <w:rPr>
          <w:rStyle w:val="FootnoteReference"/>
        </w:rPr>
        <w:footnoteRef/>
      </w:r>
      <w:r>
        <w:t xml:space="preserve"> The word is </w:t>
      </w:r>
      <w:r>
        <w:rPr>
          <w:i/>
        </w:rPr>
        <w:t>tasto</w:t>
      </w:r>
      <w:r>
        <w:t>, which clearly primarily conveys a physical significance.</w:t>
      </w:r>
      <w:r w:rsidR="00532CBD">
        <w:t xml:space="preserve"> </w:t>
      </w:r>
      <w:r>
        <w:t>Strunk/Murata translate as key, which is a possible sense given by Cambridge Italian Dictionary.</w:t>
      </w:r>
      <w:r w:rsidR="00532CBD">
        <w:t xml:space="preserve"> </w:t>
      </w:r>
      <w:r>
        <w:t xml:space="preserve">I argue that the idea is more in keeping with </w:t>
      </w:r>
      <w:r w:rsidR="00797692">
        <w:t>t</w:t>
      </w:r>
      <w:r>
        <w:t>he physical, which is the predominant sense in Cambridge:</w:t>
      </w:r>
      <w:r w:rsidR="00532CBD">
        <w:t xml:space="preserve"> </w:t>
      </w:r>
      <w:r>
        <w:t>touch, feel, key as part of a keyboard.</w:t>
      </w:r>
      <w:r w:rsidR="00532CBD">
        <w:t xml:space="preserve"> </w:t>
      </w:r>
      <w:r>
        <w:t xml:space="preserve">“Key” also likely will communicate </w:t>
      </w:r>
      <w:r w:rsidR="00797692">
        <w:t>a</w:t>
      </w:r>
      <w:r>
        <w:t xml:space="preserve"> modern sense to the mind of the reader</w:t>
      </w:r>
      <w:r w:rsidR="00797692">
        <w:t>, whereas this is a</w:t>
      </w:r>
      <w:r>
        <w:t xml:space="preserve"> time when this theoretical concept was only in the beginning of the process of formulation.</w:t>
      </w:r>
      <w:r w:rsidR="00532CBD">
        <w:t xml:space="preserve"> </w:t>
      </w:r>
      <w:proofErr w:type="spellStart"/>
      <w:r w:rsidR="00797692">
        <w:t>Agazzari</w:t>
      </w:r>
      <w:proofErr w:type="spellEnd"/>
      <w:r w:rsidR="00797692">
        <w:t xml:space="preserve"> uses both spellings, </w:t>
      </w:r>
      <w:r w:rsidR="00797692">
        <w:rPr>
          <w:i/>
        </w:rPr>
        <w:t>tono</w:t>
      </w:r>
      <w:r w:rsidR="00797692">
        <w:t xml:space="preserve"> and </w:t>
      </w:r>
      <w:proofErr w:type="spellStart"/>
      <w:r w:rsidR="00797692">
        <w:rPr>
          <w:i/>
        </w:rPr>
        <w:t>tuono</w:t>
      </w:r>
      <w:proofErr w:type="spellEnd"/>
      <w:r w:rsidR="00797692">
        <w:t xml:space="preserve"> without apparent distinction.</w:t>
      </w:r>
    </w:p>
  </w:footnote>
  <w:footnote w:id="26">
    <w:p w14:paraId="790F42A8" w14:textId="54A789DA" w:rsidR="00652666" w:rsidRPr="00652666" w:rsidRDefault="00652666">
      <w:pPr>
        <w:pStyle w:val="FootnoteText"/>
      </w:pPr>
      <w:r>
        <w:rPr>
          <w:rStyle w:val="FootnoteReference"/>
        </w:rPr>
        <w:footnoteRef/>
      </w:r>
      <w:r>
        <w:t xml:space="preserve"> </w:t>
      </w:r>
      <w:proofErr w:type="spellStart"/>
      <w:r>
        <w:t>Agazzari’s</w:t>
      </w:r>
      <w:proofErr w:type="spellEnd"/>
      <w:r>
        <w:t xml:space="preserve"> use of the word </w:t>
      </w:r>
      <w:r>
        <w:rPr>
          <w:i/>
        </w:rPr>
        <w:t>tono/</w:t>
      </w:r>
      <w:proofErr w:type="spellStart"/>
      <w:r>
        <w:rPr>
          <w:i/>
        </w:rPr>
        <w:t>tuono</w:t>
      </w:r>
      <w:proofErr w:type="spellEnd"/>
      <w:r>
        <w:t xml:space="preserve"> and his description of transpositions may indicate that he is thinking of the psalm tones/church keys and their transpositions.</w:t>
      </w:r>
      <w:r w:rsidR="00532CBD">
        <w:t xml:space="preserve"> </w:t>
      </w:r>
      <w:r>
        <w:t xml:space="preserve">See Harold Powers, “From Psalmody to Tonality,” in </w:t>
      </w:r>
      <w:r>
        <w:rPr>
          <w:i/>
        </w:rPr>
        <w:t>Tonal Structures in Early Music,</w:t>
      </w:r>
      <w:r>
        <w:t xml:space="preserve"> ed. Cristle Collins Judd (New York:</w:t>
      </w:r>
      <w:r w:rsidR="00532CBD">
        <w:t xml:space="preserve"> </w:t>
      </w:r>
      <w:r>
        <w:t>Garland, 1998):</w:t>
      </w:r>
      <w:r w:rsidR="00532CBD">
        <w:t xml:space="preserve"> </w:t>
      </w:r>
      <w:r>
        <w:t>275-340.</w:t>
      </w:r>
    </w:p>
  </w:footnote>
  <w:footnote w:id="27">
    <w:p w14:paraId="597D158D" w14:textId="77777777" w:rsidR="000F3522" w:rsidRDefault="000F3522">
      <w:pPr>
        <w:pStyle w:val="FootnoteText"/>
      </w:pPr>
      <w:r>
        <w:rPr>
          <w:rStyle w:val="FootnoteReference"/>
        </w:rPr>
        <w:footnoteRef/>
      </w:r>
      <w:r>
        <w:t xml:space="preserve"> Owing to temperaments deriv</w:t>
      </w:r>
      <w:r w:rsidR="00797692">
        <w:t>ing</w:t>
      </w:r>
      <w:r>
        <w:t xml:space="preserve"> from Mean Tone</w:t>
      </w:r>
      <w:r w:rsidR="008137B2">
        <w:t xml:space="preserve"> temperament</w:t>
      </w:r>
      <w:r>
        <w:t>, which result in increasing disparities as they become more remote from the central “key” of C.</w:t>
      </w:r>
    </w:p>
  </w:footnote>
  <w:footnote w:id="28">
    <w:p w14:paraId="2EB09911" w14:textId="1DE4EBD6" w:rsidR="000F3522" w:rsidRDefault="000F3522">
      <w:pPr>
        <w:pStyle w:val="FootnoteText"/>
      </w:pPr>
      <w:r>
        <w:rPr>
          <w:rStyle w:val="FootnoteReference"/>
        </w:rPr>
        <w:footnoteRef/>
      </w:r>
      <w:r>
        <w:t xml:space="preserve"> This is simply a cumbersome way of </w:t>
      </w:r>
      <w:r w:rsidR="008137B2">
        <w:t>referring to</w:t>
      </w:r>
      <w:r>
        <w:t xml:space="preserve"> transposing the original “key” to more remote ones.</w:t>
      </w:r>
      <w:r w:rsidR="00532CBD">
        <w:t xml:space="preserve"> </w:t>
      </w:r>
      <w:r>
        <w:t>It is also good evidence of how authors of the time were struggling to understand and communicate about the issues of key and transposition.</w:t>
      </w:r>
    </w:p>
  </w:footnote>
  <w:footnote w:id="29">
    <w:p w14:paraId="47ECE8A8" w14:textId="77777777" w:rsidR="00652666" w:rsidRDefault="00652666">
      <w:pPr>
        <w:pStyle w:val="FootnoteText"/>
      </w:pPr>
      <w:r>
        <w:rPr>
          <w:rStyle w:val="FootnoteReference"/>
        </w:rPr>
        <w:footnoteRef/>
      </w:r>
      <w:r>
        <w:t xml:space="preserve"> Apart from the psalm tones/church keys (see above note 26) the theoretical and pedagogical literature of the time presents standard transpositions of the modes, at the fourth and fifth being the most common for the obvious reason of being most closely related.</w:t>
      </w:r>
    </w:p>
  </w:footnote>
  <w:footnote w:id="30">
    <w:p w14:paraId="66A659CF" w14:textId="77777777" w:rsidR="00D34C81" w:rsidRPr="00D34C81" w:rsidRDefault="00D34C81">
      <w:pPr>
        <w:pStyle w:val="FootnoteText"/>
      </w:pPr>
      <w:r>
        <w:rPr>
          <w:rStyle w:val="FootnoteReference"/>
        </w:rPr>
        <w:footnoteRef/>
      </w:r>
      <w:r>
        <w:t xml:space="preserve"> The sense of this is rather contorted by </w:t>
      </w:r>
      <w:proofErr w:type="spellStart"/>
      <w:r>
        <w:t>Agazzari’s</w:t>
      </w:r>
      <w:proofErr w:type="spellEnd"/>
      <w:r>
        <w:t xml:space="preserve"> syntax, it is: music was </w:t>
      </w:r>
      <w:r>
        <w:rPr>
          <w:u w:val="single"/>
        </w:rPr>
        <w:t>not</w:t>
      </w:r>
      <w:r>
        <w:t xml:space="preserve"> banished because</w:t>
      </w:r>
      <w:r w:rsidR="00797692">
        <w:t xml:space="preserve">, in fact, </w:t>
      </w:r>
      <w:r>
        <w:t>the complex imitative counterpoint was abandoned, which would not have happened if it were not for Palestrina,</w:t>
      </w:r>
      <w:r w:rsidR="00797692">
        <w:t xml:space="preserve"> who demonstrated</w:t>
      </w:r>
      <w:r w:rsidR="00652666">
        <w:t xml:space="preserve"> by composing</w:t>
      </w:r>
      <w:r w:rsidR="00797692">
        <w:t xml:space="preserve"> . . .</w:t>
      </w:r>
      <w:r>
        <w:t xml:space="preserve">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CE47F" w14:textId="3FACB3EF" w:rsidR="008652DB" w:rsidRPr="008652DB" w:rsidRDefault="008652DB" w:rsidP="008652DB">
    <w:pPr>
      <w:pStyle w:val="Header"/>
      <w:jc w:val="center"/>
      <w:rPr>
        <w:i/>
        <w:iCs/>
      </w:rPr>
    </w:pPr>
    <w:r w:rsidRPr="008652DB">
      <w:rPr>
        <w:i/>
        <w:iCs/>
      </w:rPr>
      <w:t>Concerning Playing on the Bass with All Instruments and Their Use in the Ensemble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7FA3D" w14:textId="5C7E0AAE" w:rsidR="008652DB" w:rsidRPr="008652DB" w:rsidRDefault="00532CBD" w:rsidP="008652DB">
    <w:pPr>
      <w:pStyle w:val="Header"/>
      <w:jc w:val="center"/>
      <w:rPr>
        <w:i/>
        <w:iCs/>
      </w:rPr>
    </w:pPr>
    <w:r w:rsidRPr="00532CBD">
      <w:rPr>
        <w:i/>
        <w:iCs/>
      </w:rPr>
      <w:t>Concerning Playing on the Bass with All Instruments and Their Use in the Ensemble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EB1"/>
    <w:rsid w:val="000118A0"/>
    <w:rsid w:val="00017C55"/>
    <w:rsid w:val="000B72B5"/>
    <w:rsid w:val="000F3522"/>
    <w:rsid w:val="001201FC"/>
    <w:rsid w:val="00150306"/>
    <w:rsid w:val="001A28FE"/>
    <w:rsid w:val="001E38E0"/>
    <w:rsid w:val="001F086A"/>
    <w:rsid w:val="001F4E4D"/>
    <w:rsid w:val="0024322A"/>
    <w:rsid w:val="00290CD2"/>
    <w:rsid w:val="002C02B0"/>
    <w:rsid w:val="00311A4A"/>
    <w:rsid w:val="0032315B"/>
    <w:rsid w:val="003A592D"/>
    <w:rsid w:val="003C3A18"/>
    <w:rsid w:val="003E3175"/>
    <w:rsid w:val="003F068A"/>
    <w:rsid w:val="00403528"/>
    <w:rsid w:val="00467769"/>
    <w:rsid w:val="00474ADB"/>
    <w:rsid w:val="004A4028"/>
    <w:rsid w:val="004B48B3"/>
    <w:rsid w:val="005158F9"/>
    <w:rsid w:val="00532CBD"/>
    <w:rsid w:val="00543E69"/>
    <w:rsid w:val="005518C7"/>
    <w:rsid w:val="00590AAB"/>
    <w:rsid w:val="005D2184"/>
    <w:rsid w:val="005E5084"/>
    <w:rsid w:val="005F5818"/>
    <w:rsid w:val="0060271A"/>
    <w:rsid w:val="006313C5"/>
    <w:rsid w:val="0064114C"/>
    <w:rsid w:val="00652666"/>
    <w:rsid w:val="00685583"/>
    <w:rsid w:val="006C7D47"/>
    <w:rsid w:val="006E32C5"/>
    <w:rsid w:val="00715C40"/>
    <w:rsid w:val="00716D21"/>
    <w:rsid w:val="00751D4F"/>
    <w:rsid w:val="00754607"/>
    <w:rsid w:val="00766702"/>
    <w:rsid w:val="00797692"/>
    <w:rsid w:val="007E6923"/>
    <w:rsid w:val="007F6F94"/>
    <w:rsid w:val="00802498"/>
    <w:rsid w:val="008137B2"/>
    <w:rsid w:val="008177F3"/>
    <w:rsid w:val="00823B2C"/>
    <w:rsid w:val="0085193F"/>
    <w:rsid w:val="008652DB"/>
    <w:rsid w:val="008A033F"/>
    <w:rsid w:val="008D5FE8"/>
    <w:rsid w:val="008E77A1"/>
    <w:rsid w:val="008F1EF1"/>
    <w:rsid w:val="009319E3"/>
    <w:rsid w:val="00952887"/>
    <w:rsid w:val="009B11AB"/>
    <w:rsid w:val="009E2717"/>
    <w:rsid w:val="009E74A1"/>
    <w:rsid w:val="00A61BE0"/>
    <w:rsid w:val="00AB0169"/>
    <w:rsid w:val="00AB60D7"/>
    <w:rsid w:val="00AE3A4A"/>
    <w:rsid w:val="00B27009"/>
    <w:rsid w:val="00B32E0B"/>
    <w:rsid w:val="00B8604C"/>
    <w:rsid w:val="00B862B5"/>
    <w:rsid w:val="00B93FC4"/>
    <w:rsid w:val="00BF6ACC"/>
    <w:rsid w:val="00C14359"/>
    <w:rsid w:val="00C25C52"/>
    <w:rsid w:val="00CB6572"/>
    <w:rsid w:val="00D34C81"/>
    <w:rsid w:val="00D46E1D"/>
    <w:rsid w:val="00D627E9"/>
    <w:rsid w:val="00D904D8"/>
    <w:rsid w:val="00DB0E99"/>
    <w:rsid w:val="00DC1A53"/>
    <w:rsid w:val="00E03EDD"/>
    <w:rsid w:val="00E14A07"/>
    <w:rsid w:val="00E15D23"/>
    <w:rsid w:val="00E251FF"/>
    <w:rsid w:val="00E50EB1"/>
    <w:rsid w:val="00E66FFD"/>
    <w:rsid w:val="00E706C0"/>
    <w:rsid w:val="00EE774D"/>
    <w:rsid w:val="00F35A40"/>
    <w:rsid w:val="00F77AF9"/>
    <w:rsid w:val="00FD2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DBB90"/>
  <w15:chartTrackingRefBased/>
  <w15:docId w15:val="{B86B07CC-E1EA-486D-8299-AB0988CC6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2DB"/>
    <w:pPr>
      <w:spacing w:after="360" w:line="360" w:lineRule="auto"/>
    </w:pPr>
    <w:rPr>
      <w:rFonts w:ascii="Aptos" w:hAnsi="Aptos"/>
      <w:sz w:val="24"/>
    </w:rPr>
  </w:style>
  <w:style w:type="paragraph" w:styleId="Heading1">
    <w:name w:val="heading 1"/>
    <w:basedOn w:val="Normal"/>
    <w:next w:val="Normal"/>
    <w:link w:val="Heading1Char"/>
    <w:uiPriority w:val="9"/>
    <w:qFormat/>
    <w:rsid w:val="008652DB"/>
    <w:pPr>
      <w:jc w:val="center"/>
      <w:outlineLvl w:val="0"/>
    </w:pPr>
    <w:rPr>
      <w:rFonts w:ascii="Aptos ExtraBold" w:hAnsi="Aptos ExtraBold"/>
      <w:bCs/>
      <w:sz w:val="36"/>
      <w:szCs w:val="48"/>
    </w:rPr>
  </w:style>
  <w:style w:type="paragraph" w:styleId="Heading2">
    <w:name w:val="heading 2"/>
    <w:basedOn w:val="Normal"/>
    <w:next w:val="Normal"/>
    <w:link w:val="Heading2Char"/>
    <w:uiPriority w:val="9"/>
    <w:unhideWhenUsed/>
    <w:qFormat/>
    <w:rsid w:val="00532CBD"/>
    <w:pPr>
      <w:keepNext/>
      <w:keepLines/>
      <w:spacing w:before="40" w:after="0"/>
      <w:outlineLvl w:val="1"/>
    </w:pPr>
    <w:rPr>
      <w:rFonts w:ascii="Aptos ExtraBold" w:eastAsiaTheme="majorEastAsia" w:hAnsi="Aptos ExtraBold" w:cstheme="majorHAnsi"/>
      <w:b/>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Reference">
    <w:name w:val="Subtle Reference"/>
    <w:basedOn w:val="DefaultParagraphFont"/>
    <w:uiPriority w:val="31"/>
    <w:qFormat/>
    <w:rsid w:val="00B862B5"/>
    <w:rPr>
      <w:caps w:val="0"/>
      <w:smallCaps/>
      <w:color w:val="5A5A5A" w:themeColor="text1" w:themeTint="A5"/>
      <w:vertAlign w:val="superscript"/>
    </w:rPr>
  </w:style>
  <w:style w:type="paragraph" w:styleId="FootnoteText">
    <w:name w:val="footnote text"/>
    <w:basedOn w:val="Normal"/>
    <w:link w:val="FootnoteTextChar"/>
    <w:uiPriority w:val="99"/>
    <w:semiHidden/>
    <w:unhideWhenUsed/>
    <w:rsid w:val="004677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7769"/>
    <w:rPr>
      <w:sz w:val="20"/>
      <w:szCs w:val="20"/>
    </w:rPr>
  </w:style>
  <w:style w:type="character" w:styleId="FootnoteReference">
    <w:name w:val="footnote reference"/>
    <w:basedOn w:val="DefaultParagraphFont"/>
    <w:uiPriority w:val="99"/>
    <w:unhideWhenUsed/>
    <w:qFormat/>
    <w:rsid w:val="00467769"/>
    <w:rPr>
      <w:vertAlign w:val="superscript"/>
    </w:rPr>
  </w:style>
  <w:style w:type="character" w:styleId="Hyperlink">
    <w:name w:val="Hyperlink"/>
    <w:basedOn w:val="DefaultParagraphFont"/>
    <w:uiPriority w:val="99"/>
    <w:unhideWhenUsed/>
    <w:rsid w:val="00467769"/>
    <w:rPr>
      <w:color w:val="0563C1" w:themeColor="hyperlink"/>
      <w:u w:val="single"/>
    </w:rPr>
  </w:style>
  <w:style w:type="character" w:styleId="UnresolvedMention">
    <w:name w:val="Unresolved Mention"/>
    <w:basedOn w:val="DefaultParagraphFont"/>
    <w:uiPriority w:val="99"/>
    <w:semiHidden/>
    <w:unhideWhenUsed/>
    <w:rsid w:val="00467769"/>
    <w:rPr>
      <w:color w:val="605E5C"/>
      <w:shd w:val="clear" w:color="auto" w:fill="E1DFDD"/>
    </w:rPr>
  </w:style>
  <w:style w:type="paragraph" w:styleId="Header">
    <w:name w:val="header"/>
    <w:basedOn w:val="Normal"/>
    <w:link w:val="HeaderChar"/>
    <w:uiPriority w:val="99"/>
    <w:unhideWhenUsed/>
    <w:rsid w:val="00AB60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60D7"/>
  </w:style>
  <w:style w:type="paragraph" w:styleId="Footer">
    <w:name w:val="footer"/>
    <w:basedOn w:val="Normal"/>
    <w:link w:val="FooterChar"/>
    <w:uiPriority w:val="99"/>
    <w:unhideWhenUsed/>
    <w:rsid w:val="00AB60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60D7"/>
  </w:style>
  <w:style w:type="character" w:customStyle="1" w:styleId="Heading1Char">
    <w:name w:val="Heading 1 Char"/>
    <w:basedOn w:val="DefaultParagraphFont"/>
    <w:link w:val="Heading1"/>
    <w:uiPriority w:val="9"/>
    <w:rsid w:val="008652DB"/>
    <w:rPr>
      <w:rFonts w:ascii="Aptos ExtraBold" w:hAnsi="Aptos ExtraBold"/>
      <w:bCs/>
      <w:sz w:val="36"/>
      <w:szCs w:val="48"/>
    </w:rPr>
  </w:style>
  <w:style w:type="paragraph" w:styleId="Title">
    <w:name w:val="Title"/>
    <w:basedOn w:val="Heading1"/>
    <w:next w:val="Normal"/>
    <w:link w:val="TitleChar"/>
    <w:uiPriority w:val="10"/>
    <w:qFormat/>
    <w:rsid w:val="006E32C5"/>
    <w:rPr>
      <w:b/>
      <w:bCs w:val="0"/>
      <w:sz w:val="48"/>
    </w:rPr>
  </w:style>
  <w:style w:type="character" w:customStyle="1" w:styleId="TitleChar">
    <w:name w:val="Title Char"/>
    <w:basedOn w:val="DefaultParagraphFont"/>
    <w:link w:val="Title"/>
    <w:uiPriority w:val="10"/>
    <w:rsid w:val="006E32C5"/>
    <w:rPr>
      <w:sz w:val="48"/>
      <w:szCs w:val="48"/>
    </w:rPr>
  </w:style>
  <w:style w:type="character" w:customStyle="1" w:styleId="Heading2Char">
    <w:name w:val="Heading 2 Char"/>
    <w:basedOn w:val="DefaultParagraphFont"/>
    <w:link w:val="Heading2"/>
    <w:uiPriority w:val="9"/>
    <w:rsid w:val="00532CBD"/>
    <w:rPr>
      <w:rFonts w:ascii="Aptos ExtraBold" w:eastAsiaTheme="majorEastAsia" w:hAnsi="Aptos ExtraBold" w:cstheme="majorHAnsi"/>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www.academiaintronati.it/storia-dellaccademia/" TargetMode="External"/><Relationship Id="rId1" Type="http://schemas.openxmlformats.org/officeDocument/2006/relationships/hyperlink" Target="http://www.oxfordmusiconline.com/grovemus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7164F-D5EF-485D-B260-1BB8D51BF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15</Pages>
  <Words>3757</Words>
  <Characters>21417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University of Central Oklahoma</Company>
  <LinksUpToDate>false</LinksUpToDate>
  <CharactersWithSpaces>25124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Honea</dc:creator>
  <cp:keywords/>
  <dc:description/>
  <cp:lastModifiedBy>Shay Beezley</cp:lastModifiedBy>
  <cp:revision>32</cp:revision>
  <dcterms:created xsi:type="dcterms:W3CDTF">2021-02-21T18:01:00Z</dcterms:created>
  <dcterms:modified xsi:type="dcterms:W3CDTF">2026-07-22T15:12:00Z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4b55ed7-9ba9-43e7-adc9-7a4ed6fd9b0e_Enabled">
    <vt:lpwstr>true</vt:lpwstr>
  </property>
  <property fmtid="{D5CDD505-2E9C-101B-9397-08002B2CF9AE}" pid="3" name="MSIP_Label_14b55ed7-9ba9-43e7-adc9-7a4ed6fd9b0e_SetDate">
    <vt:lpwstr>2026-04-06T14:18:33Z</vt:lpwstr>
  </property>
  <property fmtid="{D5CDD505-2E9C-101B-9397-08002B2CF9AE}" pid="4" name="MSIP_Label_14b55ed7-9ba9-43e7-adc9-7a4ed6fd9b0e_Method">
    <vt:lpwstr>Standard</vt:lpwstr>
  </property>
  <property fmtid="{D5CDD505-2E9C-101B-9397-08002B2CF9AE}" pid="5" name="MSIP_Label_14b55ed7-9ba9-43e7-adc9-7a4ed6fd9b0e_Name">
    <vt:lpwstr>UCO - Internal</vt:lpwstr>
  </property>
  <property fmtid="{D5CDD505-2E9C-101B-9397-08002B2CF9AE}" pid="6" name="MSIP_Label_14b55ed7-9ba9-43e7-adc9-7a4ed6fd9b0e_SiteId">
    <vt:lpwstr>51aa8f26-2e23-4b8c-bca8-7cc441adc4df</vt:lpwstr>
  </property>
  <property fmtid="{D5CDD505-2E9C-101B-9397-08002B2CF9AE}" pid="7" name="MSIP_Label_14b55ed7-9ba9-43e7-adc9-7a4ed6fd9b0e_ActionId">
    <vt:lpwstr>b35cba26-9030-44a2-b5e5-bc220c88a611</vt:lpwstr>
  </property>
  <property fmtid="{D5CDD505-2E9C-101B-9397-08002B2CF9AE}" pid="8" name="MSIP_Label_14b55ed7-9ba9-43e7-adc9-7a4ed6fd9b0e_ContentBits">
    <vt:lpwstr>0</vt:lpwstr>
  </property>
  <property fmtid="{D5CDD505-2E9C-101B-9397-08002B2CF9AE}" pid="9" name="MSIP_Label_14b55ed7-9ba9-43e7-adc9-7a4ed6fd9b0e_Tag">
    <vt:lpwstr>10, 3, 0, 1</vt:lpwstr>
  </property>
</Properties>
</file>